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4260" w:right="3920" w:hanging="4252"/>
        <w:spacing w:after="0" w:line="280" w:lineRule="auto"/>
        <w:tabs>
          <w:tab w:leader="none" w:pos="290" w:val="left"/>
        </w:tabs>
        <w:numPr>
          <w:ilvl w:val="0"/>
          <w:numId w:val="1"/>
        </w:numPr>
        <w:rPr>
          <w:rFonts w:ascii="Arial" w:cs="Arial" w:eastAsia="Arial" w:hAnsi="Arial"/>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spacing w:after="0" w:line="1" w:lineRule="exact"/>
        <w:rPr>
          <w:rFonts w:ascii="Arial" w:cs="Arial" w:eastAsia="Arial" w:hAnsi="Arial"/>
          <w:sz w:val="14"/>
          <w:szCs w:val="14"/>
          <w:color w:val="auto"/>
          <w:highlight w:val="black"/>
        </w:rPr>
      </w:pPr>
    </w:p>
    <w:p>
      <w:pPr>
        <w:ind w:left="5500"/>
        <w:spacing w:after="0"/>
        <w:rPr>
          <w:rFonts w:ascii="Arial" w:cs="Arial" w:eastAsia="Arial" w:hAnsi="Arial"/>
          <w:sz w:val="14"/>
          <w:szCs w:val="14"/>
          <w:color w:val="auto"/>
          <w:highlight w:val="black"/>
        </w:rPr>
      </w:pPr>
      <w:r>
        <w:rPr>
          <w:rFonts w:ascii="Arial" w:cs="Arial" w:eastAsia="Arial" w:hAnsi="Arial"/>
          <w:sz w:val="14"/>
          <w:szCs w:val="14"/>
          <w:b w:val="1"/>
          <w:bCs w:val="1"/>
          <w:color w:val="auto"/>
        </w:rPr>
        <w:t>OR</w:t>
      </w:r>
    </w:p>
    <w:p>
      <w:pPr>
        <w:spacing w:after="0" w:line="55" w:lineRule="exact"/>
        <w:rPr>
          <w:sz w:val="24"/>
          <w:szCs w:val="24"/>
          <w:color w:val="auto"/>
        </w:rPr>
      </w:pPr>
    </w:p>
    <w:p>
      <w:pPr>
        <w:ind w:left="520" w:right="920" w:hanging="512"/>
        <w:spacing w:after="0"/>
        <w:tabs>
          <w:tab w:leader="none" w:pos="299" w:val="left"/>
        </w:tabs>
        <w:numPr>
          <w:ilvl w:val="0"/>
          <w:numId w:val="2"/>
        </w:numPr>
        <w:rPr>
          <w:rFonts w:ascii="Arial" w:cs="Arial" w:eastAsia="Arial" w:hAnsi="Arial"/>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TREVI THERAPEUTICS,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tbl>
      <w:tblPr>
        <w:tblLayout w:type="fixed"/>
        <w:tblInd w:w="1780" w:type="dxa"/>
        <w:tblCellMar>
          <w:top w:w="0" w:type="dxa"/>
          <w:left w:w="0" w:type="dxa"/>
          <w:bottom w:w="0" w:type="dxa"/>
          <w:right w:w="0" w:type="dxa"/>
        </w:tblCellMar>
      </w:tblPr>
      <w:tr>
        <w:trPr>
          <w:trHeight w:val="210"/>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45-0834299</w:t>
            </w:r>
          </w:p>
        </w:tc>
      </w:tr>
      <w:tr>
        <w:trPr>
          <w:trHeight w:val="150"/>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89"/>
              </w:rPr>
              <w:t>Identification No.)</w:t>
            </w:r>
          </w:p>
        </w:tc>
      </w:tr>
      <w:tr>
        <w:trPr>
          <w:trHeight w:val="313"/>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1"/>
              </w:rPr>
              <w:t>195 Church Street, 16</w:t>
            </w:r>
            <w:r>
              <w:rPr>
                <w:rFonts w:ascii="Arial" w:cs="Arial" w:eastAsia="Arial" w:hAnsi="Arial"/>
                <w:sz w:val="21"/>
                <w:szCs w:val="21"/>
                <w:b w:val="1"/>
                <w:bCs w:val="1"/>
                <w:color w:val="auto"/>
                <w:w w:val="91"/>
                <w:vertAlign w:val="superscript"/>
              </w:rPr>
              <w:t>th</w:t>
            </w:r>
            <w:r>
              <w:rPr>
                <w:rFonts w:ascii="Arial" w:cs="Arial" w:eastAsia="Arial" w:hAnsi="Arial"/>
                <w:sz w:val="16"/>
                <w:szCs w:val="16"/>
                <w:b w:val="1"/>
                <w:bCs w:val="1"/>
                <w:color w:val="auto"/>
                <w:w w:val="91"/>
              </w:rPr>
              <w:t xml:space="preserve"> Floor</w:t>
            </w:r>
          </w:p>
        </w:tc>
        <w:tc>
          <w:tcPr>
            <w:tcW w:w="3020" w:type="dxa"/>
            <w:vAlign w:val="bottom"/>
          </w:tcPr>
          <w:p>
            <w:pPr>
              <w:spacing w:after="0"/>
              <w:rPr>
                <w:sz w:val="24"/>
                <w:szCs w:val="24"/>
                <w:color w:val="auto"/>
              </w:rPr>
            </w:pPr>
          </w:p>
        </w:tc>
      </w:tr>
      <w:tr>
        <w:trPr>
          <w:trHeight w:val="210"/>
        </w:trPr>
        <w:tc>
          <w:tcPr>
            <w:tcW w:w="4120" w:type="dxa"/>
            <w:vAlign w:val="bottom"/>
          </w:tcPr>
          <w:p>
            <w:pPr>
              <w:jc w:val="center"/>
              <w:ind w:right="1968"/>
              <w:spacing w:after="0"/>
              <w:rPr>
                <w:sz w:val="20"/>
                <w:szCs w:val="20"/>
                <w:color w:val="auto"/>
              </w:rPr>
            </w:pPr>
            <w:r>
              <w:rPr>
                <w:rFonts w:ascii="Arial" w:cs="Arial" w:eastAsia="Arial" w:hAnsi="Arial"/>
                <w:sz w:val="16"/>
                <w:szCs w:val="16"/>
                <w:b w:val="1"/>
                <w:bCs w:val="1"/>
                <w:color w:val="auto"/>
                <w:w w:val="92"/>
              </w:rPr>
              <w:t>New Haven, Connecticut</w:t>
            </w:r>
          </w:p>
        </w:tc>
        <w:tc>
          <w:tcPr>
            <w:tcW w:w="3020" w:type="dxa"/>
            <w:vAlign w:val="bottom"/>
          </w:tcPr>
          <w:p>
            <w:pPr>
              <w:jc w:val="right"/>
              <w:ind w:right="210"/>
              <w:spacing w:after="0"/>
              <w:rPr>
                <w:sz w:val="20"/>
                <w:szCs w:val="20"/>
                <w:color w:val="auto"/>
              </w:rPr>
            </w:pPr>
            <w:r>
              <w:rPr>
                <w:rFonts w:ascii="Arial" w:cs="Arial" w:eastAsia="Arial" w:hAnsi="Arial"/>
                <w:sz w:val="16"/>
                <w:szCs w:val="16"/>
                <w:b w:val="1"/>
                <w:bCs w:val="1"/>
                <w:color w:val="auto"/>
              </w:rPr>
              <w:t>06510</w:t>
            </w:r>
          </w:p>
        </w:tc>
      </w:tr>
      <w:tr>
        <w:trPr>
          <w:trHeight w:val="179"/>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304-2499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5"/>
          <w:szCs w:val="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$0.001 par value per share</w:t>
            </w: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rPr>
              <w:t>TRVI</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6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right="12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4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2"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0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26"/>
        </w:trPr>
        <w:tc>
          <w:tcPr>
            <w:tcW w:w="20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Arial" w:cs="Arial" w:eastAsia="Arial" w:hAnsi="Arial"/>
                <w:sz w:val="15"/>
                <w:szCs w:val="15"/>
                <w:color w:val="auto"/>
              </w:rPr>
              <w:t>Smaller reporting compan</w:t>
            </w:r>
            <w:r>
              <w:rPr>
                <w:rFonts w:ascii="Arial" w:cs="Arial" w:eastAsia="Arial" w:hAnsi="Arial"/>
                <w:sz w:val="16"/>
                <w:szCs w:val="16"/>
                <w:color w:val="auto"/>
              </w:rPr>
              <w:t>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27"/>
        </w:trPr>
        <w:tc>
          <w:tcPr>
            <w:tcW w:w="20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54" w:lineRule="exact"/>
        <w:rPr>
          <w:sz w:val="24"/>
          <w:szCs w:val="24"/>
          <w:color w:val="auto"/>
        </w:rPr>
      </w:pPr>
    </w:p>
    <w:p>
      <w:pPr>
        <w:ind w:right="5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ind w:right="120"/>
        <w:spacing w:after="0" w:line="181"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00" w:lineRule="exact"/>
        <w:rPr>
          <w:sz w:val="24"/>
          <w:szCs w:val="24"/>
          <w:color w:val="auto"/>
        </w:rPr>
      </w:pPr>
    </w:p>
    <w:p>
      <w:pPr>
        <w:spacing w:after="0" w:line="277" w:lineRule="exact"/>
        <w:rPr>
          <w:sz w:val="24"/>
          <w:szCs w:val="24"/>
          <w:color w:val="auto"/>
        </w:rPr>
      </w:pPr>
    </w:p>
    <w:p>
      <w:pPr>
        <w:ind w:right="280"/>
        <w:spacing w:after="0" w:line="181"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79"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$65.2 million.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16, 2023 was 60,045,096.</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Portions of the Proxy Statement for the registrant’s 2023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00" w:right="220" w:hanging="383"/>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clinical trials, including our planned trials of Haduvio for the treatment of chronic cough in adults with idiopathic pulmonary fibrosis, or IPF, and for refractory chronic cough and our Phase 2b/3 PRISM trial of Haduvio for the treatment of prurigo nodularis;</w:t>
      </w:r>
    </w:p>
    <w:p>
      <w:pPr>
        <w:spacing w:after="0" w:line="38" w:lineRule="exact"/>
        <w:rPr>
          <w:rFonts w:ascii="Arial" w:cs="Arial" w:eastAsia="Arial" w:hAnsi="Arial"/>
          <w:sz w:val="17"/>
          <w:szCs w:val="17"/>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Haduvio for the treatment of chronic cough in adults with IPF and for other chronic cough indications and for the treatment of prurigo nodularis;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Haduvio;</w:t>
      </w:r>
    </w:p>
    <w:p>
      <w:pPr>
        <w:spacing w:after="0" w:line="117"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including our planned clinical trials, and our capital expenditure requirements with our cash, cash equivalents and marketable securities;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w:t>
      </w:r>
    </w:p>
    <w:p>
      <w:pPr>
        <w:spacing w:after="0" w:line="117" w:lineRule="exact"/>
        <w:rPr>
          <w:rFonts w:ascii="Arial" w:cs="Arial" w:eastAsia="Arial" w:hAnsi="Arial"/>
          <w:sz w:val="18"/>
          <w:szCs w:val="18"/>
          <w:color w:val="auto"/>
        </w:rPr>
      </w:pPr>
    </w:p>
    <w:p>
      <w:pPr>
        <w:ind w:left="900" w:right="6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other outbreaks of infectious disease on our clinical trials, business and operations, and our response to the COVID-19 pandemic and any other such outbreaks.</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this Annual Report on Form 10-K completely and with the understanding that our actual future results may differ materially from what we expect. The forward-looking statements contained in this Annual Report on Form 10-K are made as of the date of this Annual Report on Form 10-K, and we do not assume any obligation to update any forward-looking statements except as required by applicable law.</w:t>
      </w:r>
    </w:p>
    <w:p>
      <w:pPr>
        <w:spacing w:after="0" w:line="7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58"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We own or have rights to trademarks, service marks and trade names that we use in connection with the operation of our business, including our corporate name, logos and website names. We own the trademarks Trevi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Haduvio™. Other trademarks, service marks and trade names appearing in this Annual Report on Form 10-K are the property of their respective owners. Solely for convenience, some of the trademarks, service marks and trade names referred to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line="278" w:lineRule="auto"/>
        <w:rPr>
          <w:sz w:val="20"/>
          <w:szCs w:val="20"/>
          <w:color w:val="auto"/>
        </w:rPr>
      </w:pPr>
      <w:r>
        <w:rPr>
          <w:rFonts w:ascii="Arial" w:cs="Arial" w:eastAsia="Arial" w:hAnsi="Arial"/>
          <w:sz w:val="16"/>
          <w:szCs w:val="16"/>
          <w:color w:val="auto"/>
        </w:rPr>
        <w:t xml:space="preserve">Annual Report on Form 10-K are listed without the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 symbols, but we will assert, to the fullest extent under applicable law, our rights to our trademarks, service marks and trade names. We intend to propose Haduvio as the trade name for our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238" w:right="959" w:bottom="1440" w:gutter="0" w:footer="0" w:header="0"/>
        </w:sectPr>
      </w:pPr>
    </w:p>
    <w:bookmarkStart w:id="4" w:name="page5"/>
    <w:bookmarkEnd w:id="4"/>
    <w:p>
      <w:pPr>
        <w:jc w:val="center"/>
        <w:ind w:left="5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Annual Report on Form 10-K, and should be carefully considered, together with other information in this Annual Report on Form 10-K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69" w:lineRule="exact"/>
        <w:rPr>
          <w:sz w:val="20"/>
          <w:szCs w:val="20"/>
          <w:color w:val="auto"/>
        </w:rPr>
      </w:pPr>
    </w:p>
    <w:p>
      <w:pPr>
        <w:ind w:left="760" w:right="28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expect to continue to incur significant and increasing losses for the foreseeable future. We may never achieve or maintain profitability.</w:t>
      </w:r>
    </w:p>
    <w:p>
      <w:pPr>
        <w:spacing w:after="0" w:line="75"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89" w:lineRule="exact"/>
        <w:rPr>
          <w:rFonts w:ascii="Arial" w:cs="Arial" w:eastAsia="Arial" w:hAnsi="Arial"/>
          <w:sz w:val="18"/>
          <w:szCs w:val="18"/>
          <w:color w:val="auto"/>
        </w:rPr>
      </w:pPr>
    </w:p>
    <w:p>
      <w:pPr>
        <w:ind w:left="760" w:right="220" w:hanging="378"/>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in the process of designing future clinical trials of Haduvio for the treatment of chronic cough in adults with IPF and refractory chronic cough. Before commencing the trials, we plan to discuss the design of the trials with regulatory authorities and will need to submit an IND for Haduvio before proceeding with our planned trials for chronic cough in adults with IPF at sites in the United States. Changes in the design of planned trials or regulatory delays may affect the timing and costs of the trials and changes in the timing or costs of the trials for these or other reasons may affect our ability to complete the planned trials with our existing cash resources.</w:t>
      </w:r>
    </w:p>
    <w:p>
      <w:pPr>
        <w:spacing w:after="0" w:line="81" w:lineRule="exact"/>
        <w:rPr>
          <w:rFonts w:ascii="Arial" w:cs="Arial" w:eastAsia="Arial" w:hAnsi="Arial"/>
          <w:sz w:val="17"/>
          <w:szCs w:val="17"/>
          <w:color w:val="auto"/>
        </w:rPr>
      </w:pPr>
    </w:p>
    <w:p>
      <w:pPr>
        <w:ind w:left="760" w:hanging="378"/>
        <w:spacing w:after="0" w:line="25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CANAL trial may not be predictive of the results of future trials of Haduvio for the treatment of chronic cough in adults with IPF or other chronic cough indications such as refractory chronic cough, and the results of our Phase 2b/3 PRISM trial in Haduvio for the treatment of prurigo nodularis may not be predictive of the results of any future trial in prurigo nodularis.</w:t>
      </w:r>
    </w:p>
    <w:p>
      <w:pPr>
        <w:spacing w:after="0" w:line="93" w:lineRule="exact"/>
        <w:rPr>
          <w:rFonts w:ascii="Arial" w:cs="Arial" w:eastAsia="Arial" w:hAnsi="Arial"/>
          <w:sz w:val="18"/>
          <w:szCs w:val="18"/>
          <w:color w:val="auto"/>
        </w:rPr>
      </w:pPr>
    </w:p>
    <w:p>
      <w:pPr>
        <w:ind w:left="760" w:right="40" w:hanging="378"/>
        <w:spacing w:after="0" w:line="29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experienced delays and difficulties in the enrollment of subjects in our clinical trials in the past, including in our Phase 2 CANAL trial and our Phase 2b/3 PRISM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chronic cough with IPF, refractory chronic cough and prurigo nodularis, and subjects are generally only able to enroll in a single trial at a time. In addition, many patients use various treatments off-label to treat chronic cough associated with IPF, refractory chronic cough and prurigo nodularis, and these patients and their physicians may be reluctant to forgo, discontinue or otherwise alter their use of such off-label therapeutic approaches to participate in our clinical trials.</w:t>
      </w:r>
    </w:p>
    <w:p>
      <w:pPr>
        <w:spacing w:after="0" w:line="71" w:lineRule="exact"/>
        <w:rPr>
          <w:rFonts w:ascii="Arial" w:cs="Arial" w:eastAsia="Arial" w:hAnsi="Arial"/>
          <w:sz w:val="16"/>
          <w:szCs w:val="16"/>
          <w:color w:val="auto"/>
        </w:rPr>
      </w:pPr>
    </w:p>
    <w:p>
      <w:pPr>
        <w:ind w:left="760" w:right="20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Even if we complete the necessary preclinical studies and clinical trials, the regulatory approval process is expensive, time-consuming and uncertain, which may prevent us from obtaining approvals for the commercialization of Haduvio or any future product candidate.</w:t>
      </w:r>
    </w:p>
    <w:p>
      <w:pPr>
        <w:spacing w:after="0" w:line="89" w:lineRule="exact"/>
        <w:rPr>
          <w:rFonts w:ascii="Arial" w:cs="Arial" w:eastAsia="Arial" w:hAnsi="Arial"/>
          <w:sz w:val="18"/>
          <w:szCs w:val="18"/>
          <w:color w:val="auto"/>
        </w:rPr>
      </w:pPr>
    </w:p>
    <w:p>
      <w:pPr>
        <w:ind w:left="760" w:right="120" w:hanging="378"/>
        <w:spacing w:after="0" w:line="25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spacing w:after="0" w:line="93" w:lineRule="exact"/>
        <w:rPr>
          <w:rFonts w:ascii="Arial" w:cs="Arial" w:eastAsia="Arial" w:hAnsi="Arial"/>
          <w:sz w:val="18"/>
          <w:szCs w:val="18"/>
          <w:color w:val="auto"/>
        </w:rPr>
      </w:pPr>
    </w:p>
    <w:p>
      <w:pPr>
        <w:ind w:left="760" w:right="6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drug label for nalbuphine, the active ingredient in Haduvio, carries an opioid class label warning for serious, life-threatening or fatal respiratory depression and Haduvio, if approved for marketing in any indication,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378" w:right="80"/>
        <w:spacing w:after="0" w:line="308" w:lineRule="auto"/>
        <w:rPr>
          <w:sz w:val="20"/>
          <w:szCs w:val="20"/>
          <w:color w:val="auto"/>
        </w:rPr>
      </w:pPr>
      <w:r>
        <w:rPr>
          <w:rFonts w:ascii="Arial" w:cs="Arial" w:eastAsia="Arial" w:hAnsi="Arial"/>
          <w:sz w:val="17"/>
          <w:szCs w:val="17"/>
          <w:color w:val="auto"/>
        </w:rPr>
        <w:t>likely carry a similar opioid class label. We intend to conduct a Phase 1b study of Haduvio to assess the risk of respiratory depression in patients with IPF. If there is a safety signal in the Phase 1b study, it could affect our ability to conduct a trial in this patient population.</w:t>
      </w:r>
    </w:p>
    <w:p>
      <w:pPr>
        <w:spacing w:after="0" w:line="52" w:lineRule="exact"/>
        <w:rPr>
          <w:sz w:val="20"/>
          <w:szCs w:val="20"/>
          <w:color w:val="auto"/>
        </w:rPr>
      </w:pPr>
    </w:p>
    <w:p>
      <w:pPr>
        <w:ind w:left="378" w:right="40" w:hanging="378"/>
        <w:spacing w:after="0" w:line="273" w:lineRule="auto"/>
        <w:tabs>
          <w:tab w:leader="none" w:pos="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Many currently approved μ-opioid products are subject to restrictive marketing and distribution regulations which, if applied to Haduvio, could potentially restrict its use and harm our ability to generate profits. We are conducting a human abuse liability, or HAL, to determine the abuse potential of oral nalbuphine ER relative to butorphanol. If the results of the HAL study suggest that Haduvio may carry risks of misuse, abuse or addiction or even if the trial indicates that Haduvio does not carry such risks,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spacing w:after="0" w:line="83" w:lineRule="exact"/>
        <w:rPr>
          <w:rFonts w:ascii="Arial" w:cs="Arial" w:eastAsia="Arial" w:hAnsi="Arial"/>
          <w:sz w:val="17"/>
          <w:szCs w:val="17"/>
          <w:color w:val="auto"/>
        </w:rPr>
      </w:pPr>
    </w:p>
    <w:p>
      <w:pPr>
        <w:ind w:left="378" w:right="100" w:hanging="378"/>
        <w:spacing w:after="0" w:line="308" w:lineRule="auto"/>
        <w:tabs>
          <w:tab w:leader="none" w:pos="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rFonts w:ascii="Arial" w:cs="Arial" w:eastAsia="Arial" w:hAnsi="Arial"/>
          <w:sz w:val="17"/>
          <w:szCs w:val="17"/>
          <w:color w:val="auto"/>
        </w:rPr>
      </w:pPr>
    </w:p>
    <w:p>
      <w:pPr>
        <w:ind w:left="378" w:hanging="378"/>
        <w:spacing w:after="0"/>
        <w:tabs>
          <w:tab w:leader="none" w:pos="378"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products before or more successfully than we do.</w:t>
      </w:r>
    </w:p>
    <w:p>
      <w:pPr>
        <w:spacing w:after="0" w:line="153" w:lineRule="exact"/>
        <w:rPr>
          <w:rFonts w:ascii="Arial" w:cs="Arial" w:eastAsia="Arial" w:hAnsi="Arial"/>
          <w:sz w:val="16"/>
          <w:szCs w:val="16"/>
          <w:color w:val="auto"/>
        </w:rPr>
      </w:pPr>
    </w:p>
    <w:p>
      <w:pPr>
        <w:ind w:left="378" w:right="160" w:hanging="378"/>
        <w:spacing w:after="0" w:line="259" w:lineRule="auto"/>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spacing w:after="0" w:line="92" w:lineRule="exact"/>
        <w:rPr>
          <w:rFonts w:ascii="Arial" w:cs="Arial" w:eastAsia="Arial" w:hAnsi="Arial"/>
          <w:sz w:val="18"/>
          <w:szCs w:val="18"/>
          <w:color w:val="auto"/>
        </w:rPr>
      </w:pPr>
    </w:p>
    <w:p>
      <w:pPr>
        <w:jc w:val="both"/>
        <w:ind w:left="378" w:right="120" w:hanging="378"/>
        <w:spacing w:after="0" w:line="263" w:lineRule="auto"/>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89" w:lineRule="exact"/>
        <w:rPr>
          <w:rFonts w:ascii="Arial" w:cs="Arial" w:eastAsia="Arial" w:hAnsi="Arial"/>
          <w:sz w:val="18"/>
          <w:szCs w:val="18"/>
          <w:color w:val="auto"/>
        </w:rPr>
      </w:pPr>
    </w:p>
    <w:p>
      <w:pPr>
        <w:ind w:left="378" w:right="220" w:hanging="378"/>
        <w:spacing w:after="0" w:line="259" w:lineRule="auto"/>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92" w:lineRule="exact"/>
        <w:rPr>
          <w:rFonts w:ascii="Arial" w:cs="Arial" w:eastAsia="Arial" w:hAnsi="Arial"/>
          <w:sz w:val="18"/>
          <w:szCs w:val="18"/>
          <w:color w:val="auto"/>
        </w:rPr>
      </w:pPr>
    </w:p>
    <w:p>
      <w:pPr>
        <w:ind w:left="378" w:hanging="378"/>
        <w:spacing w:after="0" w:line="263" w:lineRule="auto"/>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532765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125"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6"/>
          </w:tcPr>
          <w:p>
            <w:pPr>
              <w:spacing w:after="0" w:line="190"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6"/>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6"/>
          </w:tcPr>
          <w:p>
            <w:pPr>
              <w:spacing w:after="0" w:line="190"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260" w:type="dxa"/>
            <w:vAlign w:val="bottom"/>
            <w:tcBorders>
              <w:top w:val="single" w:sz="8" w:color="0000FF"/>
            </w:tcBorders>
            <w:gridSpan w:val="20"/>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30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Controls and Procedures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300" w:type="dxa"/>
            <w:vAlign w:val="bottom"/>
            <w:gridSpan w:val="26"/>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9C.</w:t>
            </w:r>
          </w:p>
        </w:tc>
        <w:tc>
          <w:tcPr>
            <w:tcW w:w="930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6"/>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0"/>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300" w:type="dxa"/>
            <w:vAlign w:val="bottom"/>
            <w:gridSpan w:val="26"/>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6"/>
          </w:tcPr>
          <w:p>
            <w:pPr>
              <w:spacing w:after="0" w:line="190"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64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013"/>
        </w:trPr>
        <w:tc>
          <w:tcPr>
            <w:tcW w:w="11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the investigational therapy Haduvio (oral nalbuphine ER) for the treatment of chronic cough in adults with idiopathic pulmonary fibrosis, or IPF, and other chronic cough indications, and for the treatment of prurigo nodularis.</w:t>
      </w:r>
    </w:p>
    <w:p>
      <w:pPr>
        <w:spacing w:after="0" w:line="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Haduvio is an oral extended-release formulation of nalbuphine. Nalbuphine is a mixed κ-opioid receptor agonist and µ-opioid receptor antagonist that has been approved and marketed as an injectable for pain indications for more than 20 years in the U.S. and Europe. The κ- and µ-opioid receptors are known to be critical mediators of cough and itch. Nalbuphine’s mechanism of action also mitigates the risk of abuse associated with µ-opioid agonists because it antagonizes, or blocks, the µ-opioid receptor.</w:t>
      </w:r>
    </w:p>
    <w:p>
      <w:pPr>
        <w:spacing w:after="0" w:line="79"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i w:val="1"/>
          <w:iCs w:val="1"/>
          <w:color w:val="auto"/>
        </w:rPr>
        <w:t xml:space="preserve">IPF and Chronic Cough Programs. </w:t>
      </w:r>
      <w:r>
        <w:rPr>
          <w:rFonts w:ascii="Arial" w:cs="Arial" w:eastAsia="Arial" w:hAnsi="Arial"/>
          <w:sz w:val="17"/>
          <w:szCs w:val="17"/>
          <w:color w:val="auto"/>
        </w:rPr>
        <w:t>IPF is a rare, chronic, progressive lung disease, characterized by scarring and thickening of lung tissue leading</w:t>
      </w:r>
      <w:r>
        <w:rPr>
          <w:rFonts w:ascii="Arial" w:cs="Arial" w:eastAsia="Arial" w:hAnsi="Arial"/>
          <w:sz w:val="17"/>
          <w:szCs w:val="17"/>
          <w:i w:val="1"/>
          <w:iCs w:val="1"/>
          <w:color w:val="auto"/>
        </w:rPr>
        <w:t xml:space="preserve"> </w:t>
      </w:r>
      <w:r>
        <w:rPr>
          <w:rFonts w:ascii="Arial" w:cs="Arial" w:eastAsia="Arial" w:hAnsi="Arial"/>
          <w:sz w:val="17"/>
          <w:szCs w:val="17"/>
          <w:color w:val="auto"/>
        </w:rPr>
        <w:t>to an irreversible loss of lung function and reduced life expectancy. Most patients diagnosed with IPF suffer from a dry, non-productive chronic cough that interrupts their daily living and contributes to poor quality of life. Chronic coughing can have a debilitating physical and psychosocial burden, exacerbate concomitant respiratory disease, cause loss of sleep and reduce mobility. Cough is an independent predictor of disease progression in IPF, and therefore we believe cough may contribute to the progression of the underlying disease.</w:t>
      </w:r>
    </w:p>
    <w:p>
      <w:pPr>
        <w:spacing w:after="0" w:line="6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Approximately 140,000 adults in the U.S. and greater than 1 million adults worldwide are believed to have IPF. In addition, up to 85% of IPF patients are reported to suffer from chronic cough. These patients can cough up to 1,500 times per day. There are no approved therapies for the treatment of chronic cough in patients with IPF.</w:t>
      </w:r>
    </w:p>
    <w:p>
      <w:pPr>
        <w:spacing w:after="0" w:line="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September 2022, we announced positive data from the full set of subjects in our Phase 2 clinical trial of Haduvio for the treatment of chronic cough in adults with IPF, which we refer to as the Phase 2 CANAL trial. The Phase 2 CANAL trial was a randomized, double-blind, placebo controlled, two-treatment, two-period, crossover study that was designed to evaluate the efficacy, safety, tolerability and dosing of Haduvio for chronic cough in adults with IPF that we conducted at multiple sites in the United Kingdom. In total, we enrolled 38 subjects in the study. In the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spacing w:after="0" w:line="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are in discussions with the U.S. Food and Drug Administration, or FDA, regarding the design of the next clinical trials of Haduvio for the treatment of chronic cough in adult patients with IPF. We expect the objectives for the next trials will be to determine the dose response and select a dose for the next study as well as to further characterize the safety of Haduvio in this specific patient population. Subject to agreement with the FDA, and other international regulatory authorities, we intend to initiate these trials in the second half of 2023. We will need to submit an IND for Haduvio before proceeding with our planned trials for chronic cough in adults with IPF at sites in the United States. We also plan to develop Haduvio for additional chronic cough indications, which we expect will commence initially with a Phase 2 clinical trial of Haduvio for the treatment of refractory chronic cough, which we expect to initiate in the third quarter of 2023 at sites in the U.K.</w:t>
      </w:r>
    </w:p>
    <w:p>
      <w:pPr>
        <w:spacing w:after="0" w:line="87" w:lineRule="exact"/>
        <w:rPr>
          <w:sz w:val="20"/>
          <w:szCs w:val="20"/>
          <w:color w:val="auto"/>
        </w:rPr>
      </w:pPr>
    </w:p>
    <w:p>
      <w:pPr>
        <w:ind w:right="140" w:firstLine="509"/>
        <w:spacing w:after="0" w:line="287" w:lineRule="auto"/>
        <w:rPr>
          <w:sz w:val="20"/>
          <w:szCs w:val="20"/>
          <w:color w:val="auto"/>
        </w:rPr>
      </w:pPr>
      <w:r>
        <w:rPr>
          <w:rFonts w:ascii="Arial" w:cs="Arial" w:eastAsia="Arial" w:hAnsi="Arial"/>
          <w:sz w:val="16"/>
          <w:szCs w:val="16"/>
          <w:i w:val="1"/>
          <w:iCs w:val="1"/>
          <w:color w:val="auto"/>
        </w:rPr>
        <w:t xml:space="preserve">Prurigo Nodularis. </w:t>
      </w:r>
      <w:r>
        <w:rPr>
          <w:rFonts w:ascii="Arial" w:cs="Arial" w:eastAsia="Arial" w:hAnsi="Arial"/>
          <w:sz w:val="16"/>
          <w:szCs w:val="16"/>
          <w:color w:val="auto"/>
        </w:rPr>
        <w:t>Prurigo nodularis is an intensely pruritic dermatologic condition that constitutes a distinct dermatologic diagnosis. The core</w:t>
      </w:r>
      <w:r>
        <w:rPr>
          <w:rFonts w:ascii="Arial" w:cs="Arial" w:eastAsia="Arial" w:hAnsi="Arial"/>
          <w:sz w:val="16"/>
          <w:szCs w:val="16"/>
          <w:i w:val="1"/>
          <w:iCs w:val="1"/>
          <w:color w:val="auto"/>
        </w:rPr>
        <w:t xml:space="preserve"> </w:t>
      </w:r>
      <w:r>
        <w:rPr>
          <w:rFonts w:ascii="Arial" w:cs="Arial" w:eastAsia="Arial" w:hAnsi="Arial"/>
          <w:sz w:val="16"/>
          <w:szCs w:val="16"/>
          <w:color w:val="auto"/>
        </w:rPr>
        <w:t>symptoms and criteria for diagnosis of prurigo nodularis are chronic pruritus. 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and scarring and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report published in the Journal of the American Academy of Dermatology estimated that up to 26% of the worldwide population will suffer from chronic pruritus at some point in their lives. According to the Global Pruritus Therapeutic Market Research Report issued in 2020, the market for pruritus therapeutics was $12.9 billion in 2020 and is expected to grow to $19.9 billion in 2026. Haduvio’s dual mechanism of action targets opioid receptors located in both the central and peripheral nervous systems, each of which plays a role in modulating the sensation of itch. We believe this makes Haduvio a promising potential therapy for the treatment of chronic pruritus conditions.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240" w:firstLine="509"/>
        <w:spacing w:after="0" w:line="296" w:lineRule="auto"/>
        <w:rPr>
          <w:sz w:val="20"/>
          <w:szCs w:val="20"/>
          <w:color w:val="auto"/>
        </w:rPr>
      </w:pPr>
      <w:r>
        <w:rPr>
          <w:rFonts w:ascii="Arial" w:cs="Arial" w:eastAsia="Arial" w:hAnsi="Arial"/>
          <w:sz w:val="16"/>
          <w:szCs w:val="16"/>
          <w:color w:val="auto"/>
        </w:rPr>
        <w:t>In June 2022, we reported positive results in our Phase 2b/3 clinical trial of Haduvio in patients with prurigo nodularis, which we refer to as the Phase 2b/3 PRISM trial. The Phase 2b/3 PRISM trial was a randomized, double-blind, placebo controlled, two-arm treatment study that was designed to evaluate the safety and efficacy of Haduvio in patients with prurigo nodularis in the United States and Europe. In total we enrolled 353 subjects in the study. In the Phase 2b/3 PRISM trial, Haduvio demonstrated statistically significant results on the primary and all three key secondary endpoints. The safety results of the trial were generally consistent with the known safety profile of Haduvio from previous trials in other patient populations.</w:t>
      </w:r>
    </w:p>
    <w:p>
      <w:pPr>
        <w:spacing w:after="0" w:line="5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completed the open-label extension portion of our Phase 2b/3 PRISM trial in the first quarter of 2023 and are analyzing the results. We expect that we will need to conduct an additional Phase 3 clinical trial to support the submission of a new drug application, or NDA, to the FDA, a marketing authorization application, or MAA, to the European Medicines Agency, or EMA, and an MAA to the Medicines and Healthcare Products Regulatory Agency in the United Kingdom, or MHRA, for Haduvio for the treatment of prurigo nodularis, and plan to request an end of Phase 2 meeting with the FDA in 2023. Following discussions with the FDA and other regulatory authorities, we plan to determine next steps with respect to our prurigo nodularis program, including with respect to the conduct of any future Phase 3 clinical trial. We are exploring entering into a strategic collaboration for the continued development of this program.</w:t>
      </w:r>
    </w:p>
    <w:p>
      <w:pPr>
        <w:spacing w:after="0" w:line="87"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Prior to commencing our Phase 2b/3 PRISM trial, we had completed clinical trials in two distinct and serious pruritic conditions, uremic pruritus and prurigo nodularis, with over 400 subjects treated with different doses of Haduvio in these trials. Uremic pruritus is a pruritic condition occurring in patients with chronic kidney disease typically receiving dialysis.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We are focused on the development and commercialization of Haduvio for the treatment of chronic cough in adults with IPF and other chronic cough indications, and for the treatment of prurigo nodularis. The key elements of our strategy are:</w:t>
      </w:r>
    </w:p>
    <w:p>
      <w:pPr>
        <w:spacing w:after="0" w:line="62" w:lineRule="exact"/>
        <w:rPr>
          <w:sz w:val="20"/>
          <w:szCs w:val="20"/>
          <w:color w:val="auto"/>
        </w:rPr>
      </w:pPr>
    </w:p>
    <w:p>
      <w:pPr>
        <w:ind w:left="900" w:right="80" w:hanging="383"/>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Complete the clinical development of Haduvio for the treatment of chronic cough associated with IPF. </w:t>
      </w:r>
      <w:r>
        <w:rPr>
          <w:rFonts w:ascii="Arial" w:cs="Arial" w:eastAsia="Arial" w:hAnsi="Arial"/>
          <w:sz w:val="18"/>
          <w:szCs w:val="18"/>
          <w:color w:val="auto"/>
        </w:rPr>
        <w:t>In September 2022, we announced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positive data from our Phase 2 CANAL trial. We are in discussions with the FDA and other international regulatory authorities regarding the design of the next clinical trials of Haduvio for the treatment of chronic cough in adult patients with IPF. We expect the objectives for the next trials will be to determine the dose response and select a dose for the next study as well as to further characterize the safety in this specific patient population. Subject to agreement with the FDA, and other international regulatory authorities, we intend to initiate these trials in the second half of 2023.</w:t>
      </w:r>
    </w:p>
    <w:p>
      <w:pPr>
        <w:spacing w:after="0" w:line="84" w:lineRule="exact"/>
        <w:rPr>
          <w:rFonts w:ascii="Arial" w:cs="Arial" w:eastAsia="Arial" w:hAnsi="Arial"/>
          <w:sz w:val="18"/>
          <w:szCs w:val="18"/>
          <w:color w:val="auto"/>
        </w:rPr>
      </w:pPr>
    </w:p>
    <w:p>
      <w:pPr>
        <w:ind w:left="900" w:right="200" w:hanging="383"/>
        <w:spacing w:after="0" w:line="26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Haduvio for the treatment of additional chronic cough indications. </w:t>
      </w:r>
      <w:r>
        <w:rPr>
          <w:rFonts w:ascii="Arial" w:cs="Arial" w:eastAsia="Arial" w:hAnsi="Arial"/>
          <w:sz w:val="18"/>
          <w:szCs w:val="18"/>
          <w:color w:val="auto"/>
        </w:rPr>
        <w:t>We also plan to develop Haduvio for additional chronic cough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indications, which we expect will commence initially with a Phase 2 clinical trial of Haduvio for the treatment of refractory chronic cough, which we expect to initiate in the third quarter of 2023 at sites in the U.K.</w:t>
      </w:r>
    </w:p>
    <w:p>
      <w:pPr>
        <w:spacing w:after="0" w:line="75" w:lineRule="exact"/>
        <w:rPr>
          <w:rFonts w:ascii="Arial" w:cs="Arial" w:eastAsia="Arial" w:hAnsi="Arial"/>
          <w:sz w:val="18"/>
          <w:szCs w:val="18"/>
          <w:color w:val="auto"/>
        </w:rPr>
      </w:pPr>
    </w:p>
    <w:p>
      <w:pPr>
        <w:ind w:left="900" w:hanging="383"/>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Determine next steps with respect to our prurigo nodularis program. </w:t>
      </w:r>
      <w:r>
        <w:rPr>
          <w:rFonts w:ascii="Arial" w:cs="Arial" w:eastAsia="Arial" w:hAnsi="Arial"/>
          <w:sz w:val="18"/>
          <w:szCs w:val="18"/>
          <w:color w:val="auto"/>
        </w:rPr>
        <w:t>In June 2022, we reported positive results in our Phase 2b/3 PRISM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We completed the open-label extension portion of the Phase 2b/3 PRISM trial in the first quarter of 2023 and are analyzing the results. We expect that we will need to conduct an additional Phase 3 clinical trial to support the submission of a NDA to the FDA, a MAA to the EMA and a MAA to the MHRA for Haduvio for the treatment of prurigo nodularis, and plan to request an end of Phase 2 meeting with the FDA in 2023. Following discussions with the FDA and other regulatory authorities, we plan to determine next steps with respect to our prurigo nodularis program, including with respect to the conduct of any future Phase 3 clinical trial. We are exploring entering into a strategic collaboration for the continued development of this program.</w:t>
      </w:r>
    </w:p>
    <w:p>
      <w:pPr>
        <w:spacing w:after="0" w:line="86" w:lineRule="exact"/>
        <w:rPr>
          <w:rFonts w:ascii="Arial" w:cs="Arial" w:eastAsia="Arial" w:hAnsi="Arial"/>
          <w:sz w:val="18"/>
          <w:szCs w:val="18"/>
          <w:color w:val="auto"/>
        </w:rPr>
      </w:pPr>
    </w:p>
    <w:p>
      <w:pPr>
        <w:ind w:left="900" w:right="60" w:hanging="383"/>
        <w:spacing w:after="0" w:line="27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Maximize the commercial potential of Haduvio. </w:t>
      </w:r>
      <w:r>
        <w:rPr>
          <w:rFonts w:ascii="Arial" w:cs="Arial" w:eastAsia="Arial" w:hAnsi="Arial"/>
          <w:sz w:val="17"/>
          <w:szCs w:val="17"/>
          <w:color w:val="auto"/>
        </w:rPr>
        <w:t>We have retained worldwide commercial rights for Haduvio. If Haduvio receives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approval from the FDA for chronic cough in adults with IPF, we plan to market and commercialize Haduvio in the U.S. with our own focused, specialty sales organization targeting pulmonologists who specialize in IPF. We would not plan to market and commercialize Haduvio for other larger chronic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Nalbuphine Mechanistic Rationale</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Nalbuphine is a mixed κ-opioid receptor agonist and µ-opioid receptor antagonist. Drugs targeting opioid receptors have been studied for decades and the biology and pharmacology of these receptors are well-understood. There are three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ind w:right="380"/>
        <w:spacing w:after="0" w:line="277" w:lineRule="auto"/>
        <w:rPr>
          <w:sz w:val="20"/>
          <w:szCs w:val="20"/>
          <w:color w:val="auto"/>
        </w:rPr>
      </w:pPr>
      <w:r>
        <w:rPr>
          <w:rFonts w:ascii="Arial" w:cs="Arial" w:eastAsia="Arial" w:hAnsi="Arial"/>
          <w:sz w:val="18"/>
          <w:szCs w:val="18"/>
          <w:color w:val="auto"/>
        </w:rPr>
        <w:t>types of opioid receptors, mu (“µ”), kappa (“κ”) and delta (“δ”), which are expressed in varying concentrations in many different tissues, including the central and peripheral nervous systems, airway and lung tissue, circulating immune and inflammatory cells and the skin.</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Modulation of opioid receptors, either naturally or with drugs, results in multiple signaling actions at the cellular level. The receptor dynamics are complex and receptor signaling differs depending on whether the receptor is being exposed to an agonist or antagonist opioid drug. Agonists activate the receptors to which they bind, and antagonists bind to receptors, and can block the activity of agonists. In addition, opioid drugs of the same class may have different effects depending on their pharmacological properties.</w:t>
      </w:r>
    </w:p>
    <w:p>
      <w:pPr>
        <w:spacing w:after="0" w:line="7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κ-receptor activation on specific cells can antagonize µ-opioid receptor activation on other cells. As a result of these apparent network interaction dynamics between the κ- and µ-opioid receptors, we believe that simultaneously modulating both κ- and µ-opioid receptors with a single drug offers significant therapeutic potential in diseases that are mediated through these receptors.</w:t>
      </w:r>
    </w:p>
    <w:p>
      <w:pPr>
        <w:spacing w:after="0" w:line="8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Published research suggests that in certain diseases the concentration and expression of opioid receptors is different for people with the disease as compared to healthy individuals. For example, published research has shown that human skin tissue samples from patients with prurigo nodularis show a down regulation of µ-opioid receptor expression as compared to normal skin. We believe these differences in opioid receptor concentration and expression between healthy individuals and people with disease suggest that opioid drugs targeting these receptors have the potential to offer therapeutic benefit to people suffering from these diseases.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firstLine="509"/>
        <w:spacing w:after="0" w:line="342" w:lineRule="auto"/>
        <w:rPr>
          <w:sz w:val="20"/>
          <w:szCs w:val="20"/>
          <w:color w:val="auto"/>
        </w:rPr>
      </w:pPr>
      <w:r>
        <w:rPr>
          <w:rFonts w:ascii="Arial" w:cs="Arial" w:eastAsia="Arial" w:hAnsi="Arial"/>
          <w:sz w:val="16"/>
          <w:szCs w:val="16"/>
          <w:color w:val="auto"/>
        </w:rPr>
        <w:t>As shown in the diagram below, κ- and µ-opioid receptors are naturally concentrated in several areas of the body, including in the brain, brain stem, spinal cord, peripheral nerves, lungs and skin, which are the areas of the body involved in the physiology of chronic cough and chronic pruritus.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19050</wp:posOffset>
            </wp:positionV>
            <wp:extent cx="5666105" cy="4345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6105"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With respect to cough, κ- and µ-opioid receptors in the brain stem, lungs and the peripheral lung nerves are believed to be involved in mediating respiration and the cough reflex. While there are no approved opioid therapeutics for suppression of cough in humans, µ-agonist opioids have been used clinically to suppress cough. In addition, the mixed κ-agonist and µ-partial agonist butorphanol is approved and marketed for animals in a veterinary injection and tablet formulation for the relief of chronic non-productive cough and has been found to be 15 to 20 times more active in suppressing cough than either codeine or dextromethorphan. Further, in clinical trials, nalbuphine has demonstrated suppression of cough in fentanyl-induced cough during anesthetic induction in patients.</w:t>
      </w:r>
    </w:p>
    <w:p>
      <w:pPr>
        <w:spacing w:after="0" w:line="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With respect to pruritus, the sensation of itch and the urge to scratch are known to be mediated by κ- and µ-opioid receptor expression in the reward centers of the brain as well as the spinal cord, skin and peripheral nervous system. Published clinical trials of the κ- agonist nalfurafine have demonstrated effectiveness in reducing uremic pruritus and pruritus secondary to chronic hepatic disease. Nalfurafine is approved and marketed in Japan for both conditions. Korsuva, a selective κ- agonist, has also received approval from the FDA in reducing uremic pruritus in hemodialysis patients. In addition, a number of published clinical trials have reported on the effectiveness of the µ-antagonist naltrexone in reducing pruritus related to hepatic disease and pruritus related to prurigo nodularis.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Haduvio</w:t>
      </w:r>
    </w:p>
    <w:p>
      <w:pPr>
        <w:spacing w:after="0" w:line="121" w:lineRule="exact"/>
        <w:rPr>
          <w:sz w:val="20"/>
          <w:szCs w:val="20"/>
          <w:color w:val="auto"/>
        </w:rPr>
      </w:pPr>
    </w:p>
    <w:p>
      <w:pPr>
        <w:jc w:val="both"/>
        <w:ind w:right="220" w:firstLine="509"/>
        <w:spacing w:after="0" w:line="259" w:lineRule="auto"/>
        <w:rPr>
          <w:sz w:val="20"/>
          <w:szCs w:val="20"/>
          <w:color w:val="auto"/>
        </w:rPr>
      </w:pPr>
      <w:r>
        <w:rPr>
          <w:rFonts w:ascii="Arial" w:cs="Arial" w:eastAsia="Arial" w:hAnsi="Arial"/>
          <w:sz w:val="18"/>
          <w:szCs w:val="18"/>
          <w:color w:val="auto"/>
        </w:rPr>
        <w:t>Haduvio is an oral extended-release formulation of nalbuphine, a small molecule and a member of the opioid agonist-antagonist class of drugs. Nalbuphine acts as an agonist at the opioid κ-receptor while competitively antagonizing the µ-opioid receptor. Nalbuphine is a marketed drug currently available only as nalbuphine hydrochloride for injection, a generic equivalent to Nubain, which has been approved in the U.S. and Europe for use in the relief of moderate to severe pain for</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1" w:name="page12"/>
    <w:bookmarkEnd w:id="11"/>
    <w:p>
      <w:pPr>
        <w:ind w:right="440"/>
        <w:spacing w:after="0" w:line="277" w:lineRule="auto"/>
        <w:rPr>
          <w:sz w:val="20"/>
          <w:szCs w:val="20"/>
          <w:color w:val="auto"/>
        </w:rPr>
      </w:pPr>
      <w:r>
        <w:rPr>
          <w:rFonts w:ascii="Arial" w:cs="Arial" w:eastAsia="Arial" w:hAnsi="Arial"/>
          <w:sz w:val="18"/>
          <w:szCs w:val="18"/>
          <w:color w:val="auto"/>
        </w:rPr>
        <w:t>more than 20 years. Nalbuphine is not currently classified as a controlled substance in the U.S. or Europe and is not commercially available in an oral dosage form.</w:t>
      </w:r>
    </w:p>
    <w:p>
      <w:pPr>
        <w:spacing w:after="0" w:line="62"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have leveraged the known mechanism and proven biological activity of nalbuphine in pain to expedite the clinical development of Haduvio. We have also drawn on the safety and tolerability data from eight prior clinical trials of Haduvio conducted by Penwest Pharmaceuticals Co., or Penwest, for which we have licensed rights from Endo Pharmaceuticals Inc. (which acquired Penwest) to Haduvio, including two Phase 2 clinical trials of Haduvio for the treatment of pain, to support our clinical development efforts.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Haduvio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Cough in Idiopathic Pulmonary Fibrosis Program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IPF is a rare, chronic, progressive lung disease, characterized by scarring and thickening of lung tissue leading to an irreversible loss of lung function and reduced life expectancy. Most patients diagnosed with IPF suffer from a dry, non-productive chronic cough that interrupts their daily living and contributes to poor quality of life. Chronic coughing can have a debilitating physical and psychosocial burden, exacerbate concomitant respiratory disease, cause loss of sleep and reduce mobility. Cough is an independent predictor of disease progression in IPF, and therefore we believe cough may contribute to the progression of the underlying disease.</w:t>
      </w:r>
    </w:p>
    <w:p>
      <w:pPr>
        <w:spacing w:after="0" w:line="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Approximately 140,000 adults in the U.S. and greater than 1 million adults worldwide are believed to have IPF. In addition, up to 85% of IPF patients are reported to suffer from chronic cough. These patients can cough up to 1,500 times per day and the urge to cough cannot be relieved by coughing. This severe coughing can lead to other morbidities. There are no approved therapies for the treatment of chronic cough in patients suffering with IPF.</w:t>
      </w:r>
    </w:p>
    <w:p>
      <w:pPr>
        <w:spacing w:after="0" w:line="7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opioid class of drugs has demonstrated the ability to suppress cough and is used in the clinical management of cough. There is also preclinical and clinical evidence that mixed agonist-antagonist drugs can also be effective in treating cough.</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Clinical Development</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September 2022, we announced positive data from our Phase 2 CANAL trial. The Phase 2 CANAL trial was a randomized, double-blind, placebo controlled, two-treatment, two-period, crossover study that was designed to evaluate the efficacy, safety, tolerability and dosing of Haduvio for chronic cough in adults with IPF that we conducted at multiple sites in the United Kingdom. Patients were randomized into one of two treatment arms. The patients in the first treatment arm received Haduvio for three weeks, which period was followed by a two-week washout period and then a three-week treatment period during which they received placebo. The patients in the second treatment arm received placebo during the first three-week treatment period, followed by a two-week washout period, then received Haduvio during the second three-week treatment period. During the active treatment periods, Haduvio was studied over a dosing range starting at 27 mg once daily and titrated in steps to 162 mg twice daily. The primary efficacy endpoint of the trial was mean percent change in daytime cough frequency as measured by a cough monitor as compared in the Haduvio treatment periods and the placebo treatment periods. Secondary endpoints in the trial included assessments of fatigue, dyspnea or shortness of breath and cough frequency and severity.</w:t>
      </w:r>
    </w:p>
    <w:p>
      <w:pPr>
        <w:spacing w:after="0" w:line="5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total, we enrolled 38 subjects in the trial. In the full subject data set, Haduvio demonstrated statistically significant results for the primary efficacy endpoint of daytime cough frequency reduction (p&lt;0.0001) and for key secondary endpoints on patient and clinician reported outcomes. The trial results comparing subjects randomized to Haduvio or placebo showed that:</w:t>
      </w:r>
    </w:p>
    <w:p>
      <w:pPr>
        <w:spacing w:after="0" w:line="76" w:lineRule="exact"/>
        <w:rPr>
          <w:sz w:val="20"/>
          <w:szCs w:val="20"/>
          <w:color w:val="auto"/>
        </w:rPr>
      </w:pPr>
    </w:p>
    <w:p>
      <w:pPr>
        <w:ind w:left="1020" w:right="160" w:hanging="503"/>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the primary efficacy endpoint, Haduvio subjects had a 75.1% reduction in daytime cough frequency at end of treatment period vs. study baseline compared to placebo subjects who had a 22.6% reduction, a 52.5% placebo-adjusted change (p&lt;0.0001);</w:t>
      </w:r>
    </w:p>
    <w:p>
      <w:pPr>
        <w:spacing w:after="0" w:line="38" w:lineRule="exact"/>
        <w:rPr>
          <w:rFonts w:ascii="Arial" w:cs="Arial" w:eastAsia="Arial" w:hAnsi="Arial"/>
          <w:sz w:val="17"/>
          <w:szCs w:val="17"/>
          <w:color w:val="auto"/>
        </w:rPr>
      </w:pPr>
    </w:p>
    <w:p>
      <w:pPr>
        <w:ind w:left="1020" w:right="48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Haduvio subjects had a 76.1% reduction in 24-hour cough frequency at end of treatment period vs. study baseline compared to placebo subjects who had a 25.3% reduction, a 50.8% placebo-adjusted change (p&lt;0.0001);</w:t>
      </w:r>
    </w:p>
    <w:p>
      <w:pPr>
        <w:spacing w:after="0" w:line="62"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post-hoc analysis, 97% of Haduvio subjects had at least a 30% reduction in 24-hour cough frequency compared to 35% of placebo subjects, signifying a clinically meaningful reduction in cough (p&lt;0.0001);</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Subjects on Haduvio experienced a statistically significant improvement as measured by their patient reported outcomes compared to placebo over the 3-week treatment period in the EXACT2: Cough Frequency Score (p=0.001) and Cough Severity Numerical Rating Scale (p=0.0001);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ind w:left="1020" w:right="18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the Clinical Global Impression of Change rating measuring clinicians’ view of change since the start of the trial, 62% of Haduvio subjects improved vs. baseline compared to 19% of placebo subjects (p=0.01).</w:t>
      </w:r>
    </w:p>
    <w:p>
      <w:pPr>
        <w:spacing w:after="0" w:line="6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safety results of the trial were generally consistent with the known safety profile of Haduvio from previous trials in other patient populations. There were two serious adverse events reported during the trial, neither of which was considered by the investigator to be treatment related. Adverse events most commonly observed during the trial were nausea, fatigue, constipation, dizziness, somnolence, vomiting, headache, anxiety and depression.</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Next Steps</w:t>
      </w:r>
    </w:p>
    <w:p>
      <w:pPr>
        <w:spacing w:after="0" w:line="117"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We are in discussions with the FDA and other international regulatory authorities regarding the design of the next clinical trials of Haduvio for the treatment of chronic cough in adult patients with IPF. We expect the objectives for the next trials will be to determine the dose response and select a dose for the next study as well as to further characterize the safety of Haduvio in this specific patient population. Subject to agreement with the FDA, and other international regulatory authorities, we intend to initiate these trials in the second half of 2023. We will need to submit an IND for Haduvio before proceeding with our planned trials for chronic cough in adults with IPF at sites in the United States.</w:t>
      </w:r>
    </w:p>
    <w:p>
      <w:pPr>
        <w:spacing w:after="0" w:line="68"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We also plan to develop Haduvio for additional chronic cough indications, which we expect will commence initially with a Phase 2 clinical trial of Haduvio for the treatment of refractory chronic cough, which we expect to initiate in the third quarter of 2023 at sites in the U.K.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Prurigo Nodularis Program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Prurigo nodularis is an intensely pruritic dermatologic condition that constitutes a distinct dermatologic diagnosis. The core symptoms and criteria for diagnosis of prurigo nodularis are chronic pruritus, a history and/or signs of repeated scratching, and the presence of multiple pruriginous lesions. The presence and persistence of these pruriginous lesions are hallmarks of prurigo nodularis and aid in its diagnosis. These lesions are generally symmetrically distributed, intensely itchy papules, nodules or plaques, which may be associated with excoriations and ulcerations. As illustrated below, prurigo nodularis can arise from itch caused by a number of pre-existing conditions, with the initial scratching beginning a vicious itch-scratch cycle that results in the nodules that are characteristic of the distinct and separate disease of prurigo nodularis.</w:t>
      </w:r>
    </w:p>
    <w:p>
      <w:pPr>
        <w:spacing w:after="0" w:line="83"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The pruritus associated with prurigo nodularis is generally considered to be one of the most severe and treatment-resistant forms of pruritus. In a retrospective study of 108 prurigo nodularis patients published in 2013 in the Journal of the European Academy of Dermatology and Venereology, patients rating their most severe itch over the prior 24 hours on the WI-NRS reported a median WI-NRS score of 8 and a mean and median duration of prurigo nodularis of 77.5 and 36 months, respectively. As illustrated in the diagram below, the WI-NRS is a patient-reported assessment on an 11-point scale from 0 to 10 of the severity of the worst itch experienced in the last 24 hours, and scores of 7 or more are considered to indicate severe 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137160</wp:posOffset>
            </wp:positionV>
            <wp:extent cx="4251960" cy="129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19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Patients with prurigo nodularis also typically experience a significant negative impact on their overall quality of life, including severe negative impacts on their confidence at work and in social activities. In a natural history study in 593 patients with prurigo nodularis at the Itch Center, University of Münster in Germany, it was shown that all of the patients in the study had a severe impairment of quality of life, as measured by the Dermatology Life Quality Index, or DLQI, a specific validated quality-of-life measurement that has been used in many different skin condition trials. With increasing intensity of pruritus, the quality of life worsened and DLQI values increased.</w:t>
      </w:r>
    </w:p>
    <w:p>
      <w:pPr>
        <w:spacing w:after="0" w:line="8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believe there are approximately 300,000 prurigo nodularis patients in the U.S. and approximately 430,000 additional prurigo nodularis patients outside the U.S. Treatment of prurigo nodularis typically involves a multifaceted approach to treat the lesions and reduce pruritus. Therapies may include corticosteroids and other immunosuppressive or anti-inflammatory treatments, phototherapy and drugs such as gabapentin and Lyrica (pregabalin), prescription medicines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approved for the treatment of seizures and neuropathic pain, and Dupixent (dupilumab), an injectable prescription medicine, which was approved by the FDA for the treatment of prurigo nodularis in September 2022.</w:t>
      </w: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33" w:right="61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i w:val="1"/>
          <w:iCs w:val="1"/>
          <w:u w:val="single" w:color="auto"/>
          <w:color w:val="auto"/>
        </w:rPr>
        <w:t>Clinical Development</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have conducted a Phase 2 clinical trial and an open-label extension study of Haduvio in pruritus in patients with prurigo nodularis and our Phase 2b/3 PRISM trial for Haduvio for the treatment of prurigo nodularis, including the open-label extension portion of the trial.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Phase 2b/3 PRISM Clinical Trial</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June 2022, we reported positive results in our Phase 2b/3 PRISM trial evaluating the safety and efficacy of Haduvio as compared to placebo in patients with pruritus associated with prurigo nodularis. The trial was a multicenter, randomized, double-blind trial conducted at approximately 70 sites in the U.S. and Europe. The trial enrolled a total of 353 adult patients who had prurigo nodularis. The patients were randomized across two treatment arms: either 162 mg of Haduvio or placebo, each administered twice daily. There were two dosing periods in the trial, both of which were blinded: an initial two-week titration period during which patients received gradually increasing doses of Haduvio or placebo, reaching the final assigned dose on day 15; followed by a 12-week fixed-dosing period. Following the initial 14-week treatment period, subjects continued into another two-week blinded titration period during which patients from the placebo arm crossed over to active drug with a standard escalating titration schedule, while patients from the Haduvio arm remained at a stable dose of 162 mg twice daily. This blinded two-week period was followed by an open label extension providing for 36 weeks of stable dosing at 162 mg twice daily of Haduvio for all participants. The open label extension will conclude with a final two-week off-treatment washout and safety observation period for all patients.</w:t>
      </w:r>
    </w:p>
    <w:p>
      <w:pPr>
        <w:spacing w:after="0" w:line="7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primary endpoint of the trial was the proportion of patients reporting at least a 4-point improvement from baseline to with respect to their worst itch at week 14 as measured by WI-NRS scores. Key secondary endpoints include the mean changes from baseline to week 14 in WI-NRS scores and ItchyQoL scores and the differences in percentage of subjects have a 1-category improvement in the percentage of pruriginous lesions with excoriations or crusts on the PAS at week 14. WI-NRS scores are patient-reported assessments on an 11-point scale from 0 to 10 of the severity of the worst itch experienced in the last 24 hours. ItchyQoL scores are used to measure how pruritus impacts a patient’s quality of life.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Efficacy Results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 the Phase 2b/3 PRISM trial, Haduvio demonstrated statistically significant results on the primary and all three key secondary endpoints. The trial results comparing subjects randomized to Haduvio (n=168) or placebo (n=176) showed that:</w:t>
      </w:r>
    </w:p>
    <w:p>
      <w:pPr>
        <w:spacing w:after="0" w:line="278" w:lineRule="exact"/>
        <w:rPr>
          <w:sz w:val="20"/>
          <w:szCs w:val="20"/>
          <w:color w:val="auto"/>
        </w:rPr>
      </w:pPr>
    </w:p>
    <w:p>
      <w:pPr>
        <w:ind w:left="1020" w:right="1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 of Haduvio subjects evaluated at week 14 met the primary endpoint of a 4-point reduction in WI-NRS from baseline compared to 14% of placebo subjects (p=0.0157);</w:t>
      </w:r>
    </w:p>
    <w:p>
      <w:pPr>
        <w:spacing w:after="0" w:line="62" w:lineRule="exact"/>
        <w:rPr>
          <w:rFonts w:ascii="Arial" w:cs="Arial" w:eastAsia="Arial" w:hAnsi="Arial"/>
          <w:sz w:val="18"/>
          <w:szCs w:val="18"/>
          <w:color w:val="auto"/>
        </w:rPr>
      </w:pPr>
    </w:p>
    <w:p>
      <w:pPr>
        <w:jc w:val="both"/>
        <w:ind w:left="1020" w:right="30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Haduvio subjects experienced significantly greater improvements in ItchyQoL vs. placebo (p=0.0002) at week 14, which was statistically significant across each of the three domains (symptoms, functional limitations, and emotions). ItchyQoL is used to measure how pruritus impacts a subject’s quality of life;</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55% of Haduvio subjects had at least a 1-category improvement in the 5-point scale in their Prurigo Activity Scale (PAS) (pruriginous lesions with excoriations), vs. 38% on placebo (p=0.006) as evaluated at week 14;</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Haduvio subjects experienced significantly greater improvements in PROMIS sleep disturbance short form 8a vs. placebo (p=0.0002) at week 14, which was statistically significant as early as week 6.</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Safety Results</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the Phase 2b/3 PRISM trial, the safety results were generally consistent with the known safety profile of Haduvio from previous trials. During the double-blind titration period (weeks 1-2), treatment-emergent adverse events, or TEAE, were more common in the Haduvio-treated subjects (66.1%) vs. placebo-treated subjects (31.3%). During the 12-week fixed-dose period, the occurrence of TEAEs were generally similar between Haduvio and placebo groups (48% Haduvio, 45% placebo). Discontinuations during the 14-weeks of the trial were 36.9% in Haduvio-treated subjects vs. 19.3% in placebo-treated subjects. During the 14-week double-blind portion of the Phase 2b/3 PRISM trial, eight subjects on Haduvio and six subjects on placebo experienced at least one treatment emergent Serious Adverse Event, or SAE. None of the SAEs were considered by the investigator to be treatment-related. Adverse events most commonly observed with Haduvio were nausea, dizziness, headache, and constipation.</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Open Label Extension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completed the open-label extension portion of the Phase 2b/3 PRISM trial in the first quarter of 2023 and are analyzing the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Next Steps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expect that we will need to conduct an additional Phase 3 clinical trial to support the submission of a NDA to the FDA, a MAA to the EMA, and an MAA to the MHRA for Haduvio for the treatment of prurigo nodularis, and plan to request an end of Phase 2 meeting with the FDA in 2023. Following discussions with the FDA and other regulatory authorities, we plan to determine next steps with respect to our prurigo nodularis program, including with respect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conduct of any future Phase 3 clinical trial. We are exploring entering into a strategic collaboration for the continued development of this program.</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Phase 2 Clinical Trial</w:t>
      </w:r>
    </w:p>
    <w:p>
      <w:pPr>
        <w:spacing w:after="0" w:line="11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We completed a Phase 2 clinical trial in August 2016 evaluating the safety and efficacy of Haduvio as compared to placebo in patients with pruritus associated with prurigo nodularis. The trial was a multicenter, randomized, double-blind trial conducted at eight sites in the U.S. and Europe. The trial enrolled a total of 63 adult patients who had prurigo nodularis for at least six weeks and seven-day mean WI-NRS scores of at least 5, indicating moderate to severe pruritus. The patients were randomized across three treatment arms: either 162 mg or 81 mg of Haduvio or placebo, each administered twice daily. The baseline seven-day mean WI-NRS scores for the three treatment arms were comparable: 8.05 for the 162 mg arm, 8.46 for the 81 mg arm and 7.96 for the placebo arm.</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primary endpoint of the trial was the proportion of patients reporting at least a 30% reduction from baseline to week 10 in seven-day mean WI-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NRS scores. We refer to these patients as 30% responders. Key secondary endpoints included:</w:t>
      </w:r>
    </w:p>
    <w:p>
      <w:pPr>
        <w:spacing w:after="0" w:line="103"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mean change in seven-day mean WI-NRS scores from baseline to week 10;</w:t>
      </w:r>
    </w:p>
    <w:p>
      <w:pPr>
        <w:spacing w:after="0" w:line="117" w:lineRule="exact"/>
        <w:rPr>
          <w:rFonts w:ascii="Arial" w:cs="Arial" w:eastAsia="Arial" w:hAnsi="Arial"/>
          <w:sz w:val="18"/>
          <w:szCs w:val="18"/>
          <w:color w:val="auto"/>
        </w:rPr>
      </w:pPr>
    </w:p>
    <w:p>
      <w:pPr>
        <w:ind w:left="1020" w:right="240" w:hanging="503"/>
        <w:spacing w:after="0" w:line="31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proportion of patients reporting at least a 50% reduction in seven-day mean WI-NRS score from baseline to week 10, whom we refer to as 50% responders, which reduction was comparable to a 4-point reduction in WI-NRS score, the primary efficacy endpoint for our Phase 2b/3 PRISM trial, for patients in the 162 mg arm due to such patients having a mean baseline WI-NRS score of 8.05; and</w:t>
      </w:r>
    </w:p>
    <w:p>
      <w:pPr>
        <w:spacing w:after="0" w:line="40" w:lineRule="exact"/>
        <w:rPr>
          <w:rFonts w:ascii="Arial" w:cs="Arial" w:eastAsia="Arial" w:hAnsi="Arial"/>
          <w:sz w:val="16"/>
          <w:szCs w:val="16"/>
          <w:color w:val="auto"/>
        </w:rPr>
      </w:pPr>
    </w:p>
    <w:p>
      <w:pPr>
        <w:ind w:left="1020" w:right="2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mean change from baseline to week 10 in total ItchyQoL score, a 22-question assessment using a severity scale of 1 to 5 that measures how pruritus affects patients’ quality of life based on symptoms related to the pruritic condition, their functional limitations, their emotions and observations about their skin disease.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Efficacy Results</w:t>
      </w:r>
    </w:p>
    <w:p>
      <w:pPr>
        <w:spacing w:after="0" w:line="117" w:lineRule="exact"/>
        <w:rPr>
          <w:sz w:val="20"/>
          <w:szCs w:val="20"/>
          <w:color w:val="auto"/>
        </w:rPr>
      </w:pPr>
    </w:p>
    <w:p>
      <w:pPr>
        <w:ind w:right="100" w:firstLine="509"/>
        <w:spacing w:after="0" w:line="267" w:lineRule="auto"/>
        <w:rPr>
          <w:sz w:val="20"/>
          <w:szCs w:val="20"/>
          <w:color w:val="auto"/>
        </w:rPr>
      </w:pPr>
      <w:r>
        <w:rPr>
          <w:rFonts w:ascii="Arial" w:cs="Arial" w:eastAsia="Arial" w:hAnsi="Arial"/>
          <w:sz w:val="17"/>
          <w:szCs w:val="17"/>
          <w:color w:val="auto"/>
        </w:rPr>
        <w:t xml:space="preserve">The following table summarizes the outcomes of the trial at week 10 for the primary endpoint and key secondary endpoints. The table below also includes results from a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analysis of the 50 patients who completed the 10-week course of treatment, who we refer to as completers. We believe this </w:t>
      </w:r>
      <w:r>
        <w:rPr>
          <w:rFonts w:ascii="Arial" w:cs="Arial" w:eastAsia="Arial" w:hAnsi="Arial"/>
          <w:sz w:val="17"/>
          <w:szCs w:val="17"/>
          <w:i w:val="1"/>
          <w:iCs w:val="1"/>
          <w:color w:val="auto"/>
        </w:rPr>
        <w:t xml:space="preserve">post hoc </w:t>
      </w:r>
      <w:r>
        <w:rPr>
          <w:rFonts w:ascii="Arial" w:cs="Arial" w:eastAsia="Arial" w:hAnsi="Arial"/>
          <w:sz w:val="17"/>
          <w:szCs w:val="17"/>
          <w:color w:val="auto"/>
        </w:rPr>
        <w:t>analysis provides informative data as it eliminates the effects of patient discontinuations. With the small number of patients enrolled in the trial,</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patients discontinuing treatment prior to the end of the trial had a substantial impact on the results, even though the number of discontinuations was small in absolute terms. Approximately 75% of the discontinuations in the Haduvio arms occurred in the titration period among patients who had not reached the target dose of Haduvio. During the trial, the discontinuation rate declined as enrollment progressed, which we believe was due to trial sites and investigators gaining experience with Haduvio and the trial.</w:t>
      </w:r>
    </w:p>
    <w:tbl>
      <w:tblPr>
        <w:tblLayout w:type="fixed"/>
        <w:tblInd w:w="0" w:type="dxa"/>
        <w:tblCellMar>
          <w:top w:w="0" w:type="dxa"/>
          <w:left w:w="0" w:type="dxa"/>
          <w:bottom w:w="0" w:type="dxa"/>
          <w:right w:w="0" w:type="dxa"/>
        </w:tblCellMar>
      </w:tblPr>
      <w:tr>
        <w:trPr>
          <w:trHeight w:val="153"/>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2"/>
          </w:tcPr>
          <w:p>
            <w:pPr>
              <w:ind w:left="720"/>
              <w:spacing w:after="0" w:line="153" w:lineRule="exact"/>
              <w:rPr>
                <w:sz w:val="20"/>
                <w:szCs w:val="20"/>
                <w:color w:val="auto"/>
              </w:rPr>
            </w:pPr>
            <w:r>
              <w:rPr>
                <w:rFonts w:ascii="Arial" w:cs="Arial" w:eastAsia="Arial" w:hAnsi="Arial"/>
                <w:sz w:val="14"/>
                <w:szCs w:val="14"/>
                <w:b w:val="1"/>
                <w:bCs w:val="1"/>
                <w:color w:val="auto"/>
              </w:rPr>
              <w:t>Haduvio 162 mg</w:t>
            </w:r>
          </w:p>
        </w:tc>
        <w:tc>
          <w:tcPr>
            <w:tcW w:w="100" w:type="dxa"/>
            <w:vAlign w:val="bottom"/>
          </w:tcPr>
          <w:p>
            <w:pPr>
              <w:spacing w:after="0"/>
              <w:rPr>
                <w:sz w:val="13"/>
                <w:szCs w:val="13"/>
                <w:color w:val="auto"/>
              </w:rPr>
            </w:pPr>
          </w:p>
        </w:tc>
        <w:tc>
          <w:tcPr>
            <w:tcW w:w="2240" w:type="dxa"/>
            <w:vAlign w:val="bottom"/>
            <w:gridSpan w:val="2"/>
          </w:tcPr>
          <w:p>
            <w:pPr>
              <w:ind w:left="660"/>
              <w:spacing w:after="0" w:line="153" w:lineRule="exact"/>
              <w:rPr>
                <w:sz w:val="20"/>
                <w:szCs w:val="20"/>
                <w:color w:val="auto"/>
              </w:rPr>
            </w:pPr>
            <w:r>
              <w:rPr>
                <w:rFonts w:ascii="Arial" w:cs="Arial" w:eastAsia="Arial" w:hAnsi="Arial"/>
                <w:sz w:val="14"/>
                <w:szCs w:val="14"/>
                <w:b w:val="1"/>
                <w:bCs w:val="1"/>
                <w:color w:val="auto"/>
              </w:rPr>
              <w:t>Haduvio 81 mg</w:t>
            </w:r>
          </w:p>
        </w:tc>
        <w:tc>
          <w:tcPr>
            <w:tcW w:w="100" w:type="dxa"/>
            <w:vAlign w:val="bottom"/>
          </w:tcPr>
          <w:p>
            <w:pPr>
              <w:spacing w:after="0"/>
              <w:rPr>
                <w:sz w:val="13"/>
                <w:szCs w:val="13"/>
                <w:color w:val="auto"/>
              </w:rPr>
            </w:pPr>
          </w:p>
        </w:tc>
        <w:tc>
          <w:tcPr>
            <w:tcW w:w="1140" w:type="dxa"/>
            <w:vAlign w:val="bottom"/>
          </w:tcPr>
          <w:p>
            <w:pPr>
              <w:ind w:left="620"/>
              <w:spacing w:after="0" w:line="153" w:lineRule="exact"/>
              <w:rPr>
                <w:sz w:val="20"/>
                <w:szCs w:val="20"/>
                <w:color w:val="auto"/>
              </w:rPr>
            </w:pPr>
            <w:r>
              <w:rPr>
                <w:rFonts w:ascii="Arial" w:cs="Arial" w:eastAsia="Arial" w:hAnsi="Arial"/>
                <w:sz w:val="14"/>
                <w:szCs w:val="14"/>
                <w:b w:val="1"/>
                <w:bCs w:val="1"/>
                <w:color w:val="auto"/>
                <w:w w:val="93"/>
              </w:rPr>
              <w:t>Placebo</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Endpoint</w:t>
            </w:r>
          </w:p>
        </w:tc>
        <w:tc>
          <w:tcPr>
            <w:tcW w:w="100" w:type="dxa"/>
            <w:vAlign w:val="bottom"/>
          </w:tcPr>
          <w:p>
            <w:pPr>
              <w:spacing w:after="0"/>
              <w:rPr>
                <w:sz w:val="14"/>
                <w:szCs w:val="14"/>
                <w:color w:val="auto"/>
              </w:rPr>
            </w:pPr>
          </w:p>
        </w:tc>
        <w:tc>
          <w:tcPr>
            <w:tcW w:w="1460" w:type="dxa"/>
            <w:vAlign w:val="bottom"/>
          </w:tcPr>
          <w:p>
            <w:pPr>
              <w:jc w:val="right"/>
              <w:ind w:right="309"/>
              <w:spacing w:after="0" w:line="162" w:lineRule="exact"/>
              <w:rPr>
                <w:sz w:val="20"/>
                <w:szCs w:val="20"/>
                <w:color w:val="auto"/>
              </w:rPr>
            </w:pPr>
            <w:r>
              <w:rPr>
                <w:rFonts w:ascii="Arial" w:cs="Arial" w:eastAsia="Arial" w:hAnsi="Arial"/>
                <w:sz w:val="14"/>
                <w:szCs w:val="14"/>
                <w:color w:val="auto"/>
              </w:rPr>
              <w:t>mITT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1000" w:type="dxa"/>
            <w:vAlign w:val="bottom"/>
          </w:tcPr>
          <w:p>
            <w:pPr>
              <w:ind w:left="120"/>
              <w:spacing w:after="0"/>
              <w:rPr>
                <w:sz w:val="20"/>
                <w:szCs w:val="20"/>
                <w:color w:val="auto"/>
              </w:rPr>
            </w:pPr>
            <w:r>
              <w:rPr>
                <w:rFonts w:ascii="Arial" w:cs="Arial" w:eastAsia="Arial" w:hAnsi="Arial"/>
                <w:sz w:val="14"/>
                <w:szCs w:val="14"/>
                <w:color w:val="auto"/>
              </w:rPr>
              <w:t>n=18</w:t>
            </w:r>
          </w:p>
        </w:tc>
        <w:tc>
          <w:tcPr>
            <w:tcW w:w="100" w:type="dxa"/>
            <w:vAlign w:val="bottom"/>
          </w:tcPr>
          <w:p>
            <w:pPr>
              <w:spacing w:after="0"/>
              <w:rPr>
                <w:sz w:val="14"/>
                <w:szCs w:val="14"/>
                <w:color w:val="auto"/>
              </w:rPr>
            </w:pPr>
          </w:p>
        </w:tc>
        <w:tc>
          <w:tcPr>
            <w:tcW w:w="1360" w:type="dxa"/>
            <w:vAlign w:val="bottom"/>
          </w:tcPr>
          <w:p>
            <w:pPr>
              <w:ind w:left="500"/>
              <w:spacing w:after="0" w:line="162" w:lineRule="exact"/>
              <w:rPr>
                <w:sz w:val="20"/>
                <w:szCs w:val="20"/>
                <w:color w:val="auto"/>
              </w:rPr>
            </w:pPr>
            <w:r>
              <w:rPr>
                <w:rFonts w:ascii="Arial" w:cs="Arial" w:eastAsia="Arial" w:hAnsi="Arial"/>
                <w:sz w:val="14"/>
                <w:szCs w:val="14"/>
                <w:color w:val="auto"/>
              </w:rPr>
              <w:t>mITT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880" w:type="dxa"/>
            <w:vAlign w:val="bottom"/>
          </w:tcPr>
          <w:p>
            <w:pPr>
              <w:ind w:left="100"/>
              <w:spacing w:after="0"/>
              <w:rPr>
                <w:sz w:val="20"/>
                <w:szCs w:val="20"/>
                <w:color w:val="auto"/>
              </w:rPr>
            </w:pPr>
            <w:r>
              <w:rPr>
                <w:rFonts w:ascii="Arial" w:cs="Arial" w:eastAsia="Arial" w:hAnsi="Arial"/>
                <w:sz w:val="14"/>
                <w:szCs w:val="14"/>
                <w:color w:val="auto"/>
              </w:rPr>
              <w:t>n=22</w:t>
            </w:r>
          </w:p>
        </w:tc>
        <w:tc>
          <w:tcPr>
            <w:tcW w:w="100" w:type="dxa"/>
            <w:vAlign w:val="bottom"/>
          </w:tcPr>
          <w:p>
            <w:pPr>
              <w:spacing w:after="0"/>
              <w:rPr>
                <w:sz w:val="14"/>
                <w:szCs w:val="14"/>
                <w:color w:val="auto"/>
              </w:rPr>
            </w:pPr>
          </w:p>
        </w:tc>
        <w:tc>
          <w:tcPr>
            <w:tcW w:w="1140" w:type="dxa"/>
            <w:vAlign w:val="bottom"/>
          </w:tcPr>
          <w:p>
            <w:pPr>
              <w:ind w:left="240"/>
              <w:spacing w:after="0" w:line="162" w:lineRule="exact"/>
              <w:rPr>
                <w:sz w:val="20"/>
                <w:szCs w:val="20"/>
                <w:color w:val="auto"/>
              </w:rPr>
            </w:pPr>
            <w:r>
              <w:rPr>
                <w:rFonts w:ascii="Arial" w:cs="Arial" w:eastAsia="Arial" w:hAnsi="Arial"/>
                <w:sz w:val="14"/>
                <w:szCs w:val="14"/>
                <w:color w:val="auto"/>
              </w:rPr>
              <w:t>mITT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760" w:type="dxa"/>
            <w:vAlign w:val="bottom"/>
            <w:gridSpan w:val="3"/>
          </w:tcPr>
          <w:p>
            <w:pPr>
              <w:jc w:val="right"/>
              <w:ind w:right="420"/>
              <w:spacing w:after="0"/>
              <w:rPr>
                <w:sz w:val="20"/>
                <w:szCs w:val="20"/>
                <w:color w:val="auto"/>
              </w:rPr>
            </w:pPr>
            <w:r>
              <w:rPr>
                <w:rFonts w:ascii="Arial" w:cs="Arial" w:eastAsia="Arial" w:hAnsi="Arial"/>
                <w:sz w:val="14"/>
                <w:szCs w:val="14"/>
                <w:color w:val="auto"/>
              </w:rPr>
              <w:t>n=22</w:t>
            </w:r>
          </w:p>
        </w:tc>
        <w:tc>
          <w:tcPr>
            <w:tcW w:w="0" w:type="dxa"/>
            <w:vAlign w:val="bottom"/>
          </w:tcPr>
          <w:p>
            <w:pPr>
              <w:spacing w:after="0"/>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4"/>
                <w:szCs w:val="14"/>
                <w:color w:val="auto"/>
              </w:rPr>
              <w:t>Completers</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w:t>
            </w:r>
          </w:p>
        </w:tc>
        <w:tc>
          <w:tcPr>
            <w:tcW w:w="1000" w:type="dxa"/>
            <w:vAlign w:val="bottom"/>
          </w:tcPr>
          <w:p>
            <w:pPr>
              <w:ind w:left="140"/>
              <w:spacing w:after="0"/>
              <w:rPr>
                <w:sz w:val="20"/>
                <w:szCs w:val="20"/>
                <w:color w:val="auto"/>
              </w:rPr>
            </w:pPr>
            <w:r>
              <w:rPr>
                <w:rFonts w:ascii="Arial" w:cs="Arial" w:eastAsia="Arial" w:hAnsi="Arial"/>
                <w:sz w:val="14"/>
                <w:szCs w:val="14"/>
                <w:color w:val="auto"/>
              </w:rPr>
              <w:t>n=12</w:t>
            </w:r>
          </w:p>
        </w:tc>
        <w:tc>
          <w:tcPr>
            <w:tcW w:w="100" w:type="dxa"/>
            <w:vAlign w:val="bottom"/>
          </w:tcPr>
          <w:p>
            <w:pPr>
              <w:spacing w:after="0"/>
              <w:rPr>
                <w:sz w:val="16"/>
                <w:szCs w:val="16"/>
                <w:color w:val="auto"/>
              </w:rPr>
            </w:pPr>
          </w:p>
        </w:tc>
        <w:tc>
          <w:tcPr>
            <w:tcW w:w="1360" w:type="dxa"/>
            <w:vAlign w:val="bottom"/>
          </w:tcPr>
          <w:p>
            <w:pPr>
              <w:jc w:val="center"/>
              <w:ind w:left="369"/>
              <w:spacing w:after="0" w:line="189" w:lineRule="exact"/>
              <w:rPr>
                <w:sz w:val="20"/>
                <w:szCs w:val="20"/>
                <w:color w:val="auto"/>
              </w:rPr>
            </w:pPr>
            <w:r>
              <w:rPr>
                <w:rFonts w:ascii="Arial" w:cs="Arial" w:eastAsia="Arial" w:hAnsi="Arial"/>
                <w:sz w:val="14"/>
                <w:szCs w:val="14"/>
                <w:color w:val="auto"/>
                <w:w w:val="88"/>
              </w:rPr>
              <w:t>Completers</w:t>
            </w:r>
            <w:r>
              <w:rPr>
                <w:rFonts w:ascii="Arial" w:cs="Arial" w:eastAsia="Arial" w:hAnsi="Arial"/>
                <w:sz w:val="19"/>
                <w:szCs w:val="19"/>
                <w:color w:val="auto"/>
                <w:w w:val="88"/>
                <w:vertAlign w:val="superscript"/>
              </w:rPr>
              <w:t>(2)</w:t>
            </w:r>
            <w:r>
              <w:rPr>
                <w:rFonts w:ascii="Arial" w:cs="Arial" w:eastAsia="Arial" w:hAnsi="Arial"/>
                <w:sz w:val="14"/>
                <w:szCs w:val="14"/>
                <w:color w:val="auto"/>
                <w:w w:val="88"/>
              </w:rPr>
              <w:t xml:space="preserve"> :</w:t>
            </w:r>
          </w:p>
        </w:tc>
        <w:tc>
          <w:tcPr>
            <w:tcW w:w="880" w:type="dxa"/>
            <w:vAlign w:val="bottom"/>
          </w:tcPr>
          <w:p>
            <w:pPr>
              <w:ind w:left="120"/>
              <w:spacing w:after="0"/>
              <w:rPr>
                <w:sz w:val="20"/>
                <w:szCs w:val="20"/>
                <w:color w:val="auto"/>
              </w:rPr>
            </w:pPr>
            <w:r>
              <w:rPr>
                <w:rFonts w:ascii="Arial" w:cs="Arial" w:eastAsia="Arial" w:hAnsi="Arial"/>
                <w:sz w:val="14"/>
                <w:szCs w:val="14"/>
                <w:color w:val="auto"/>
              </w:rPr>
              <w:t>n=18</w:t>
            </w:r>
          </w:p>
        </w:tc>
        <w:tc>
          <w:tcPr>
            <w:tcW w:w="100" w:type="dxa"/>
            <w:vAlign w:val="bottom"/>
          </w:tcPr>
          <w:p>
            <w:pPr>
              <w:spacing w:after="0"/>
              <w:rPr>
                <w:sz w:val="16"/>
                <w:szCs w:val="16"/>
                <w:color w:val="auto"/>
              </w:rPr>
            </w:pPr>
          </w:p>
        </w:tc>
        <w:tc>
          <w:tcPr>
            <w:tcW w:w="1140" w:type="dxa"/>
            <w:vAlign w:val="bottom"/>
          </w:tcPr>
          <w:p>
            <w:pPr>
              <w:ind w:left="220"/>
              <w:spacing w:after="0" w:line="189" w:lineRule="exact"/>
              <w:rPr>
                <w:sz w:val="20"/>
                <w:szCs w:val="20"/>
                <w:color w:val="auto"/>
              </w:rPr>
            </w:pPr>
            <w:r>
              <w:rPr>
                <w:rFonts w:ascii="Arial" w:cs="Arial" w:eastAsia="Arial" w:hAnsi="Arial"/>
                <w:sz w:val="14"/>
                <w:szCs w:val="14"/>
                <w:color w:val="auto"/>
                <w:w w:val="94"/>
              </w:rPr>
              <w:t>Completers</w:t>
            </w:r>
            <w:r>
              <w:rPr>
                <w:rFonts w:ascii="Arial" w:cs="Arial" w:eastAsia="Arial" w:hAnsi="Arial"/>
                <w:sz w:val="19"/>
                <w:szCs w:val="19"/>
                <w:color w:val="auto"/>
                <w:w w:val="94"/>
                <w:vertAlign w:val="superscript"/>
              </w:rPr>
              <w:t>(2)</w:t>
            </w:r>
            <w:r>
              <w:rPr>
                <w:rFonts w:ascii="Arial" w:cs="Arial" w:eastAsia="Arial" w:hAnsi="Arial"/>
                <w:sz w:val="14"/>
                <w:szCs w:val="14"/>
                <w:color w:val="auto"/>
                <w:w w:val="94"/>
              </w:rPr>
              <w:t xml:space="preserve"> :</w:t>
            </w:r>
          </w:p>
        </w:tc>
        <w:tc>
          <w:tcPr>
            <w:tcW w:w="760" w:type="dxa"/>
            <w:vAlign w:val="bottom"/>
            <w:gridSpan w:val="3"/>
          </w:tcPr>
          <w:p>
            <w:pPr>
              <w:jc w:val="right"/>
              <w:ind w:right="400"/>
              <w:spacing w:after="0"/>
              <w:rPr>
                <w:sz w:val="20"/>
                <w:szCs w:val="20"/>
                <w:color w:val="auto"/>
              </w:rPr>
            </w:pPr>
            <w:r>
              <w:rPr>
                <w:rFonts w:ascii="Arial" w:cs="Arial" w:eastAsia="Arial" w:hAnsi="Arial"/>
                <w:sz w:val="14"/>
                <w:szCs w:val="14"/>
                <w:color w:val="auto"/>
              </w:rPr>
              <w:t>n=20</w:t>
            </w:r>
          </w:p>
        </w:tc>
        <w:tc>
          <w:tcPr>
            <w:tcW w:w="0" w:type="dxa"/>
            <w:vAlign w:val="bottom"/>
          </w:tcPr>
          <w:p>
            <w:pPr>
              <w:spacing w:after="0"/>
              <w:rPr>
                <w:sz w:val="1"/>
                <w:szCs w:val="1"/>
                <w:color w:val="auto"/>
              </w:rPr>
            </w:pPr>
          </w:p>
        </w:tc>
      </w:tr>
      <w:tr>
        <w:trPr>
          <w:trHeight w:val="169"/>
        </w:trPr>
        <w:tc>
          <w:tcPr>
            <w:tcW w:w="4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9"/>
                <w:szCs w:val="19"/>
                <w:i w:val="1"/>
                <w:iCs w:val="1"/>
                <w:color w:val="auto"/>
                <w:vertAlign w:val="superscript"/>
              </w:rPr>
              <w:t>(3)</w:t>
            </w: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9"/>
                <w:szCs w:val="19"/>
                <w:i w:val="1"/>
                <w:iCs w:val="1"/>
                <w:color w:val="auto"/>
                <w:vertAlign w:val="superscript"/>
              </w:rPr>
              <w:t>(3)</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Responder Analyses</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line="243" w:lineRule="exact"/>
              <w:rPr>
                <w:sz w:val="20"/>
                <w:szCs w:val="20"/>
                <w:color w:val="auto"/>
              </w:rPr>
            </w:pPr>
            <w:r>
              <w:rPr>
                <w:rFonts w:ascii="Arial" w:cs="Arial" w:eastAsia="Arial" w:hAnsi="Arial"/>
                <w:sz w:val="18"/>
                <w:szCs w:val="18"/>
                <w:color w:val="auto"/>
              </w:rPr>
              <w:t>30% responders in mITT population</w:t>
            </w:r>
            <w:r>
              <w:rPr>
                <w:rFonts w:ascii="Arial" w:cs="Arial" w:eastAsia="Arial" w:hAnsi="Arial"/>
                <w:sz w:val="24"/>
                <w:szCs w:val="24"/>
                <w:color w:val="auto"/>
                <w:vertAlign w:val="superscript"/>
              </w:rPr>
              <w:t>(4)</w:t>
            </w:r>
          </w:p>
        </w:tc>
        <w:tc>
          <w:tcPr>
            <w:tcW w:w="1560" w:type="dxa"/>
            <w:vAlign w:val="bottom"/>
            <w:gridSpan w:val="2"/>
          </w:tcPr>
          <w:p>
            <w:pPr>
              <w:jc w:val="right"/>
              <w:ind w:right="409"/>
              <w:spacing w:after="0"/>
              <w:rPr>
                <w:sz w:val="20"/>
                <w:szCs w:val="20"/>
                <w:color w:val="auto"/>
              </w:rPr>
            </w:pPr>
            <w:r>
              <w:rPr>
                <w:rFonts w:ascii="Arial" w:cs="Arial" w:eastAsia="Arial" w:hAnsi="Arial"/>
                <w:sz w:val="18"/>
                <w:szCs w:val="18"/>
                <w:color w:val="auto"/>
              </w:rPr>
              <w:t>44 %</w:t>
            </w:r>
          </w:p>
        </w:tc>
        <w:tc>
          <w:tcPr>
            <w:tcW w:w="1000" w:type="dxa"/>
            <w:vAlign w:val="bottom"/>
          </w:tcPr>
          <w:p>
            <w:pPr>
              <w:ind w:left="400"/>
              <w:spacing w:after="0"/>
              <w:rPr>
                <w:sz w:val="20"/>
                <w:szCs w:val="20"/>
                <w:color w:val="auto"/>
              </w:rPr>
            </w:pPr>
            <w:r>
              <w:rPr>
                <w:rFonts w:ascii="Arial" w:cs="Arial" w:eastAsia="Arial" w:hAnsi="Arial"/>
                <w:sz w:val="18"/>
                <w:szCs w:val="18"/>
                <w:color w:val="auto"/>
                <w:w w:val="88"/>
              </w:rPr>
              <w:t>p=0.323</w:t>
            </w:r>
          </w:p>
        </w:tc>
        <w:tc>
          <w:tcPr>
            <w:tcW w:w="146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27 %</w:t>
            </w:r>
          </w:p>
        </w:tc>
        <w:tc>
          <w:tcPr>
            <w:tcW w:w="880" w:type="dxa"/>
            <w:vAlign w:val="bottom"/>
          </w:tcPr>
          <w:p>
            <w:pPr>
              <w:ind w:left="280"/>
              <w:spacing w:after="0"/>
              <w:rPr>
                <w:sz w:val="20"/>
                <w:szCs w:val="20"/>
                <w:color w:val="auto"/>
              </w:rPr>
            </w:pPr>
            <w:r>
              <w:rPr>
                <w:rFonts w:ascii="Arial" w:cs="Arial" w:eastAsia="Arial" w:hAnsi="Arial"/>
                <w:sz w:val="18"/>
                <w:szCs w:val="18"/>
                <w:color w:val="auto"/>
                <w:w w:val="88"/>
              </w:rPr>
              <w:t>p=0.779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30% responders in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60"/>
              <w:spacing w:after="0"/>
              <w:rPr>
                <w:sz w:val="20"/>
                <w:szCs w:val="20"/>
                <w:color w:val="auto"/>
              </w:rPr>
            </w:pPr>
            <w:r>
              <w:rPr>
                <w:rFonts w:ascii="Arial" w:cs="Arial" w:eastAsia="Arial" w:hAnsi="Arial"/>
                <w:sz w:val="18"/>
                <w:szCs w:val="18"/>
                <w:color w:val="auto"/>
              </w:rPr>
              <w:t>completer population</w:t>
            </w:r>
          </w:p>
        </w:tc>
        <w:tc>
          <w:tcPr>
            <w:tcW w:w="1560" w:type="dxa"/>
            <w:vAlign w:val="bottom"/>
            <w:gridSpan w:val="2"/>
          </w:tcPr>
          <w:p>
            <w:pPr>
              <w:jc w:val="right"/>
              <w:ind w:right="409"/>
              <w:spacing w:after="0"/>
              <w:rPr>
                <w:sz w:val="20"/>
                <w:szCs w:val="20"/>
                <w:color w:val="auto"/>
              </w:rPr>
            </w:pPr>
            <w:r>
              <w:rPr>
                <w:rFonts w:ascii="Arial" w:cs="Arial" w:eastAsia="Arial" w:hAnsi="Arial"/>
                <w:sz w:val="18"/>
                <w:szCs w:val="18"/>
                <w:color w:val="auto"/>
              </w:rPr>
              <w:t>75 %</w:t>
            </w:r>
          </w:p>
        </w:tc>
        <w:tc>
          <w:tcPr>
            <w:tcW w:w="1000" w:type="dxa"/>
            <w:vAlign w:val="bottom"/>
          </w:tcPr>
          <w:p>
            <w:pPr>
              <w:ind w:left="400"/>
              <w:spacing w:after="0"/>
              <w:rPr>
                <w:sz w:val="20"/>
                <w:szCs w:val="20"/>
                <w:color w:val="auto"/>
              </w:rPr>
            </w:pPr>
            <w:r>
              <w:rPr>
                <w:rFonts w:ascii="Arial" w:cs="Arial" w:eastAsia="Arial" w:hAnsi="Arial"/>
                <w:sz w:val="18"/>
                <w:szCs w:val="18"/>
                <w:color w:val="auto"/>
                <w:w w:val="88"/>
              </w:rPr>
              <w:t>p=0.026</w:t>
            </w:r>
          </w:p>
        </w:tc>
        <w:tc>
          <w:tcPr>
            <w:tcW w:w="146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33 %</w:t>
            </w:r>
          </w:p>
        </w:tc>
        <w:tc>
          <w:tcPr>
            <w:tcW w:w="880" w:type="dxa"/>
            <w:vAlign w:val="bottom"/>
          </w:tcPr>
          <w:p>
            <w:pPr>
              <w:ind w:left="280"/>
              <w:spacing w:after="0"/>
              <w:rPr>
                <w:sz w:val="20"/>
                <w:szCs w:val="20"/>
                <w:color w:val="auto"/>
              </w:rPr>
            </w:pPr>
            <w:r>
              <w:rPr>
                <w:rFonts w:ascii="Arial" w:cs="Arial" w:eastAsia="Arial" w:hAnsi="Arial"/>
                <w:sz w:val="18"/>
                <w:szCs w:val="18"/>
                <w:color w:val="auto"/>
                <w:w w:val="88"/>
              </w:rPr>
              <w:t>p=0.723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50% responders in mITT population</w:t>
            </w:r>
          </w:p>
        </w:tc>
        <w:tc>
          <w:tcPr>
            <w:tcW w:w="1560" w:type="dxa"/>
            <w:vAlign w:val="bottom"/>
            <w:gridSpan w:val="2"/>
          </w:tcPr>
          <w:p>
            <w:pPr>
              <w:jc w:val="right"/>
              <w:ind w:right="409"/>
              <w:spacing w:after="0"/>
              <w:rPr>
                <w:sz w:val="20"/>
                <w:szCs w:val="20"/>
                <w:color w:val="auto"/>
              </w:rPr>
            </w:pPr>
            <w:r>
              <w:rPr>
                <w:rFonts w:ascii="Arial" w:cs="Arial" w:eastAsia="Arial" w:hAnsi="Arial"/>
                <w:sz w:val="18"/>
                <w:szCs w:val="18"/>
                <w:color w:val="auto"/>
              </w:rPr>
              <w:t>33 %</w:t>
            </w:r>
          </w:p>
        </w:tc>
        <w:tc>
          <w:tcPr>
            <w:tcW w:w="1000" w:type="dxa"/>
            <w:vAlign w:val="bottom"/>
          </w:tcPr>
          <w:p>
            <w:pPr>
              <w:ind w:left="400"/>
              <w:spacing w:after="0"/>
              <w:rPr>
                <w:sz w:val="20"/>
                <w:szCs w:val="20"/>
                <w:color w:val="auto"/>
              </w:rPr>
            </w:pPr>
            <w:r>
              <w:rPr>
                <w:rFonts w:ascii="Arial" w:cs="Arial" w:eastAsia="Arial" w:hAnsi="Arial"/>
                <w:sz w:val="18"/>
                <w:szCs w:val="18"/>
                <w:color w:val="auto"/>
                <w:w w:val="88"/>
              </w:rPr>
              <w:t>p=0.083</w:t>
            </w:r>
          </w:p>
        </w:tc>
        <w:tc>
          <w:tcPr>
            <w:tcW w:w="146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14 %</w:t>
            </w:r>
          </w:p>
        </w:tc>
        <w:tc>
          <w:tcPr>
            <w:tcW w:w="880" w:type="dxa"/>
            <w:vAlign w:val="bottom"/>
          </w:tcPr>
          <w:p>
            <w:pPr>
              <w:ind w:left="280"/>
              <w:spacing w:after="0"/>
              <w:rPr>
                <w:sz w:val="20"/>
                <w:szCs w:val="20"/>
                <w:color w:val="auto"/>
              </w:rPr>
            </w:pPr>
            <w:r>
              <w:rPr>
                <w:rFonts w:ascii="Arial" w:cs="Arial" w:eastAsia="Arial" w:hAnsi="Arial"/>
                <w:sz w:val="18"/>
                <w:szCs w:val="18"/>
                <w:color w:val="auto"/>
                <w:w w:val="88"/>
              </w:rPr>
              <w:t>p=0.981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50% responders in</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completer population (comparable in 162</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mg arm to a 4-point reduction in WI-NRS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60"/>
              <w:spacing w:after="0"/>
              <w:rPr>
                <w:sz w:val="20"/>
                <w:szCs w:val="20"/>
                <w:color w:val="auto"/>
              </w:rPr>
            </w:pPr>
            <w:r>
              <w:rPr>
                <w:rFonts w:ascii="Arial" w:cs="Arial" w:eastAsia="Arial" w:hAnsi="Arial"/>
                <w:sz w:val="18"/>
                <w:szCs w:val="18"/>
                <w:color w:val="auto"/>
              </w:rPr>
              <w:t>score)</w:t>
            </w:r>
          </w:p>
        </w:tc>
        <w:tc>
          <w:tcPr>
            <w:tcW w:w="1560" w:type="dxa"/>
            <w:vAlign w:val="bottom"/>
            <w:gridSpan w:val="2"/>
          </w:tcPr>
          <w:p>
            <w:pPr>
              <w:jc w:val="right"/>
              <w:ind w:right="409"/>
              <w:spacing w:after="0"/>
              <w:rPr>
                <w:sz w:val="20"/>
                <w:szCs w:val="20"/>
                <w:color w:val="auto"/>
              </w:rPr>
            </w:pPr>
            <w:r>
              <w:rPr>
                <w:rFonts w:ascii="Arial" w:cs="Arial" w:eastAsia="Arial" w:hAnsi="Arial"/>
                <w:sz w:val="18"/>
                <w:szCs w:val="18"/>
                <w:color w:val="auto"/>
              </w:rPr>
              <w:t>50 %</w:t>
            </w:r>
          </w:p>
        </w:tc>
        <w:tc>
          <w:tcPr>
            <w:tcW w:w="1000" w:type="dxa"/>
            <w:vAlign w:val="bottom"/>
          </w:tcPr>
          <w:p>
            <w:pPr>
              <w:ind w:left="400"/>
              <w:spacing w:after="0"/>
              <w:rPr>
                <w:sz w:val="20"/>
                <w:szCs w:val="20"/>
                <w:color w:val="auto"/>
              </w:rPr>
            </w:pPr>
            <w:r>
              <w:rPr>
                <w:rFonts w:ascii="Arial" w:cs="Arial" w:eastAsia="Arial" w:hAnsi="Arial"/>
                <w:sz w:val="18"/>
                <w:szCs w:val="18"/>
                <w:color w:val="auto"/>
                <w:w w:val="88"/>
              </w:rPr>
              <w:t>p=0.028</w:t>
            </w:r>
          </w:p>
        </w:tc>
        <w:tc>
          <w:tcPr>
            <w:tcW w:w="1460" w:type="dxa"/>
            <w:vAlign w:val="bottom"/>
            <w:gridSpan w:val="2"/>
          </w:tcPr>
          <w:p>
            <w:pPr>
              <w:jc w:val="center"/>
              <w:ind w:left="430"/>
              <w:spacing w:after="0"/>
              <w:rPr>
                <w:sz w:val="20"/>
                <w:szCs w:val="20"/>
                <w:color w:val="auto"/>
              </w:rPr>
            </w:pPr>
            <w:r>
              <w:rPr>
                <w:rFonts w:ascii="Arial" w:cs="Arial" w:eastAsia="Arial" w:hAnsi="Arial"/>
                <w:sz w:val="18"/>
                <w:szCs w:val="18"/>
                <w:color w:val="auto"/>
                <w:w w:val="82"/>
              </w:rPr>
              <w:t>11 %</w:t>
            </w:r>
          </w:p>
        </w:tc>
        <w:tc>
          <w:tcPr>
            <w:tcW w:w="880" w:type="dxa"/>
            <w:vAlign w:val="bottom"/>
          </w:tcPr>
          <w:p>
            <w:pPr>
              <w:ind w:left="280"/>
              <w:spacing w:after="0"/>
              <w:rPr>
                <w:sz w:val="20"/>
                <w:szCs w:val="20"/>
                <w:color w:val="auto"/>
              </w:rPr>
            </w:pPr>
            <w:r>
              <w:rPr>
                <w:rFonts w:ascii="Arial" w:cs="Arial" w:eastAsia="Arial" w:hAnsi="Arial"/>
                <w:sz w:val="18"/>
                <w:szCs w:val="18"/>
                <w:color w:val="auto"/>
                <w:w w:val="88"/>
              </w:rPr>
              <w:t>p=0.649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770"/>
        </w:trPr>
        <w:tc>
          <w:tcPr>
            <w:tcW w:w="4400" w:type="dxa"/>
            <w:vAlign w:val="bottom"/>
          </w:tcPr>
          <w:p>
            <w:pPr>
              <w:spacing w:after="0"/>
              <w:rPr>
                <w:sz w:val="24"/>
                <w:szCs w:val="24"/>
                <w:color w:val="auto"/>
              </w:rPr>
            </w:pPr>
          </w:p>
        </w:tc>
        <w:tc>
          <w:tcPr>
            <w:tcW w:w="1560" w:type="dxa"/>
            <w:vAlign w:val="bottom"/>
            <w:gridSpan w:val="2"/>
          </w:tcPr>
          <w:p>
            <w:pPr>
              <w:jc w:val="right"/>
              <w:ind w:right="229"/>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565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233"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ind w:left="580"/>
              <w:spacing w:after="0"/>
              <w:rPr>
                <w:sz w:val="20"/>
                <w:szCs w:val="20"/>
                <w:color w:val="auto"/>
              </w:rPr>
            </w:pPr>
            <w:r>
              <w:rPr>
                <w:rFonts w:ascii="Arial" w:cs="Arial" w:eastAsia="Arial" w:hAnsi="Arial"/>
                <w:sz w:val="14"/>
                <w:szCs w:val="14"/>
                <w:b w:val="1"/>
                <w:bCs w:val="1"/>
                <w:color w:val="auto"/>
              </w:rPr>
              <w:t>Haduvio 162 mg</w:t>
            </w:r>
          </w:p>
        </w:tc>
        <w:tc>
          <w:tcPr>
            <w:tcW w:w="1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Haduvio 81mg</w:t>
            </w:r>
          </w:p>
        </w:tc>
        <w:tc>
          <w:tcPr>
            <w:tcW w:w="80" w:type="dxa"/>
            <w:vAlign w:val="bottom"/>
          </w:tcPr>
          <w:p>
            <w:pPr>
              <w:spacing w:after="0"/>
              <w:rPr>
                <w:sz w:val="14"/>
                <w:szCs w:val="14"/>
                <w:color w:val="auto"/>
              </w:rPr>
            </w:pPr>
          </w:p>
        </w:tc>
        <w:tc>
          <w:tcPr>
            <w:tcW w:w="1240" w:type="dxa"/>
            <w:vAlign w:val="bottom"/>
          </w:tcPr>
          <w:p>
            <w:pPr>
              <w:ind w:left="720"/>
              <w:spacing w:after="0"/>
              <w:rPr>
                <w:sz w:val="20"/>
                <w:szCs w:val="20"/>
                <w:color w:val="auto"/>
              </w:rPr>
            </w:pPr>
            <w:r>
              <w:rPr>
                <w:rFonts w:ascii="Arial" w:cs="Arial" w:eastAsia="Arial" w:hAnsi="Arial"/>
                <w:sz w:val="14"/>
                <w:szCs w:val="14"/>
                <w:b w:val="1"/>
                <w:bCs w:val="1"/>
                <w:color w:val="auto"/>
                <w:w w:val="93"/>
              </w:rPr>
              <w:t>Placebo</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Endpoint</w:t>
            </w:r>
          </w:p>
        </w:tc>
        <w:tc>
          <w:tcPr>
            <w:tcW w:w="100" w:type="dxa"/>
            <w:vAlign w:val="bottom"/>
          </w:tcPr>
          <w:p>
            <w:pPr>
              <w:spacing w:after="0"/>
              <w:rPr>
                <w:sz w:val="14"/>
                <w:szCs w:val="14"/>
                <w:color w:val="auto"/>
              </w:rPr>
            </w:pPr>
          </w:p>
        </w:tc>
        <w:tc>
          <w:tcPr>
            <w:tcW w:w="1320" w:type="dxa"/>
            <w:vAlign w:val="bottom"/>
          </w:tcPr>
          <w:p>
            <w:pPr>
              <w:jc w:val="right"/>
              <w:ind w:right="329"/>
              <w:spacing w:after="0" w:line="162" w:lineRule="exact"/>
              <w:rPr>
                <w:sz w:val="20"/>
                <w:szCs w:val="20"/>
                <w:color w:val="auto"/>
              </w:rPr>
            </w:pPr>
            <w:r>
              <w:rPr>
                <w:rFonts w:ascii="Arial" w:cs="Arial" w:eastAsia="Arial" w:hAnsi="Arial"/>
                <w:sz w:val="14"/>
                <w:szCs w:val="14"/>
                <w:color w:val="auto"/>
              </w:rPr>
              <w:t>mITT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820" w:type="dxa"/>
            <w:vAlign w:val="bottom"/>
          </w:tcPr>
          <w:p>
            <w:pPr>
              <w:ind w:left="100"/>
              <w:spacing w:after="0"/>
              <w:rPr>
                <w:sz w:val="20"/>
                <w:szCs w:val="20"/>
                <w:color w:val="auto"/>
              </w:rPr>
            </w:pPr>
            <w:r>
              <w:rPr>
                <w:rFonts w:ascii="Arial" w:cs="Arial" w:eastAsia="Arial" w:hAnsi="Arial"/>
                <w:sz w:val="14"/>
                <w:szCs w:val="14"/>
                <w:color w:val="auto"/>
              </w:rPr>
              <w:t>n=18</w:t>
            </w:r>
          </w:p>
        </w:tc>
        <w:tc>
          <w:tcPr>
            <w:tcW w:w="100" w:type="dxa"/>
            <w:vAlign w:val="bottom"/>
          </w:tcPr>
          <w:p>
            <w:pPr>
              <w:spacing w:after="0"/>
              <w:rPr>
                <w:sz w:val="14"/>
                <w:szCs w:val="14"/>
                <w:color w:val="auto"/>
              </w:rPr>
            </w:pPr>
          </w:p>
        </w:tc>
        <w:tc>
          <w:tcPr>
            <w:tcW w:w="1180" w:type="dxa"/>
            <w:vAlign w:val="bottom"/>
          </w:tcPr>
          <w:p>
            <w:pPr>
              <w:jc w:val="right"/>
              <w:ind w:right="209"/>
              <w:spacing w:after="0" w:line="162" w:lineRule="exact"/>
              <w:rPr>
                <w:sz w:val="20"/>
                <w:szCs w:val="20"/>
                <w:color w:val="auto"/>
              </w:rPr>
            </w:pPr>
            <w:r>
              <w:rPr>
                <w:rFonts w:ascii="Arial" w:cs="Arial" w:eastAsia="Arial" w:hAnsi="Arial"/>
                <w:sz w:val="14"/>
                <w:szCs w:val="14"/>
                <w:color w:val="auto"/>
              </w:rPr>
              <w:t>mITT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920" w:type="dxa"/>
            <w:vAlign w:val="bottom"/>
          </w:tcPr>
          <w:p>
            <w:pPr>
              <w:ind w:left="200"/>
              <w:spacing w:after="0"/>
              <w:rPr>
                <w:sz w:val="20"/>
                <w:szCs w:val="20"/>
                <w:color w:val="auto"/>
              </w:rPr>
            </w:pPr>
            <w:r>
              <w:rPr>
                <w:rFonts w:ascii="Arial" w:cs="Arial" w:eastAsia="Arial" w:hAnsi="Arial"/>
                <w:sz w:val="14"/>
                <w:szCs w:val="14"/>
                <w:color w:val="auto"/>
              </w:rPr>
              <w:t>n=22</w:t>
            </w:r>
          </w:p>
        </w:tc>
        <w:tc>
          <w:tcPr>
            <w:tcW w:w="80" w:type="dxa"/>
            <w:vAlign w:val="bottom"/>
          </w:tcPr>
          <w:p>
            <w:pPr>
              <w:spacing w:after="0"/>
              <w:rPr>
                <w:sz w:val="14"/>
                <w:szCs w:val="14"/>
                <w:color w:val="auto"/>
              </w:rPr>
            </w:pPr>
          </w:p>
        </w:tc>
        <w:tc>
          <w:tcPr>
            <w:tcW w:w="1240" w:type="dxa"/>
            <w:vAlign w:val="bottom"/>
          </w:tcPr>
          <w:p>
            <w:pPr>
              <w:ind w:left="320"/>
              <w:spacing w:after="0" w:line="162" w:lineRule="exact"/>
              <w:rPr>
                <w:sz w:val="20"/>
                <w:szCs w:val="20"/>
                <w:color w:val="auto"/>
              </w:rPr>
            </w:pPr>
            <w:r>
              <w:rPr>
                <w:rFonts w:ascii="Arial" w:cs="Arial" w:eastAsia="Arial" w:hAnsi="Arial"/>
                <w:sz w:val="14"/>
                <w:szCs w:val="14"/>
                <w:color w:val="auto"/>
              </w:rPr>
              <w:t>mITT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n=22</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4"/>
                <w:szCs w:val="14"/>
                <w:color w:val="auto"/>
              </w:rPr>
              <w:t>Completers</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w:t>
            </w:r>
          </w:p>
        </w:tc>
        <w:tc>
          <w:tcPr>
            <w:tcW w:w="820" w:type="dxa"/>
            <w:vAlign w:val="bottom"/>
          </w:tcPr>
          <w:p>
            <w:pPr>
              <w:ind w:left="120"/>
              <w:spacing w:after="0"/>
              <w:rPr>
                <w:sz w:val="20"/>
                <w:szCs w:val="20"/>
                <w:color w:val="auto"/>
              </w:rPr>
            </w:pPr>
            <w:r>
              <w:rPr>
                <w:rFonts w:ascii="Arial" w:cs="Arial" w:eastAsia="Arial" w:hAnsi="Arial"/>
                <w:sz w:val="14"/>
                <w:szCs w:val="14"/>
                <w:color w:val="auto"/>
              </w:rPr>
              <w:t>n=12</w:t>
            </w:r>
          </w:p>
        </w:tc>
        <w:tc>
          <w:tcPr>
            <w:tcW w:w="100" w:type="dxa"/>
            <w:vAlign w:val="bottom"/>
          </w:tcPr>
          <w:p>
            <w:pPr>
              <w:spacing w:after="0"/>
              <w:rPr>
                <w:sz w:val="16"/>
                <w:szCs w:val="16"/>
                <w:color w:val="auto"/>
              </w:rPr>
            </w:pPr>
          </w:p>
        </w:tc>
        <w:tc>
          <w:tcPr>
            <w:tcW w:w="2100" w:type="dxa"/>
            <w:vAlign w:val="bottom"/>
            <w:gridSpan w:val="2"/>
          </w:tcPr>
          <w:p>
            <w:pPr>
              <w:jc w:val="center"/>
              <w:spacing w:after="0" w:line="189" w:lineRule="exact"/>
              <w:rPr>
                <w:sz w:val="20"/>
                <w:szCs w:val="20"/>
                <w:color w:val="auto"/>
              </w:rPr>
            </w:pPr>
            <w:r>
              <w:rPr>
                <w:rFonts w:ascii="Arial" w:cs="Arial" w:eastAsia="Arial" w:hAnsi="Arial"/>
                <w:sz w:val="14"/>
                <w:szCs w:val="14"/>
                <w:color w:val="auto"/>
                <w:w w:val="95"/>
              </w:rPr>
              <w:t>Completers</w:t>
            </w:r>
            <w:r>
              <w:rPr>
                <w:rFonts w:ascii="Arial" w:cs="Arial" w:eastAsia="Arial" w:hAnsi="Arial"/>
                <w:sz w:val="19"/>
                <w:szCs w:val="19"/>
                <w:color w:val="auto"/>
                <w:w w:val="95"/>
                <w:vertAlign w:val="superscript"/>
              </w:rPr>
              <w:t>(2 )</w:t>
            </w:r>
            <w:r>
              <w:rPr>
                <w:rFonts w:ascii="Arial" w:cs="Arial" w:eastAsia="Arial" w:hAnsi="Arial"/>
                <w:sz w:val="14"/>
                <w:szCs w:val="14"/>
                <w:color w:val="auto"/>
                <w:w w:val="95"/>
              </w:rPr>
              <w:t xml:space="preserve"> :  n=18</w:t>
            </w:r>
          </w:p>
        </w:tc>
        <w:tc>
          <w:tcPr>
            <w:tcW w:w="80" w:type="dxa"/>
            <w:vAlign w:val="bottom"/>
          </w:tcPr>
          <w:p>
            <w:pPr>
              <w:spacing w:after="0"/>
              <w:rPr>
                <w:sz w:val="16"/>
                <w:szCs w:val="16"/>
                <w:color w:val="auto"/>
              </w:rPr>
            </w:pPr>
          </w:p>
        </w:tc>
        <w:tc>
          <w:tcPr>
            <w:tcW w:w="1240" w:type="dxa"/>
            <w:vAlign w:val="bottom"/>
          </w:tcPr>
          <w:p>
            <w:pPr>
              <w:ind w:left="300"/>
              <w:spacing w:after="0" w:line="189" w:lineRule="exact"/>
              <w:rPr>
                <w:sz w:val="20"/>
                <w:szCs w:val="20"/>
                <w:color w:val="auto"/>
              </w:rPr>
            </w:pPr>
            <w:r>
              <w:rPr>
                <w:rFonts w:ascii="Arial" w:cs="Arial" w:eastAsia="Arial" w:hAnsi="Arial"/>
                <w:sz w:val="14"/>
                <w:szCs w:val="14"/>
                <w:color w:val="auto"/>
                <w:w w:val="96"/>
              </w:rPr>
              <w:t>Completers</w:t>
            </w:r>
            <w:r>
              <w:rPr>
                <w:rFonts w:ascii="Arial" w:cs="Arial" w:eastAsia="Arial" w:hAnsi="Arial"/>
                <w:sz w:val="19"/>
                <w:szCs w:val="19"/>
                <w:color w:val="auto"/>
                <w:w w:val="96"/>
                <w:vertAlign w:val="superscript"/>
              </w:rPr>
              <w:t>(2)</w:t>
            </w:r>
            <w:r>
              <w:rPr>
                <w:rFonts w:ascii="Arial" w:cs="Arial" w:eastAsia="Arial" w:hAnsi="Arial"/>
                <w:sz w:val="14"/>
                <w:szCs w:val="14"/>
                <w:color w:val="auto"/>
                <w:w w:val="96"/>
              </w:rPr>
              <w:t xml:space="preserve"> :</w:t>
            </w: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n=20</w:t>
            </w:r>
          </w:p>
        </w:tc>
        <w:tc>
          <w:tcPr>
            <w:tcW w:w="0" w:type="dxa"/>
            <w:vAlign w:val="bottom"/>
          </w:tcPr>
          <w:p>
            <w:pPr>
              <w:spacing w:after="0"/>
              <w:rPr>
                <w:sz w:val="1"/>
                <w:szCs w:val="1"/>
                <w:color w:val="auto"/>
              </w:rPr>
            </w:pPr>
          </w:p>
        </w:tc>
      </w:tr>
      <w:tr>
        <w:trPr>
          <w:trHeight w:val="169"/>
        </w:trPr>
        <w:tc>
          <w:tcPr>
            <w:tcW w:w="4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9"/>
                <w:szCs w:val="19"/>
                <w:i w:val="1"/>
                <w:iCs w:val="1"/>
                <w:color w:val="auto"/>
                <w:vertAlign w:val="superscript"/>
              </w:rPr>
              <w:t>(3)</w:t>
            </w: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ind w:left="160"/>
              <w:spacing w:after="0" w:line="169"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9"/>
                <w:szCs w:val="19"/>
                <w:i w:val="1"/>
                <w:iCs w:val="1"/>
                <w:color w:val="auto"/>
                <w:vertAlign w:val="superscript"/>
              </w:rPr>
              <w:t>(3)</w:t>
            </w: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Other Key Analyses</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0"/>
              <w:spacing w:after="0"/>
              <w:rPr>
                <w:sz w:val="20"/>
                <w:szCs w:val="20"/>
                <w:color w:val="auto"/>
              </w:rPr>
            </w:pPr>
            <w:r>
              <w:rPr>
                <w:rFonts w:ascii="Arial" w:cs="Arial" w:eastAsia="Arial" w:hAnsi="Arial"/>
                <w:sz w:val="18"/>
                <w:szCs w:val="18"/>
                <w:color w:val="auto"/>
              </w:rPr>
              <w:t>Mean change in seven-day mean WI-NRS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60"/>
              <w:spacing w:after="0"/>
              <w:rPr>
                <w:sz w:val="20"/>
                <w:szCs w:val="20"/>
                <w:color w:val="auto"/>
              </w:rPr>
            </w:pPr>
            <w:r>
              <w:rPr>
                <w:rFonts w:ascii="Arial" w:cs="Arial" w:eastAsia="Arial" w:hAnsi="Arial"/>
                <w:sz w:val="18"/>
                <w:szCs w:val="18"/>
                <w:color w:val="auto"/>
              </w:rPr>
              <w:t>scores in mITT population</w:t>
            </w:r>
          </w:p>
        </w:tc>
        <w:tc>
          <w:tcPr>
            <w:tcW w:w="1420" w:type="dxa"/>
            <w:vAlign w:val="bottom"/>
            <w:gridSpan w:val="2"/>
          </w:tcPr>
          <w:p>
            <w:pPr>
              <w:jc w:val="right"/>
              <w:ind w:right="229"/>
              <w:spacing w:after="0"/>
              <w:rPr>
                <w:sz w:val="20"/>
                <w:szCs w:val="20"/>
                <w:color w:val="auto"/>
              </w:rPr>
            </w:pPr>
            <w:r>
              <w:rPr>
                <w:rFonts w:ascii="Arial" w:cs="Arial" w:eastAsia="Arial" w:hAnsi="Arial"/>
                <w:sz w:val="18"/>
                <w:szCs w:val="18"/>
                <w:color w:val="auto"/>
              </w:rPr>
              <w:t>(2.51 )</w:t>
            </w:r>
          </w:p>
        </w:tc>
        <w:tc>
          <w:tcPr>
            <w:tcW w:w="820" w:type="dxa"/>
            <w:vAlign w:val="bottom"/>
          </w:tcPr>
          <w:p>
            <w:pPr>
              <w:ind w:left="220"/>
              <w:spacing w:after="0"/>
              <w:rPr>
                <w:sz w:val="20"/>
                <w:szCs w:val="20"/>
                <w:color w:val="auto"/>
              </w:rPr>
            </w:pPr>
            <w:r>
              <w:rPr>
                <w:rFonts w:ascii="Arial" w:cs="Arial" w:eastAsia="Arial" w:hAnsi="Arial"/>
                <w:sz w:val="18"/>
                <w:szCs w:val="18"/>
                <w:color w:val="auto"/>
                <w:w w:val="88"/>
              </w:rPr>
              <w:t>p=0.083</w:t>
            </w:r>
          </w:p>
        </w:tc>
        <w:tc>
          <w:tcPr>
            <w:tcW w:w="1280" w:type="dxa"/>
            <w:vAlign w:val="bottom"/>
            <w:gridSpan w:val="2"/>
          </w:tcPr>
          <w:p>
            <w:pPr>
              <w:jc w:val="right"/>
              <w:ind w:right="109"/>
              <w:spacing w:after="0"/>
              <w:rPr>
                <w:sz w:val="20"/>
                <w:szCs w:val="20"/>
                <w:color w:val="auto"/>
              </w:rPr>
            </w:pPr>
            <w:r>
              <w:rPr>
                <w:rFonts w:ascii="Arial" w:cs="Arial" w:eastAsia="Arial" w:hAnsi="Arial"/>
                <w:sz w:val="18"/>
                <w:szCs w:val="18"/>
                <w:color w:val="auto"/>
              </w:rPr>
              <w:t>(2.14 )</w:t>
            </w:r>
          </w:p>
        </w:tc>
        <w:tc>
          <w:tcPr>
            <w:tcW w:w="920" w:type="dxa"/>
            <w:vAlign w:val="bottom"/>
          </w:tcPr>
          <w:p>
            <w:pPr>
              <w:ind w:left="300"/>
              <w:spacing w:after="0"/>
              <w:rPr>
                <w:sz w:val="20"/>
                <w:szCs w:val="20"/>
                <w:color w:val="auto"/>
              </w:rPr>
            </w:pPr>
            <w:r>
              <w:rPr>
                <w:rFonts w:ascii="Arial" w:cs="Arial" w:eastAsia="Arial" w:hAnsi="Arial"/>
                <w:sz w:val="18"/>
                <w:szCs w:val="18"/>
                <w:color w:val="auto"/>
                <w:w w:val="91"/>
              </w:rPr>
              <w:t>p=0.354</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2"/>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mean change in seven</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-day mean WI-NRS scores in completer</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population</w:t>
            </w:r>
          </w:p>
        </w:tc>
        <w:tc>
          <w:tcPr>
            <w:tcW w:w="142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(3.43 )</w:t>
            </w:r>
          </w:p>
        </w:tc>
        <w:tc>
          <w:tcPr>
            <w:tcW w:w="8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8"/>
              </w:rPr>
              <w:t>p=0.025</w:t>
            </w:r>
          </w:p>
        </w:tc>
        <w:tc>
          <w:tcPr>
            <w:tcW w:w="128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(2.52 )</w:t>
            </w:r>
          </w:p>
        </w:tc>
        <w:tc>
          <w:tcPr>
            <w:tcW w:w="9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1"/>
              </w:rPr>
              <w:t>p=0.491</w:t>
            </w:r>
          </w:p>
        </w:tc>
        <w:tc>
          <w:tcPr>
            <w:tcW w:w="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15"/>
        </w:trPr>
        <w:tc>
          <w:tcPr>
            <w:tcW w:w="4700" w:type="dxa"/>
            <w:vAlign w:val="bottom"/>
          </w:tcPr>
          <w:p>
            <w:pPr>
              <w:ind w:left="20"/>
              <w:spacing w:after="0"/>
              <w:rPr>
                <w:sz w:val="20"/>
                <w:szCs w:val="20"/>
                <w:color w:val="auto"/>
              </w:rPr>
            </w:pPr>
            <w:r>
              <w:rPr>
                <w:rFonts w:ascii="Arial" w:cs="Arial" w:eastAsia="Arial" w:hAnsi="Arial"/>
                <w:sz w:val="18"/>
                <w:szCs w:val="18"/>
                <w:color w:val="auto"/>
              </w:rPr>
              <w:t>Mean change in total ItchyQoL score in</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60"/>
              <w:spacing w:after="0"/>
              <w:rPr>
                <w:sz w:val="20"/>
                <w:szCs w:val="20"/>
                <w:color w:val="auto"/>
              </w:rPr>
            </w:pPr>
            <w:r>
              <w:rPr>
                <w:rFonts w:ascii="Arial" w:cs="Arial" w:eastAsia="Arial" w:hAnsi="Arial"/>
                <w:sz w:val="18"/>
                <w:szCs w:val="18"/>
                <w:color w:val="auto"/>
              </w:rPr>
              <w:t>mITT population</w:t>
            </w:r>
          </w:p>
        </w:tc>
        <w:tc>
          <w:tcPr>
            <w:tcW w:w="1420" w:type="dxa"/>
            <w:vAlign w:val="bottom"/>
            <w:gridSpan w:val="2"/>
          </w:tcPr>
          <w:p>
            <w:pPr>
              <w:jc w:val="right"/>
              <w:ind w:right="229"/>
              <w:spacing w:after="0"/>
              <w:rPr>
                <w:sz w:val="20"/>
                <w:szCs w:val="20"/>
                <w:color w:val="auto"/>
              </w:rPr>
            </w:pPr>
            <w:r>
              <w:rPr>
                <w:rFonts w:ascii="Arial" w:cs="Arial" w:eastAsia="Arial" w:hAnsi="Arial"/>
                <w:sz w:val="18"/>
                <w:szCs w:val="18"/>
                <w:color w:val="auto"/>
              </w:rPr>
              <w:t>(13.83 )</w:t>
            </w:r>
          </w:p>
        </w:tc>
        <w:tc>
          <w:tcPr>
            <w:tcW w:w="820" w:type="dxa"/>
            <w:vAlign w:val="bottom"/>
          </w:tcPr>
          <w:p>
            <w:pPr>
              <w:ind w:left="220"/>
              <w:spacing w:after="0"/>
              <w:rPr>
                <w:sz w:val="20"/>
                <w:szCs w:val="20"/>
                <w:color w:val="auto"/>
              </w:rPr>
            </w:pPr>
            <w:r>
              <w:rPr>
                <w:rFonts w:ascii="Arial" w:cs="Arial" w:eastAsia="Arial" w:hAnsi="Arial"/>
                <w:sz w:val="18"/>
                <w:szCs w:val="18"/>
                <w:color w:val="auto"/>
                <w:w w:val="88"/>
              </w:rPr>
              <w:t>p=0.022</w:t>
            </w:r>
          </w:p>
        </w:tc>
        <w:tc>
          <w:tcPr>
            <w:tcW w:w="1280" w:type="dxa"/>
            <w:vAlign w:val="bottom"/>
            <w:gridSpan w:val="2"/>
          </w:tcPr>
          <w:p>
            <w:pPr>
              <w:jc w:val="right"/>
              <w:ind w:right="109"/>
              <w:spacing w:after="0"/>
              <w:rPr>
                <w:sz w:val="20"/>
                <w:szCs w:val="20"/>
                <w:color w:val="auto"/>
              </w:rPr>
            </w:pPr>
            <w:r>
              <w:rPr>
                <w:rFonts w:ascii="Arial" w:cs="Arial" w:eastAsia="Arial" w:hAnsi="Arial"/>
                <w:sz w:val="18"/>
                <w:szCs w:val="18"/>
                <w:color w:val="auto"/>
              </w:rPr>
              <w:t>(7.79 )</w:t>
            </w:r>
          </w:p>
        </w:tc>
        <w:tc>
          <w:tcPr>
            <w:tcW w:w="920" w:type="dxa"/>
            <w:vAlign w:val="bottom"/>
          </w:tcPr>
          <w:p>
            <w:pPr>
              <w:ind w:left="300"/>
              <w:spacing w:after="0"/>
              <w:rPr>
                <w:sz w:val="20"/>
                <w:szCs w:val="20"/>
                <w:color w:val="auto"/>
              </w:rPr>
            </w:pPr>
            <w:r>
              <w:rPr>
                <w:rFonts w:ascii="Arial" w:cs="Arial" w:eastAsia="Arial" w:hAnsi="Arial"/>
                <w:sz w:val="18"/>
                <w:szCs w:val="18"/>
                <w:color w:val="auto"/>
                <w:w w:val="91"/>
              </w:rPr>
              <w:t>p=0.373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___________</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the modified intention to treat population, which consists of all of the patients who were randomized and commenced dosing.</w:t>
      </w:r>
    </w:p>
    <w:p>
      <w:pPr>
        <w:spacing w:after="0" w:line="12"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the patients who completed the 10-week course of treatment.</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p-values compare treatment group to placebo. Only the primary endpoint was powered for statistical significance.</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Primary endpoint of the trial.</w:t>
      </w:r>
    </w:p>
    <w:p>
      <w:pPr>
        <w:spacing w:after="0" w:line="24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 xml:space="preserve">In the trial, a significantly greater number of patients reported improvement in WI-NRS with 50% of the completers in the 162 mg arm reported at least a 50% reduction in WI-NRS score from baseline, as compared to 20% of the completers in the placebo arm (p=0.028), although this analysis was not powered for statistical significance. Importantly, the patients in the 162 mg arm had a mean baseline WI-NRS score of 8.05; therefore a 50% reduction in WI-NRS score from baseline for patients in this arm was comparable to a 4-point reduction in WI-NRS score, the primary efficacy endpoint of our ongoing Phase 2b/3 PRISM trial. While the primary endpoint of the trial demonstrated a numerical but not statistically significant difference in the 162 mg arm, we believe the results for the key secondary endpoint of the proportion of patients reporting at least a 50% reduction in WI-NRS score from baseline, and the </w:t>
      </w:r>
      <w:r>
        <w:rPr>
          <w:rFonts w:ascii="Arial" w:cs="Arial" w:eastAsia="Arial" w:hAnsi="Arial"/>
          <w:sz w:val="17"/>
          <w:szCs w:val="17"/>
          <w:i w:val="1"/>
          <w:iCs w:val="1"/>
          <w:color w:val="auto"/>
        </w:rPr>
        <w:t xml:space="preserve">post hoc </w:t>
      </w:r>
      <w:r>
        <w:rPr>
          <w:rFonts w:ascii="Arial" w:cs="Arial" w:eastAsia="Arial" w:hAnsi="Arial"/>
          <w:sz w:val="17"/>
          <w:szCs w:val="17"/>
          <w:color w:val="auto"/>
        </w:rPr>
        <w:t>analysis, allow us to better understand the response of patients with prurigo nodularis to Haduvio and indicate that responders to Haduvio took the</w:t>
      </w:r>
      <w:r>
        <w:rPr>
          <w:rFonts w:ascii="Arial" w:cs="Arial" w:eastAsia="Arial" w:hAnsi="Arial"/>
          <w:sz w:val="17"/>
          <w:szCs w:val="17"/>
          <w:i w:val="1"/>
          <w:iCs w:val="1"/>
          <w:color w:val="auto"/>
        </w:rPr>
        <w:t xml:space="preserve"> </w:t>
      </w:r>
      <w:r>
        <w:rPr>
          <w:rFonts w:ascii="Arial" w:cs="Arial" w:eastAsia="Arial" w:hAnsi="Arial"/>
          <w:sz w:val="17"/>
          <w:szCs w:val="17"/>
          <w:color w:val="auto"/>
        </w:rPr>
        <w:t>higher dose (162 mg) for longer (completers) and had a greater reduction in WI-NRS.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Safety Results</w:t>
      </w:r>
    </w:p>
    <w:p>
      <w:pPr>
        <w:spacing w:after="0" w:line="117" w:lineRule="exact"/>
        <w:rPr>
          <w:sz w:val="20"/>
          <w:szCs w:val="20"/>
          <w:color w:val="auto"/>
        </w:rPr>
      </w:pPr>
    </w:p>
    <w:p>
      <w:pPr>
        <w:ind w:right="260" w:firstLine="509"/>
        <w:spacing w:after="0" w:line="275" w:lineRule="auto"/>
        <w:rPr>
          <w:sz w:val="20"/>
          <w:szCs w:val="20"/>
          <w:color w:val="auto"/>
        </w:rPr>
      </w:pPr>
      <w:r>
        <w:rPr>
          <w:rFonts w:ascii="Arial" w:cs="Arial" w:eastAsia="Arial" w:hAnsi="Arial"/>
          <w:sz w:val="17"/>
          <w:szCs w:val="17"/>
          <w:color w:val="auto"/>
        </w:rPr>
        <w:t>Haduvio was well tolerated in the trial. No serious adverse events, or SAEs, were assessed as related to Haduvio. Two patients experienced SAEs that were assessed as unlikely to be related to Haduvio, including one patient in the Haduvio 81 mg arm of the trial whose SAEs occurred in connection with a car accident and one patient in the placebo arm with acute myeloid leukemia by bone marrow who experienced leukocytosis. The majority of treatment emergent adverse events, or TEAEs, occurred during the titration period. During the titration period, 73% of Haduvio-treated patients experienced one or more adverse events, as compared to 46% of patients receiving placebo.</w:t>
      </w:r>
    </w:p>
    <w:p>
      <w:pPr>
        <w:spacing w:after="0" w:line="6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The following table summarizes the most common TEAEs experienced by patients in the trial, indicating the percentage of the modified intention to treat, or mITT, population of each arm that reported each such TEAE, subdivided by the grade of the reported TEAEs. Grade refers to the severity of the TEAE, with grade 1 TEAEs generally including mild or asymptomatic conditions or clinical or diagnostic observations only, grade 2 TEAEs generally including moderate events or minimal, local or noninvasive intervention events and grade 3 TEAEs generally including severe or medically significant events that are not immediately life-threatening, events requiring hospitalization or prolongation of hospitalization or disabling events. There were no grade 4 or grade 5 TEAEs reported in the trial, which would generally include life-threatening or urgent intervention events and deaths. Patients were able to report multiple TEAEs and, as a result, the percentages specified below for each arm or grade do not necessarily represent the percentage of patients in the arm that experienced any TEAE or any grade of any TEAE.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TEAE</w:t>
            </w:r>
          </w:p>
        </w:tc>
        <w:tc>
          <w:tcPr>
            <w:tcW w:w="120" w:type="dxa"/>
            <w:vAlign w:val="bottom"/>
          </w:tcPr>
          <w:p>
            <w:pPr>
              <w:spacing w:after="0"/>
              <w:rPr>
                <w:sz w:val="14"/>
                <w:szCs w:val="14"/>
                <w:color w:val="auto"/>
              </w:rPr>
            </w:pPr>
          </w:p>
        </w:tc>
        <w:tc>
          <w:tcPr>
            <w:tcW w:w="222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Haduvio 162 mg</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Haduvio 81 mg</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Placebo</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(n=18)</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(n=22)</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(n=22)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Grade</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FF0FC"/>
          </w:tcPr>
          <w:p>
            <w:pPr>
              <w:jc w:val="right"/>
              <w:ind w:right="353"/>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FF0FC"/>
          </w:tcPr>
          <w:p>
            <w:pPr>
              <w:jc w:val="right"/>
              <w:ind w:right="393"/>
              <w:spacing w:after="0"/>
              <w:rPr>
                <w:sz w:val="20"/>
                <w:szCs w:val="20"/>
                <w:color w:val="auto"/>
              </w:rPr>
            </w:pPr>
            <w:r>
              <w:rPr>
                <w:rFonts w:ascii="Arial" w:cs="Arial" w:eastAsia="Arial" w:hAnsi="Arial"/>
                <w:sz w:val="18"/>
                <w:szCs w:val="18"/>
                <w:color w:val="auto"/>
              </w:rPr>
              <w:t>2</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2</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Arial" w:cs="Arial" w:eastAsia="Arial" w:hAnsi="Arial"/>
                <w:sz w:val="18"/>
                <w:szCs w:val="18"/>
                <w:color w:val="auto"/>
              </w:rPr>
              <w:t>Dizziness</w:t>
            </w:r>
          </w:p>
        </w:tc>
        <w:tc>
          <w:tcPr>
            <w:tcW w:w="1160" w:type="dxa"/>
            <w:vAlign w:val="bottom"/>
            <w:gridSpan w:val="2"/>
          </w:tcPr>
          <w:p>
            <w:pPr>
              <w:jc w:val="right"/>
              <w:ind w:right="19"/>
              <w:spacing w:after="0"/>
              <w:rPr>
                <w:sz w:val="20"/>
                <w:szCs w:val="20"/>
                <w:color w:val="auto"/>
              </w:rPr>
            </w:pPr>
            <w:r>
              <w:rPr>
                <w:rFonts w:ascii="Arial" w:cs="Arial" w:eastAsia="Arial" w:hAnsi="Arial"/>
                <w:sz w:val="18"/>
                <w:szCs w:val="18"/>
                <w:color w:val="auto"/>
              </w:rPr>
              <w:t>28 %</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11 %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
              <w:spacing w:after="0"/>
              <w:rPr>
                <w:sz w:val="20"/>
                <w:szCs w:val="20"/>
                <w:color w:val="auto"/>
              </w:rPr>
            </w:pPr>
            <w:r>
              <w:rPr>
                <w:rFonts w:ascii="Arial" w:cs="Arial" w:eastAsia="Arial" w:hAnsi="Arial"/>
                <w:sz w:val="18"/>
                <w:szCs w:val="18"/>
                <w:color w:val="auto"/>
              </w:rPr>
              <w:t>14 %</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9 %</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c>
          <w:tcPr>
            <w:tcW w:w="116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Nausea</w:t>
            </w:r>
          </w:p>
        </w:tc>
        <w:tc>
          <w:tcPr>
            <w:tcW w:w="11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17 %</w:t>
            </w:r>
          </w:p>
        </w:tc>
        <w:tc>
          <w:tcPr>
            <w:tcW w:w="118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22 %</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9 %</w:t>
            </w:r>
          </w:p>
        </w:tc>
        <w:tc>
          <w:tcPr>
            <w:tcW w:w="116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rPr>
              <w:t>9 %</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1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Arial" w:cs="Arial" w:eastAsia="Arial" w:hAnsi="Arial"/>
                <w:sz w:val="18"/>
                <w:szCs w:val="18"/>
                <w:color w:val="auto"/>
              </w:rPr>
              <w:t>Headache</w:t>
            </w:r>
          </w:p>
        </w:tc>
        <w:tc>
          <w:tcPr>
            <w:tcW w:w="1160" w:type="dxa"/>
            <w:vAlign w:val="bottom"/>
            <w:gridSpan w:val="2"/>
          </w:tcPr>
          <w:p>
            <w:pPr>
              <w:jc w:val="right"/>
              <w:ind w:right="19"/>
              <w:spacing w:after="0"/>
              <w:rPr>
                <w:sz w:val="20"/>
                <w:szCs w:val="20"/>
                <w:color w:val="auto"/>
              </w:rPr>
            </w:pPr>
            <w:r>
              <w:rPr>
                <w:rFonts w:ascii="Arial" w:cs="Arial" w:eastAsia="Arial" w:hAnsi="Arial"/>
                <w:sz w:val="18"/>
                <w:szCs w:val="18"/>
                <w:color w:val="auto"/>
              </w:rPr>
              <w:t>11 %</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17 %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
              <w:spacing w:after="0"/>
              <w:rPr>
                <w:sz w:val="20"/>
                <w:szCs w:val="20"/>
                <w:color w:val="auto"/>
              </w:rPr>
            </w:pPr>
            <w:r>
              <w:rPr>
                <w:rFonts w:ascii="Arial" w:cs="Arial" w:eastAsia="Arial" w:hAnsi="Arial"/>
                <w:sz w:val="18"/>
                <w:szCs w:val="18"/>
                <w:color w:val="auto"/>
              </w:rPr>
              <w:t>9 %</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18 %</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5 %</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Fatigue</w:t>
            </w:r>
          </w:p>
        </w:tc>
        <w:tc>
          <w:tcPr>
            <w:tcW w:w="11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11 %</w:t>
            </w:r>
          </w:p>
        </w:tc>
        <w:tc>
          <w:tcPr>
            <w:tcW w:w="1180" w:type="dxa"/>
            <w:vAlign w:val="bottom"/>
            <w:shd w:val="clear" w:color="auto" w:fill="CFF0FC"/>
          </w:tcPr>
          <w:p>
            <w:pPr>
              <w:jc w:val="right"/>
              <w:ind w:right="3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14 %</w:t>
            </w:r>
          </w:p>
        </w:tc>
        <w:tc>
          <w:tcPr>
            <w:tcW w:w="116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rPr>
              <w:t>5 %</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Open Label Extension Study</w:t>
      </w:r>
    </w:p>
    <w:p>
      <w:pPr>
        <w:spacing w:after="0" w:line="1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We completed a one-year open label extension study of our Phase 2 clinical trial in patients with prurigo nodularis in July 2017. Patients who completed the Phase 2 clinical trial were able to enroll in the extension study following a safety washout period.</w:t>
      </w:r>
    </w:p>
    <w:p>
      <w:pPr>
        <w:spacing w:after="0" w:line="62"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Haduvio was well-tolerated in the open label extension study. The most frequent adverse events related to study drug were nausea and dizziness, which were reported in seven patients (19%) each, and fatigue, which was reported in six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patients (17%). There were no treatment emergent SAEs reported that were considered related to study drug and the majority of adverse events were grade 1 or grade 2 in severity. There were no deaths reported in the study.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Ongoing Haduvio Development Work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Human Abuse Liability Study</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initiated a human abuse liability study in the fourth quarter of 2022 to compare the abuse potential of oral nalbuphine to butorphanol. The injectable version of nalbuphine is currently unscheduled in the U.S. by the Drug Enforcement Agency. The study is a randomized, double-blind, active and placebo-controlled 5-way crossover design. The study will be conducted in two parts, with the first part characterizing various butorphanol doses. One butorphanol dose will be selected to be studied in the second part of the protocol to determine the abuse potential of oral nalbuphine relative to butorphanol. We are currently completing part one of the study and we expect top-line data from the complete trial by the end of 2023.</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Hepatic Impairment Study</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We previously conducted a Phase 1b clinical trial in patients with chronic liver disease to evaluate the safety and pharmacokinetics, or PK, of Haduvio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moderate and severe hepatic impairment and there were no serious adverse events reported in the trial. We intend to use the data from the hepatic impairment study to support an NDA submission for Haduvio.</w:t>
      </w:r>
    </w:p>
    <w:p>
      <w:pPr>
        <w:spacing w:after="0" w:line="80" w:lineRule="exact"/>
        <w:rPr>
          <w:sz w:val="20"/>
          <w:szCs w:val="20"/>
          <w:color w:val="auto"/>
        </w:rPr>
      </w:pPr>
    </w:p>
    <w:p>
      <w:pPr>
        <w:ind w:right="880" w:firstLine="554"/>
        <w:spacing w:after="0" w:line="277" w:lineRule="auto"/>
        <w:rPr>
          <w:sz w:val="20"/>
          <w:szCs w:val="20"/>
          <w:color w:val="auto"/>
        </w:rPr>
      </w:pPr>
      <w:r>
        <w:rPr>
          <w:rFonts w:ascii="Arial" w:cs="Arial" w:eastAsia="Arial" w:hAnsi="Arial"/>
          <w:sz w:val="18"/>
          <w:szCs w:val="18"/>
          <w:color w:val="auto"/>
        </w:rPr>
        <w:t>We also anticipate conducting additional standard pharmacokinetic, pharmacodynamic and other studies as needed to support marketing applications for regulatory approval in the U.S. and Europe.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biopharmaceutical industry is intensely competitive and is subject to rapid and significant change. While we believe that our technology, knowledge, experience and scientific resources provide us with competitive advantages, we face potential competition from many sources, including major pharmaceutical, specialty pharmaceutical and biotechnology companies. If we are able to successfully develop and commercialize Haduvio, it would compete with existing therapies and new therapies that may become available in the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Cough in Idiopathic Pulmonary Fibrosis and Refractory Chronic Cough</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If Haduvio is approved for the treatment of chronic cough associated with IPF, we expect that it may compete with product candidates currently in clinical development for the treatment of chronic cough associated with IPF, such as orvepitant, which is being developed in a Phase 2b clinical trial by Nerre Therapeutics, and ifenprodil which is being developed in a Phase 2 clinical trial by Algernon Pharmaceuticals. We expect that it might also compete with other product candidates currently in development or submitted for approval to the FDA for the treatment of refractory chronic cough and unexplained chronic cough by companies including Merck, Shionogi, Bellus Health, and Genentech. In addition, it is possible that product candidates currently in development for the treatment of IPF could, if approved, reduce the need for therapies to treat chronic cough associated with IPF.</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Prurigo Nodularis</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are developing Haduvio for the treatment of prurigo nodularis. There are many products that are used to help manage prurigo nodularis with which we expect that Haduvio would compete if it is approved in this indication. If Haduvio is approved for the treatment of prurigo nodularis, we expect that it would compete with Dupixent (dupilumab), an injectable prescription medicine which was jointly developed by Sanofi and Regeneron and which was approved by the FDA for the treatment of prurigo nodularis in September 2022. Sanofi has announced its plans to make regulatory submissions around the world for this indication. We also expect that Haduvio would compete with a number of therapeutics that are used off-label to treat prurigo nodularis, including anti-itch creams and emollients, as well as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vixarelimab, a monoclonal antibody targeting oncostatin M receptor beta being developed by Kiniksa Pharmaceuticals; abrocitinib, an oral small molecule targeting the janus kinase 1, or JAK 1, receptor being developed by Pfizer Inc.; INCB054707, an oral small molecule targeting the JAK 1 receptor being developed by Incyte; M1880C, a topical non-steroidal anti-inflammatory drug, or NSAID, being developed by Maruho;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patients with atopic dermatitis, and in Phase 2 clinical trials for chronic kidney disease, chronic liver disease and notalgia paresthetica.</w:t>
      </w:r>
    </w:p>
    <w:p>
      <w:pPr>
        <w:spacing w:after="0" w:line="11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5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expect that Haduvio,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w:t>
      </w:r>
    </w:p>
    <w:p>
      <w:pPr>
        <w:spacing w:after="0" w:line="7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Haduvio. Our competitors also may obtain FDA or other regulatory approval for their products more rapidly than we may obtain approval for Haduvio, which could result in our competitors establishing a strong market position before we are able to enter the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 with Endo Pharmaceuticals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May 2011, we entered into an agreement with Penwest (subsequently merged into its parent, Endo) for an exclusive, worldwide, sublicensable license under certain patent rights and know-how controlled by Penwest to develop and commercialize products incorporating nalbuphine hydrochloride in any formulation, including an extended-release formulation such as Haduvio, in all fields and for any use.</w:t>
      </w:r>
    </w:p>
    <w:p>
      <w:pPr>
        <w:spacing w:after="0" w:line="76"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Under the license agreement, we paid Penwest a minimal, non-creditable, non-refundable upfront license fee. We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United States, and to pay royalties based on net sales of the licensed products by us, our affiliates and sublicensees. In addition, we are obligated to pay Endo a low-to-mid double-digit percentage of certain income we receive from sublicensees, based on the date of the definitive agreement under which the sublicense was granted.</w:t>
      </w:r>
    </w:p>
    <w:p>
      <w:pPr>
        <w:spacing w:after="0" w:line="53"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Our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w:t>
      </w:r>
    </w:p>
    <w:p>
      <w:pPr>
        <w:spacing w:after="0" w:line="80"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Under the agreement, we have granted Endo a non-exclusive, royalty-free (except for pass-through payments to third parties), sublicensable license under our relevant patent rights, to use any improvement we make to Endo’s controlled release technology, for any product other than the products under which we are licensed by Endo.</w:t>
      </w:r>
    </w:p>
    <w:p>
      <w:pPr>
        <w:spacing w:after="0" w:line="76"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Both we and Endo have the right to terminate the agreement if the other party materially breaches the agreement and fails to cure the breach within specified cure periods. Endo also has the right to terminate in the event we undergo specified bankruptcy, insolvency or liquidation events, and we have the right to terminate the agreement for our convenience at any time on 180 days’ notice to Endo.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will be revoked.</w:t>
      </w:r>
    </w:p>
    <w:p>
      <w:pPr>
        <w:spacing w:after="0" w:line="68"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Upon termination of the agreement, we must transfer to Endo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 circumstances, we will be deemed to have granted Endo a perpetual, royalty-free (except for pass-through payments to third parties), worldwide, exclusive, sublicensable license, under any improvements we made to the licensed know-how, and any related patent rights we have, to manufacture and commercialize the licensed products.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360" w:firstLine="509"/>
        <w:spacing w:after="0" w:line="301" w:lineRule="auto"/>
        <w:rPr>
          <w:sz w:val="20"/>
          <w:szCs w:val="20"/>
          <w:color w:val="auto"/>
        </w:rPr>
      </w:pPr>
      <w:r>
        <w:rPr>
          <w:rFonts w:ascii="Arial" w:cs="Arial" w:eastAsia="Arial" w:hAnsi="Arial"/>
          <w:sz w:val="16"/>
          <w:szCs w:val="16"/>
          <w:color w:val="auto"/>
        </w:rPr>
        <w:t>We currently contract with third parties for the supply of nalbuphine hydrochloride drug substance and the manufacture of Haduvio tablets for clinical trials and intend to do so for clinical and commercial supply in the future. We do not own or operate facilities for the production of clinical or commercial quantities of drug substance or drug product. We currently have no plans to build our own clinical or commercial scale manufacturing capabilities. Although we rely on contract manufacturers, we have personnel with experience to oversee our relationships with contract manufacturers.</w:t>
      </w:r>
    </w:p>
    <w:p>
      <w:pPr>
        <w:spacing w:after="0" w:line="4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Haduvio is manufactured from readily available starting materials using established, scalable processes that do not require any special equipment or technology. Nalbuphine hydrochloride drug substance is commercially available and manufactured at production scale. Haduvio tablets are currently manufactured at a scale sufficient for use in clinical trials. Process development work is also being planned.</w:t>
      </w:r>
    </w:p>
    <w:p>
      <w:pPr>
        <w:spacing w:after="0" w:line="76"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We believe that our current suppliers and manufacturers have the capacity to support commercial scale production of Haduvio,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could result in additional cost or delay.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Operations</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have retained worldwide commercial rights for Haduvio. If Haduvio receives marketing approval from the FDA for chronic cough in adults with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Haduvio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53"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As of December 31, 2022, we owned four U.S. patents, eight foreign patents and multiple pending U.S. and foreign patent applications that include claims relating to methods of use of Haduvio. In March 2023, we received a Notice of Allowance for the U.S. patent application covering the use of Haduvio for the treatment of chronic cough in IPF. The issued patents expire between 2032 and 2039 and the patent applications, if issued as patents, in the patent application for which we were issued a Notice of Allowance, would expire between 2032 and 2041.</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we are party to an exclusive license agreement with Endo under which we have licensed patent rights and know-how to develop and commercialize products incorporating nalbuphine hydrochloride in any formulation, including Haduvio. As of December 31, 2022, the intellectual property in-licensed under this agreement included six U.S. patents and four foreign patents, which include granted European patent rights that have been validated in various European Union, or E.U., member states. The licensed patents from Endo include claims relating to the formulation of Haduvio. These patents expire between 2026 and 2029.</w:t>
      </w:r>
    </w:p>
    <w:p>
      <w:pPr>
        <w:spacing w:after="0" w:line="80"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 addition, we have in-licensed three issued U.S. patents, one issued European patent, one Japanese patent, one issued Canadian patent and a pending application in the U.S. These patents and the patent application relate to the use of nalbuphine in various movement disorders. The U.S. patents expire in 2032. The Japanese, European and Canadian patents expire in 2032.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own or exclusively license any composition of matter patents for Haduvio.</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terms of individual patents depend upon the legal term for patents in the countries in which they are granted. In most countries, including the U.S., the patent term is generally 20 years from the earliest claimed filing date of a nonprovisional patent application in the applicable country. In the U.S., a patent’s term may, in certain cases, be lengthened by patent term adjustment, which compensates a patentee for administrative delays by the U.S. Patent and Trademark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ind w:right="100"/>
        <w:spacing w:after="0" w:line="277" w:lineRule="auto"/>
        <w:rPr>
          <w:sz w:val="20"/>
          <w:szCs w:val="20"/>
          <w:color w:val="auto"/>
        </w:rPr>
      </w:pPr>
      <w:r>
        <w:rPr>
          <w:rFonts w:ascii="Arial" w:cs="Arial" w:eastAsia="Arial" w:hAnsi="Arial"/>
          <w:sz w:val="18"/>
          <w:szCs w:val="18"/>
          <w:color w:val="auto"/>
        </w:rPr>
        <w:t>Office, or USPTO, in examining and granting a patent, or may be shortened if a patent is terminally disclaimed over a commonly owned patent or a patent naming a common inventor and having an earlier expiration date.</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Similar provisions are available in the E.U.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84"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Haduvio or any future product candidate may have a material adverse impact on us. If third parties prepare and file patent applications in the U.S. that also claim technology to which we have rights, we may have to participate in interference or derivation proceedings in the USPTO to determine priority of invention.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U.S.</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In the U.S., drug products are regulated under the Federal Food, Drug, and Cosmetic Act, or FDCA, and applicable implementing regulations and guidance. A company, institution, or organization which takes responsibility for the initiation and management of a clinical development program for such products, and for their regulatory approval, is typically referred to as a sponsor. The failure of a sponsor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w:t>
      </w:r>
    </w:p>
    <w:p>
      <w:pPr>
        <w:spacing w:after="0" w:line="6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 sponsor seeking approval to market and distribute a new drug in the U.S. generally must satisfactorily complete each of the following steps before the FDA will consider approving the product candidate:</w:t>
      </w:r>
    </w:p>
    <w:p>
      <w:pPr>
        <w:spacing w:after="0" w:line="62" w:lineRule="exact"/>
        <w:rPr>
          <w:sz w:val="20"/>
          <w:szCs w:val="20"/>
          <w:color w:val="auto"/>
        </w:rPr>
      </w:pPr>
    </w:p>
    <w:p>
      <w:pPr>
        <w:ind w:left="900" w:right="18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62"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62"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of a clinical protocol and submission to the FDA of an IND for human clinical testing, which must become effective before human clinical trials may begin;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28" w:lineRule="exact"/>
        <w:rPr>
          <w:rFonts w:ascii="Arial" w:cs="Arial" w:eastAsia="Arial" w:hAnsi="Arial"/>
          <w:sz w:val="17"/>
          <w:szCs w:val="17"/>
          <w:color w:val="auto"/>
        </w:rPr>
      </w:pPr>
    </w:p>
    <w:p>
      <w:pPr>
        <w:ind w:left="900" w:right="12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62" w:lineRule="exact"/>
        <w:rPr>
          <w:rFonts w:ascii="Arial" w:cs="Arial" w:eastAsia="Arial" w:hAnsi="Arial"/>
          <w:sz w:val="18"/>
          <w:szCs w:val="18"/>
          <w:color w:val="auto"/>
        </w:rPr>
      </w:pPr>
    </w:p>
    <w:p>
      <w:pPr>
        <w:ind w:left="900" w:hanging="383"/>
        <w:spacing w:after="0" w:line="2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and submission to the FDA of an NDA for a drug product which includes not only the results of the clinical trials, but also, detailed information on the chemistry of and manufacture and quality controls for the product candidate and proposed labelling for one or more proposed indication(s);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ind w:left="900" w:right="40" w:hanging="383"/>
        <w:spacing w:after="0" w:line="26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75"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GCPs and the integrity of clinical data in support of the NDA;</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17"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sponsors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8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IND requirements must be met unless waived by the FDA.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w:t>
      </w:r>
    </w:p>
    <w:p>
      <w:pPr>
        <w:spacing w:after="0" w:line="69"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subjects. An IRB can suspend or terminate approval of a clinical trial at its institution, or an institution it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540"/>
        <w:spacing w:after="0" w:line="277" w:lineRule="auto"/>
        <w:rPr>
          <w:sz w:val="20"/>
          <w:szCs w:val="20"/>
          <w:color w:val="auto"/>
        </w:rPr>
      </w:pPr>
      <w:r>
        <w:rPr>
          <w:rFonts w:ascii="Arial" w:cs="Arial" w:eastAsia="Arial" w:hAnsi="Arial"/>
          <w:sz w:val="18"/>
          <w:szCs w:val="18"/>
          <w:color w:val="auto"/>
        </w:rPr>
        <w:t>represents, if the clinical trial is not being conducted in accordance with the IRB’s requirements or if the product candidate has been associated with unexpected serious harm to patients.</w:t>
      </w:r>
    </w:p>
    <w:p>
      <w:pPr>
        <w:spacing w:after="0" w:line="6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DSMB. This group provides authorization as to whether or not a trial may move forward at designated checkpoints based on review of available data from the study, to which only the DSMB maintains access. Suspension or termination of development during any phase of a clinical trial can occur if the DSMB determines that the participants or patients are being exposed to an unacceptable health risk. Other reasons for suspension or termination may be made by us based on evolving business objectives and/or competitive climate.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56"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56"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Sponsors are required to make such policies publicly available upon the earlier of initiation of a Phase 2 or Phase 3 study; or 15 days after the investigational drug or biologic receives designation as a breakthrough therapy, fast-track product, or regenerative medicine advanced therapy.</w:t>
      </w:r>
    </w:p>
    <w:p>
      <w:pPr>
        <w:spacing w:after="0" w:line="54"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4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62"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in patients. During Phase 1 clinical trials, information about the product candidate’s pharmacokinetics and pharmacological effects may be obtained to permit the design of well-controlled and scientifically valid Phase 2 clinical trials.</w:t>
      </w:r>
    </w:p>
    <w:p>
      <w:pPr>
        <w:spacing w:after="0" w:line="79"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candidate for specific targeted indications and determine dose tolerance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and optimal dosage. Multiple Phase 2 clinical trials may be conducted by the sponsor to obtain information prior to beginning larger and more costly Phase 3 clinical trials. Phase 2 clinical trials are well-controlled and closely monitored.</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clinical trials are referred to as “pivotal” trials.</w:t>
      </w:r>
    </w:p>
    <w:p>
      <w:pPr>
        <w:spacing w:after="0" w:line="6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8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December 2022, with passage of the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80"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w:t>
      </w:r>
    </w:p>
    <w:p>
      <w:pPr>
        <w:spacing w:after="0" w:line="8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8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Although the FDA has historically not enforced these reporting requirements due to the long delay of the Department of Health and Human Services, or HHS, in issuing final implementing regulations, those regulations have now been issued and the FDA has issued several Notices of Noncompliance to manufacturers since April 2021. The failure to submit clinical trial information to clinicaltrials.gov, as required, is a prohibited act under the FDCA with violations subject to potential civil monetary penalties of up to $10,000 for each day the violation continues.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Studies</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agreed plan, which may include a request for deferral or waiver of PREA requirements, is a requirement for submission of an NDA. The FDA or the sponsor may request an amendment to the plan at any time.</w:t>
      </w:r>
    </w:p>
    <w:p>
      <w:pPr>
        <w:spacing w:after="0" w:line="5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ind w:right="220"/>
        <w:spacing w:after="0" w:line="263" w:lineRule="auto"/>
        <w:rPr>
          <w:sz w:val="20"/>
          <w:szCs w:val="20"/>
          <w:color w:val="auto"/>
        </w:rPr>
      </w:pPr>
      <w:r>
        <w:rPr>
          <w:rFonts w:ascii="Arial" w:cs="Arial" w:eastAsia="Arial" w:hAnsi="Arial"/>
          <w:sz w:val="18"/>
          <w:szCs w:val="18"/>
          <w:color w:val="auto"/>
        </w:rPr>
        <w:t>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76"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The law requires the FDA to send a PREA Non-Compliance letter to sponsors who have failed to submit their pediatric assessments required under PREA, have failed to seek or obtain a deferral or deferral extension. Unless otherwise required by regulation, the pediatric data requirements do not apply to products with orphan designation, although FDA has recently taken steps to limit what it considers abuse of this statutory exemption in PREA.</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Submission and Review of an NDA</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order to obtain approval to market a drug product in the U.S., a marketing application must be submitted to the FDA that provides sufficient data establishing the safety and efficacy of the drug product for its intended indication. The 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NDA is a vehicle through which sponsors formally propose that the FDA approve a new product for marketing and sale in the U.S. for one or more indications. Every new drug product candidate must be the subject of an approved NDA before it may be commercialized in the U.S. Under federal law, the submission of most NDAs is subject to an application user fee, which for federal fiscal year 2023 is $3,242,026 for an application requiring clinical data. The sponsor of an approved NDA is also subject to an annual program fee, which for federal fiscal year 2023 is $393,933. Certain exceptions and waivers are available for some of these fees, such as a waiver for certain small businesses.</w:t>
      </w:r>
    </w:p>
    <w:p>
      <w:pPr>
        <w:spacing w:after="0" w:line="6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Following submission of an NDA, the FDA conducts a preliminary review of the application within 60 days of receipt and must inform the sponsor at that time or before whether an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the application for filing. In this event, the application must be resubmitted with the requested additional information. The resubmitted application is also subject to review before the FDA accepts it for filing.</w:t>
      </w:r>
    </w:p>
    <w:p>
      <w:pPr>
        <w:spacing w:after="0" w:line="8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Once the submission is accepted for filing, the FDA begins an in-depth substantive review. The FDA reviews the application to determine, among other things, whether the proposed product is safe and effective for its intended use, whether it has an acceptable purity profile and whether the product is being manufactured in accordance with cGMP.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w:t>
      </w:r>
    </w:p>
    <w:p>
      <w:pPr>
        <w:spacing w:after="0" w:line="84"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4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Additionally, before approving an NDA, the FDA will typically inspect one or more clinical sites to assure compliance with GCP and the integrity of the data submitted in support of the application.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7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seriousness of the disease, expected benefit of the product, expected duration of treatment, seriousness of known or potential adverse events and whether the product is an NME.</w:t>
      </w:r>
    </w:p>
    <w:p>
      <w:pPr>
        <w:spacing w:after="0" w:line="62" w:lineRule="exact"/>
        <w:rPr>
          <w:sz w:val="20"/>
          <w:szCs w:val="20"/>
          <w:color w:val="auto"/>
        </w:rPr>
      </w:pPr>
    </w:p>
    <w:p>
      <w:pPr>
        <w:ind w:right="480" w:firstLine="509"/>
        <w:spacing w:after="0" w:line="279" w:lineRule="auto"/>
        <w:rPr>
          <w:sz w:val="20"/>
          <w:szCs w:val="20"/>
          <w:color w:val="auto"/>
        </w:rPr>
      </w:pPr>
      <w:r>
        <w:rPr>
          <w:rFonts w:ascii="Arial" w:cs="Arial" w:eastAsia="Arial" w:hAnsi="Arial"/>
          <w:sz w:val="17"/>
          <w:szCs w:val="17"/>
          <w:color w:val="auto"/>
        </w:rPr>
        <w:t>The FDA may also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Expedited Review Programs</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FDA is authorized to expedite the review of NDAs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70"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3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i w:val="1"/>
          <w:iCs w:val="1"/>
          <w:color w:val="auto"/>
        </w:rPr>
        <w:t xml:space="preserve">Breakthrough Therapy designation. </w:t>
      </w:r>
      <w:r>
        <w:rPr>
          <w:rFonts w:ascii="Arial" w:cs="Arial" w:eastAsia="Arial" w:hAnsi="Arial"/>
          <w:sz w:val="18"/>
          <w:szCs w:val="18"/>
          <w:color w:val="auto"/>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80"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i w:val="1"/>
          <w:iCs w:val="1"/>
          <w:color w:val="auto"/>
        </w:rPr>
        <w:t xml:space="preserve">Priority Review. </w:t>
      </w:r>
      <w:r>
        <w:rPr>
          <w:rFonts w:ascii="Arial" w:cs="Arial" w:eastAsia="Arial" w:hAnsi="Arial"/>
          <w:sz w:val="18"/>
          <w:szCs w:val="18"/>
          <w:color w:val="auto"/>
        </w:rPr>
        <w:t>A product candidate is eligible for Priority Review if it treats a serious condition and, if approved, it would be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6"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i w:val="1"/>
          <w:iCs w:val="1"/>
          <w:color w:val="auto"/>
        </w:rPr>
        <w:t xml:space="preserve">Accelerated approval. </w:t>
      </w:r>
      <w:r>
        <w:rPr>
          <w:rFonts w:ascii="Arial" w:cs="Arial" w:eastAsia="Arial" w:hAnsi="Arial"/>
          <w:sz w:val="18"/>
          <w:szCs w:val="18"/>
          <w:color w:val="auto"/>
        </w:rPr>
        <w:t>Drug or biologic products studied for their safety and effectiveness in treating serious or life-threatening illnesses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8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an NDA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7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i w:val="1"/>
          <w:iCs w:val="1"/>
          <w:color w:val="auto"/>
        </w:rPr>
        <w:t xml:space="preserve">Regenerative advanced therapy. </w:t>
      </w:r>
      <w:r>
        <w:rPr>
          <w:rFonts w:ascii="Arial" w:cs="Arial" w:eastAsia="Arial" w:hAnsi="Arial"/>
          <w:sz w:val="17"/>
          <w:szCs w:val="17"/>
          <w:color w:val="auto"/>
        </w:rPr>
        <w:t>With passage of the 21st Century Cures Act, or the Cures Act, in December 2016, Congress authorized the FDA to</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6" w:name="page27"/>
    <w:bookmarkEnd w:id="26"/>
    <w:p>
      <w:pPr>
        <w:ind w:right="280" w:firstLine="509"/>
        <w:spacing w:after="0" w:line="277" w:lineRule="auto"/>
        <w:rPr>
          <w:sz w:val="20"/>
          <w:szCs w:val="20"/>
          <w:color w:val="auto"/>
        </w:rPr>
      </w:pPr>
      <w:r>
        <w:rPr>
          <w:rFonts w:ascii="Arial" w:cs="Arial" w:eastAsia="Arial" w:hAnsi="Arial"/>
          <w:sz w:val="18"/>
          <w:szCs w:val="18"/>
          <w:color w:val="auto"/>
        </w:rPr>
        <w:t>None of these expedited programs change the standards for approval but they may help expedite the development or approval process of product candidates.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the basis of the FDA’s evaluation of an NDA and accompanying information, including the results of the inspection of the manufacturing facilities, the FDA may issue an approval letter or a complete response letter, or CRL. 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 For those seeking to challenge FDA’s CRL decision, the agency has indicated that sponsors may request a formal hearing on the CRL or they may file a request for reconsideration or a request for a formal dispute resolution.</w:t>
      </w:r>
    </w:p>
    <w:p>
      <w:pPr>
        <w:spacing w:after="0" w:line="7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An approval letter, on the other hand, authorizes commercial marketing of the product with specific prescribing information for specific conditions. The FDA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88"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w:t>
      </w:r>
    </w:p>
    <w:p>
      <w:pPr>
        <w:spacing w:after="0" w:line="6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80" w:lineRule="exact"/>
        <w:rPr>
          <w:sz w:val="20"/>
          <w:szCs w:val="20"/>
          <w:color w:val="auto"/>
        </w:rPr>
      </w:pPr>
    </w:p>
    <w:p>
      <w:pPr>
        <w:ind w:left="900" w:hanging="38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ind w:left="900" w:right="28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which describe the types of evidence that the agency will consider in determining the intended use of a drug product.</w:t>
      </w:r>
    </w:p>
    <w:p>
      <w:pPr>
        <w:spacing w:after="0" w:line="7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Section 505(b)(2) NDAs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8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Thus, Section 505(b)(2) authorizes the FDA to approve an NDA based on safety and effectiveness data that were not developed by or for the sponsor. NDAs filed under Section 505(b)(2) may provide an alternate and potentially more expeditious pathway to FDA approval for new or improved formulations or new uses of previously approved products. If the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auto"/>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ind w:firstLine="509"/>
        <w:spacing w:after="0" w:line="254" w:lineRule="auto"/>
        <w:rPr>
          <w:sz w:val="20"/>
          <w:szCs w:val="20"/>
          <w:color w:val="auto"/>
        </w:rPr>
      </w:pPr>
      <w:r>
        <w:rPr>
          <w:rFonts w:ascii="Arial" w:cs="Arial" w:eastAsia="Arial" w:hAnsi="Arial"/>
          <w:sz w:val="18"/>
          <w:szCs w:val="18"/>
          <w:color w:val="auto"/>
        </w:rPr>
        <w:t>In order for an ANDA to be approved, the FDA must find that the generic version is identical to the reference listed drug, or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spacing w:after="0" w:line="8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Under the Hatch-Waxman Act, the FDA may not approve an ANDA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This interpretation of the FDCA by the FDA was confirmed with enactment of the Ensuring Innovation Act in April 2021.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sponsor may submit its application four years following the original product approval.</w:t>
      </w:r>
    </w:p>
    <w:p>
      <w:pPr>
        <w:spacing w:after="0" w:line="69"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sponsor and are essential to the approval of the application.</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Hatch-Waxman Act Patent Certification and the 30-Month Stay</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 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the sponsor must certify with respect to each patent that:</w:t>
      </w:r>
    </w:p>
    <w:p>
      <w:pPr>
        <w:spacing w:after="0" w:line="117" w:lineRule="exact"/>
        <w:rPr>
          <w:sz w:val="20"/>
          <w:szCs w:val="20"/>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is invalid, is unenforceable or will not be infringed by the new product.</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sponsor is not seeking approval).</w:t>
      </w:r>
    </w:p>
    <w:p>
      <w:pPr>
        <w:spacing w:after="0" w:line="7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earliest of 30 months after the receipt of the Paragraph IV notice, expiration of the patent and a decision in the infringement case that is favorable to the ANDA sponsor.</w:t>
      </w:r>
    </w:p>
    <w:p>
      <w:pPr>
        <w:spacing w:after="0" w:line="68"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6"/>
          <w:szCs w:val="16"/>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ind w:right="800"/>
        <w:spacing w:after="0" w:line="277" w:lineRule="auto"/>
        <w:rPr>
          <w:sz w:val="20"/>
          <w:szCs w:val="20"/>
          <w:color w:val="auto"/>
        </w:rPr>
      </w:pPr>
      <w:r>
        <w:rPr>
          <w:rFonts w:ascii="Arial" w:cs="Arial" w:eastAsia="Arial" w:hAnsi="Arial"/>
          <w:sz w:val="18"/>
          <w:szCs w:val="18"/>
          <w:color w:val="auto"/>
        </w:rPr>
        <w:t>Paragraph IV certification and subsequent patent infringement suit, until the earliest of 30 months, settlement of the lawsuit and a decision in the infringement case that is favorable to the Section 505(b)(2) sponsor.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Exclusivity</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Pediatric exclusivity is a type of non-patent marketing exclusivity in the U.S. and, if granted, provides for the attachment of an additional six months of regulatory exclusivity to the term of any existing regulatory patent or exclusivity for drug products.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a similar product.</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w:t>
      </w:r>
    </w:p>
    <w:p>
      <w:pPr>
        <w:spacing w:after="0" w:line="79"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Restrictions under applicable federal and state health care laws and regulations, include 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the Foreign Corrupt Practices Act, or FCPA, which prohibits companies and their intermediaries from making, or offering or promising to make, improper payments to non-U.S. officials for the purpose of obtaining or retaining business or otherwise seeking favorable treatment; and the federal transparency requirements known as the federal Physician Payments Sunshine Act,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other healthcare providers and teaching hospitals, as well as ownership and investment interests held by physicians, and their immediate family members.</w:t>
      </w:r>
    </w:p>
    <w:p>
      <w:pPr>
        <w:spacing w:after="0" w:line="6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U.S. such as Medicare and Medicaid,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ind w:right="180"/>
        <w:spacing w:after="0" w:line="255" w:lineRule="auto"/>
        <w:rPr>
          <w:sz w:val="20"/>
          <w:szCs w:val="20"/>
          <w:color w:val="auto"/>
        </w:rPr>
      </w:pPr>
      <w:r>
        <w:rPr>
          <w:rFonts w:ascii="Arial" w:cs="Arial" w:eastAsia="Arial" w:hAnsi="Arial"/>
          <w:sz w:val="18"/>
          <w:szCs w:val="18"/>
          <w:color w:val="auto"/>
        </w:rPr>
        <w:t>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spacing w:after="0" w:line="76"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In March 2010, the U.S. Congress enacted the ACA, which, among other things, includes changes to the coverage and payment for drug products under government health care programs.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were suspended and reduced through the end of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spacing w:after="0" w:line="7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On December 14, 2018, a U.S. District Court judge in the Northern District of Texas ruled that the individual mandate portion of the ACA is an essential and inseverable feature of the PPACA, and therefore because the mandate was repealed as part of the Tax Act, the remaining provisions of the PPACA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ind w:right="1720"/>
        <w:spacing w:after="0" w:line="375" w:lineRule="auto"/>
        <w:rPr>
          <w:sz w:val="20"/>
          <w:szCs w:val="20"/>
          <w:color w:val="auto"/>
        </w:rPr>
      </w:pPr>
      <w:r>
        <w:rPr>
          <w:rFonts w:ascii="Arial" w:cs="Arial" w:eastAsia="Arial" w:hAnsi="Arial"/>
          <w:sz w:val="18"/>
          <w:szCs w:val="18"/>
          <w:color w:val="auto"/>
        </w:rPr>
        <w:t xml:space="preserve">enroll in Medicaid and the ACA; and policies that reduce affordability of coverage or financial assistance, including for dependents. </w:t>
      </w:r>
      <w:r>
        <w:rPr>
          <w:rFonts w:ascii="Arial" w:cs="Arial" w:eastAsia="Arial" w:hAnsi="Arial"/>
          <w:sz w:val="18"/>
          <w:szCs w:val="18"/>
          <w:b w:val="1"/>
          <w:bCs w:val="1"/>
          <w:i w:val="1"/>
          <w:iCs w:val="1"/>
          <w:color w:val="auto"/>
        </w:rPr>
        <w:t>Pharmaceutical Price Reforms</w:t>
      </w:r>
    </w:p>
    <w:p>
      <w:pPr>
        <w:spacing w:after="0" w:line="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73"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or PBM, service fees. It originally was set to go into effect on January 1, 2022, but with passage of the IRA (as defined below) has been delayed by Congress to January 1, 2032.</w:t>
      </w:r>
    </w:p>
    <w:p>
      <w:pPr>
        <w:spacing w:after="0" w:line="70"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On July 9, 2021, President Biden signed Executive Order 14063, which focuses on, among other things, the price of pharmaceuticals. The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73"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8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73"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ind w:right="80"/>
        <w:spacing w:after="0" w:line="257" w:lineRule="auto"/>
        <w:rPr>
          <w:sz w:val="20"/>
          <w:szCs w:val="20"/>
          <w:color w:val="auto"/>
        </w:rPr>
      </w:pPr>
      <w:r>
        <w:rPr>
          <w:rFonts w:ascii="Arial" w:cs="Arial" w:eastAsia="Arial" w:hAnsi="Arial"/>
          <w:sz w:val="18"/>
          <w:szCs w:val="18"/>
          <w:color w:val="auto"/>
        </w:rPr>
        <w:t>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w:t>
      </w:r>
    </w:p>
    <w:p>
      <w:pPr>
        <w:spacing w:after="0" w:line="11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January 31, 2022, the new Clinical Trials Regulation (EU) No 536/2014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8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7"/>
          <w:szCs w:val="17"/>
          <w:color w:val="auto"/>
        </w:rPr>
        <w:t>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or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70"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63"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in the U.S., similar requirements for posting clinical trial information are present in the E.U. (EudraCT) website: https://eudract.ema.europa.eu/ and other countries.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117" w:lineRule="exact"/>
        <w:rPr>
          <w:sz w:val="20"/>
          <w:szCs w:val="20"/>
          <w:color w:val="auto"/>
        </w:rPr>
      </w:pPr>
    </w:p>
    <w:p>
      <w:pPr>
        <w:ind w:right="160" w:firstLine="509"/>
        <w:spacing w:after="0" w:line="289"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To obtain a marketing authorization for a product under E.U. regulatory systems, a sponsor must submit an MAA either under a centralized procedure administered by the EMA or one of the procedures administered by competent authorities in the E.U. Member States (either a decentralized procedure, national procedure or mutual recognition procedure). A marketing authorization may be granted only to a sponsor established in the E.U. Regulation (EC) No 1901/2006 provides that prior to obtaining a marketing authorization in the EU, sponsors have to demonstrate compliance with all measures included in an EMA-approved Pediatric Investigation Plan, or PIP, covering all subsets of the pediatric population, unless the EMA has granted (i) a product-specific waiver, (ii) a class waiver or (iii) a deferral for one or more of the measures included in the PIP.</w:t>
      </w:r>
    </w:p>
    <w:p>
      <w:pPr>
        <w:spacing w:after="0" w:line="5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also be used in certain other cases at the request of the sponsor. We anticipate that the centralized procedure will be mandatory for the product candidates we are developing.</w:t>
      </w:r>
    </w:p>
    <w:p>
      <w:pPr>
        <w:spacing w:after="0" w:line="8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Under the centralized procedure, the CHMP is also responsible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282"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sponsor can demonstrate that it is unable to provide comprehensive data on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0" w:lineRule="exact"/>
        <w:rPr>
          <w:sz w:val="20"/>
          <w:szCs w:val="20"/>
          <w:color w:val="auto"/>
        </w:rPr>
      </w:pPr>
    </w:p>
    <w:p>
      <w:pPr>
        <w:ind w:left="900" w:right="20" w:hanging="383"/>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sponsor must complete an identified program of studies within a time period specified by the competent authority, the results of which form the basis of a reassessment of the benefit/risk profile;</w:t>
      </w:r>
    </w:p>
    <w:p>
      <w:pPr>
        <w:spacing w:after="0" w:line="62" w:lineRule="exact"/>
        <w:rPr>
          <w:rFonts w:ascii="Arial" w:cs="Arial" w:eastAsia="Arial" w:hAnsi="Arial"/>
          <w:sz w:val="18"/>
          <w:szCs w:val="18"/>
          <w:color w:val="auto"/>
        </w:rPr>
      </w:pPr>
    </w:p>
    <w:p>
      <w:pPr>
        <w:ind w:left="900" w:right="380" w:hanging="383"/>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8" w:lineRule="exact"/>
        <w:rPr>
          <w:rFonts w:ascii="Arial" w:cs="Arial" w:eastAsia="Arial" w:hAnsi="Arial"/>
          <w:sz w:val="17"/>
          <w:szCs w:val="17"/>
          <w:color w:val="auto"/>
        </w:rPr>
      </w:pPr>
    </w:p>
    <w:p>
      <w:pPr>
        <w:ind w:left="900" w:right="340" w:hanging="383"/>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6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right="20" w:firstLine="509"/>
        <w:spacing w:after="0" w:line="269"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7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58"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Data Protection in the E.U.</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 Term Extensions in the E.U. and Other Jurisdictions</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E.U. also provides for patent term extension through Supplementary Protection Certificates, or SPCs. The rules and requirements for obtaining a SPC are similar to those in the U.S.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Prior to obtaining a marketing authorization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a company actually complied with the agreed studies and measures listed in each relevant PIP. 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2" w:lineRule="exact"/>
        <w:rPr>
          <w:sz w:val="20"/>
          <w:szCs w:val="20"/>
          <w:color w:val="auto"/>
        </w:rPr>
      </w:pPr>
    </w:p>
    <w:p>
      <w:pPr>
        <w:ind w:left="900" w:right="12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2" w:lineRule="exact"/>
        <w:rPr>
          <w:rFonts w:ascii="Arial" w:cs="Arial" w:eastAsia="Arial" w:hAnsi="Arial"/>
          <w:sz w:val="18"/>
          <w:szCs w:val="18"/>
          <w:color w:val="auto"/>
        </w:rPr>
      </w:pPr>
    </w:p>
    <w:p>
      <w:pPr>
        <w:ind w:left="900" w:right="20" w:hanging="383"/>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84" w:lineRule="exact"/>
        <w:rPr>
          <w:rFonts w:ascii="Arial" w:cs="Arial" w:eastAsia="Arial" w:hAnsi="Arial"/>
          <w:sz w:val="18"/>
          <w:szCs w:val="18"/>
          <w:color w:val="auto"/>
        </w:rPr>
      </w:pPr>
    </w:p>
    <w:p>
      <w:pPr>
        <w:ind w:left="900" w:right="40" w:hanging="383"/>
        <w:spacing w:after="0" w:line="28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Brexit and the Regulatory Framework in the U.K.</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United Kingdom’s withdrawal from the EU took place on January 31, 2020. The EU and the U.K. reached an agreement on their new partnership in the Trade and Cooperation Agreement, or the Agreement, which was applied provisionally beginning on January 1, 2021 and which entered into force on May 1, 2021. The Agreement focuses primarily on free trade by ensuring no tariffs or quotas on trade in goods, including healthcare products such as medicinal products. Thereafter, the EU and the U.K. will form two separate markets governed by two distinct regulatory and legal regimes. As such, the Agreement seeks to minimize barriers to trade in goods while accepting that border checks will become inevitable as a consequence that the U.K. is no longer part of the single market. As of January 1, 2021, the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the body of EU law instruments governing medicinal products that pre-existed prior to the U.K.’s withdrawal from the EU. The MHRA may rely on a decision taken by the European Commission on the approval of a new marketing authorization via the centralized procedure until December 31, 2023.</w:t>
      </w:r>
    </w:p>
    <w:p>
      <w:pPr>
        <w:spacing w:after="0" w:line="7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Furthermore, while the Data Protection Act of 2018 in the U.K. that “implements” and complements the EU General Data Protection Regulation, or the GDPR, is now effective in the U.K., it is still unclear whether transfer of data from the EEA to the U.K. will remain lawful under the GDPR. The Trade and Cooperation Agreement provides for a transitional period during which the U.K. will be treated like an EU Member State in relation to processing and transfers of personal data for four months from January 1, 2021. This may be extended by two further months. After such period, the U.K. will be a “third country” under the GDPR unless the European Commission adopts an adequacy decision in respect of transfers of personal data to the U.K. The U.K. has already determined that it considers all of the E.U. and EEA member states to be adequate for the purposes of data protection, ensuring that data flows from the U.K. to the E.U. and EEA remain unaffected. We may, however, incur liabilities, expenses, costs, and other operational losses under the GDPR and applicable EU Member States and the U.K. privacy laws in connection with any measures we take to comply with them.</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collection, use, disclosure, transfer or other processing of personal data regarding individuals in the EU, including personal health data, is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w:t>
      </w:r>
    </w:p>
    <w:p>
      <w:pPr>
        <w:spacing w:after="0" w:line="7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Additionally,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It is unclear if and when the framework will be finalized and whether it will be challenged in court. The uncertainty around this issue may further impact our business operations in the EU.</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As of December 31, 2022, we had 25 employees, with 16 employees engaged in research and development and the remaining nine engaged in general management and administration, including finance and commercial. None of our employees are represented by labor unions or covered by collective bargaining agreements. We believe that we maintain good relations with our employees.</w:t>
      </w:r>
    </w:p>
    <w:p>
      <w:pPr>
        <w:spacing w:after="0" w:line="76"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ways that are aligned with the interests of our stockholders.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right="160" w:firstLine="509"/>
        <w:spacing w:after="0" w:line="235" w:lineRule="auto"/>
        <w:rPr>
          <w:sz w:val="20"/>
          <w:szCs w:val="20"/>
          <w:color w:val="auto"/>
        </w:rPr>
      </w:pPr>
      <w:r>
        <w:rPr>
          <w:rFonts w:ascii="Arial" w:cs="Arial" w:eastAsia="Arial" w:hAnsi="Arial"/>
          <w:sz w:val="18"/>
          <w:szCs w:val="18"/>
          <w:color w:val="auto"/>
        </w:rPr>
        <w:t>We were incorporated under the laws of the State of Delaware on March 17, 2011 under the name Trevi Therapeutics, Inc. Our principal executive offices are located at 195 Church Street,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New Haven, Connecticut 06510, and our telephone number is (203) 304-2499. Our website address is www.trevitherapeutics.com. The information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color w:val="auto"/>
        </w:rPr>
        <w:t>contained on, or that can be accessed through, our website is not a part of this Annual Report on Form 10-K. We have included our website address in this Annual Report on Form 10-K solely as an inactive textual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have incurred significant annual net losses every year since our inception. We expect to continue to incur significant and increasing net losses for at least the next several years. Our net losses were $29.2 million and $33.9 million for the years ended December 31, 2022 and 2021, respectively. As of December 31, 2022, we had an accumulated deficit of $210.1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borrowings under our prior term loan facility, proceeds from our IPO and concurrent private placement completed in May 2019, sales of our common stock pursuant to an ATM Sales Agreement, the term loan facility with Silicon Valley Bank that we entered into in August 2020, which we refer to as the SVB Term Loan, proceeds from the two private placements we completed in October 2021, or the October 2021 Private Placements, proceeds from the private placement we completed in April 2022, or the April 2022 Private Placement, proceeds from the exercise of common stock warrants that were issued in the October 2021 Private Placements and proceeds from the public offering we completed in September 2022, or the September 2022 Offering.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7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900" w:right="20" w:hanging="383"/>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and conduct clinical trials of Haduvio, including the next trials we plan to conduct for Haduvio for the treatment of chronic cough in adults with IPF, our planned Phase 2 clinical trial of Haduvio for the treatment of refractory chronic cough, and our ongoing human abuse liability, or HAL, study;</w:t>
      </w:r>
    </w:p>
    <w:p>
      <w:pPr>
        <w:spacing w:after="0" w:line="75" w:lineRule="exact"/>
        <w:rPr>
          <w:rFonts w:ascii="Arial" w:cs="Arial" w:eastAsia="Arial" w:hAnsi="Arial"/>
          <w:sz w:val="18"/>
          <w:szCs w:val="18"/>
          <w:color w:val="auto"/>
        </w:rPr>
      </w:pPr>
    </w:p>
    <w:p>
      <w:pPr>
        <w:jc w:val="both"/>
        <w:ind w:left="900" w:right="120" w:hanging="383"/>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spacing w:after="0" w:line="57" w:lineRule="exact"/>
        <w:rPr>
          <w:rFonts w:ascii="Arial" w:cs="Arial" w:eastAsia="Arial" w:hAnsi="Arial"/>
          <w:sz w:val="17"/>
          <w:szCs w:val="17"/>
          <w:color w:val="auto"/>
        </w:rPr>
      </w:pPr>
    </w:p>
    <w:p>
      <w:pPr>
        <w:ind w:left="900" w:right="260" w:hanging="383"/>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seek regulatory and marketing approvals for Haduvio for the treatment of chronic cough in adults with IPF, other chronic cough indications, and/or for the treatment of prurigo nodularis or for any future product candidate that successfully completes clinical trials, if any;</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negotiate and execute pediatric development plans and complete any post-approval commitments;</w:t>
      </w:r>
    </w:p>
    <w:p>
      <w:pPr>
        <w:spacing w:after="0" w:line="117"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900" w:right="106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manufacture of larger quantities of Haduvio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ind w:left="900" w:right="24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Haduvio and for any future product candidates.</w:t>
      </w:r>
    </w:p>
    <w:p>
      <w:pPr>
        <w:spacing w:after="0" w:line="12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prurigo nodularis, we are required, at a minimum, to successfully complete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87" w:lineRule="exact"/>
        <w:rPr>
          <w:sz w:val="20"/>
          <w:szCs w:val="20"/>
          <w:color w:val="auto"/>
        </w:rPr>
      </w:pPr>
    </w:p>
    <w:p>
      <w:pPr>
        <w:ind w:right="320" w:firstLine="509"/>
        <w:spacing w:after="0" w:line="28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5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2022 and 2021, we used net cash of $28.2 million and $28.9 million, respectively, in our operating activities, substantially all of which related to development activities for Haduvio. As of December 31, 2022, our cash, cash equivalents and marketable securities were $120.5 million. We expect our expenses to increase substantially in connection with our ongoing activities, particularly as we continue to develop Haduvio, including as we:</w:t>
      </w:r>
    </w:p>
    <w:p>
      <w:pPr>
        <w:spacing w:after="0" w:line="53"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the next trials we plan to conduct for Haduvio for the treatment of chronic cough in adults with IPF;</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our planned Phase 2 clinical trial of Haduvio for the treatment of refractory chronic cough;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 our HAL study to further characterize the abuse potential of oral nalbuphine 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In addition, we may incur additional expenses:</w:t>
      </w:r>
    </w:p>
    <w:p>
      <w:pPr>
        <w:spacing w:after="0" w:line="117"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determine to conduct an additional clinical trial for the treatment of prurigo nodularis;</w:t>
      </w:r>
    </w:p>
    <w:p>
      <w:pPr>
        <w:spacing w:after="0" w:line="117"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acquire or in-license rights to other potential product candidates or technologies and seek regulatory and marketing approvals for Haduvio or any future product candidate that successfully completes clinical trials;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result of the COVID-19 pandemic or other outbreaks of infectious disease and resulting clinical trial delays and interruptions.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84"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adults with IPF, for refractory chronic cough or for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70"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spacing w:after="0" w:line="1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In addition, under the terms of the Securities Purchase Agreements we entered into with our October 2021 Private Placements, until April 5, 2023, we are prohibited from obtaining additional financing through a variable rate transaction such as an equity line of credit. Our failure to raise capital as and when needed would have a negative impact on our financial condition and our ability to pursue our business strategy.</w:t>
      </w:r>
    </w:p>
    <w:p>
      <w:pPr>
        <w:spacing w:after="0" w:line="8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6" w:lineRule="exact"/>
        <w:rPr>
          <w:sz w:val="20"/>
          <w:szCs w:val="20"/>
          <w:color w:val="auto"/>
        </w:rPr>
      </w:pPr>
    </w:p>
    <w:p>
      <w:pPr>
        <w:ind w:left="900" w:right="40" w:hanging="383"/>
        <w:spacing w:after="0" w:line="26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including the next clinical trials for the treatment of chronic cough in adults with IPF, our planned Phase 2 clinical trial in refractory chronic cough, and our ongoing HAL study, as well as trials for any future product candidates;</w:t>
      </w:r>
    </w:p>
    <w:p>
      <w:pPr>
        <w:spacing w:after="0" w:line="75" w:lineRule="exact"/>
        <w:rPr>
          <w:rFonts w:ascii="Arial" w:cs="Arial" w:eastAsia="Arial" w:hAnsi="Arial"/>
          <w:sz w:val="18"/>
          <w:szCs w:val="18"/>
          <w:color w:val="auto"/>
        </w:rPr>
      </w:pPr>
    </w:p>
    <w:p>
      <w:pPr>
        <w:ind w:left="900" w:right="44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900" w:right="20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ongoing HAL study and a potential Thorough QT, or TQT, study;</w:t>
      </w:r>
    </w:p>
    <w:p>
      <w:pPr>
        <w:spacing w:after="0" w:line="62" w:lineRule="exact"/>
        <w:rPr>
          <w:rFonts w:ascii="Arial" w:cs="Arial" w:eastAsia="Arial" w:hAnsi="Arial"/>
          <w:sz w:val="18"/>
          <w:szCs w:val="18"/>
          <w:color w:val="auto"/>
        </w:rPr>
      </w:pPr>
    </w:p>
    <w:p>
      <w:pPr>
        <w:ind w:left="900" w:right="50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chronic cough in adults with IPF or any other chronic cough indications or for any future product candidates that receive marketing approval, if any, including the costs and timing of establishing product sales, marketing, distribution and manufacturing capabilities;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0" w:name="page41"/>
    <w:bookmarkEnd w:id="40"/>
    <w:p>
      <w:pPr>
        <w:ind w:left="900" w:right="280" w:hanging="383"/>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Haduvio for the treatment of chronic cough in adults with IPF or for any other chronic cough indications or for the treatment of prurigo nodularis, or from any future product candidates;</w:t>
      </w:r>
    </w:p>
    <w:p>
      <w:pPr>
        <w:spacing w:after="0" w:line="15" w:lineRule="exact"/>
        <w:rPr>
          <w:rFonts w:ascii="Arial" w:cs="Arial" w:eastAsia="Arial" w:hAnsi="Arial"/>
          <w:sz w:val="16"/>
          <w:szCs w:val="16"/>
          <w:color w:val="auto"/>
        </w:rPr>
      </w:pPr>
    </w:p>
    <w:p>
      <w:pPr>
        <w:ind w:left="900" w:right="100" w:hanging="383"/>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identify potential collaborators for Haduvio for the treatment of prurigo nodularis or for the treatment of chronic cough in adults with IPF or for any other chronic cough indications or for any future product candidates, and the terms and timing of any collaboration agreement that we may establish for the development and any commercialization of such product candidates;</w:t>
      </w:r>
    </w:p>
    <w:p>
      <w:pPr>
        <w:spacing w:after="0" w:line="57" w:lineRule="exact"/>
        <w:rPr>
          <w:rFonts w:ascii="Arial" w:cs="Arial" w:eastAsia="Arial" w:hAnsi="Arial"/>
          <w:sz w:val="17"/>
          <w:szCs w:val="17"/>
          <w:color w:val="auto"/>
        </w:rPr>
      </w:pPr>
    </w:p>
    <w:p>
      <w:pPr>
        <w:ind w:left="900" w:right="180" w:hanging="38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900" w:right="260" w:hanging="383"/>
        <w:spacing w:after="0" w:line="26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900" w:right="260" w:hanging="38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7" w:lineRule="exact"/>
        <w:rPr>
          <w:rFonts w:ascii="Arial" w:cs="Arial" w:eastAsia="Arial" w:hAnsi="Arial"/>
          <w:sz w:val="18"/>
          <w:szCs w:val="18"/>
          <w:color w:val="auto"/>
        </w:rPr>
      </w:pPr>
    </w:p>
    <w:p>
      <w:pPr>
        <w:ind w:left="900" w:right="560" w:hanging="38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COVID-19 pandemic and other outbreaks of infectious disease on the scope, progress, timing, costs and results of our ongoing and planned clinical trials of Haduvio.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or restrict our future operations.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August 13, 2020, we entered into a Loan and Security Agreement, or the SVB Loan Agreement with Silicon Valley Bank, or SVB, pursuant to which SVB provided a term loan to us in the original principal amount of $14.0 million, or the SVB Term Loan. The SVB Term Loan bears interest at a floating rate per annum equal to the greater of (A) the prime rate plus 3.00% and (B) 6.25%. The Federal Reserve has recently raised interest rates to combat the effects of recent high inflation and may raise interest rates further in the future. The increase in interest rates by the Federal Reserve has caused, and could in the future continue to cause, the prime rate to increase, which has increased and could in the future further increase our debt service obligations. Significant increases in such obligations could have a negative impact on our financial position or operating results, including cash available for servicing our indebtedness.</w:t>
      </w:r>
    </w:p>
    <w:p>
      <w:pPr>
        <w:spacing w:after="0" w:line="8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On the first business day of each month, we are required to make monthly interest payments and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 On March 10, 2023, the Federal Deposit Insurance Corporation (“FDIC”) issued a press release stating that Silicon Valley Bank, Santa Clara, California, (“SVB”) was closed by the California Department of Financial Protection and Innovation, which appointed the FDIC as receiver. Since March 13, 2023, SVB has operated as Silicon Valley Bridge Bank under the FDIC receivership. In light of the status of SVB and operational difficulties we have had in using SVB’s cash management platform, we have considered and may consider in the future moving our bank accounts and cash resources to other financial institutions, which action could result in SVB declaring us to be in default under the Term Loan. The remaining principal balance of the SVB Term Loan at December 31, 2022 was $8.2 million and at March 16, 2023 was $6.4 million.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7"/>
          <w:szCs w:val="17"/>
          <w:color w:val="auto"/>
        </w:rPr>
        <w:t>Our debt combined with our other financial obligations and contractual commitments could have significant adverse consequences, including:</w:t>
      </w:r>
    </w:p>
    <w:p>
      <w:pPr>
        <w:spacing w:after="0" w:line="129" w:lineRule="exact"/>
        <w:rPr>
          <w:sz w:val="20"/>
          <w:szCs w:val="20"/>
          <w:color w:val="auto"/>
        </w:rPr>
      </w:pPr>
    </w:p>
    <w:p>
      <w:pPr>
        <w:ind w:left="900" w:hanging="383"/>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us to dedicate a portion of our cash and cash equivalents to the payment of interest on and principal of our debt, which will reduce the amounts available to fund working capital, capital expenditures, product development efforts and other general corporate purposes;</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exposing us to the risk of interest rate volatility as the SVB Term Loan is subject to a floating interest rate;</w:t>
      </w:r>
    </w:p>
    <w:p>
      <w:pPr>
        <w:spacing w:after="0" w:line="117"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the negative covenants to which we are subject under the SVB Loan Agreement;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1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We intend to satisfy our debt service obligations with our existing cash, cash equivalents and marketable securities, proceeds from the exercise of any warrants from the October 2021 Private Placements,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including if we were to move our bank accounts and cash resources,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our assets, excluding our intellectual property (which is subject to a negative pledge under the SVB Loan Agreement), as collateral on the SVB Term Loan may limit our ability to obtain additional debt financing.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to increase substantially in connection with our planned operations, particularly as we:</w:t>
      </w:r>
    </w:p>
    <w:p>
      <w:pPr>
        <w:spacing w:after="0" w:line="117"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the next clinical trials we plan to conduct for Haduvio for the treatment of chronic cough in adults with IPF;</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our planned Phase 2 clinical trial of Haduvio for the treatment of refractory chronic cough;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our HAL study to further characterize the abusive potential of oral nalbuphine ER.</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9"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Our ability to obtain further debt financing may be limited by the covenants under the SVB Loan Agreement, which include a covenant not to incur additional indebtedness as well as the pledge of substantially all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8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the Development and Commercialization of Haduvio and Any Future Product Candidates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76"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currently have no products approved for sale and are investing substantially all our efforts and financial resources to fund the development and commercialization of Haduvio for the treatment of chronic cough in adults with IPF and other chronic cough indications, and for the treatment of prurigo nodularis.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6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most advanced programs are the development of Haduvio for the treatment of chronic cough in adults with IPF and for the treatment of prurigo nodularis. As a result, if our efforts to develop and commercialize Haduvio for the treatment of chronic cough in adults with IPF or other chronic cough indications or for the treatment of prurigo nodularis are unsuccessful or we experience significant delays in doing so, our business could also be substantially harmed.</w:t>
      </w:r>
    </w:p>
    <w:p>
      <w:pPr>
        <w:spacing w:after="0" w:line="7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success of Haduvio for the treatment of chronic cough in adults with IPF and other chronic cough conditions and for the treatment of prurigo nodularis will depend on several factors, including the following:</w:t>
      </w:r>
    </w:p>
    <w:p>
      <w:pPr>
        <w:spacing w:after="0" w:line="62" w:lineRule="exact"/>
        <w:rPr>
          <w:sz w:val="20"/>
          <w:szCs w:val="20"/>
          <w:color w:val="auto"/>
        </w:rPr>
      </w:pPr>
    </w:p>
    <w:p>
      <w:pPr>
        <w:ind w:left="900" w:right="160" w:hanging="383"/>
        <w:spacing w:after="0" w:line="263"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initiating and successfully recruiting, enrolling and retaining subjects in and completing additional clinical and nonclinical trials of Haduvio, including the additional clinical trials we plan to conduct for the treatment of chronic cough in adults with IPF, which are subject to the submission and clearance by the FDA of an IND;</w:t>
      </w:r>
    </w:p>
    <w:p>
      <w:pPr>
        <w:spacing w:after="0" w:line="75"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the analysis of the open-label extension portion of our Phase 2b/3 PRISM trial and determining the next steps for the program after discussions with the FDA;</w:t>
      </w:r>
    </w:p>
    <w:p>
      <w:pPr>
        <w:spacing w:after="0" w:line="62" w:lineRule="exact"/>
        <w:rPr>
          <w:rFonts w:ascii="Arial" w:cs="Arial" w:eastAsia="Arial" w:hAnsi="Arial"/>
          <w:sz w:val="18"/>
          <w:szCs w:val="18"/>
          <w:color w:val="auto"/>
        </w:rPr>
      </w:pPr>
    </w:p>
    <w:p>
      <w:pPr>
        <w:ind w:left="900" w:right="12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other supportive clinical studies such as our ongoing HAL study, a potential physical dependence study and a potential Thorough QT study;</w:t>
      </w:r>
    </w:p>
    <w:p>
      <w:pPr>
        <w:spacing w:after="0" w:line="62" w:lineRule="exact"/>
        <w:rPr>
          <w:rFonts w:ascii="Arial" w:cs="Arial" w:eastAsia="Arial" w:hAnsi="Arial"/>
          <w:sz w:val="18"/>
          <w:szCs w:val="18"/>
          <w:color w:val="auto"/>
        </w:rPr>
      </w:pPr>
    </w:p>
    <w:p>
      <w:pPr>
        <w:ind w:left="900" w:right="58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MHRA and other comparable regulatory authorities for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Haduvio;</w:t>
      </w:r>
    </w:p>
    <w:p>
      <w:pPr>
        <w:spacing w:after="0" w:line="117" w:lineRule="exact"/>
        <w:rPr>
          <w:rFonts w:ascii="Arial" w:cs="Arial" w:eastAsia="Arial" w:hAnsi="Arial"/>
          <w:sz w:val="18"/>
          <w:szCs w:val="18"/>
          <w:color w:val="auto"/>
        </w:rPr>
      </w:pPr>
    </w:p>
    <w:p>
      <w:pPr>
        <w:ind w:left="900" w:right="320" w:hanging="383"/>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maintaining and protecting our patents, trade secrets and regulatory exclusivity in the U.S. and other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establishing a focused, specialty sales organization in the U.S. and successfully launching commercial sales following any marketing approval;</w:t>
      </w:r>
    </w:p>
    <w:p>
      <w:pPr>
        <w:spacing w:after="0" w:line="140" w:lineRule="exact"/>
        <w:rPr>
          <w:rFonts w:ascii="Arial" w:cs="Arial" w:eastAsia="Arial" w:hAnsi="Arial"/>
          <w:sz w:val="16"/>
          <w:szCs w:val="16"/>
          <w:color w:val="auto"/>
        </w:rPr>
      </w:pPr>
    </w:p>
    <w:p>
      <w:pPr>
        <w:ind w:left="900" w:right="18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approach to the development and commercialization of Haduvio to treat chronic cough is unproven.</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currently focused on the development and commercialization of Haduvio for the treatment of chronic cough in adults with IPF and other chronic cough indications.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Additionally, Haduvio has not been approved in any indication. No therapies have been approved in the U.S. or Europe for the treatment of chronic cough in adults with IPF and we can provide no assurance that either Haduvio or any other future product candidate that we may seek to develop for this indication will be effective or safe, obtain regulatory approval or be commercially successful.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9"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9"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900" w:right="220" w:hanging="383"/>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subjects required for clinical trials may be larger than we anticipate, such as with the increase of the target number of enrolled subjects for our Phase 2b/3 PRISM trial from 240 to 360 subjects as a result of the sample size re-estimation, or SSRE, analysis;</w:t>
      </w:r>
    </w:p>
    <w:p>
      <w:pPr>
        <w:spacing w:after="0" w:line="15" w:lineRule="exact"/>
        <w:rPr>
          <w:rFonts w:ascii="Arial" w:cs="Arial" w:eastAsia="Arial" w:hAnsi="Arial"/>
          <w:sz w:val="16"/>
          <w:szCs w:val="16"/>
          <w:color w:val="auto"/>
        </w:rPr>
      </w:pPr>
    </w:p>
    <w:p>
      <w:pPr>
        <w:ind w:left="900" w:right="140" w:hanging="383"/>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enrollment in clinical trials may be slower than we anticipate, whether as a result of the COVID-19 pandemic or other outbreaks of infectious disease or otherwise, or participants may discontinue their participation in these clinical trials at a higher rate than we anticipate, as we experienced in our Phase 2b/3 PRISM trial of Haduvio for the treatment of prurigo nodularis;</w:t>
      </w:r>
    </w:p>
    <w:p>
      <w:pPr>
        <w:spacing w:after="0" w:line="75" w:lineRule="exact"/>
        <w:rPr>
          <w:rFonts w:ascii="Arial" w:cs="Arial" w:eastAsia="Arial" w:hAnsi="Arial"/>
          <w:sz w:val="18"/>
          <w:szCs w:val="18"/>
          <w:color w:val="auto"/>
        </w:rPr>
      </w:pPr>
    </w:p>
    <w:p>
      <w:pPr>
        <w:ind w:left="900" w:hanging="383"/>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planned clinical trials may be greater than we anticipate, such as with our Phase 2b/3 PRISM trial where we added additional sites, increased the target number of enrolled subjects, experienced enrollment that took longer than expected and used additional incentive strategies to address site activation and enrollment;</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17" w:lineRule="exact"/>
        <w:rPr>
          <w:rFonts w:ascii="Arial" w:cs="Arial" w:eastAsia="Arial" w:hAnsi="Arial"/>
          <w:sz w:val="18"/>
          <w:szCs w:val="18"/>
          <w:color w:val="auto"/>
        </w:rPr>
      </w:pPr>
    </w:p>
    <w:p>
      <w:pPr>
        <w:ind w:left="900" w:right="80" w:hanging="383"/>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900" w:right="26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00" w:right="20" w:hanging="383"/>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spacing w:after="0" w:line="75" w:lineRule="exact"/>
        <w:rPr>
          <w:rFonts w:ascii="Arial" w:cs="Arial" w:eastAsia="Arial" w:hAnsi="Arial"/>
          <w:sz w:val="18"/>
          <w:szCs w:val="18"/>
          <w:color w:val="auto"/>
        </w:rPr>
      </w:pPr>
    </w:p>
    <w:p>
      <w:pPr>
        <w:ind w:left="900" w:right="340" w:hanging="383"/>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4" w:name="page45"/>
    <w:bookmarkEnd w:id="44"/>
    <w:p>
      <w:pPr>
        <w:ind w:left="900" w:hanging="383"/>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900" w:right="120" w:hanging="383"/>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900" w:right="500" w:hanging="383"/>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900" w:right="380" w:hanging="383"/>
        <w:spacing w:after="0" w:line="263"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900" w:right="460" w:hanging="383"/>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5" w:lineRule="exact"/>
        <w:rPr>
          <w:rFonts w:ascii="Arial" w:cs="Arial" w:eastAsia="Arial" w:hAnsi="Arial"/>
          <w:sz w:val="16"/>
          <w:szCs w:val="16"/>
          <w:color w:val="auto"/>
        </w:rPr>
      </w:pPr>
    </w:p>
    <w:p>
      <w:pPr>
        <w:ind w:left="900" w:hanging="383"/>
        <w:spacing w:after="0" w:line="263"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76"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In addition to the above, the COVID-19 pandemic has adversely affected our clinical trial operations worldwide, and such pandemic or other outbreaks of infectious disease could in the future adversely affect our clinical trial operations worldwide, including our ability to recruit and retain principal investigators and site staff who, as healthcare providers, may have heightened exposure to COVID-19 or other infectious diseases. The COVID-19 pandemic has resulted and could in the future also result in further delays in our clinical trials due to prioritization of hospital and medical resources toward the pandemic, restrictions in travel, potential unwillingness of patients to enroll in trials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 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spacing w:after="0" w:line="7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28" w:lineRule="exact"/>
        <w:rPr>
          <w:rFonts w:ascii="Arial" w:cs="Arial" w:eastAsia="Arial" w:hAnsi="Arial"/>
          <w:sz w:val="17"/>
          <w:szCs w:val="17"/>
          <w:color w:val="auto"/>
        </w:rPr>
      </w:pPr>
    </w:p>
    <w:p>
      <w:pPr>
        <w:ind w:left="900" w:right="20" w:hanging="383"/>
        <w:spacing w:after="0" w:line="263"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17"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Food and Drug Omnibus Reform Act, or FDORA, Congress required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ind w:right="60"/>
        <w:spacing w:after="0" w:line="279" w:lineRule="auto"/>
        <w:rPr>
          <w:sz w:val="20"/>
          <w:szCs w:val="20"/>
          <w:color w:val="auto"/>
        </w:rPr>
      </w:pPr>
      <w:r>
        <w:rPr>
          <w:rFonts w:ascii="Arial" w:cs="Arial" w:eastAsia="Arial" w:hAnsi="Arial"/>
          <w:sz w:val="17"/>
          <w:szCs w:val="17"/>
          <w:color w:val="auto"/>
        </w:rPr>
        <w:t>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6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our development plans may be impacted.</w:t>
      </w:r>
    </w:p>
    <w:p>
      <w:pPr>
        <w:spacing w:after="0" w:line="7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failure to successfully and timely complete clinical trials of Haduvio for the treatment of chronic cough in adults with IPF or other chronic cough conditions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66"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the FDA does not believe that the results of the Phase 2b/3 PRISM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prurigo nodularis.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ind w:right="20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Due to the difficulty of objectively measuring pruritus, the assessment of pruritus in clinical trials typically involves the use of PROs. Our clinical trials evaluating the efficacy of Haduvio in pruritus indications, including our Phase 2b/3 PRISM trial,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5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addition, although the primary endpoint in our future clinical trials of Haduvio for the treatment of chronic cough in adults with IPF and other chronic cough indications is likely to be measured using an objective cough monitor, we will need to validate a supportive PRO instrument of the primary endpoint. There is not a validated PRO instrument now that has been accepted for chronic cough indications.</w:t>
      </w:r>
    </w:p>
    <w:p>
      <w:pPr>
        <w:spacing w:after="0" w:line="76"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may not be able to initiate or continue clinical trials for Haduvio or any future product candidate if we are unable to locate and enroll a sufficient number of eligible subjects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competing clinical trials;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impact of the COVID-19 pandemic and other outbreaks of infectious disease, especially in our chronic cough patient population.</w:t>
      </w:r>
    </w:p>
    <w:p>
      <w:pPr>
        <w:spacing w:after="0" w:line="12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particular, the successful completion of our clinical development program for Haduvio for the treatment of chronic cough in adults with IPF and for the treatment of prurigo nodularis is dependent upon our ability to enroll a sufficient number of subjects with these severe conditions. We experienced delays and difficulties in the enrollment of subjects in our clinical trials, including our Phase 2 CANAL trial and our Phase 2b/3 PRISM trial, which delayed the completion of our trials.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7" w:name="page48"/>
    <w:bookmarkEnd w:id="47"/>
    <w:p>
      <w:pPr>
        <w:ind w:right="40" w:firstLine="509"/>
        <w:spacing w:after="0" w:line="271" w:lineRule="auto"/>
        <w:rPr>
          <w:sz w:val="20"/>
          <w:szCs w:val="20"/>
          <w:color w:val="auto"/>
        </w:rPr>
      </w:pPr>
      <w:r>
        <w:rPr>
          <w:rFonts w:ascii="Arial" w:cs="Arial" w:eastAsia="Arial" w:hAnsi="Arial"/>
          <w:sz w:val="17"/>
          <w:szCs w:val="17"/>
          <w:color w:val="auto"/>
        </w:rPr>
        <w:t>Other companies are conducting clinical trials or have announced plans for future clinical trials that are seeking or are likely to seek to enroll patients with chronic cough associated with IPF, refractory chronic cough or prurigo nodularis, and patients are generally only able to enroll in a single trial at a time. In addition, although there are no drugs approved in the U.S. or Europe to treat chronic cough in adults with IPF or refractory chronic cough, patients with these conditions, as well as their physicians, may be reluctant to forgo, discontinue or otherwise alter their use of the therapeutic approaches they currently use in order to participate in our clinical trials. For example, patients may use Dupixent (dupilumab), an injectable prescription medicine, that was approved by the FDA for the treatment of prurigo nodularis in September 2022 or various treatments off-label for the treatment of prurigo nodularis, such as antihistamines or gabapentin; these patients and their physicians may be reluctant to forgo, discontinue or otherwise alter their use of Dupixent or any off-label therapeutic approaches to participate in our clinical trials.</w:t>
      </w:r>
    </w:p>
    <w:p>
      <w:pPr>
        <w:spacing w:after="0" w:line="70"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In response to the COVID-19 pandemic, the FDA issued numerous guidance documents and took other actions to facilitate research and development of new drug products. On January 30, 2023, the Biden Administration announced that it will end the public health emergency declarations related to COVID-19 on May 11, 2023. On January 31, 2023, the FDA indicated that it would soon issue a Federal Register notice describing how the termination of the public health emergency will impact the agency’s COVID-19 related guidance, including the clinical trial guidance and updates thereto. At this point, it is unclear how, if at all, these developments will impact our efforts to develop and commercialize our product candidates.</w:t>
      </w:r>
    </w:p>
    <w:p>
      <w:pPr>
        <w:spacing w:after="0" w:line="5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8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1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5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spacing w:after="0" w:line="74"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adults with IPF, the most frequently reported treatment emergent adverse events associated with Haduvio were nausea, fatigue, dizziness, vomiting, headache, constipation and somnolence.</w:t>
      </w:r>
    </w:p>
    <w:p>
      <w:pPr>
        <w:spacing w:after="0" w:line="7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b w:val="1"/>
          <w:bCs w:val="1"/>
          <w:i w:val="1"/>
          <w:iCs w:val="1"/>
          <w:color w:val="auto"/>
        </w:rPr>
        <w:t>The drug label for nalbuphine, the active ingredient in Haduvio, carries an opioid class label warning for serious, life-threatening or fatal respiratory depression.</w:t>
      </w:r>
    </w:p>
    <w:p>
      <w:pPr>
        <w:spacing w:after="0" w:line="62"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μ-opioid receptor antagonists such as nalbuphine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of Haduvio to assess the risk of respiratory depression in patients with IPF.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conducting a HAL study to further characterize the abuse potential of oral nalbuphine ER.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HAL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8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adults with IPF may not be predictive of the results of future trials of Haduvio for the treatment of chronic cough in adults with IPF or other chronic cough indications,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73"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 xml:space="preserve">In addition, some of our data for Haduvio for the treatment of cough and prurigo nodularis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the Phase 2 CANAL trial and a Phase 2 trial in prurigo nodularis. While we believe these data may be useful in informing the design of future Phase 3 clinical trials for Haduvio,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79"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5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50" w:name="page51"/>
    <w:bookmarkEnd w:id="50"/>
    <w:p>
      <w:pPr>
        <w:ind w:right="100"/>
        <w:spacing w:after="0" w:line="286" w:lineRule="auto"/>
        <w:rPr>
          <w:sz w:val="20"/>
          <w:szCs w:val="20"/>
          <w:color w:val="auto"/>
        </w:rPr>
      </w:pPr>
      <w:r>
        <w:rPr>
          <w:rFonts w:ascii="Arial" w:cs="Arial" w:eastAsia="Arial" w:hAnsi="Arial"/>
          <w:sz w:val="17"/>
          <w:szCs w:val="17"/>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5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9" w:lineRule="exact"/>
        <w:rPr>
          <w:sz w:val="20"/>
          <w:szCs w:val="20"/>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that the DEA could determine that Haduvio should be classified as a controlled substance;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1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spacing w:after="0" w:line="8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ind w:right="220"/>
        <w:spacing w:after="0" w:line="277" w:lineRule="auto"/>
        <w:rPr>
          <w:sz w:val="20"/>
          <w:szCs w:val="20"/>
          <w:color w:val="auto"/>
        </w:rPr>
      </w:pPr>
      <w:r>
        <w:rPr>
          <w:rFonts w:ascii="Arial" w:cs="Arial" w:eastAsia="Arial" w:hAnsi="Arial"/>
          <w:sz w:val="18"/>
          <w:szCs w:val="18"/>
          <w:color w:val="auto"/>
        </w:rPr>
        <w:t>through collaboration, licensing or other royalty arrangements in cases in which it would have been more advantageous for us to retain sole development and commercialization rights to the product candidate.</w:t>
      </w:r>
    </w:p>
    <w:p>
      <w:pPr>
        <w:spacing w:after="0" w:line="6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adults with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69"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7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8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If Haduvio is approved for the treatment of chronic cough in adults with IPF, we expect that it may compete with product candidates currently in clinical development for the treatment of chronic cough in adults with IPF, such as orvepitant, which is being developed by Nerre Therapeutics, and ifenprodil, which is being developed by Algernon Pharmaceuticals. We expect that it might also compete with other product candidates currently in development, or submitted for approval to the FDA, for the treatment of refractory chronic cough and unexplained chronic cough by companies including Merck, Shionogi, Bellus Health, and Genentech. In addition, it is possible that product candidates currently in development for the treatment of IPF could, if approved, reduce the need for therapies to treat chronic cough in adults with IPF.</w:t>
      </w:r>
    </w:p>
    <w:p>
      <w:pPr>
        <w:spacing w:after="0" w:line="70" w:lineRule="exact"/>
        <w:rPr>
          <w:sz w:val="20"/>
          <w:szCs w:val="20"/>
          <w:color w:val="auto"/>
        </w:rPr>
      </w:pPr>
    </w:p>
    <w:p>
      <w:pPr>
        <w:ind w:right="880" w:firstLine="509"/>
        <w:spacing w:after="0" w:line="277" w:lineRule="auto"/>
        <w:rPr>
          <w:sz w:val="20"/>
          <w:szCs w:val="20"/>
          <w:color w:val="auto"/>
        </w:rPr>
      </w:pPr>
      <w:r>
        <w:rPr>
          <w:rFonts w:ascii="Arial" w:cs="Arial" w:eastAsia="Arial" w:hAnsi="Arial"/>
          <w:sz w:val="18"/>
          <w:szCs w:val="18"/>
          <w:color w:val="auto"/>
        </w:rPr>
        <w:t>If Haduvio is approved for the treatment of prurigo nodularis, we expect that it would compete with Dupixent (dupilumab), an injectable prescription medicine which was jointly developed by Sanofi and Regeneron and which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line="268" w:lineRule="auto"/>
        <w:rPr>
          <w:sz w:val="20"/>
          <w:szCs w:val="20"/>
          <w:color w:val="auto"/>
        </w:rPr>
      </w:pPr>
      <w:r>
        <w:rPr>
          <w:rFonts w:ascii="Arial" w:cs="Arial" w:eastAsia="Arial" w:hAnsi="Arial"/>
          <w:sz w:val="17"/>
          <w:szCs w:val="17"/>
          <w:color w:val="auto"/>
        </w:rPr>
        <w:t>approved by the FDA for the treatment of prurigo nodularis in September 2022. Sanofi has announced its plans to make regulatory submissions around the world for this indication. We also expect that Haduvio would compete with a number of therapeutics that are used off-label to treat prurigo nodularis, including anti-itch creams and emollients,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vixarelimab, a monoclonal antibody targeting oncostatin M receptor beta being developed by Kiniksa Pharmaceuticals; abrocitinib, an oral small molecule targeting the janus kinase 1, or JAK1, receptor being developed by Pfizer Inc.; INCB054707, an oral small molecule targeting the JAK 1 receptor being developed by Incyte; M1880C, a topical non-steroidal anti-inflammatory drug, or NSAID, being developed by Maruho;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spacing w:after="0" w:line="78"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5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5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ind w:right="140" w:firstLine="509"/>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80" w:lineRule="exact"/>
        <w:rPr>
          <w:sz w:val="20"/>
          <w:szCs w:val="20"/>
          <w:color w:val="auto"/>
        </w:rPr>
      </w:pPr>
    </w:p>
    <w:p>
      <w:pPr>
        <w:ind w:right="320" w:firstLine="509"/>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53"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7" w:lineRule="exact"/>
        <w:rPr>
          <w:sz w:val="20"/>
          <w:szCs w:val="20"/>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$7.0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We do not independently conduct clinical trials of our product candidate. We rely and expect to continue to rely on third parties, such as contract research organizations, or CROs, clinical data management organizations, medical institutions and clinical investigators, to conduct our clinical trials of Haduvio and any future product candidate that we may develop.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ind w:right="160"/>
        <w:spacing w:after="0" w:line="259" w:lineRule="auto"/>
        <w:rPr>
          <w:sz w:val="20"/>
          <w:szCs w:val="20"/>
          <w:color w:val="auto"/>
        </w:rPr>
      </w:pPr>
      <w:r>
        <w:rPr>
          <w:rFonts w:ascii="Arial" w:cs="Arial" w:eastAsia="Arial" w:hAnsi="Arial"/>
          <w:sz w:val="18"/>
          <w:szCs w:val="18"/>
          <w:color w:val="auto"/>
        </w:rPr>
        <w:t>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7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71"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also be impacted by developments in the COVID-19 pandemic or other outbreaks of infectious disease, or government measures taken in response to the pandemic or other such outbreaks,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6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Haduvio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7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900" w:right="20" w:hanging="383"/>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Haduvio or any future product candidates, experience supply chain-related delays,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ind w:left="900" w:right="400" w:hanging="383"/>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We do not have long-term supply agreements with any of our contract manufacturers. If any of our existing manufacturers should become unavailable to us for any reason or fail to supply us with the ordered quantities, including as a result of the COVID-19 pandemic or other outbreaks of infectious disease, or government measures taken in response to the pandemic or other such outbreaks,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8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It is currently uncertain what impact, if any, Mallinckrodt’s bankruptcy filing and the associated reorganization plan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spacing w:after="0" w:line="80"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73"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56"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6" w:name="page57"/>
    <w:bookmarkEnd w:id="56"/>
    <w:p>
      <w:pPr>
        <w:ind w:right="80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adults with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6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If we establish one or more collaborations, all the risks relating to product development, regulatory approval and commercialization described in this Annual Report on Form 10-K would also apply to the activities of any such future collaborators.</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900" w:right="160" w:hanging="383"/>
        <w:spacing w:after="0" w:line="31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900" w:right="130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ind w:left="900" w:right="580" w:hanging="383"/>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00" w:right="74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00" w:right="360" w:hanging="383"/>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00" w:right="200" w:hanging="383"/>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900" w:right="80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40" w:lineRule="exact"/>
        <w:rPr>
          <w:rFonts w:ascii="Arial" w:cs="Arial" w:eastAsia="Arial" w:hAnsi="Arial"/>
          <w:sz w:val="16"/>
          <w:szCs w:val="16"/>
          <w:color w:val="auto"/>
        </w:rPr>
      </w:pPr>
    </w:p>
    <w:p>
      <w:pPr>
        <w:ind w:left="900" w:right="16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900" w:right="112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sz w:val="20"/>
          <w:szCs w:val="20"/>
          <w:color w:val="auto"/>
        </w:rPr>
      </w:pPr>
    </w:p>
    <w:p>
      <w:pPr>
        <w:ind w:right="840" w:firstLine="509"/>
        <w:spacing w:after="0" w:line="375" w:lineRule="auto"/>
        <w:rPr>
          <w:sz w:val="20"/>
          <w:szCs w:val="20"/>
          <w:color w:val="auto"/>
        </w:rPr>
      </w:pPr>
      <w:r>
        <w:rPr>
          <w:rFonts w:ascii="Arial" w:cs="Arial" w:eastAsia="Arial" w:hAnsi="Arial"/>
          <w:sz w:val="18"/>
          <w:szCs w:val="18"/>
          <w:color w:val="auto"/>
        </w:rPr>
        <w:t xml:space="preserve">Collaboration agreements may not lead to development or commercialization of product candidates in the most efficient manner or at all. </w:t>
      </w:r>
      <w:r>
        <w:rPr>
          <w:rFonts w:ascii="Arial" w:cs="Arial" w:eastAsia="Arial" w:hAnsi="Arial"/>
          <w:sz w:val="18"/>
          <w:szCs w:val="18"/>
          <w:b w:val="1"/>
          <w:bCs w:val="1"/>
          <w:color w:val="auto"/>
        </w:rPr>
        <w:t>Risks Related to Our Intellectual Property</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84"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900" w:right="12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left="900" w:hanging="383"/>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87"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63"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4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7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9" w:name="page60"/>
    <w:bookmarkEnd w:id="59"/>
    <w:p>
      <w:pPr>
        <w:ind w:right="120"/>
        <w:spacing w:after="0" w:line="287" w:lineRule="auto"/>
        <w:rPr>
          <w:sz w:val="20"/>
          <w:szCs w:val="20"/>
          <w:color w:val="auto"/>
        </w:rPr>
      </w:pPr>
      <w:r>
        <w:rPr>
          <w:rFonts w:ascii="Arial" w:cs="Arial" w:eastAsia="Arial" w:hAnsi="Arial"/>
          <w:sz w:val="16"/>
          <w:szCs w:val="16"/>
          <w:color w:val="auto"/>
        </w:rPr>
        <w:t>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64"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7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73"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5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62"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0" w:name="page61"/>
    <w:bookmarkEnd w:id="60"/>
    <w:p>
      <w:pPr>
        <w:ind w:right="140"/>
        <w:spacing w:after="0" w:line="253" w:lineRule="auto"/>
        <w:rPr>
          <w:sz w:val="20"/>
          <w:szCs w:val="20"/>
          <w:color w:val="auto"/>
        </w:rPr>
      </w:pPr>
      <w:r>
        <w:rPr>
          <w:rFonts w:ascii="Arial" w:cs="Arial" w:eastAsia="Arial" w:hAnsi="Arial"/>
          <w:sz w:val="18"/>
          <w:szCs w:val="18"/>
          <w:color w:val="auto"/>
        </w:rPr>
        <w:t>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spacing w:after="0" w:line="16"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84"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63"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have misappropriated the confidential information or trade secrets of third parties could have a similar negative impact on our business.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62"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5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6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8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Further, in Europe, a new unitary patent system takes effect June 1, 2023, which will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56"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ind w:right="120"/>
        <w:spacing w:after="0" w:line="275" w:lineRule="auto"/>
        <w:rPr>
          <w:sz w:val="20"/>
          <w:szCs w:val="20"/>
          <w:color w:val="auto"/>
        </w:rPr>
      </w:pPr>
      <w:r>
        <w:rPr>
          <w:rFonts w:ascii="Arial" w:cs="Arial" w:eastAsia="Arial" w:hAnsi="Arial"/>
          <w:sz w:val="17"/>
          <w:szCs w:val="17"/>
          <w:color w:val="auto"/>
        </w:rPr>
        <w:t>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6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58"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7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8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3" w:name="page64"/>
    <w:bookmarkEnd w:id="63"/>
    <w:p>
      <w:pPr>
        <w:spacing w:after="0" w:line="255" w:lineRule="auto"/>
        <w:rPr>
          <w:sz w:val="20"/>
          <w:szCs w:val="20"/>
          <w:color w:val="auto"/>
        </w:rPr>
      </w:pPr>
      <w:r>
        <w:rPr>
          <w:rFonts w:ascii="Arial" w:cs="Arial" w:eastAsia="Arial" w:hAnsi="Arial"/>
          <w:sz w:val="18"/>
          <w:szCs w:val="18"/>
          <w:color w:val="auto"/>
        </w:rPr>
        <w:t>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If the FDA does not conclude that Haduvio for the treatment of chronic cough in adults with IPF or other chronic cough conditions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49"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have completed our Phase 2b/3 PRISM trial of Haduvio for the treatment of prurigo nodularis and we believe we will need to conduct an additional Phase 3 clinical trial of Haduvio for the treatment of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7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87"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74"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may contain requirements for costly post-marketing testing and surveillance to monitor the safety or efficacy of the products.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5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8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0" w:lineRule="exact"/>
        <w:rPr>
          <w:sz w:val="20"/>
          <w:szCs w:val="20"/>
          <w:color w:val="auto"/>
        </w:rPr>
      </w:pPr>
    </w:p>
    <w:p>
      <w:pPr>
        <w:ind w:right="500" w:firstLine="509"/>
        <w:spacing w:after="0" w:line="342" w:lineRule="auto"/>
        <w:rPr>
          <w:sz w:val="20"/>
          <w:szCs w:val="20"/>
          <w:color w:val="auto"/>
        </w:rPr>
      </w:pPr>
      <w:r>
        <w:rPr>
          <w:rFonts w:ascii="Arial" w:cs="Arial" w:eastAsia="Arial" w:hAnsi="Arial"/>
          <w:sz w:val="16"/>
          <w:szCs w:val="16"/>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76"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60"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addition, the conduct of clinical trials outside the U.S. could have a significant adverse impact on us. Risks inherent in conducting international clinical trials include:</w:t>
      </w:r>
    </w:p>
    <w:p>
      <w:pPr>
        <w:spacing w:after="0" w:line="62"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5" w:name="page66"/>
    <w:bookmarkEnd w:id="65"/>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16"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6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The MHRA may rely on a decision taken by the European Commission on the approval of a new marketing authorization via the centralized procedure until December 31, 2023.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7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color w:val="auto"/>
        </w:rPr>
        <w:t>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62"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6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8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63" w:lineRule="exact"/>
        <w:rPr>
          <w:sz w:val="20"/>
          <w:szCs w:val="20"/>
          <w:color w:val="auto"/>
        </w:rPr>
      </w:pPr>
    </w:p>
    <w:p>
      <w:pPr>
        <w:ind w:right="200" w:firstLine="509"/>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76"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If our clinical trials are successful, we intend to seek approval to market Haduvio for the treatment of chronic cough in adults with IPF or refractory chronic cough or for the treatment of prurigo nodularis. If we obtain regulatory approval to market Haduvio with an indication statement for the treatment of chronic cough in adults with IPF or refractory chronic cough,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5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7" w:name="page68"/>
    <w:bookmarkEnd w:id="67"/>
    <w:p>
      <w:pPr>
        <w:spacing w:after="0" w:line="273" w:lineRule="auto"/>
        <w:rPr>
          <w:sz w:val="20"/>
          <w:szCs w:val="20"/>
          <w:color w:val="auto"/>
        </w:rPr>
      </w:pPr>
      <w:r>
        <w:rPr>
          <w:rFonts w:ascii="Arial" w:cs="Arial" w:eastAsia="Arial" w:hAnsi="Arial"/>
          <w:sz w:val="17"/>
          <w:szCs w:val="17"/>
          <w:color w:val="auto"/>
        </w:rPr>
        <w:t>conditions other than chronic cough in adults with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6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8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8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69" w:lineRule="exact"/>
        <w:rPr>
          <w:sz w:val="20"/>
          <w:szCs w:val="20"/>
          <w:color w:val="auto"/>
        </w:rPr>
      </w:pPr>
    </w:p>
    <w:p>
      <w:pPr>
        <w:ind w:right="60" w:firstLine="509"/>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8" w:name="page69"/>
    <w:bookmarkEnd w:id="68"/>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8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Separately, in response to the COVID-19 pandemic, a number of companies announced receipt of complete response letters due to the FDA’s inability to complete required inspections for their applications. As of early 2022, the FDA has resumed inspections of domestic and foreign facilities to ensure timely reviews of applications for medical products. However, the FDA may not be able to continue its current pace and review timelines could be extended, including where a pre-approval inspection or an inspection of clinical sites is required. Moreover, on January 30, 2023, the Biden administration announced that it will end the public health emergency declarations related to COVID-19 on May 11, 2023. On January 31, 2023, the FDA indicated that it would soon issue a Federal Register notice describing how the termination of the public health emergency will impact the agency’s COVID-19 related guidance. At this point, it is unclear how, if at all, these developments will impact our efforts to develop and commercialize our product candidates. Regulatory authorities outside the U.S. have adopted or may adopt similar restrictions or other policy measures in response to the COVID-19 pandemic and may experience delays in their regulatory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firstLine="509"/>
        <w:spacing w:after="0" w:line="259" w:lineRule="auto"/>
        <w:rPr>
          <w:sz w:val="20"/>
          <w:szCs w:val="20"/>
          <w:color w:val="auto"/>
        </w:rPr>
      </w:pPr>
      <w:r>
        <w:rPr>
          <w:rFonts w:ascii="Arial" w:cs="Arial" w:eastAsia="Arial" w:hAnsi="Arial"/>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8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were suspended and reduced through the end of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spacing w:after="0" w:line="71"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58" w:lineRule="exact"/>
        <w:rPr>
          <w:sz w:val="20"/>
          <w:szCs w:val="20"/>
          <w:color w:val="auto"/>
        </w:rPr>
      </w:pPr>
    </w:p>
    <w:p>
      <w:pPr>
        <w:jc w:val="both"/>
        <w:ind w:right="60" w:firstLine="509"/>
        <w:spacing w:after="0" w:line="287"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56"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ind w:right="60"/>
        <w:spacing w:after="0" w:line="259" w:lineRule="auto"/>
        <w:rPr>
          <w:sz w:val="20"/>
          <w:szCs w:val="20"/>
          <w:color w:val="auto"/>
        </w:rPr>
      </w:pPr>
      <w:r>
        <w:rPr>
          <w:rFonts w:ascii="Arial" w:cs="Arial" w:eastAsia="Arial" w:hAnsi="Arial"/>
          <w:sz w:val="18"/>
          <w:szCs w:val="18"/>
          <w:color w:val="auto"/>
        </w:rPr>
        <w:t>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73"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or PBM, service fees. It originally was set to go into effect on January 1, 2022, but with passage of the Inflation Reduction Act has been delayed by Congress to January 1, 2032.</w:t>
      </w:r>
    </w:p>
    <w:p>
      <w:pPr>
        <w:spacing w:after="0" w:line="7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5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r>
    </w:p>
    <w:p>
      <w:pPr>
        <w:spacing w:after="0" w:line="6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1" w:name="page72"/>
    <w:bookmarkEnd w:id="71"/>
    <w:p>
      <w:pPr>
        <w:ind w:right="140"/>
        <w:spacing w:after="0" w:line="308" w:lineRule="auto"/>
        <w:rPr>
          <w:sz w:val="20"/>
          <w:szCs w:val="20"/>
          <w:color w:val="auto"/>
        </w:rPr>
      </w:pPr>
      <w:r>
        <w:rPr>
          <w:rFonts w:ascii="Arial" w:cs="Arial" w:eastAsia="Arial" w:hAnsi="Arial"/>
          <w:sz w:val="17"/>
          <w:szCs w:val="17"/>
          <w:color w:val="auto"/>
        </w:rPr>
        <w:t>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3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7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76"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80"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7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8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ind w:right="740"/>
        <w:spacing w:after="0" w:line="263" w:lineRule="auto"/>
        <w:rPr>
          <w:sz w:val="20"/>
          <w:szCs w:val="20"/>
          <w:color w:val="auto"/>
        </w:rPr>
      </w:pPr>
      <w:r>
        <w:rPr>
          <w:rFonts w:ascii="Arial" w:cs="Arial" w:eastAsia="Arial" w:hAnsi="Arial"/>
          <w:sz w:val="18"/>
          <w:szCs w:val="18"/>
          <w:color w:val="auto"/>
        </w:rPr>
        <w:t>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76"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7"/>
          <w:szCs w:val="17"/>
          <w:i w:val="1"/>
          <w:iCs w:val="1"/>
          <w:color w:val="auto"/>
        </w:rPr>
        <w:t xml:space="preserve">Transparency Requirements. </w:t>
      </w:r>
      <w:r>
        <w:rPr>
          <w:rFonts w:ascii="Arial" w:cs="Arial" w:eastAsia="Arial" w:hAnsi="Arial"/>
          <w:sz w:val="17"/>
          <w:szCs w:val="17"/>
          <w:color w:val="auto"/>
        </w:rPr>
        <w:t>The federal Physician Payments Sunshine Act requires certain manufacturers of drugs, devices, biologics and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63"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58"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64" w:lineRule="exact"/>
        <w:rPr>
          <w:sz w:val="20"/>
          <w:szCs w:val="20"/>
          <w:color w:val="auto"/>
        </w:rPr>
      </w:pPr>
    </w:p>
    <w:p>
      <w:pPr>
        <w:jc w:val="both"/>
        <w:ind w:right="380" w:firstLine="509"/>
        <w:spacing w:after="0" w:line="286" w:lineRule="auto"/>
        <w:rPr>
          <w:sz w:val="20"/>
          <w:szCs w:val="20"/>
          <w:color w:val="auto"/>
        </w:rPr>
      </w:pPr>
      <w:r>
        <w:rPr>
          <w:rFonts w:ascii="Arial" w:cs="Arial" w:eastAsia="Arial" w:hAnsi="Arial"/>
          <w:sz w:val="17"/>
          <w:szCs w:val="17"/>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5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jc w:val="both"/>
        <w:ind w:right="60"/>
        <w:spacing w:after="0" w:line="263" w:lineRule="auto"/>
        <w:rPr>
          <w:sz w:val="20"/>
          <w:szCs w:val="20"/>
          <w:color w:val="auto"/>
        </w:rPr>
      </w:pPr>
      <w:r>
        <w:rPr>
          <w:rFonts w:ascii="Arial" w:cs="Arial" w:eastAsia="Arial" w:hAnsi="Arial"/>
          <w:sz w:val="18"/>
          <w:szCs w:val="18"/>
          <w:color w:val="auto"/>
        </w:rPr>
        <w:t>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7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created similar risks and obligations as those created by GDPR, though the CCPA does exempt certain information collected as part of a clinical trial subject to the Federal Policy for the Protection of Human Subjects (the Common Rule). Additionally, as of January 1, 2023, the California Privacy Rights Act, or the CPRA, will significantly modify the CCPA, including by expanding consumers’ rights with respect to certain sensitive personal information. The CPRA also creates a new state agency that will be vested with authority to implement and enforce the CCPA and the CPRA.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6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3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69"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63"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5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7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also may suspend or bar issuers from trading securities on U.S. exchanges for violations of the FCPA’s accounting provisions.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9"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76"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6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7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If the FDA, EMA, MHRA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spacing w:after="0" w:line="5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to assess safety and efficacy. Rather, the sponsor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line="263" w:lineRule="auto"/>
        <w:rPr>
          <w:sz w:val="20"/>
          <w:szCs w:val="20"/>
          <w:color w:val="auto"/>
        </w:rPr>
      </w:pPr>
      <w:r>
        <w:rPr>
          <w:rFonts w:ascii="Arial" w:cs="Arial" w:eastAsia="Arial" w:hAnsi="Arial"/>
          <w:sz w:val="18"/>
          <w:szCs w:val="18"/>
          <w:color w:val="auto"/>
        </w:rPr>
        <w:t>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76"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spacing w:after="0" w:line="68"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are highly dependent on Jennifer Good, our President and Chief Executive Officer; Thomas Sciascia, M.D., our Chief Scientific Officer; and David Clark, M.D., MRCP, our Chief Medical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8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of December 31, 2022, we had 25 employees. We may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could be reduced and we may be unable to implement our business strategy, including the successful commercialization of any product candidate.</w:t>
      </w:r>
    </w:p>
    <w:p>
      <w:pPr>
        <w:spacing w:after="0" w:line="1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62"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5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spacing w:after="0" w:line="76"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March 16, 2022, we received a letter from the Staff indicating that we had regained compliance with the Bid Price Requirement as of such date.</w:t>
      </w:r>
    </w:p>
    <w:p>
      <w:pPr>
        <w:spacing w:after="0" w:line="140"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Although we were able to regain compliance with the Bid Price Requirement within the manner and time period prescribed by Nasdaq, there can be no assurance that we will be able to maintain compliance with the Bid Price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7" w:name="page78"/>
    <w:bookmarkEnd w:id="77"/>
    <w:p>
      <w:pPr>
        <w:spacing w:after="0" w:line="289" w:lineRule="auto"/>
        <w:rPr>
          <w:sz w:val="20"/>
          <w:szCs w:val="20"/>
          <w:color w:val="auto"/>
        </w:rPr>
      </w:pPr>
      <w:r>
        <w:rPr>
          <w:rFonts w:ascii="Arial" w:cs="Arial" w:eastAsia="Arial" w:hAnsi="Arial"/>
          <w:sz w:val="16"/>
          <w:szCs w:val="16"/>
          <w:color w:val="auto"/>
        </w:rPr>
        <w:t>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results of clinical trials of Haduvio or any future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Haduvio or any future product candidates or competitors’ products and product candidates;</w:t>
      </w:r>
    </w:p>
    <w:p>
      <w:pPr>
        <w:spacing w:after="0" w:line="117" w:lineRule="exact"/>
        <w:rPr>
          <w:rFonts w:ascii="Arial" w:cs="Arial" w:eastAsia="Arial" w:hAnsi="Arial"/>
          <w:sz w:val="18"/>
          <w:szCs w:val="18"/>
          <w:color w:val="auto"/>
        </w:rPr>
      </w:pPr>
    </w:p>
    <w:p>
      <w:pPr>
        <w:ind w:left="900" w:right="960" w:hanging="383"/>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U.S. and other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00" w:hanging="383"/>
        <w:spacing w:after="0" w:line="263"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the COVID-19 pandemic or other outbreaks of infectious disease, and the impacts of rising inflation and government action in response thereto;</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obligations in connection with the SVB Term Loan;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our listing on the Nasdaq Global Market;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8" w:name="page79"/>
    <w:bookmarkEnd w:id="78"/>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COVID-19 pandemic, rising inflation, interest rate increases and other factors have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60" w:firstLine="509"/>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6"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76" w:lineRule="exact"/>
        <w:rPr>
          <w:sz w:val="20"/>
          <w:szCs w:val="20"/>
          <w:color w:val="auto"/>
        </w:rPr>
      </w:pPr>
    </w:p>
    <w:p>
      <w:pPr>
        <w:jc w:val="both"/>
        <w:ind w:right="100" w:firstLine="509"/>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6"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5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We are a party to an ATM Sales Agreement, pursuant to which, from time to time, we may offer and sell under the ATM Sales Agreement up to $62.0 million of the common stock registered under the Shelf Registration Statement pursuant to one or more “at-the-market” offerings. As of December 31, 2022, we had sold 3,583,394 shares of common stock for an aggregate purchase price of $11.0 million, before deducting estimated commissions and allocated fees of $0.8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7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9" w:name="page80"/>
    <w:bookmarkEnd w:id="79"/>
    <w:p>
      <w:pPr>
        <w:ind w:right="20"/>
        <w:spacing w:after="0" w:line="268" w:lineRule="auto"/>
        <w:rPr>
          <w:sz w:val="20"/>
          <w:szCs w:val="20"/>
          <w:color w:val="auto"/>
        </w:rPr>
      </w:pPr>
      <w:r>
        <w:rPr>
          <w:rFonts w:ascii="Arial" w:cs="Arial" w:eastAsia="Arial" w:hAnsi="Arial"/>
          <w:sz w:val="17"/>
          <w:szCs w:val="17"/>
          <w:color w:val="auto"/>
        </w:rPr>
        <w:t>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March 16, 2023, 6,000,000 of the warrants to purchase shares of common stock issued to the Initial Private Placement Investor remained outstanding.</w:t>
      </w:r>
    </w:p>
    <w:p>
      <w:pPr>
        <w:spacing w:after="0" w:line="7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March 16, 2023, all of the warrants issued to NEA remained outstanding.</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Similarly, on April 11, 2022, we issued to several purchasers in a private placement, (i) an aggregate of 4,580,526 shares of our common stock and</w:t>
      </w:r>
    </w:p>
    <w:p>
      <w:pPr>
        <w:spacing w:after="0" w:line="46" w:lineRule="exact"/>
        <w:rPr>
          <w:sz w:val="20"/>
          <w:szCs w:val="20"/>
          <w:color w:val="auto"/>
        </w:rPr>
      </w:pPr>
    </w:p>
    <w:p>
      <w:pPr>
        <w:ind w:firstLine="8"/>
        <w:spacing w:after="0" w:line="266"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March 16, 2023, all of the pre-funded warrants issued to purchasers in the 2022 Private Placement remained outstanding.</w:t>
      </w:r>
    </w:p>
    <w:p>
      <w:pPr>
        <w:spacing w:after="0" w:line="8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Finally, on September 27, 2022, we issued in the September 2022 Offering an aggregate of 14,252,670 shares of our common stock, and, in lieu of common stock to certain investors, pre-funded warrants to purchase 14,247,330 shares of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the pre-funded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ind w:right="160"/>
        <w:spacing w:after="0" w:line="255" w:lineRule="auto"/>
        <w:rPr>
          <w:sz w:val="20"/>
          <w:szCs w:val="20"/>
          <w:color w:val="auto"/>
        </w:rPr>
      </w:pPr>
      <w:r>
        <w:rPr>
          <w:rFonts w:ascii="Arial" w:cs="Arial" w:eastAsia="Arial" w:hAnsi="Arial"/>
          <w:sz w:val="18"/>
          <w:szCs w:val="18"/>
          <w:color w:val="auto"/>
        </w:rPr>
        <w:t>warrants were issued pursuant to a prospectus supplement dated September 22, 2022 to the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Shelf Registration Statement at any time or in their discretion, subject to the September 2022 Offering Beneficial Ownership Limitations. As of March 16, 2023, all of the pre-funded warrants issued to purchasers in the September 2022 Offering remained outstanding.</w:t>
      </w:r>
    </w:p>
    <w:p>
      <w:pPr>
        <w:spacing w:after="0" w:line="84"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Sales of substantial amounts of shares of our common stock or other securities by our stockholders, by us under the Shelf Registration Statement, whether pursuant to the ATM Sales Agreement or otherwise, by Lincoln Park Capital Fund, LLC, or Lincoln Park, pursuant to the Form S-1,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6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6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have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Finally, we issued pre-funded warrants to purchase up to an aggregate of 14,247,330 shares of our common stock at an exercise price of $0.001 per share to certain purchasers in the September 2022 Offering.</w:t>
      </w:r>
    </w:p>
    <w:p>
      <w:pPr>
        <w:spacing w:after="0" w:line="60"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63"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ind w:right="120"/>
        <w:spacing w:after="0" w:line="270" w:lineRule="auto"/>
        <w:rPr>
          <w:sz w:val="20"/>
          <w:szCs w:val="20"/>
          <w:color w:val="auto"/>
        </w:rPr>
      </w:pPr>
      <w:r>
        <w:rPr>
          <w:rFonts w:ascii="Arial" w:cs="Arial" w:eastAsia="Arial" w:hAnsi="Arial"/>
          <w:sz w:val="17"/>
          <w:szCs w:val="17"/>
          <w:color w:val="auto"/>
        </w:rPr>
        <w:t>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73"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Given the amount and terms of these warrants, we may find it more difficult to raise additional equity capital on favorable terms or at all while these warrants are outstanding.</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Ownership of our common stock is concentrated among our executive officers and directors and their affiliates, who have significant influence over our business, which may prevent new investors from influencing significant corporate decisions.</w:t>
      </w:r>
    </w:p>
    <w:p>
      <w:pPr>
        <w:spacing w:after="0" w:line="62" w:lineRule="exact"/>
        <w:rPr>
          <w:sz w:val="20"/>
          <w:szCs w:val="20"/>
          <w:color w:val="auto"/>
        </w:rPr>
      </w:pPr>
    </w:p>
    <w:p>
      <w:pPr>
        <w:jc w:val="both"/>
        <w:ind w:right="200" w:firstLine="509"/>
        <w:spacing w:after="0" w:line="311" w:lineRule="auto"/>
        <w:rPr>
          <w:sz w:val="20"/>
          <w:szCs w:val="20"/>
          <w:color w:val="auto"/>
        </w:rPr>
      </w:pPr>
      <w:r>
        <w:rPr>
          <w:rFonts w:ascii="Arial" w:cs="Arial" w:eastAsia="Arial" w:hAnsi="Arial"/>
          <w:sz w:val="16"/>
          <w:szCs w:val="16"/>
          <w:color w:val="auto"/>
        </w:rPr>
        <w:t>Our executive officers and directors and their respective affiliates, beneficially own, in the aggregate, shares representing approximately 37.5% of our common stock as of March 16, 2023.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spacing w:after="0" w:line="41" w:lineRule="exact"/>
        <w:rPr>
          <w:sz w:val="20"/>
          <w:szCs w:val="20"/>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62"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2" w:name="page83"/>
    <w:bookmarkEnd w:id="82"/>
    <w:p>
      <w:pPr>
        <w:ind w:right="60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62"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15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As of December 31, 2022, we had federal and state net operating loss carryforwards of $178.4 million and federal research and development tax credit carryforwards of $5.4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We completed a Section 382 analysis, and due to multiple historical ownership changes, all of our net operating loss carryforwards as of December 31, 2022, and research and development tax credits are subject to limitation. If a further ownership change occurs, our ability to use our tax attributes might be further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3" w:name="page84"/>
    <w:bookmarkEnd w:id="83"/>
    <w:p>
      <w:pPr>
        <w:ind w:right="40"/>
        <w:spacing w:after="0" w:line="311" w:lineRule="auto"/>
        <w:rPr>
          <w:sz w:val="20"/>
          <w:szCs w:val="20"/>
          <w:color w:val="auto"/>
        </w:rPr>
      </w:pPr>
      <w:r>
        <w:rPr>
          <w:rFonts w:ascii="Arial" w:cs="Arial" w:eastAsia="Arial" w:hAnsi="Arial"/>
          <w:sz w:val="16"/>
          <w:szCs w:val="16"/>
          <w:color w:val="auto"/>
        </w:rPr>
        <w:t>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spacing w:after="0" w:line="4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73"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5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us. In addition, it is uncertain if and to what extent various states will conform to the Tax Act, the FFCR Act or the CARES Act.</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ind w:left="900" w:right="34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900" w:right="48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900" w:right="40" w:hanging="383"/>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63"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ind w:right="140" w:firstLine="8"/>
        <w:spacing w:after="0" w:line="252"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8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b w:val="1"/>
          <w:bCs w:val="1"/>
          <w:i w:val="1"/>
          <w:iCs w:val="1"/>
          <w:color w:val="auto"/>
        </w:rPr>
        <w:t>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3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Significant outbreaks of contagious diseases, such as COVID-19, and other adverse public health developments, could have a material impact on our business operations and operating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ind w:firstLine="509"/>
        <w:spacing w:after="0" w:line="267" w:lineRule="auto"/>
        <w:rPr>
          <w:sz w:val="20"/>
          <w:szCs w:val="20"/>
          <w:color w:val="auto"/>
        </w:rPr>
      </w:pPr>
      <w:r>
        <w:rPr>
          <w:rFonts w:ascii="Arial" w:cs="Arial" w:eastAsia="Arial" w:hAnsi="Arial"/>
          <w:sz w:val="17"/>
          <w:szCs w:val="17"/>
          <w:color w:val="auto"/>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the clinical sites in our Phase 2 CANAL trial for chronic cough in adults with IPF experienced delays in the enrollment and treatment of subjects in the trial due to the vulnerability of IPF patients to COVID-19 and as a result, we amended the protocol for the trial to reduce the number of in-person subject visits and procedures. Any trials we may conduct in the future for the treatment of chronic cough in adults with IPF or other chronic cough conditions could be delayed or negatively impacted by the COVID-19 pandemic or other outbreaks of infectious diseases due to the vulnerability of this patient population to respiratory illness. In addition, in our Phase 2b/3 PRISM trial, new subject screening and most enrollment was temporarily halted in March 2020 due to the COVID-19 pandemic. After resuming screening and enrollment, multiple sites in the Phase 2b/3 PRISM trial required some remote monitoring of subject data. We also experienced slower recruitment activities in the Phase 2b/3 PRISM trial worldwide through the latter part of 2020 and the beginning of 2021 due to the resurgence of COVID-19. Although the Phase 2 CANAL trial and the Phase 2b/3 PRISM trial open-label extension have concluded, the COVID-19 pandemic and other outbreaks of infectious disease could still adversely affect our ability to retain subjects, principal investigators and site staff who, as healthcare providers, may have heightened exposure to COVID-19 and other infectious diseases and may result in further disruptions to our clinical trials in the future due to prioritization of hospital and medical resources toward the pandemic or future outbreaks, restrictions on travel of patients and healthcare providers, or potential inability of subjects to comply with clinical trial protocols if quarantines or travel restrictions impede subject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8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76" w:lineRule="exact"/>
        <w:rPr>
          <w:sz w:val="20"/>
          <w:szCs w:val="20"/>
          <w:color w:val="auto"/>
        </w:rPr>
      </w:pPr>
    </w:p>
    <w:p>
      <w:pPr>
        <w:ind w:right="320" w:firstLine="509"/>
        <w:spacing w:after="0" w:line="296" w:lineRule="auto"/>
        <w:rPr>
          <w:sz w:val="20"/>
          <w:szCs w:val="20"/>
          <w:color w:val="auto"/>
        </w:rPr>
      </w:pPr>
      <w:r>
        <w:rPr>
          <w:rFonts w:ascii="Arial" w:cs="Arial" w:eastAsia="Arial" w:hAnsi="Arial"/>
          <w:sz w:val="16"/>
          <w:szCs w:val="16"/>
          <w:color w:val="auto"/>
        </w:rPr>
        <w:t>We cannot presently predict the scope and severity of the disruptions we may experience or continue to experience as a result of the COVID-19 pandemic or other outbreaks of infectious disease.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53" w:lineRule="exact"/>
        <w:rPr>
          <w:sz w:val="20"/>
          <w:szCs w:val="20"/>
          <w:color w:val="auto"/>
        </w:rPr>
      </w:pPr>
    </w:p>
    <w:p>
      <w:pPr>
        <w:jc w:val="both"/>
        <w:ind w:right="220" w:firstLine="554"/>
        <w:spacing w:after="0" w:line="308" w:lineRule="auto"/>
        <w:rPr>
          <w:sz w:val="20"/>
          <w:szCs w:val="20"/>
          <w:color w:val="auto"/>
        </w:rPr>
      </w:pPr>
      <w:r>
        <w:rPr>
          <w:rFonts w:ascii="Arial" w:cs="Arial" w:eastAsia="Arial" w:hAnsi="Arial"/>
          <w:sz w:val="17"/>
          <w:szCs w:val="17"/>
          <w:color w:val="auto"/>
        </w:rPr>
        <w:t>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7"/>
          <w:szCs w:val="17"/>
          <w:color w:val="auto"/>
        </w:rPr>
        <w:t>Our headquarters is currently located in New Haven, Connecticut, and consists of approximately 12,500 square feet of leased office space under a lease that expires in February 2028 and under which we have an option to extend the lease by a five-year term. We believe that our existing facilities are adequate for our current needs; however, we may require additional space and facilities as our business expands.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920"/>
        <w:spacing w:after="0" w:line="40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ind w:right="4280" w:firstLine="509"/>
        <w:spacing w:after="0" w:line="375" w:lineRule="auto"/>
        <w:rPr>
          <w:sz w:val="20"/>
          <w:szCs w:val="20"/>
          <w:color w:val="auto"/>
        </w:rPr>
      </w:pPr>
      <w:r>
        <w:rPr>
          <w:rFonts w:ascii="Arial" w:cs="Arial" w:eastAsia="Arial" w:hAnsi="Arial"/>
          <w:sz w:val="18"/>
          <w:szCs w:val="18"/>
          <w:color w:val="auto"/>
        </w:rPr>
        <w:t xml:space="preserve">Our common stock is listed on the Nasdaq Stock Market LLC under the symbol “TRVI.” </w:t>
      </w:r>
      <w:r>
        <w:rPr>
          <w:rFonts w:ascii="Arial" w:cs="Arial" w:eastAsia="Arial" w:hAnsi="Arial"/>
          <w:sz w:val="18"/>
          <w:szCs w:val="18"/>
          <w:b w:val="1"/>
          <w:bCs w:val="1"/>
          <w:color w:val="auto"/>
        </w:rPr>
        <w:t>Stockholders</w:t>
      </w:r>
    </w:p>
    <w:p>
      <w:pPr>
        <w:spacing w:after="0" w:line="1"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As of March 16, 2023, there were approximately 20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In addition, the terms of the SVB Term Loan preclude us from paying dividends and the terms of any future debt or other financing that we may obtain may also preclude us from declaring or paying dividends on our common stock.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information concerning our equity compensation plan is incorporated by reference from the information in our Proxy Statement for our 2023 Annual Meeting of Stockholders, which we will file with the SEC within 120 days of the end of the fiscal year to which this Annual Report on Form 10-K relates.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I-Item 1A “Risk Factors” and our other filings with the SEC.</w:t>
      </w:r>
    </w:p>
    <w:p>
      <w:pPr>
        <w:spacing w:after="0" w:line="58"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58" w:lineRule="exact"/>
        <w:rPr>
          <w:sz w:val="20"/>
          <w:szCs w:val="20"/>
          <w:color w:val="auto"/>
        </w:rPr>
      </w:pPr>
    </w:p>
    <w:p>
      <w:pPr>
        <w:ind w:right="440" w:firstLine="509"/>
        <w:spacing w:after="0" w:line="375" w:lineRule="auto"/>
        <w:rPr>
          <w:sz w:val="20"/>
          <w:szCs w:val="20"/>
          <w:color w:val="auto"/>
        </w:rPr>
      </w:pPr>
      <w:r>
        <w:rPr>
          <w:rFonts w:ascii="Arial" w:cs="Arial" w:eastAsia="Arial" w:hAnsi="Arial"/>
          <w:sz w:val="18"/>
          <w:szCs w:val="18"/>
          <w:i w:val="1"/>
          <w:iCs w:val="1"/>
          <w:color w:val="auto"/>
        </w:rPr>
        <w:t xml:space="preserve">We caution readers not to place undue reliance on any forward-looking statements made by us, which speak only as of the date they are made. </w:t>
      </w:r>
      <w:r>
        <w:rPr>
          <w:rFonts w:ascii="Arial" w:cs="Arial" w:eastAsia="Arial" w:hAnsi="Arial"/>
          <w:sz w:val="18"/>
          <w:szCs w:val="18"/>
          <w:b w:val="1"/>
          <w:bCs w:val="1"/>
          <w:color w:val="auto"/>
        </w:rPr>
        <w:t>Overview</w:t>
      </w:r>
    </w:p>
    <w:p>
      <w:pPr>
        <w:spacing w:after="0" w:line="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the investigational therapy Haduvio (oral nalbuphine ER) for the treatment of chronic cough in adults with idiopathic pulmonary fibrosis, or IPF, and other chronic cough indications, and for the treatment of prurigo nodularis.</w:t>
      </w:r>
    </w:p>
    <w:p>
      <w:pPr>
        <w:spacing w:after="0" w:line="76"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i w:val="1"/>
          <w:iCs w:val="1"/>
          <w:color w:val="auto"/>
        </w:rPr>
        <w:t xml:space="preserve">Chronic Cough. </w:t>
      </w:r>
      <w:r>
        <w:rPr>
          <w:rFonts w:ascii="Arial" w:cs="Arial" w:eastAsia="Arial" w:hAnsi="Arial"/>
          <w:sz w:val="18"/>
          <w:szCs w:val="18"/>
          <w:color w:val="auto"/>
        </w:rPr>
        <w:t>In September 2022, we announced positive data from our Phase 2 clinical trial of Haduvio for the treatment of chronic cough in</w:t>
      </w:r>
      <w:r>
        <w:rPr>
          <w:rFonts w:ascii="Arial" w:cs="Arial" w:eastAsia="Arial" w:hAnsi="Arial"/>
          <w:sz w:val="18"/>
          <w:szCs w:val="18"/>
          <w:i w:val="1"/>
          <w:iCs w:val="1"/>
          <w:color w:val="auto"/>
        </w:rPr>
        <w:t xml:space="preserve"> </w:t>
      </w:r>
      <w:r>
        <w:rPr>
          <w:rFonts w:ascii="Arial" w:cs="Arial" w:eastAsia="Arial" w:hAnsi="Arial"/>
          <w:sz w:val="18"/>
          <w:szCs w:val="18"/>
          <w:color w:val="auto"/>
        </w:rPr>
        <w:t>adults with IPF, which we refer to as the Phase 2 CANAL trial. The Phase 2 CANAL trial was a randomized, double-blind, placebo controlled, two-treatment, two-period, crossover study that was designed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7" w:name="page88"/>
    <w:bookmarkEnd w:id="87"/>
    <w:p>
      <w:pPr>
        <w:spacing w:after="0" w:line="301" w:lineRule="auto"/>
        <w:rPr>
          <w:sz w:val="20"/>
          <w:szCs w:val="20"/>
          <w:color w:val="auto"/>
        </w:rPr>
      </w:pPr>
      <w:r>
        <w:rPr>
          <w:rFonts w:ascii="Arial" w:cs="Arial" w:eastAsia="Arial" w:hAnsi="Arial"/>
          <w:sz w:val="16"/>
          <w:szCs w:val="16"/>
          <w:color w:val="auto"/>
        </w:rPr>
        <w:t>evaluate the efficacy, safety, tolerability and dosing of Haduvio for chronic cough in adults with IPF that we conducted at multiple sites in the United Kingdom. In total, we enrolled 38 subjects in the study. In the full subject data set,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spacing w:after="0" w:line="49"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are in discussions with the U.S. Food and Drug Administration, or FDA, and other regulatory international regulatory authorities, regarding the design of the next clinical trials of Haduvio for the treatment of chronic cough in adult patients with IPF. We expect the objectives for the next trials will be to determine the dose response and select the dose for the next study as well as to further characterize the safety in this specific patient population. Subject to agreement with the FDA, and other international regulatory authorities, we intend to initiate these trials in the second half of 2023. We will need to submit an IND for Haduvio before proceeding with our planned trials for chronic cough in adults with IPF at sites in the United States.</w:t>
      </w:r>
    </w:p>
    <w:p>
      <w:pPr>
        <w:spacing w:after="0" w:line="53" w:lineRule="exact"/>
        <w:rPr>
          <w:sz w:val="20"/>
          <w:szCs w:val="20"/>
          <w:color w:val="auto"/>
        </w:rPr>
      </w:pPr>
    </w:p>
    <w:p>
      <w:pPr>
        <w:ind w:right="160" w:firstLine="509"/>
        <w:spacing w:after="0" w:line="308" w:lineRule="auto"/>
        <w:rPr>
          <w:sz w:val="20"/>
          <w:szCs w:val="20"/>
          <w:color w:val="auto"/>
        </w:rPr>
      </w:pPr>
      <w:r>
        <w:rPr>
          <w:rFonts w:ascii="Arial" w:cs="Arial" w:eastAsia="Arial" w:hAnsi="Arial"/>
          <w:sz w:val="17"/>
          <w:szCs w:val="17"/>
          <w:color w:val="auto"/>
        </w:rPr>
        <w:t>We also plan to develop Haduvio for additional chronic cough indications, which we expect will commence initially with a Phase 2 clinical trial of Haduvio for the treatment of refractory chronic cough, which we expect to initiate in the third quarter of 2023 at sites in the U.K.</w:t>
      </w:r>
    </w:p>
    <w:p>
      <w:pPr>
        <w:spacing w:after="0" w:line="3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i w:val="1"/>
          <w:iCs w:val="1"/>
          <w:color w:val="auto"/>
        </w:rPr>
        <w:t>Prurigo Nodularis</w:t>
      </w:r>
      <w:r>
        <w:rPr>
          <w:rFonts w:ascii="Arial" w:cs="Arial" w:eastAsia="Arial" w:hAnsi="Arial"/>
          <w:sz w:val="18"/>
          <w:szCs w:val="18"/>
          <w:color w:val="auto"/>
        </w:rPr>
        <w:t>. In June 2022, we reported positive results in our Phase 2b/3 clinical trial of Haduvio in prurigo nodularis, which we refer to as</w:t>
      </w:r>
      <w:r>
        <w:rPr>
          <w:rFonts w:ascii="Arial" w:cs="Arial" w:eastAsia="Arial" w:hAnsi="Arial"/>
          <w:sz w:val="18"/>
          <w:szCs w:val="18"/>
          <w:i w:val="1"/>
          <w:iCs w:val="1"/>
          <w:color w:val="auto"/>
        </w:rPr>
        <w:t xml:space="preserve"> </w:t>
      </w:r>
      <w:r>
        <w:rPr>
          <w:rFonts w:ascii="Arial" w:cs="Arial" w:eastAsia="Arial" w:hAnsi="Arial"/>
          <w:sz w:val="18"/>
          <w:szCs w:val="18"/>
          <w:color w:val="auto"/>
        </w:rPr>
        <w:t>the Phase 2b/3 PRISM trial. The Phase 2b/3 PRISM trial was a randomized, double-blind, placebo controlled, two-arm treatment study that was designed to evaluate the safety and efficacy of Haduvio in patients in the United States and Europe. In the Phase 2b/3 PRISM trial, Haduvio demonstrated statistically significant results on the primary and all three key secondary endpoints. The safety results of the trial were generally consistent with the known safety profile of Haduvio from previous trials.</w:t>
      </w:r>
    </w:p>
    <w:p>
      <w:pPr>
        <w:spacing w:after="0" w:line="8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analyzing the open-label extension portion of the Phase 2b/3 PRISM trial, which we completed in the first quarter of 2023. We expect that we will need to conduct an additional Phase 3 clinical trial to support the submission of a new drug application, or NDA, to the FDA, a marketing authorization application, or MAA, to the European Medicines Agency, or EMA, and an MAA to the Medicines and Healthcare Products Regulatory Agency in the United Kingdom, or MHRA, for Haduvio for the treatment of prurigo nodularis, and plan to request an end of Phase 2 meeting with the FDA in 2023. Following discussions with the FDA and other regulatory authorities, we plan to determine next steps with respect to our prurigo nodularis program, including with respect to the conduct of any future Phase 3 clinical trial. We are exploring entering into a strategic collaboration for the continued development of this program.</w:t>
      </w:r>
    </w:p>
    <w:p>
      <w:pPr>
        <w:spacing w:after="0" w:line="8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i w:val="1"/>
          <w:iCs w:val="1"/>
          <w:color w:val="auto"/>
        </w:rPr>
        <w:t xml:space="preserve">Human Abuse Liability Study. </w:t>
      </w:r>
      <w:r>
        <w:rPr>
          <w:rFonts w:ascii="Arial" w:cs="Arial" w:eastAsia="Arial" w:hAnsi="Arial"/>
          <w:sz w:val="18"/>
          <w:szCs w:val="18"/>
          <w:color w:val="auto"/>
        </w:rPr>
        <w:t>We initiated a human abuse liability study in the fourth quarter of 2022 to compare the abuse potential of oral</w:t>
      </w:r>
      <w:r>
        <w:rPr>
          <w:rFonts w:ascii="Arial" w:cs="Arial" w:eastAsia="Arial" w:hAnsi="Arial"/>
          <w:sz w:val="18"/>
          <w:szCs w:val="18"/>
          <w:i w:val="1"/>
          <w:iCs w:val="1"/>
          <w:color w:val="auto"/>
        </w:rPr>
        <w:t xml:space="preserve"> </w:t>
      </w:r>
      <w:r>
        <w:rPr>
          <w:rFonts w:ascii="Arial" w:cs="Arial" w:eastAsia="Arial" w:hAnsi="Arial"/>
          <w:sz w:val="18"/>
          <w:szCs w:val="18"/>
          <w:color w:val="auto"/>
        </w:rPr>
        <w:t>nalbuphine to butorphanol. The injectable version of nalbuphine is currently unscheduled in the U.S. by the Drug Enforcement Agency. The study is a randomized, double-blind, active and placebo-controlled 5-way crossover design. The study will be conducted in two parts, with the first part characterizing various butorphanol doses. One butorphanol dose will be selected to be studied in the second part of the protocol to determine the abuse potential of oral nalbuphine relative to butorphanol. We are currently completing part one of the study and we expect top-line data from this trial by the end of 2023.</w:t>
      </w:r>
    </w:p>
    <w:p>
      <w:pPr>
        <w:spacing w:after="0" w:line="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December 31, 2022, we had an accumulated deficit of $210.1 million, primarily as a result of research and development and general and administrative expenses. We do not expect to generate product revenue unless and until we obtain marketing approval for and commercialize Haduvio for the treatment of chronic cough in adults with IPF or other chronic cough indications or for the treatment of prurigo nodularis and we can provide no assurance that we will ever generate significant revenue or profits.</w:t>
      </w:r>
    </w:p>
    <w:p>
      <w:pPr>
        <w:spacing w:after="0" w:line="7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6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June 2020, we entered into a sales agreement with SVB Securities LLC (formerly SVB Leerink LLC), or SVB Securities, which we refer to as the ATM Sales Agreement, under which we may issue and sell shares of common stock, from time to time, having an aggregate offering price of up to $12.0 million. In May 2022, we amended the ATM Sales Agreement with SVB Securities to increase the maximum aggregate offering price of common stock that we may issue and sell from time to time under the ATM Sales Agreement by $50.0 million, from $12.0 million to up to $62.0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December 31, 2022 we had issued and sold an aggregate of 3,583,394 shares of common stock for gross proceeds of $11.0 million, before deducting estimated commissions and allocated fees of $0.8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ind w:right="100" w:firstLine="509"/>
        <w:spacing w:after="0" w:line="253" w:lineRule="auto"/>
        <w:rPr>
          <w:sz w:val="20"/>
          <w:szCs w:val="20"/>
          <w:color w:val="auto"/>
        </w:rPr>
      </w:pPr>
      <w:r>
        <w:rPr>
          <w:rFonts w:ascii="Arial" w:cs="Arial" w:eastAsia="Arial" w:hAnsi="Arial"/>
          <w:sz w:val="18"/>
          <w:szCs w:val="18"/>
          <w:color w:val="auto"/>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In July 2021 and April 2022, we entered into amendments to the SVB Loan Agreement with SVB, which we refer to as the Loan Amendments, that modified the conditions under which we would be required to cash collateralize the outstanding amounts owed to them under the SVB Loan Agreement. For further discussion of the SVB Term Loan and the Loan Amendments, see “—Liquidity and Capital Resources”.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October 5, 2021 and October 18, 2021, we issued and sold in two private placements, or the October 2021 Private Placements, in the aggregate</w:t>
      </w:r>
    </w:p>
    <w:p>
      <w:pPr>
        <w:spacing w:after="0" w:line="46" w:lineRule="exact"/>
        <w:rPr>
          <w:sz w:val="20"/>
          <w:szCs w:val="20"/>
          <w:color w:val="auto"/>
        </w:rPr>
      </w:pPr>
    </w:p>
    <w:p>
      <w:pPr>
        <w:ind w:right="20" w:firstLine="8"/>
        <w:spacing w:after="0" w:line="268" w:lineRule="auto"/>
        <w:tabs>
          <w:tab w:leader="none" w:pos="2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Of the accompanying common stock warrants, we issued warrants to purchase an aggregate of 9,151,122 shares that are to expire in April 2025 and warrants to purchase an aggregate of 9,151,122 shares that are to expire in October 2028. The accompanying common stock warrants have an exercise price of $1.37 per share and became exercisable immediately upon issuance. As of March 16, 2023, 1,851,852 of the warrants to purchase shares of common stock that are to expire in April 2025 and 7,851,852 of the warrants to purchase shares of common stock that are to expire in October 2028 remained outstanding.</w:t>
      </w:r>
    </w:p>
    <w:p>
      <w:pPr>
        <w:spacing w:after="0" w:line="7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w:t>
      </w:r>
    </w:p>
    <w:p>
      <w:pPr>
        <w:spacing w:after="0" w:line="8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is exercisable immediately and will be exercisable until the pre-funded warrant is exercised in full. Under the terms of the Underwriting Agreement, we agreed not to issue and sell additional shares until after November 21, 2022 except in certain circumstances, including the issuance and sale of additional shares pursuant to the Underwriting Agreement.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w:t>
      </w:r>
    </w:p>
    <w:p>
      <w:pPr>
        <w:spacing w:after="0" w:line="9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As of December 31, 2022, we had cash, cash equivalents and marketable securities of $120.5 million. We believe that our existing cash, cash equivalents and marketable securities will enable us to fund our operating expenses and capital expenditure requirements for at least 12 months from the date of issuance of the Consolidated Financial Statements included in this Annual Report on Form 10-K.</w:t>
      </w:r>
    </w:p>
    <w:p>
      <w:pPr>
        <w:spacing w:after="0" w:line="7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next trials we plan to conduct for Haduvio for the treatment of chronic cough in adults with IPF, our planned Phase 2 clinical trial of Haduvio for the treatment of refractory chronic cough, and our ongoing human abuse liability, or HAL, study to determine the abuse potential of oral nalbuphine ER relative to butorphanol.</w:t>
      </w:r>
    </w:p>
    <w:p>
      <w:pPr>
        <w:spacing w:after="0" w:line="80"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9" w:name="page90"/>
    <w:bookmarkEnd w:id="89"/>
    <w:p>
      <w:pPr>
        <w:ind w:right="2020"/>
        <w:spacing w:after="0" w:line="375" w:lineRule="auto"/>
        <w:rPr>
          <w:sz w:val="20"/>
          <w:szCs w:val="20"/>
          <w:color w:val="auto"/>
        </w:rPr>
      </w:pPr>
      <w:r>
        <w:rPr>
          <w:rFonts w:ascii="Arial" w:cs="Arial" w:eastAsia="Arial" w:hAnsi="Arial"/>
          <w:sz w:val="18"/>
          <w:szCs w:val="18"/>
          <w:color w:val="auto"/>
        </w:rPr>
        <w:t xml:space="preserve">development and commercialization of Haduvio for one or more indications or delay our efforts to expand our product pipeline. </w:t>
      </w:r>
      <w:r>
        <w:rPr>
          <w:rFonts w:ascii="Arial" w:cs="Arial" w:eastAsia="Arial" w:hAnsi="Arial"/>
          <w:sz w:val="18"/>
          <w:szCs w:val="18"/>
          <w:b w:val="1"/>
          <w:bCs w:val="1"/>
          <w:i w:val="1"/>
          <w:iCs w:val="1"/>
          <w:color w:val="auto"/>
        </w:rPr>
        <w:t>Impacts of the COVID-19 Pandemic</w:t>
      </w:r>
    </w:p>
    <w:p>
      <w:pPr>
        <w:spacing w:after="0" w:line="1"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spacing w:after="0" w:line="4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experienced restrictions and delays at our clinical sites for both our Phase 2b/3 PRISM and Phase 2 CANAL trials. The COVID-19 pandemic or other outbreaks of infectious disease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pandemic, restrictions on travel of patients and healthcare providers, potential unwillingness of patients to enroll in trials at this time or the inability of patients to comply with clinical trial protocols if quarantines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84"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The COVID-19 pandemic may also affect employees of third-party contract research organizations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contract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53"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76" w:lineRule="exact"/>
        <w:rPr>
          <w:sz w:val="20"/>
          <w:szCs w:val="20"/>
          <w:color w:val="auto"/>
        </w:rPr>
      </w:pPr>
    </w:p>
    <w:p>
      <w:pPr>
        <w:ind w:right="1040" w:firstLine="509"/>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and expanded infrastructure.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Term Loan Derivative Liability</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 xml:space="preserve">Before it was amended by the Third Amendment (as defined below), the SVB Loan Agreement provided that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therefore, we recorded a term loan derivative liability for the contingent interest rate increase at its fair value.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ind w:right="40"/>
        <w:spacing w:after="0" w:line="263" w:lineRule="auto"/>
        <w:rPr>
          <w:sz w:val="20"/>
          <w:szCs w:val="20"/>
          <w:color w:val="auto"/>
        </w:rPr>
      </w:pPr>
      <w:r>
        <w:rPr>
          <w:rFonts w:ascii="Arial" w:cs="Arial" w:eastAsia="Arial" w:hAnsi="Arial"/>
          <w:sz w:val="18"/>
          <w:szCs w:val="18"/>
          <w:color w:val="auto"/>
        </w:rPr>
        <w:t>We adjusted this liability to fair value at each reporting date it remained outstanding. We recognized changes in the fair value of this term loan derivative in our statements of comprehensive loss as a component of other income (expense), net. See below as discussed under “—Results of Operations—Operating Expenses—Other Income (Expense), Net.”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For the year ended December 31, 2022, other income, net consisted of income related to an employee retention tax credit under the Coronavirus Aid, Relief, and Economic Security Act, or CARES Act. For the year ended December 31, 2021, other expense, net consisted of the value of the shares of our common stock that we issued to Lincoln Park Capital Fund, LLC, or Lincoln Park, as a commitment fee as consideration for Lincoln Park’s commitment to purchase shares of our common stock under the common stock purchase agreement, or the LPC Purchase Agreement, we entered into in June 2021.</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Net</w:t>
      </w:r>
    </w:p>
    <w:p>
      <w:pPr>
        <w:spacing w:after="0" w:line="117" w:lineRule="exact"/>
        <w:rPr>
          <w:sz w:val="20"/>
          <w:szCs w:val="20"/>
          <w:color w:val="auto"/>
        </w:rPr>
      </w:pPr>
    </w:p>
    <w:p>
      <w:pPr>
        <w:ind w:right="1020" w:firstLine="509"/>
        <w:spacing w:after="0" w:line="277" w:lineRule="auto"/>
        <w:rPr>
          <w:sz w:val="20"/>
          <w:szCs w:val="20"/>
          <w:color w:val="auto"/>
        </w:rPr>
      </w:pPr>
      <w:r>
        <w:rPr>
          <w:rFonts w:ascii="Arial" w:cs="Arial" w:eastAsia="Arial" w:hAnsi="Arial"/>
          <w:sz w:val="18"/>
          <w:szCs w:val="18"/>
          <w:color w:val="auto"/>
        </w:rPr>
        <w:t>Interest income, net consists of interest earned primarily on our cash, cash equivalents and marketable securities as well as accretion of discounts/amortization of premiums on purchases of marketable securities.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60" w:firstLine="509"/>
        <w:spacing w:after="0" w:line="286" w:lineRule="auto"/>
        <w:rPr>
          <w:sz w:val="20"/>
          <w:szCs w:val="20"/>
          <w:color w:val="auto"/>
        </w:rPr>
      </w:pPr>
      <w:r>
        <w:rPr>
          <w:rFonts w:ascii="Arial" w:cs="Arial" w:eastAsia="Arial" w:hAnsi="Arial"/>
          <w:sz w:val="16"/>
          <w:szCs w:val="16"/>
          <w:color w:val="auto"/>
        </w:rPr>
        <w:t>In August 2020, we entered into the SVB Loan Agreement under which we borrowed $14.0 million under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Prior to the Third Amendment to the SVB Loan Agreement, the SVB Term Loan bore interest at a floating rate per annum equal to the greater of (A) the prime rate plus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would be adjusted to a floating rate equal to the greater of (A) the prime rate plus 3.00% and (B) 6.25%.</w:t>
      </w:r>
    </w:p>
    <w:p>
      <w:pPr>
        <w:spacing w:after="0" w:line="85" w:lineRule="exact"/>
        <w:rPr>
          <w:sz w:val="20"/>
          <w:szCs w:val="20"/>
          <w:color w:val="auto"/>
        </w:rPr>
      </w:pPr>
    </w:p>
    <w:p>
      <w:pPr>
        <w:jc w:val="both"/>
        <w:ind w:right="40" w:firstLine="509"/>
        <w:spacing w:after="0" w:line="257" w:lineRule="auto"/>
        <w:rPr>
          <w:sz w:val="20"/>
          <w:szCs w:val="20"/>
          <w:color w:val="auto"/>
        </w:rPr>
      </w:pPr>
      <w:r>
        <w:rPr>
          <w:rFonts w:ascii="Arial" w:cs="Arial" w:eastAsia="Arial" w:hAnsi="Arial"/>
          <w:sz w:val="18"/>
          <w:szCs w:val="18"/>
          <w:color w:val="auto"/>
        </w:rPr>
        <w:t>On April 6, 2022, we entered into the Third Amendment to the SVB Loan Agreement, or the Third Amendment. Under the Third Amendment, SVB agreed that amounts outstanding under the SVB Loan Agreement would accrue interest at a floating per annum rate equal to (i) the greater of (A) the prime rate plus 1.00% and (B) 4.25%, prior to raising $45.0 million in net proceeds from the sale of equity securities, which we refer to as the 2022 Equity Event, and (ii) upon and after the occurrence of the 2022 Equity Event, the greater of (A) the prime rate plus 3.00% and (B) 6.25%. The closing of the April 2022 Private Placement constituted the 2022 Equity Event.</w:t>
      </w:r>
    </w:p>
    <w:p>
      <w:pPr>
        <w:spacing w:after="0" w:line="80"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The SVB Term Loan required interest-only payments until March 2022.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19,834</w:t>
            </w:r>
          </w:p>
        </w:tc>
        <w:tc>
          <w:tcPr>
            <w:tcW w:w="1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22,984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(3,150 )</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32,476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(2,569 )</w:t>
            </w: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9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term loan derivative liability</w:t>
            </w:r>
          </w:p>
        </w:tc>
        <w:tc>
          <w:tcPr>
            <w:tcW w:w="1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(375 )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1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(1,163 )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(1,202 )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19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(29,188 )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(33,961 )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benefit</w:t>
            </w:r>
          </w:p>
        </w:tc>
        <w:tc>
          <w:tcPr>
            <w:tcW w:w="1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(29,152 )</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(33,940 )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00" w:type="dxa"/>
            <w:vAlign w:val="bottom"/>
            <w:vMerge w:val="restart"/>
          </w:tcPr>
          <w:p>
            <w:pPr>
              <w:jc w:val="right"/>
              <w:ind w:right="830"/>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-2262505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-2262505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-1002030</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-1002030</wp:posOffset>
            </wp:positionV>
            <wp:extent cx="6858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-685165</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-685165</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237"/>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development expenses</w:t>
            </w: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11,796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15,764</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Personnel and related expenses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(259 )</w:t>
            </w:r>
          </w:p>
        </w:tc>
      </w:tr>
      <w:tr>
        <w:trPr>
          <w:trHeight w:val="249"/>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Consulting expenses and professional fees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21"/>
                <w:szCs w:val="2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Stock-based compensation expenses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r>
      <w:tr>
        <w:trPr>
          <w:trHeight w:val="243"/>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research and development expenses</w:t>
            </w:r>
          </w:p>
        </w:tc>
        <w:tc>
          <w:tcPr>
            <w:tcW w:w="10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40" w:type="dxa"/>
            <w:vAlign w:val="bottom"/>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19,834</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22,984</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(3,150 )</w:t>
            </w:r>
          </w:p>
        </w:tc>
      </w:tr>
      <w:tr>
        <w:trPr>
          <w:trHeight w:val="20"/>
        </w:trPr>
        <w:tc>
          <w:tcPr>
            <w:tcW w:w="5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-187960</wp:posOffset>
            </wp:positionV>
            <wp:extent cx="7683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Research and development expenses for the year ended December 31, 2022 decreased $3.2 million, or 13.7%, to $19.8 million from $23.0 million for the year ended December 31, 2021, primarily due to decreased clinical trial costs in our Phase 2b/3 PRISM trial and Phase 2 CANAL trial due to the completion of the blinded portion of the trials in 2022 and decreased personnel-related expenses primarily due to severance in the prior year period that did not recur. These decreases were partially offset by an increase in startup activities for our planned trials including purchases of clinical trial supplies as well as increased consulting expenses and professional fees that included recruiting fees related to hires in the current year, regulatory medical writing and trial design consulting fees. For the years ended December 31, 2022 and 2021, all of our research and development expenses related to our development activity for Haduvio.</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General and administrative expenses for the year ended December 31, 2022 increased $0.6 million, or 6.1%, to $10.1 million from $9.5 million for the year ended December 31, 2021. The increase was primarily due to higher market research costs, an increase in personnel-related expenses and higher legal, accounting and tax professional fees, which were partially offset by lower stock-based compensation expense as a result of the vesting of higher valued awards in the prior year as compared to lower valued awards granted in the current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Other income, net for the year ended December 31, 2022 was $0.7 million compared to other expense, net of $1.5 million for the year ended December 31, 2021. The change was primarily due to an increase in interest income of $1.7 million due to higher cash equivalent and marketable securities balances and higher interest rate yields. In addition, during the year ended December 31, 2022, we recorded $0.3 million in other income, net related to a tax credit against employment taxes for certain previous periods provided under the CARES Act. No income was recorded related to tax credits under the CARES Act in 2021. In addition, during the year ended December 31, 2021, we recorded a $0.4 million expense related to the value of the shares of our common stock that we issued to Lincoln Park as consideration for Lincoln Park’s commitment to purchase shares of our common stock under the LPC Purchase Agreement. This expense did not recur during the year ended December 31, 2022. These changes were partially offset by an increase in expense of $0.2 million attributable to expense being recognized during the year ended December 31, 2022 for the change in fair value and settlement of the term loan derivative liability.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60" w:firstLine="509"/>
        <w:spacing w:after="0" w:line="30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our prior term loan.</w:t>
      </w:r>
    </w:p>
    <w:p>
      <w:pPr>
        <w:spacing w:after="0" w:line="49" w:lineRule="exact"/>
        <w:rPr>
          <w:sz w:val="20"/>
          <w:szCs w:val="20"/>
          <w:color w:val="auto"/>
        </w:rPr>
      </w:pPr>
    </w:p>
    <w:p>
      <w:pPr>
        <w:ind w:right="460" w:firstLine="509"/>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5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In June 2020, we entered into the ATM Sales Agreement, under which we may issue and sell shares of common stock, from time to time, having an aggregate offering price of up to $12.0 million. In May 2022, we amended the ATM Sales Agreement with SVB Securities to increase the maximum aggregate offering price of common stock that we may issue and sell from time to time under the ATM Sales Agreement by $50.0 million, from $12.0 million to up to $62.0 million. Sales of common stock under the ATM Sales Agreement may be made by any method that is deemed 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spacing w:after="0" w:line="259" w:lineRule="auto"/>
        <w:rPr>
          <w:sz w:val="20"/>
          <w:szCs w:val="20"/>
          <w:color w:val="auto"/>
        </w:rPr>
      </w:pPr>
      <w:r>
        <w:rPr>
          <w:rFonts w:ascii="Arial" w:cs="Arial" w:eastAsia="Arial" w:hAnsi="Arial"/>
          <w:sz w:val="18"/>
          <w:szCs w:val="18"/>
          <w:color w:val="auto"/>
        </w:rPr>
        <w:t>“at-the-market” offering as defined in Rule 415(a)(4) under the Securities Act of 1933, as amended. We are not obligated to make any sales of our common stock under the ATM Sales Agreement. We began making sales pursuant to the ATM Sales Agreement in July 2020 and as of December 31, 2022, we had issued and sold an aggregate of 3,583,394 shares of common stock for gross proceeds of $11.0 million, before deducting estimated commissions and allocated fees of $0.8 million.</w:t>
      </w:r>
    </w:p>
    <w:p>
      <w:pPr>
        <w:spacing w:after="0" w:line="79" w:lineRule="exact"/>
        <w:rPr>
          <w:sz w:val="20"/>
          <w:szCs w:val="20"/>
          <w:color w:val="auto"/>
        </w:rPr>
      </w:pPr>
    </w:p>
    <w:p>
      <w:pPr>
        <w:ind w:right="300" w:firstLine="509"/>
        <w:spacing w:after="0" w:line="291" w:lineRule="auto"/>
        <w:rPr>
          <w:sz w:val="20"/>
          <w:szCs w:val="20"/>
          <w:color w:val="auto"/>
        </w:rPr>
      </w:pPr>
      <w:r>
        <w:rPr>
          <w:rFonts w:ascii="Arial" w:cs="Arial" w:eastAsia="Arial" w:hAnsi="Arial"/>
          <w:sz w:val="16"/>
          <w:szCs w:val="16"/>
          <w:color w:val="auto"/>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 stock to Lincoln Park as consideration for its commitment to purchase shares of our common stock under the LPC Purchase Agreement. Under the terms of the October 2021 Private Placements, we agreed to not issue or sell additional shares under the LPC Purchase Agreement on or prior to April 6, 2023.</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SVB Loan Agreement</w:t>
      </w:r>
    </w:p>
    <w:p>
      <w:pPr>
        <w:spacing w:after="0" w:line="11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August 2020, we entered into the SVB Loan Agreement with SVB, pursuant to which SVB provided the SVB Term Loan in the original principal amount of $14.0 million. Prior to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the interest rate under the SVB Term Loan would have been adjusted to a floating rate equal to the greater of (A) the prime rate plus 3.00% and</w:t>
      </w:r>
    </w:p>
    <w:p>
      <w:pPr>
        <w:spacing w:after="0" w:line="2" w:lineRule="exact"/>
        <w:rPr>
          <w:sz w:val="20"/>
          <w:szCs w:val="20"/>
          <w:color w:val="auto"/>
        </w:rPr>
      </w:pPr>
    </w:p>
    <w:p>
      <w:pPr>
        <w:ind w:firstLine="8"/>
        <w:spacing w:after="0" w:line="267" w:lineRule="auto"/>
        <w:tabs>
          <w:tab w:leader="none" w:pos="2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6.25%. Commencing on March 1, 2022 and on the first business day of each month thereafter,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7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On July 6, 2021, we and SVB entered into the First Amendment to the SVB Loan Agreement, or the First Amendment. The First Amendment modified the conditions under which we were required to cash collateralize outstanding amounts owed to SVB under the SVB Loan Agreement. Under the First Amendment, if we failed to receive positive data in our Phase 2b/3 PRISM trial or, prior to June 30, 2022, failed to raise sufficient net proceeds from the sale of equity securities to finance our planned second Phase 3 clinical trial of Haduvio for prurigo nodularis and our ongoing operations, each of which we refer to as a Milestone Condition, we would have been required to deposit unrestricted and unencumbered cash equal to 100% of all outstanding amounts owed to SVB in a cash collateral account with SVB, which could have been used by SVB to prepay the SVB Term Loan at any time. In addition, the First Amendment provided that if we failed to maintain at least $20.0 million in unrestricted and unencumbered cash in our accounts with SVB, or the Minimum Required Cash, at any time prior to the satisfaction of all the Milestone Conditions, we would have been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spacing w:after="0" w:line="7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On April 6, 2022, we entered into the Third Amendment to the SVB Loan Agreement. The Third Amendment principally modified the conditions under which we are required to cash collateralize all outstanding amounts owed to SVB</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8"/>
          <w:szCs w:val="18"/>
          <w:color w:val="auto"/>
        </w:rPr>
        <w:t>under the SVB Loan Agreement. Under the terms of the Third Amendment, upon the closing of the April 2022 Private Placement, our obligations to achieve the Milestone Conditions and maintain the Minimum Required Cash terminated and the sole remaining cash collateralization requirement under the SVB Loan Agreement was the requirement that we receive positive final data by December 31, 2022 from either our Phase 2b/3 PRISM trial of Haduvio for prurigo nodularis or our Phase 2 CANAL trial of Haduvio for the treatment of chronic cough in adults with IPF. On August 3, 2022, SVB confirmed that the reported data from the Phase 2b/3 PRISM trial satisfied the requirement for positive data and that the cash collateralization requirements of the SVB Loan Agreement were no longer in effect.</w:t>
      </w:r>
    </w:p>
    <w:p>
      <w:pPr>
        <w:spacing w:after="0" w:line="84"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In addition, the Third Amendment modified the interest rate on the principal amount outstanding under the SVB Loan Agreement, as discussed above under “—Components of Operating Results—Operating Expenses—Interest Expense.”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(28,175</w:t>
            </w:r>
          </w:p>
        </w:tc>
        <w:tc>
          <w:tcPr>
            <w:tcW w:w="1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20"/>
                <w:szCs w:val="20"/>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w w:val="90"/>
              </w:rPr>
              <w:t>(107,373 )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(107,373 )</w:t>
            </w:r>
          </w:p>
        </w:tc>
      </w:tr>
      <w:tr>
        <w:trPr>
          <w:trHeight w:val="243"/>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111,307</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20,775</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(24,241 )</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(8,171 )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(16,070 )</w:t>
            </w:r>
          </w:p>
        </w:tc>
      </w:tr>
      <w:tr>
        <w:trPr>
          <w:trHeight w:val="20"/>
        </w:trPr>
        <w:tc>
          <w:tcPr>
            <w:tcW w:w="5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-187960</wp:posOffset>
            </wp:positionV>
            <wp:extent cx="7747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During the year ended December 31, 2022, operating activities used $28.2 million of net cash, resulting from our net loss of $29.2 million, changes in our operating assets and liabilities of $1.2 million partially offset by non-cash charges of $2.2 million. Changes in our operating assets and liabilities for the year ended December 31, 2022 consisted of a $0.6 million increase in prepaid expenses and other current assets and a $0.6 million decrease in accrued expenses and other liabilities. The increase in prepaid expenses and other current assets was primarily due to an increase in interest income receivable related to our marketable securities. The decrease in accrued expenses and other liabilities was primarily due to decreased accruals for research, development and clinical trial work performed by our CROs. The non-cash charges for the year ended December 31, 2022 consisted primarily of stock-based compensation expense of $2.3 million and $0.5 million of accretion/accrual of term loan discounts and debt issuance costs offset by $0.8 million of accretion of our available-for-sale marketable securities.</w:t>
      </w:r>
    </w:p>
    <w:p>
      <w:pPr>
        <w:spacing w:after="0" w:line="70"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During the year ended December 31, 2021, operating activities used $28.9 million of net cash, resulting from our net loss of $33.9 million, partially offset by changes in our operating assets and liabilities of $1.5 million and non-cash charges of $3.5 million. Changes in our operating assets and liabilities for the year ended December 31, 2021 consisted of a $0.3 million decrease in prepaid expenses and other current assets, a $0.8 million increase in accounts payable and a $0.3 million decrease in accrued expenses. The decrease in prepaid expenses and other current assets was primarily due to the return of a deposit associated with the completion of one of our clinical trials. The increase in accounts payable was primarily due to timing of vendor invoices. The decrease in accrued expenses and other liabilities was primarily due to decreased accruals related to non-income based taxes and accrued consulting and professional fees partially offset by increased accruals for research, development and clinical trial work performed by our CROs. The non-cash charges for the year ended December 31, 2021 consisted primarily of stock-based compensation expense of $2.5 million, $0.6 million of accretion/accrual of term loan discounts and debt issuance costs and $0.4 million of other expense associated with the value of the shares of our common stock that we issued to Lincoln Park as consideration for Lincoln Park’s commitment to purchase shares of our common stock under the LPC Purchase Agreement.</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During the year ended December 31, 2022, net cash used in investing activities was $107.4 million, primarily related to purchases of and proceeds from maturities of available-for-sale marketable securities.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 ended December 31, 2021, no cash was used in or provided by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year ended December 31, 2022, net cash provided by financing activities was $111.3 million, primarily consisting of net cash proceeds from our April 2022 Private Placement and our September 2022 Offering of $105.4 million, cash proceeds of $11.8 million from the exercise of warrants and cash proceeds from the exercise of stock options of $0.1 million, partially offset by repayments of $5.8 million on the SVB Term Loan and payments of offering costs of $0.2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4" w:name="page95"/>
    <w:bookmarkEnd w:id="94"/>
    <w:p>
      <w:pPr>
        <w:ind w:right="40" w:firstLine="509"/>
        <w:spacing w:after="0" w:line="259" w:lineRule="auto"/>
        <w:rPr>
          <w:sz w:val="20"/>
          <w:szCs w:val="20"/>
          <w:color w:val="auto"/>
        </w:rPr>
      </w:pPr>
      <w:r>
        <w:rPr>
          <w:rFonts w:ascii="Arial" w:cs="Arial" w:eastAsia="Arial" w:hAnsi="Arial"/>
          <w:sz w:val="18"/>
          <w:szCs w:val="18"/>
          <w:color w:val="auto"/>
        </w:rPr>
        <w:t>During the year ended December 31, 2021, net cash provided by financing activities was $20.8 million, primarily consisting of net cash proceeds from our October 2021 Private Placements of $13.7 million and cash proceeds of $7.5 million, net of commissions, from sales of our common stock under the ATM Sales Agreement, partially offset by payments of offering costs of $0.4 million and payments of financing costs of $0.1 million associated with the First Amendment to the SVB Loan Agreement.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38"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next trials we plan to conduct for Haduvio for the treatment of chronic cough in adults with IPF;</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planned Phase 2 clinical trial of Haduvio for the treatment of refractory chronic cough;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ongoing HAL study.</w:t>
      </w:r>
    </w:p>
    <w:p>
      <w:pPr>
        <w:spacing w:after="0" w:line="117"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Generally, regulatory authorities require two adequate and well-controlled studies for approval. Furthermore, we expect to continue to incur costs associated with operating as a public company, including significant legal, accounting, investor relations and other expenses.</w:t>
      </w:r>
    </w:p>
    <w:p>
      <w:pPr>
        <w:spacing w:after="0" w:line="3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ind w:left="900" w:hanging="383"/>
        <w:spacing w:after="0" w:line="263"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including the next clinical trials for the treatment of chronic cough in adults with IPF, our planned Phase 2 clinical trial in refractory chronic cough, and our ongoing HAL study, as well as trials for any future product candidates;</w:t>
      </w:r>
    </w:p>
    <w:p>
      <w:pPr>
        <w:spacing w:after="0" w:line="75" w:lineRule="exact"/>
        <w:rPr>
          <w:rFonts w:ascii="Arial" w:cs="Arial" w:eastAsia="Arial" w:hAnsi="Arial"/>
          <w:sz w:val="18"/>
          <w:szCs w:val="18"/>
          <w:color w:val="auto"/>
        </w:rPr>
      </w:pPr>
    </w:p>
    <w:p>
      <w:pPr>
        <w:ind w:left="900" w:right="420" w:hanging="383"/>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ongoing HAL study and a potential Thorough QT study;</w:t>
      </w:r>
    </w:p>
    <w:p>
      <w:pPr>
        <w:spacing w:after="0" w:line="62" w:lineRule="exact"/>
        <w:rPr>
          <w:rFonts w:ascii="Arial" w:cs="Arial" w:eastAsia="Arial" w:hAnsi="Arial"/>
          <w:sz w:val="18"/>
          <w:szCs w:val="18"/>
          <w:color w:val="auto"/>
        </w:rPr>
      </w:pPr>
    </w:p>
    <w:p>
      <w:pPr>
        <w:ind w:left="900" w:right="460" w:hanging="383"/>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900" w:right="80" w:hanging="383"/>
        <w:spacing w:after="0" w:line="263"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chronic cough in adults with IPF or any other chronic cough indications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900" w:right="260" w:hanging="383"/>
        <w:spacing w:after="0" w:line="34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Haduvio for the treatment of chronic cough in adults with IPF or for any other chronic cough indications or for the treatment of prurigo nodularis or from any future product candidates;</w:t>
      </w:r>
    </w:p>
    <w:p>
      <w:pPr>
        <w:spacing w:after="0" w:line="15" w:lineRule="exact"/>
        <w:rPr>
          <w:rFonts w:ascii="Arial" w:cs="Arial" w:eastAsia="Arial" w:hAnsi="Arial"/>
          <w:sz w:val="16"/>
          <w:szCs w:val="16"/>
          <w:color w:val="auto"/>
        </w:rPr>
      </w:pPr>
    </w:p>
    <w:p>
      <w:pPr>
        <w:ind w:left="900" w:right="80" w:hanging="383"/>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identify potential collaborators for Haduvio for the treatment of prurigo nodularis or for the treatment of chronic cough in adults with IPF or for any other chronic cough indications or for any future product candidates and the terms and timing of any collaboration agreement that we may establish for the development and any commercialization of such product candidates;</w:t>
      </w:r>
    </w:p>
    <w:p>
      <w:pPr>
        <w:spacing w:after="0" w:line="57" w:lineRule="exact"/>
        <w:rPr>
          <w:rFonts w:ascii="Arial" w:cs="Arial" w:eastAsia="Arial" w:hAnsi="Arial"/>
          <w:sz w:val="17"/>
          <w:szCs w:val="17"/>
          <w:color w:val="auto"/>
        </w:rPr>
      </w:pPr>
    </w:p>
    <w:p>
      <w:pPr>
        <w:ind w:left="900" w:right="160" w:hanging="383"/>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900" w:right="240" w:hanging="383"/>
        <w:spacing w:after="0" w:line="263"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95" w:name="page96"/>
    <w:bookmarkEnd w:id="95"/>
    <w:p>
      <w:pPr>
        <w:ind w:left="900" w:right="300" w:hanging="383"/>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7" w:lineRule="exact"/>
        <w:rPr>
          <w:rFonts w:ascii="Arial" w:cs="Arial" w:eastAsia="Arial" w:hAnsi="Arial"/>
          <w:sz w:val="18"/>
          <w:szCs w:val="18"/>
          <w:color w:val="auto"/>
        </w:rPr>
      </w:pPr>
    </w:p>
    <w:p>
      <w:pPr>
        <w:ind w:left="900" w:right="600" w:hanging="383"/>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the COVID-19 pandemic and other outbreaks of infectious disease on the scope, progress, timing, costs and results of our ongoing and planned clinical trials of Haduvio.</w:t>
      </w:r>
    </w:p>
    <w:p>
      <w:pPr>
        <w:spacing w:after="0" w:line="62"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spacing w:after="0" w:line="1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adults with IPF or refractory chronic cough or for the treatment of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spacing w:after="0" w:line="72"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76"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We have entered into agreements with CROs, contract manufacturing organizations and other companies that provide services in connection with our research and development activities. Our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 xml:space="preserve">We account for stock-based compensation arrangements with employees and non-employees for consultancy services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or ASC 718. ASC 718 requires the recognition of compensation expense, using a fair value-based method, for costs related to all</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payments, including stock options. Our determination of the fair value of stock options on the date of grant utilizes the Black-Scholes option pricing model for stock options with time-based vesting and is impacted by our common stock price as well as changes in assumptions regarding a number of complex and subjective variables. These variables include the expected term that options will remain outstanding, expected common stock price volatility over the term of the option awards, risk-free interest rates and expected dividends.</w:t>
      </w:r>
    </w:p>
    <w:p>
      <w:pPr>
        <w:spacing w:after="0" w:line="70" w:lineRule="exact"/>
        <w:rPr>
          <w:sz w:val="20"/>
          <w:szCs w:val="20"/>
          <w:color w:val="auto"/>
        </w:rPr>
      </w:pPr>
    </w:p>
    <w:p>
      <w:pPr>
        <w:ind w:right="100" w:firstLine="509"/>
        <w:spacing w:after="0" w:line="308" w:lineRule="auto"/>
        <w:rPr>
          <w:sz w:val="20"/>
          <w:szCs w:val="20"/>
          <w:color w:val="auto"/>
        </w:rPr>
      </w:pPr>
      <w:r>
        <w:rPr>
          <w:rFonts w:ascii="Arial" w:cs="Arial" w:eastAsia="Arial" w:hAnsi="Arial"/>
          <w:sz w:val="17"/>
          <w:szCs w:val="17"/>
          <w:color w:val="auto"/>
        </w:rPr>
        <w:t>The fair value of an option award is recognized over the period during which the optionee is required to provide services in exchange for the option award, known as the requisite service period (usually the vesting period) on a straight-line basis. Forfeitures are accounted for as they occur.</w:t>
      </w:r>
    </w:p>
    <w:p>
      <w:pPr>
        <w:spacing w:after="0" w:line="3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analysis and judgment to develop.</w:t>
      </w:r>
    </w:p>
    <w:p>
      <w:pPr>
        <w:spacing w:after="0" w:line="5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assumption represents the weighted average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elected to use the “simplified method” for estimating the expected term of the options, whereby the expected term equals the arithmetic average of the vesting term and the original contractual term of the option.</w:t>
      </w:r>
    </w:p>
    <w:p>
      <w:pPr>
        <w:spacing w:after="0" w:line="76"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volatility data was estimated based on a study of publicly traded industry peer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purposes of identifying these peer companies, we considered the industry, stage of development, size and financial leverage of potential comparable companies.</w:t>
      </w:r>
    </w:p>
    <w:p>
      <w:pPr>
        <w:spacing w:after="0" w:line="76"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Black-Scholes valuation model calls for a single expected dividend yield as an input. We currently have no history or</w:t>
      </w:r>
      <w:r>
        <w:rPr>
          <w:rFonts w:ascii="Arial" w:cs="Arial" w:eastAsia="Arial" w:hAnsi="Arial"/>
          <w:sz w:val="18"/>
          <w:szCs w:val="18"/>
          <w:i w:val="1"/>
          <w:iCs w:val="1"/>
          <w:color w:val="auto"/>
        </w:rPr>
        <w:t xml:space="preserve"> </w:t>
      </w:r>
      <w:r>
        <w:rPr>
          <w:rFonts w:ascii="Arial" w:cs="Arial" w:eastAsia="Arial" w:hAnsi="Arial"/>
          <w:sz w:val="18"/>
          <w:szCs w:val="18"/>
          <w:color w:val="auto"/>
        </w:rPr>
        <w:t>expectation of paying cash dividends on our common stock.</w:t>
      </w:r>
    </w:p>
    <w:p>
      <w:pPr>
        <w:spacing w:after="0" w:line="62"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similar in duration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equity-settled award.</w:t>
      </w:r>
    </w:p>
    <w:p>
      <w:pPr>
        <w:spacing w:after="0" w:line="6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will continue to use judgment in evaluating the expected volatility, expected terms and interest rates utilized for our stock-based compensation expense calculations on a prospective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68" w:lineRule="exact"/>
        <w:rPr>
          <w:sz w:val="20"/>
          <w:szCs w:val="20"/>
          <w:color w:val="auto"/>
        </w:rPr>
      </w:pPr>
    </w:p>
    <w:p>
      <w:pPr>
        <w:ind w:right="580" w:firstLine="509"/>
        <w:spacing w:after="0" w:line="263" w:lineRule="auto"/>
        <w:rPr>
          <w:sz w:val="20"/>
          <w:szCs w:val="20"/>
          <w:color w:val="auto"/>
        </w:rPr>
      </w:pPr>
      <w:r>
        <w:rPr>
          <w:rFonts w:ascii="Arial" w:cs="Arial" w:eastAsia="Arial" w:hAnsi="Arial"/>
          <w:sz w:val="18"/>
          <w:szCs w:val="18"/>
          <w:color w:val="auto"/>
        </w:rPr>
        <w:t xml:space="preserve">We account for uncertain tax positions in accordance with ASC 740,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or ASC 740. We assess all material positions taken in any income tax return, including all significant uncertain positions, in all tax years that are still subject to assessment or challenge by relevant taxing authorities. Assessing an uncertain tax</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ind w:right="60"/>
        <w:spacing w:after="0" w:line="257" w:lineRule="auto"/>
        <w:rPr>
          <w:sz w:val="20"/>
          <w:szCs w:val="20"/>
          <w:color w:val="auto"/>
        </w:rPr>
      </w:pPr>
      <w:r>
        <w:rPr>
          <w:rFonts w:ascii="Arial" w:cs="Arial" w:eastAsia="Arial" w:hAnsi="Arial"/>
          <w:sz w:val="18"/>
          <w:szCs w:val="18"/>
          <w:color w:val="auto"/>
        </w:rPr>
        <w:t>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 xml:space="preserve">We determine the accounting classification of warrants that are issued, as either liability or equity, by first assessing whether the warrants meet liability classification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then in accordance with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depending on the specific terms of the warrant agreement. Under ASC 480, warrants are considered liability classified if the warrants are</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mandatorily redeemable, obligate the issuer to settle the warrants or the underlying shares by paying cash or other assets, or must or may require settlement by issuing a variable number of shares.</w:t>
      </w:r>
    </w:p>
    <w:p>
      <w:pPr>
        <w:spacing w:after="0" w:line="8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If warrants do not meet liability classification under ASC 480, we assess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we assess whether the warrants are indexed to our common stock and whether the warrants are classified as equity under ASC 815 or other applicable GAAP. After all relevant assessments are made, we conclude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Our financial instruments have consisted of cash and cash equivalents, tax credit and other receivables, accounts payable, accrued expenses, term loans, term loan derivative liability and warrants to acquire our common stock.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approximates its fair value due to its floating market-based interest rate. The carrying amount of the term loan approximates its fair value due to its floating market-based interest rate. The fair value of the term loan derivative liability is estimated utilizing a probability-weighted cash flow approach.</w:t>
      </w:r>
    </w:p>
    <w:p>
      <w:pPr>
        <w:spacing w:after="0" w:line="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 xml:space="preserve">Current accounting guidance defines fair value, establishes a framework for measuring fair value in accordance with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and requires certain disclosures about fair value measurements. The valuation techniques included in the guidance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observable and unobservable inputs. Observable inputs reflect readily obtainable data from independent sources, while unobservable inputs reflect market assumptions and are classified into the following fair value hierarchy:</w:t>
      </w:r>
    </w:p>
    <w:p>
      <w:pPr>
        <w:spacing w:after="0" w:line="79" w:lineRule="exact"/>
        <w:rPr>
          <w:sz w:val="20"/>
          <w:szCs w:val="20"/>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rFonts w:ascii="Arial" w:cs="Arial" w:eastAsia="Arial" w:hAnsi="Arial"/>
          <w:sz w:val="18"/>
          <w:szCs w:val="18"/>
          <w:color w:val="auto"/>
        </w:rPr>
      </w:pPr>
    </w:p>
    <w:p>
      <w:pPr>
        <w:jc w:val="both"/>
        <w:ind w:left="900" w:right="60" w:hanging="383"/>
        <w:spacing w:after="0" w:line="263"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5" w:lineRule="exact"/>
        <w:rPr>
          <w:rFonts w:ascii="Arial" w:cs="Arial" w:eastAsia="Arial" w:hAnsi="Arial"/>
          <w:sz w:val="18"/>
          <w:szCs w:val="18"/>
          <w:color w:val="auto"/>
        </w:rPr>
      </w:pPr>
    </w:p>
    <w:p>
      <w:pPr>
        <w:ind w:left="900" w:right="180" w:hanging="383"/>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Valuation Techniques - Level 2 Inputs</w:t>
      </w:r>
    </w:p>
    <w:p>
      <w:pPr>
        <w:spacing w:after="0" w:line="117" w:lineRule="exact"/>
        <w:rPr>
          <w:sz w:val="20"/>
          <w:szCs w:val="20"/>
          <w:color w:val="auto"/>
        </w:rPr>
      </w:pPr>
    </w:p>
    <w:p>
      <w:pPr>
        <w:ind w:right="40" w:firstLine="869"/>
        <w:spacing w:after="0" w:line="273" w:lineRule="auto"/>
        <w:rPr>
          <w:sz w:val="20"/>
          <w:szCs w:val="20"/>
          <w:color w:val="auto"/>
        </w:rPr>
      </w:pPr>
      <w:r>
        <w:rPr>
          <w:rFonts w:ascii="Arial" w:cs="Arial" w:eastAsia="Arial" w:hAnsi="Arial"/>
          <w:sz w:val="17"/>
          <w:szCs w:val="17"/>
          <w:color w:val="auto"/>
        </w:rPr>
        <w:t>We estimate the fair values of our financial instruments categorized as level 2 in the fair value hierarchy, including U.S. Treasury securities, U.S. government agency obligations, corporate bonds, commercial paper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We obtain a single price for each financial instrument and we do not adjust the prices obtained from the pricing service.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Jumpstart Our Business Startups Act of 2012, as amended, or JOBS Act, permits emerging growth companies such as us to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There have been no new pronouncements adopted during the year ended December 31, 2022, which materially impacted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There have been no new pronouncements issued during the year ended December 31, 2022, which could be expected to materially impact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2022.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ind w:right="340" w:firstLine="509"/>
        <w:spacing w:after="0" w:line="342" w:lineRule="auto"/>
        <w:rPr>
          <w:sz w:val="20"/>
          <w:szCs w:val="20"/>
          <w:color w:val="auto"/>
        </w:rPr>
      </w:pPr>
      <w:r>
        <w:rPr>
          <w:rFonts w:ascii="Arial" w:cs="Arial" w:eastAsia="Arial" w:hAnsi="Arial"/>
          <w:sz w:val="16"/>
          <w:szCs w:val="16"/>
          <w:color w:val="auto"/>
        </w:rPr>
        <w:t>This Annual Report on Form 10-K does not include an attestation report of our independent registered public accounting firm regarding internal control over financial reporting due to an exemption established by the Jumpstart Our Business Startups Act of 2012 for emerging growth companies.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December 31, 2022 that has materially affected, or is reasonably likely to materially affect, our internal control over financial reporting.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2023 Annual Meeting of Stockholders and is incorporated herein by reference.</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documents are included on pages F-1 through F-21 attached hereto and are filed as part of this Annual Report on Form 10-K.</w:t>
      </w:r>
    </w:p>
    <w:p>
      <w:pPr>
        <w:spacing w:after="0" w:line="150"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8300" w:type="dxa"/>
            <w:vAlign w:val="bottom"/>
            <w:gridSpan w:val="6"/>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00042)</w:t>
            </w:r>
          </w:p>
        </w:tc>
        <w:tc>
          <w:tcPr>
            <w:tcW w:w="2780" w:type="dxa"/>
            <w:vAlign w:val="bottom"/>
          </w:tcPr>
          <w:p>
            <w:pPr>
              <w:ind w:left="2520"/>
              <w:spacing w:after="0"/>
              <w:rPr>
                <w:sz w:val="20"/>
                <w:szCs w:val="20"/>
                <w:color w:val="auto"/>
              </w:rPr>
            </w:pPr>
            <w:r>
              <w:rPr>
                <w:rFonts w:ascii="Arial" w:cs="Arial" w:eastAsia="Arial" w:hAnsi="Arial"/>
                <w:sz w:val="18"/>
                <w:szCs w:val="18"/>
                <w:color w:val="auto"/>
                <w:w w:val="88"/>
              </w:rPr>
              <w:t>F-2</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507"/>
        </w:trPr>
        <w:tc>
          <w:tcPr>
            <w:tcW w:w="8300" w:type="dxa"/>
            <w:vAlign w:val="bottom"/>
            <w:gridSpan w:val="6"/>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2780" w:type="dxa"/>
            <w:vAlign w:val="bottom"/>
          </w:tcPr>
          <w:p>
            <w:pPr>
              <w:spacing w:after="0"/>
              <w:rPr>
                <w:sz w:val="24"/>
                <w:szCs w:val="24"/>
                <w:color w:val="auto"/>
              </w:rPr>
            </w:pPr>
          </w:p>
        </w:tc>
      </w:tr>
      <w:tr>
        <w:trPr>
          <w:trHeight w:val="202"/>
        </w:trPr>
        <w:tc>
          <w:tcPr>
            <w:tcW w:w="8300" w:type="dxa"/>
            <w:vAlign w:val="bottom"/>
            <w:gridSpan w:val="6"/>
          </w:tcPr>
          <w:p>
            <w:pPr>
              <w:spacing w:after="0" w:line="202" w:lineRule="exact"/>
              <w:rPr>
                <w:sz w:val="20"/>
                <w:szCs w:val="20"/>
                <w:color w:val="auto"/>
              </w:rPr>
            </w:pPr>
            <w:r>
              <w:rPr>
                <w:rFonts w:ascii="Arial" w:cs="Arial" w:eastAsia="Arial" w:hAnsi="Arial"/>
                <w:sz w:val="18"/>
                <w:szCs w:val="18"/>
                <w:color w:val="0000FF"/>
              </w:rPr>
              <w:t>Consolidated Balance Sheets</w:t>
            </w:r>
          </w:p>
        </w:tc>
        <w:tc>
          <w:tcPr>
            <w:tcW w:w="2780" w:type="dxa"/>
            <w:vAlign w:val="bottom"/>
          </w:tcPr>
          <w:p>
            <w:pPr>
              <w:ind w:left="2520"/>
              <w:spacing w:after="0" w:line="202" w:lineRule="exact"/>
              <w:rPr>
                <w:sz w:val="20"/>
                <w:szCs w:val="20"/>
                <w:color w:val="auto"/>
              </w:rPr>
            </w:pPr>
            <w:r>
              <w:rPr>
                <w:rFonts w:ascii="Arial" w:cs="Arial" w:eastAsia="Arial" w:hAnsi="Arial"/>
                <w:sz w:val="18"/>
                <w:szCs w:val="18"/>
                <w:color w:val="auto"/>
                <w:w w:val="88"/>
              </w:rPr>
              <w:t>F-3</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3"/>
        </w:trPr>
        <w:tc>
          <w:tcPr>
            <w:tcW w:w="8300" w:type="dxa"/>
            <w:vAlign w:val="bottom"/>
            <w:gridSpan w:val="6"/>
          </w:tcPr>
          <w:p>
            <w:pPr>
              <w:spacing w:after="0"/>
              <w:rPr>
                <w:sz w:val="20"/>
                <w:szCs w:val="20"/>
                <w:color w:val="auto"/>
              </w:rPr>
            </w:pPr>
            <w:r>
              <w:rPr>
                <w:rFonts w:ascii="Arial" w:cs="Arial" w:eastAsia="Arial" w:hAnsi="Arial"/>
                <w:sz w:val="18"/>
                <w:szCs w:val="18"/>
                <w:color w:val="0000FF"/>
              </w:rPr>
              <w:t>Consolidated Statements of Comprehensive Loss</w:t>
            </w:r>
          </w:p>
        </w:tc>
        <w:tc>
          <w:tcPr>
            <w:tcW w:w="2780" w:type="dxa"/>
            <w:vAlign w:val="bottom"/>
          </w:tcPr>
          <w:p>
            <w:pPr>
              <w:ind w:left="2520"/>
              <w:spacing w:after="0"/>
              <w:rPr>
                <w:sz w:val="20"/>
                <w:szCs w:val="20"/>
                <w:color w:val="auto"/>
              </w:rPr>
            </w:pPr>
            <w:r>
              <w:rPr>
                <w:rFonts w:ascii="Arial" w:cs="Arial" w:eastAsia="Arial" w:hAnsi="Arial"/>
                <w:sz w:val="18"/>
                <w:szCs w:val="18"/>
                <w:color w:val="auto"/>
                <w:w w:val="88"/>
              </w:rPr>
              <w:t>F-4</w:t>
            </w:r>
          </w:p>
        </w:tc>
      </w:tr>
      <w:tr>
        <w:trPr>
          <w:trHeight w:val="20"/>
        </w:trPr>
        <w:tc>
          <w:tcPr>
            <w:tcW w:w="288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3"/>
        </w:trPr>
        <w:tc>
          <w:tcPr>
            <w:tcW w:w="8300" w:type="dxa"/>
            <w:vAlign w:val="bottom"/>
            <w:gridSpan w:val="6"/>
          </w:tcPr>
          <w:p>
            <w:pPr>
              <w:spacing w:after="0"/>
              <w:rPr>
                <w:sz w:val="20"/>
                <w:szCs w:val="20"/>
                <w:color w:val="auto"/>
              </w:rPr>
            </w:pPr>
            <w:r>
              <w:rPr>
                <w:rFonts w:ascii="Arial" w:cs="Arial" w:eastAsia="Arial" w:hAnsi="Arial"/>
                <w:sz w:val="18"/>
                <w:szCs w:val="18"/>
                <w:color w:val="0000FF"/>
              </w:rPr>
              <w:t>Consolidated Statements of Stockholders’ Equity</w:t>
            </w:r>
          </w:p>
        </w:tc>
        <w:tc>
          <w:tcPr>
            <w:tcW w:w="2780" w:type="dxa"/>
            <w:vAlign w:val="bottom"/>
          </w:tcPr>
          <w:p>
            <w:pPr>
              <w:ind w:left="2520"/>
              <w:spacing w:after="0"/>
              <w:rPr>
                <w:sz w:val="20"/>
                <w:szCs w:val="20"/>
                <w:color w:val="auto"/>
              </w:rPr>
            </w:pPr>
            <w:r>
              <w:rPr>
                <w:rFonts w:ascii="Arial" w:cs="Arial" w:eastAsia="Arial" w:hAnsi="Arial"/>
                <w:sz w:val="18"/>
                <w:szCs w:val="18"/>
                <w:color w:val="auto"/>
                <w:w w:val="88"/>
              </w:rPr>
              <w:t>F-5</w:t>
            </w:r>
          </w:p>
        </w:tc>
      </w:tr>
      <w:tr>
        <w:trPr>
          <w:trHeight w:val="20"/>
        </w:trPr>
        <w:tc>
          <w:tcPr>
            <w:tcW w:w="288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3"/>
        </w:trPr>
        <w:tc>
          <w:tcPr>
            <w:tcW w:w="8300" w:type="dxa"/>
            <w:vAlign w:val="bottom"/>
            <w:gridSpan w:val="6"/>
          </w:tcPr>
          <w:p>
            <w:pPr>
              <w:spacing w:after="0"/>
              <w:rPr>
                <w:sz w:val="20"/>
                <w:szCs w:val="20"/>
                <w:color w:val="auto"/>
              </w:rPr>
            </w:pPr>
            <w:r>
              <w:rPr>
                <w:rFonts w:ascii="Arial" w:cs="Arial" w:eastAsia="Arial" w:hAnsi="Arial"/>
                <w:sz w:val="18"/>
                <w:szCs w:val="18"/>
                <w:color w:val="0000FF"/>
              </w:rPr>
              <w:t>Consolidated Statements of Cash Flows</w:t>
            </w:r>
          </w:p>
        </w:tc>
        <w:tc>
          <w:tcPr>
            <w:tcW w:w="2780" w:type="dxa"/>
            <w:vAlign w:val="bottom"/>
          </w:tcPr>
          <w:p>
            <w:pPr>
              <w:ind w:left="2520"/>
              <w:spacing w:after="0"/>
              <w:rPr>
                <w:sz w:val="20"/>
                <w:szCs w:val="20"/>
                <w:color w:val="auto"/>
              </w:rPr>
            </w:pPr>
            <w:r>
              <w:rPr>
                <w:rFonts w:ascii="Arial" w:cs="Arial" w:eastAsia="Arial" w:hAnsi="Arial"/>
                <w:sz w:val="18"/>
                <w:szCs w:val="18"/>
                <w:color w:val="auto"/>
                <w:w w:val="88"/>
              </w:rPr>
              <w:t>F-6</w:t>
            </w:r>
          </w:p>
        </w:tc>
      </w:tr>
      <w:tr>
        <w:trPr>
          <w:trHeight w:val="20"/>
        </w:trPr>
        <w:tc>
          <w:tcPr>
            <w:tcW w:w="288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3"/>
        </w:trPr>
        <w:tc>
          <w:tcPr>
            <w:tcW w:w="830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780" w:type="dxa"/>
            <w:vAlign w:val="bottom"/>
          </w:tcPr>
          <w:p>
            <w:pPr>
              <w:ind w:left="2520"/>
              <w:spacing w:after="0"/>
              <w:rPr>
                <w:sz w:val="20"/>
                <w:szCs w:val="20"/>
                <w:color w:val="auto"/>
              </w:rPr>
            </w:pPr>
            <w:r>
              <w:rPr>
                <w:rFonts w:ascii="Arial" w:cs="Arial" w:eastAsia="Arial" w:hAnsi="Arial"/>
                <w:sz w:val="18"/>
                <w:szCs w:val="18"/>
                <w:color w:val="auto"/>
                <w:w w:val="88"/>
              </w:rPr>
              <w:t>F-7</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80" w:type="dxa"/>
            <w:vAlign w:val="bottom"/>
            <w:gridSpan w:val="38"/>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0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29"/>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Restated Certificate of Incorporation of Trevi Therapeutics, Inc. (incorporated by reference to Exhibit 3.1 to the Registrant’s Current</w:t>
              </w:r>
            </w:hyperlink>
          </w:p>
        </w:tc>
        <w:tc>
          <w:tcPr>
            <w:tcW w:w="3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Report on Form 8-K (File No. 001-38886) filed with the SEC on May 9, 2019)</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bottom w:val="single" w:sz="8" w:color="0000FF"/>
            </w:tcBorders>
            <w:gridSpan w:val="35"/>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Amended and Restated Bylaws of Trevi Therapeutics, Inc. (incorporated by reference to Exhibit 3.2 to the Registrant’s Current Report</w:t>
              </w:r>
            </w:hyperlink>
          </w:p>
        </w:tc>
        <w:tc>
          <w:tcPr>
            <w:tcW w:w="1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on Form 8-K (File No. 001-38886) filed with the SEC on May 9, 2019)</w:t>
              </w:r>
            </w:hyperlink>
          </w:p>
        </w:tc>
        <w:tc>
          <w:tcPr>
            <w:tcW w:w="20" w:type="dxa"/>
            <w:vAlign w:val="bottom"/>
            <w:tcBorders>
              <w:bottom w:val="single" w:sz="8" w:color="0000EE"/>
            </w:tcBorders>
          </w:tcPr>
          <w:p>
            <w:pPr>
              <w:spacing w:after="0"/>
              <w:rPr>
                <w:sz w:val="17"/>
                <w:szCs w:val="17"/>
                <w:color w:val="auto"/>
              </w:rPr>
            </w:pPr>
          </w:p>
        </w:tc>
        <w:tc>
          <w:tcPr>
            <w:tcW w:w="474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40" w:type="dxa"/>
            <w:vAlign w:val="bottom"/>
            <w:tcBorders>
              <w:bottom w:val="single" w:sz="8" w:color="0000FF"/>
            </w:tcBorders>
            <w:gridSpan w:val="24"/>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Specimen Stock Certificate evidencing the shares of common stock (incorporated by reference to Exhibit 4.1 to the Registrant’s</w:t>
              </w:r>
            </w:hyperlink>
          </w:p>
        </w:tc>
        <w:tc>
          <w:tcPr>
            <w:tcW w:w="66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Registration Statement on Form S-1 (File No. 333-230745) filed with the SEC on April 5, 2019)</w:t>
              </w:r>
            </w:hyperlink>
          </w:p>
        </w:tc>
        <w:tc>
          <w:tcPr>
            <w:tcW w:w="29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tcBorders>
              <w:bottom w:val="single" w:sz="8" w:color="0000FF"/>
            </w:tcBorders>
            <w:gridSpan w:val="42"/>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Description of Registrant’s Securities (incorporated by referred to Exhibit 4.2 to the Registrant’s Annual Report on Form 10-K (File No.</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001-38886) filed with the SEC on March 16, 2020)</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tcBorders>
              <w:bottom w:val="single" w:sz="8" w:color="0000FF"/>
            </w:tcBorders>
            <w:gridSpan w:val="44"/>
          </w:tcPr>
          <w:p>
            <w:pPr>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Form of Pre-Funded Warrant dated October 5, 2021 (incorporated by reference to Exhibit 4.1 to the Registrant’s Current Report on Form</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8-K (File No. 001-38886) filed with the SEC on October 1, 2021)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20" w:type="dxa"/>
            <w:vAlign w:val="bottom"/>
            <w:tcBorders>
              <w:bottom w:val="single" w:sz="8" w:color="0000FF"/>
            </w:tcBorders>
            <w:gridSpan w:val="27"/>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Form of 7-Year Common Stock Warrant dated October 5, 2021 (incorporated by reference to Exhibit 4.2 to the Registrant’s Current</w:t>
              </w:r>
            </w:hyperlink>
          </w:p>
        </w:tc>
        <w:tc>
          <w:tcPr>
            <w:tcW w:w="38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Report on Form 8-K (File No. 001-38886) filed with the SEC on October 1, 2021)</w:t>
              </w:r>
            </w:hyperlink>
          </w:p>
        </w:tc>
        <w:tc>
          <w:tcPr>
            <w:tcW w:w="39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tcBorders>
              <w:bottom w:val="single" w:sz="8" w:color="0000FF"/>
            </w:tcBorders>
            <w:gridSpan w:val="33"/>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Form of 3.5-Year Common Stock Warrant dated October 5, 2021 (incorporated by reference to Exhibit 4.3 to the Registrant’s Current</w:t>
              </w:r>
            </w:hyperlink>
          </w:p>
        </w:tc>
        <w:tc>
          <w:tcPr>
            <w:tcW w:w="2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6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tcBorders>
              <w:bottom w:val="single" w:sz="8" w:color="0000FF"/>
            </w:tcBorders>
            <w:gridSpan w:val="31"/>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Form of 7-Year Common Stock Warrant dated October 18, 2021 (incorporated by reference to Exhibit 4.1 to the Registrant’s Current</w:t>
              </w:r>
            </w:hyperlink>
          </w:p>
        </w:tc>
        <w:tc>
          <w:tcPr>
            <w:tcW w:w="2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Report on Form 8-K (File No. 001-38886) filed with the SEC on October 19, 2021)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bottom w:val="single" w:sz="8" w:color="0000FF"/>
            </w:tcBorders>
            <w:gridSpan w:val="36"/>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Form of 3.5-Year Common Stock Warrant dated October 18, 2021 (incorporated by reference to Exhibit 4.2 to the Registrant’s Current</w:t>
              </w:r>
            </w:hyperlink>
          </w:p>
        </w:tc>
        <w:tc>
          <w:tcPr>
            <w:tcW w:w="1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Report on Form 8-K (File No. 001-38886) filed with the SEC on October 19, 2021)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44"/>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38886) filed with the SEC on April 7, 2022)</w:t>
              </w:r>
            </w:hyperlink>
          </w:p>
        </w:tc>
        <w:tc>
          <w:tcPr>
            <w:tcW w:w="6420" w:type="dxa"/>
            <w:vAlign w:val="bottom"/>
            <w:tcBorders>
              <w:top w:val="single" w:sz="8" w:color="0000FF"/>
            </w:tcBorders>
            <w:gridSpan w:val="29"/>
          </w:tcPr>
          <w:p>
            <w:pPr>
              <w:spacing w:after="0"/>
              <w:rPr>
                <w:sz w:val="17"/>
                <w:szCs w:val="17"/>
                <w:color w:val="auto"/>
              </w:rPr>
            </w:pPr>
          </w:p>
        </w:tc>
        <w:tc>
          <w:tcPr>
            <w:tcW w:w="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44"/>
          </w:tcPr>
          <w:p>
            <w:pPr>
              <w:spacing w:after="0"/>
              <w:rPr>
                <w:rFonts w:ascii="Arial" w:cs="Arial" w:eastAsia="Arial" w:hAnsi="Arial"/>
                <w:sz w:val="18"/>
                <w:szCs w:val="18"/>
                <w:color w:val="0000FF"/>
                <w:w w:val="94"/>
              </w:rPr>
            </w:pPr>
            <w:hyperlink r:id="rId149">
              <w:r>
                <w:rPr>
                  <w:rFonts w:ascii="Arial" w:cs="Arial" w:eastAsia="Arial" w:hAnsi="Arial"/>
                  <w:sz w:val="18"/>
                  <w:szCs w:val="18"/>
                  <w:color w:val="0000FF"/>
                  <w:w w:val="94"/>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38886) filed with the SEC on September 23, 2022)</w:t>
              </w:r>
            </w:hyperlink>
          </w:p>
        </w:tc>
        <w:tc>
          <w:tcPr>
            <w:tcW w:w="5900" w:type="dxa"/>
            <w:vAlign w:val="bottom"/>
            <w:tcBorders>
              <w:top w:val="single" w:sz="8" w:color="0000FF"/>
            </w:tcBorders>
            <w:gridSpan w:val="26"/>
          </w:tcPr>
          <w:p>
            <w:pPr>
              <w:spacing w:after="0"/>
              <w:rPr>
                <w:sz w:val="17"/>
                <w:szCs w:val="17"/>
                <w:color w:val="auto"/>
              </w:rPr>
            </w:pPr>
          </w:p>
        </w:tc>
        <w:tc>
          <w:tcPr>
            <w:tcW w:w="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tcBorders>
              <w:bottom w:val="single" w:sz="8" w:color="0000FF"/>
            </w:tcBorders>
            <w:gridSpan w:val="38"/>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Second Amended and Restated Investors’ Rights Agreement dated as of July 14, 2017 (incorporated by reference to Exhibit 10.1 to the</w:t>
              </w:r>
            </w:hyperlink>
          </w:p>
        </w:tc>
        <w:tc>
          <w:tcPr>
            <w:tcW w:w="1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Registrant’s Registration Statement on Form S-1 (File No. 333-230745) filed with the SEC on April 5, 2019)</w:t>
              </w:r>
            </w:hyperlink>
          </w:p>
        </w:tc>
        <w:tc>
          <w:tcPr>
            <w:tcW w:w="20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Borders>
              <w:bottom w:val="single" w:sz="8" w:color="0000FF"/>
            </w:tcBorders>
            <w:gridSpan w:val="39"/>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2012 Stock Incentive Plan, as amended (incorporated by reference to Exhibit 10.2 to the Registrant’s Registration Statement on Form S-</w:t>
              </w:r>
            </w:hyperlink>
          </w:p>
        </w:tc>
        <w:tc>
          <w:tcPr>
            <w:tcW w:w="1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rPr>
            </w:pPr>
            <w:hyperlink r:id="rId151">
              <w:r>
                <w:rPr>
                  <w:rFonts w:ascii="Arial" w:cs="Arial" w:eastAsia="Arial" w:hAnsi="Arial"/>
                  <w:sz w:val="18"/>
                  <w:szCs w:val="18"/>
                  <w:color w:val="0000FF"/>
                </w:rPr>
                <w:t>1 (File No. 333-230745) filed with the SEC on April 5, 2019)</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tcBorders>
              <w:bottom w:val="single" w:sz="8" w:color="0000FF"/>
            </w:tcBorders>
            <w:gridSpan w:val="31"/>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Form of Nonstatutory Stock Option Agreement under the 2012 Stock Incentive Plan (incorporated by reference to Exhibit 10.3 to the</w:t>
              </w:r>
            </w:hyperlink>
          </w:p>
        </w:tc>
        <w:tc>
          <w:tcPr>
            <w:tcW w:w="2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Registrant’s Registration Statement on Form S-1 (File No. 333-230745) filed with the SEC on April 5, 2019)</w:t>
              </w:r>
            </w:hyperlink>
          </w:p>
        </w:tc>
        <w:tc>
          <w:tcPr>
            <w:tcW w:w="20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tcBorders>
              <w:bottom w:val="single" w:sz="8" w:color="0000FF"/>
            </w:tcBorders>
            <w:gridSpan w:val="34"/>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2019 Stock Incentive Plan (incorporated by reference to Exhibit 10.4 to the Registrant’s Registration Statement on Form S-1 (File No.</w:t>
              </w:r>
            </w:hyperlink>
          </w:p>
        </w:tc>
        <w:tc>
          <w:tcPr>
            <w:tcW w:w="20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333-230745) filed with the SEC on April 5, 2019)</w:t>
              </w:r>
            </w:hyperlink>
          </w:p>
        </w:tc>
        <w:tc>
          <w:tcPr>
            <w:tcW w:w="6300" w:type="dxa"/>
            <w:vAlign w:val="bottom"/>
            <w:gridSpan w:val="4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bottom w:val="single" w:sz="8" w:color="0000FF"/>
            </w:tcBorders>
            <w:gridSpan w:val="28"/>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Form of Stock Option Agreement under the 2019 Stock Incentive Plan (incorporated by reference to Exhibit 10.5 to the Registrant’s</w:t>
              </w:r>
            </w:hyperlink>
          </w:p>
        </w:tc>
        <w:tc>
          <w:tcPr>
            <w:tcW w:w="36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Registration Statement on Form S-1 (File No. 333-230745) filed with the SEC on April 5, 2019)</w:t>
              </w:r>
            </w:hyperlink>
          </w:p>
        </w:tc>
        <w:tc>
          <w:tcPr>
            <w:tcW w:w="20" w:type="dxa"/>
            <w:vAlign w:val="bottom"/>
            <w:tcBorders>
              <w:bottom w:val="single" w:sz="8" w:color="0000EE"/>
            </w:tcBorders>
          </w:tcPr>
          <w:p>
            <w:pPr>
              <w:spacing w:after="0"/>
              <w:rPr>
                <w:sz w:val="17"/>
                <w:szCs w:val="17"/>
                <w:color w:val="auto"/>
              </w:rPr>
            </w:pPr>
          </w:p>
        </w:tc>
        <w:tc>
          <w:tcPr>
            <w:tcW w:w="29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tcBorders>
              <w:bottom w:val="single" w:sz="8" w:color="0000FF"/>
            </w:tcBorders>
            <w:gridSpan w:val="37"/>
          </w:tcPr>
          <w:p>
            <w:pPr>
              <w:spacing w:after="0"/>
              <w:rPr>
                <w:rFonts w:ascii="Arial" w:cs="Arial" w:eastAsia="Arial" w:hAnsi="Arial"/>
                <w:sz w:val="18"/>
                <w:szCs w:val="18"/>
                <w:color w:val="0000FF"/>
                <w:w w:val="90"/>
              </w:rPr>
            </w:pPr>
            <w:hyperlink r:id="rId155">
              <w:r>
                <w:rPr>
                  <w:rFonts w:ascii="Arial" w:cs="Arial" w:eastAsia="Arial" w:hAnsi="Arial"/>
                  <w:sz w:val="18"/>
                  <w:szCs w:val="18"/>
                  <w:color w:val="0000FF"/>
                  <w:w w:val="90"/>
                </w:rPr>
                <w:t>2019 Employee Stock Purchase Plan (incorporated by reference to Exhibit 10.6 to the Registrant’s Registration Statement on Form S-1</w:t>
              </w:r>
            </w:hyperlink>
          </w:p>
        </w:tc>
        <w:tc>
          <w:tcPr>
            <w:tcW w:w="1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(File No. 333-230745) filed with the SEC on April 5, 2019)</w:t>
              </w:r>
            </w:hyperlink>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top w:val="single" w:sz="8" w:color="0000FF"/>
            </w:tcBorders>
            <w:gridSpan w:val="5"/>
          </w:tcPr>
          <w:p>
            <w:pPr>
              <w:spacing w:after="0"/>
              <w:rPr>
                <w:rFonts w:ascii="Arial" w:cs="Arial" w:eastAsia="Arial" w:hAnsi="Arial"/>
                <w:sz w:val="18"/>
                <w:szCs w:val="18"/>
                <w:color w:val="0000FF"/>
              </w:rPr>
            </w:pPr>
            <w:hyperlink r:id="rId156">
              <w:r>
                <w:rPr>
                  <w:rFonts w:ascii="Arial" w:cs="Arial" w:eastAsia="Arial" w:hAnsi="Arial"/>
                  <w:sz w:val="18"/>
                  <w:szCs w:val="18"/>
                  <w:color w:val="0000FF"/>
                </w:rPr>
                <w:t>Non-Employee Director Compensation Policy</w:t>
              </w:r>
            </w:hyperlink>
          </w:p>
        </w:tc>
        <w:tc>
          <w:tcPr>
            <w:tcW w:w="5620" w:type="dxa"/>
            <w:vAlign w:val="bottom"/>
            <w:gridSpan w:val="3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bottom w:val="single" w:sz="8" w:color="0000FF"/>
            </w:tcBorders>
            <w:gridSpan w:val="40"/>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Trevi Therapeutics, Inc. Executive Separation Benefits and Retention Plan (incorporated by reference to Exhibit 10.1 to the Registrant’s</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Current Report on Form 8-K (File No. 001-38886) filed with the SEC on September 24, 2019)</w:t>
              </w:r>
            </w:hyperlink>
          </w:p>
        </w:tc>
        <w:tc>
          <w:tcPr>
            <w:tcW w:w="31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bottom w:val="single" w:sz="8" w:color="0000FF"/>
            </w:tcBorders>
            <w:gridSpan w:val="32"/>
          </w:tcPr>
          <w:p>
            <w:pPr>
              <w:spacing w:after="0"/>
              <w:rPr>
                <w:rFonts w:ascii="Arial" w:cs="Arial" w:eastAsia="Arial" w:hAnsi="Arial"/>
                <w:sz w:val="18"/>
                <w:szCs w:val="18"/>
                <w:color w:val="0000FF"/>
                <w:w w:val="90"/>
              </w:rPr>
            </w:pPr>
            <w:hyperlink r:id="rId158">
              <w:r>
                <w:rPr>
                  <w:rFonts w:ascii="Arial" w:cs="Arial" w:eastAsia="Arial" w:hAnsi="Arial"/>
                  <w:sz w:val="18"/>
                  <w:szCs w:val="18"/>
                  <w:color w:val="0000FF"/>
                  <w:w w:val="90"/>
                </w:rPr>
                <w:t>Employment Agreement, dated December 4, 2012, by and between the Registrant and Jennifer L. Good (incorporated by reference to</w:t>
              </w:r>
            </w:hyperlink>
          </w:p>
        </w:tc>
        <w:tc>
          <w:tcPr>
            <w:tcW w:w="26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44"/>
          </w:tcPr>
          <w:p>
            <w:pPr>
              <w:spacing w:after="0" w:line="196" w:lineRule="exact"/>
              <w:rPr>
                <w:rFonts w:ascii="Arial" w:cs="Arial" w:eastAsia="Arial" w:hAnsi="Arial"/>
                <w:sz w:val="18"/>
                <w:szCs w:val="18"/>
                <w:color w:val="0000FF"/>
                <w:w w:val="98"/>
              </w:rPr>
            </w:pPr>
            <w:hyperlink r:id="rId158">
              <w:r>
                <w:rPr>
                  <w:rFonts w:ascii="Arial" w:cs="Arial" w:eastAsia="Arial" w:hAnsi="Arial"/>
                  <w:sz w:val="18"/>
                  <w:szCs w:val="18"/>
                  <w:color w:val="0000FF"/>
                  <w:w w:val="98"/>
                </w:rPr>
                <w:t>Exhibit 10.8 to the Registrant’s Registration Statement on Form S-1 (File No. 333-230745) filed with the SEC on April 5, 2019)</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tcBorders>
              <w:bottom w:val="single" w:sz="8" w:color="0000FF"/>
            </w:tcBorders>
            <w:gridSpan w:val="41"/>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Offer Letter, dated December 4, 2012, by and between the Registrant and Thomas R. Sciascia (incorporated by referred to Exhibit 10.10</w:t>
              </w:r>
            </w:hyperlink>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2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to the Registrant’s Annual Report on Form 10-K (File No. 001-38886) filed with the SEC on March 16, 2020)</w:t>
              </w:r>
            </w:hyperlink>
          </w:p>
        </w:tc>
        <w:tc>
          <w:tcPr>
            <w:tcW w:w="19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Offer Letter, dated November 4, 2022, by and between the Registrant and David Clark</w:t>
            </w:r>
          </w:p>
        </w:tc>
        <w:tc>
          <w:tcPr>
            <w:tcW w:w="20" w:type="dxa"/>
            <w:vAlign w:val="bottom"/>
            <w:tcBorders>
              <w:bottom w:val="single" w:sz="8" w:color="0000EE"/>
            </w:tcBorders>
          </w:tcPr>
          <w:p>
            <w:pPr>
              <w:spacing w:after="0"/>
              <w:rPr>
                <w:sz w:val="19"/>
                <w:szCs w:val="19"/>
                <w:color w:val="auto"/>
              </w:rPr>
            </w:pPr>
          </w:p>
        </w:tc>
        <w:tc>
          <w:tcPr>
            <w:tcW w:w="3660" w:type="dxa"/>
            <w:vAlign w:val="bottom"/>
            <w:gridSpan w:val="2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20" w:type="dxa"/>
            <w:vAlign w:val="bottom"/>
            <w:tcBorders>
              <w:bottom w:val="single" w:sz="8" w:color="0000FF"/>
            </w:tcBorders>
            <w:gridSpan w:val="26"/>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Offer Letter, dated June 17, 2021, by and between the Registrant and Lisa Delfini (incorporated by reference to Exhibit 10.5 to the</w:t>
              </w:r>
            </w:hyperlink>
          </w:p>
        </w:tc>
        <w:tc>
          <w:tcPr>
            <w:tcW w:w="48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Registrant’s Quarterly Report on Form 10-Q (File No. 001-38886) filed with the SEC on August 12, 2021)</w:t>
              </w:r>
            </w:hyperlink>
          </w:p>
        </w:tc>
        <w:tc>
          <w:tcPr>
            <w:tcW w:w="20" w:type="dxa"/>
            <w:vAlign w:val="bottom"/>
            <w:tcBorders>
              <w:bottom w:val="single" w:sz="8" w:color="0000EE"/>
            </w:tcBorders>
          </w:tcPr>
          <w:p>
            <w:pPr>
              <w:spacing w:after="0"/>
              <w:rPr>
                <w:sz w:val="17"/>
                <w:szCs w:val="17"/>
                <w:color w:val="auto"/>
              </w:rPr>
            </w:pPr>
          </w:p>
        </w:tc>
        <w:tc>
          <w:tcPr>
            <w:tcW w:w="22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tcBorders>
              <w:bottom w:val="single" w:sz="8" w:color="0000FF"/>
            </w:tcBorders>
            <w:gridSpan w:val="43"/>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Form of Indemnification Agreement between the Registrant and each of its directors and executive officers (incorporated by reference to</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Exhibit 10.12 to the Registrant’s Registration Statement on Form S-1 (File No. 333-230745) filed with the SEC on April 5, 2019)</w:t>
              </w:r>
            </w:hyperlink>
          </w:p>
        </w:tc>
        <w:tc>
          <w:tcPr>
            <w:tcW w:w="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200" w:type="dxa"/>
            <w:vAlign w:val="bottom"/>
          </w:tcPr>
          <w:p>
            <w:pPr>
              <w:spacing w:after="0"/>
              <w:rPr>
                <w:sz w:val="24"/>
                <w:szCs w:val="24"/>
                <w:color w:val="auto"/>
              </w:rPr>
            </w:pPr>
          </w:p>
        </w:tc>
        <w:tc>
          <w:tcPr>
            <w:tcW w:w="4560" w:type="dxa"/>
            <w:vAlign w:val="bottom"/>
            <w:gridSpan w:val="8"/>
          </w:tcPr>
          <w:p>
            <w:pPr>
              <w:jc w:val="right"/>
              <w:ind w:right="4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10.14</w:t>
            </w:r>
          </w:p>
        </w:tc>
        <w:tc>
          <w:tcPr>
            <w:tcW w:w="9700" w:type="dxa"/>
            <w:vAlign w:val="bottom"/>
            <w:tcBorders>
              <w:bottom w:val="single" w:sz="8" w:color="0000FF"/>
            </w:tcBorders>
            <w:gridSpan w:val="45"/>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Indenture of Lease, dated February 6, 2013, by and between First Niagara Bank, N.A. and the Registrant (incorporated by reference to</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34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Exhibit 10.13 to the Registrant’s Registration Statement on Form S-1 (File No. 333-230745) filed with the SEC on April 5, 2019)</w:t>
              </w:r>
            </w:hyperlink>
          </w:p>
        </w:tc>
        <w:tc>
          <w:tcPr>
            <w:tcW w:w="5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10.15</w:t>
            </w:r>
          </w:p>
        </w:tc>
        <w:tc>
          <w:tcPr>
            <w:tcW w:w="8980" w:type="dxa"/>
            <w:vAlign w:val="bottom"/>
            <w:tcBorders>
              <w:bottom w:val="single" w:sz="8" w:color="0000FF"/>
            </w:tcBorders>
            <w:gridSpan w:val="27"/>
          </w:tcPr>
          <w:p>
            <w:pPr>
              <w:spacing w:after="0"/>
              <w:rPr>
                <w:rFonts w:ascii="Arial" w:cs="Arial" w:eastAsia="Arial" w:hAnsi="Arial"/>
                <w:sz w:val="18"/>
                <w:szCs w:val="18"/>
                <w:color w:val="0000FF"/>
                <w:w w:val="90"/>
              </w:rPr>
            </w:pPr>
            <w:hyperlink r:id="rId165">
              <w:r>
                <w:rPr>
                  <w:rFonts w:ascii="Arial" w:cs="Arial" w:eastAsia="Arial" w:hAnsi="Arial"/>
                  <w:sz w:val="18"/>
                  <w:szCs w:val="18"/>
                  <w:color w:val="0000FF"/>
                  <w:w w:val="90"/>
                </w:rPr>
                <w:t>First Amendment to Lease, dated December 5, 2017, by and between the Registrant and 195 Church Street Associates, LLC</w:t>
              </w:r>
            </w:hyperlink>
          </w:p>
        </w:tc>
        <w:tc>
          <w:tcPr>
            <w:tcW w:w="880" w:type="dxa"/>
            <w:vAlign w:val="bottom"/>
            <w:gridSpan w:val="24"/>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40" w:type="dxa"/>
            <w:vAlign w:val="bottom"/>
            <w:tcBorders>
              <w:bottom w:val="single" w:sz="8" w:color="0000FF"/>
            </w:tcBorders>
            <w:gridSpan w:val="50"/>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(incorporated by reference to Exhibit 10.14 to the Registrant’s Registration Statement on Form S-1 (File No. 333-230745) filed with the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6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SEC on April 5, 2019)</w:t>
              </w:r>
            </w:hyperlink>
          </w:p>
        </w:tc>
        <w:tc>
          <w:tcPr>
            <w:tcW w:w="20" w:type="dxa"/>
            <w:vAlign w:val="bottom"/>
            <w:tcBorders>
              <w:bottom w:val="single" w:sz="8" w:color="0000EE"/>
            </w:tcBorders>
          </w:tcPr>
          <w:p>
            <w:pPr>
              <w:spacing w:after="0"/>
              <w:rPr>
                <w:sz w:val="17"/>
                <w:szCs w:val="17"/>
                <w:color w:val="auto"/>
              </w:rPr>
            </w:pPr>
          </w:p>
        </w:tc>
        <w:tc>
          <w:tcPr>
            <w:tcW w:w="8220" w:type="dxa"/>
            <w:vAlign w:val="bottom"/>
            <w:gridSpan w:val="38"/>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10.16*</w:t>
            </w:r>
          </w:p>
        </w:tc>
        <w:tc>
          <w:tcPr>
            <w:tcW w:w="924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89"/>
              </w:rPr>
              <w:t>Second Amendment to Lease, dated November 21, 2022, by and between the Registrant and 195 Church Street Associates, LLC</w:t>
            </w:r>
          </w:p>
        </w:tc>
        <w:tc>
          <w:tcPr>
            <w:tcW w:w="20" w:type="dxa"/>
            <w:vAlign w:val="bottom"/>
            <w:tcBorders>
              <w:bottom w:val="single" w:sz="8" w:color="0000EE"/>
            </w:tcBorders>
          </w:tcPr>
          <w:p>
            <w:pPr>
              <w:spacing w:after="0"/>
              <w:rPr>
                <w:sz w:val="19"/>
                <w:szCs w:val="19"/>
                <w:color w:val="auto"/>
              </w:rPr>
            </w:pPr>
          </w:p>
        </w:tc>
        <w:tc>
          <w:tcPr>
            <w:tcW w:w="600" w:type="dxa"/>
            <w:vAlign w:val="bottom"/>
            <w:gridSpan w:val="19"/>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tcBorders>
              <w:bottom w:val="single" w:sz="8" w:color="0000FF"/>
            </w:tcBorders>
            <w:gridSpan w:val="51"/>
          </w:tcPr>
          <w:p>
            <w:pPr>
              <w:spacing w:after="0"/>
              <w:rPr>
                <w:rFonts w:ascii="Arial" w:cs="Arial" w:eastAsia="Arial" w:hAnsi="Arial"/>
                <w:sz w:val="18"/>
                <w:szCs w:val="18"/>
                <w:color w:val="0000FF"/>
                <w:w w:val="89"/>
              </w:rPr>
            </w:pPr>
            <w:hyperlink r:id="rId166">
              <w:r>
                <w:rPr>
                  <w:rFonts w:ascii="Arial" w:cs="Arial" w:eastAsia="Arial" w:hAnsi="Arial"/>
                  <w:sz w:val="18"/>
                  <w:szCs w:val="18"/>
                  <w:color w:val="0000FF"/>
                  <w:w w:val="89"/>
                </w:rPr>
                <w:t>Exclusive License Agreement, dated as of May 13, 2011, by and between the Registrant and Penwest Pharmaceuticals Co. (incorporated</w:t>
              </w:r>
            </w:hyperlink>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by reference to Exhibit 10.15 to the Registrant’s Registration Statement on Form S-1 (File No. 333-230745) filed with the SEC on April</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7"/>
              </w:rPr>
            </w:pPr>
            <w:hyperlink r:id="rId166">
              <w:r>
                <w:rPr>
                  <w:rFonts w:ascii="Arial" w:cs="Arial" w:eastAsia="Arial" w:hAnsi="Arial"/>
                  <w:sz w:val="18"/>
                  <w:szCs w:val="18"/>
                  <w:color w:val="0000FF"/>
                  <w:w w:val="87"/>
                </w:rPr>
                <w:t>5, 2019)</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94967277"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10.18</w:t>
            </w:r>
          </w:p>
        </w:tc>
        <w:tc>
          <w:tcPr>
            <w:tcW w:w="8960" w:type="dxa"/>
            <w:vAlign w:val="bottom"/>
            <w:tcBorders>
              <w:bottom w:val="single" w:sz="8" w:color="0000FF"/>
            </w:tcBorders>
            <w:gridSpan w:val="26"/>
          </w:tcPr>
          <w:p>
            <w:pPr>
              <w:spacing w:after="0"/>
              <w:rPr>
                <w:rFonts w:ascii="Arial" w:cs="Arial" w:eastAsia="Arial" w:hAnsi="Arial"/>
                <w:sz w:val="18"/>
                <w:szCs w:val="18"/>
                <w:color w:val="0000FF"/>
                <w:w w:val="89"/>
              </w:rPr>
            </w:pPr>
            <w:hyperlink r:id="rId167">
              <w:r>
                <w:rPr>
                  <w:rFonts w:ascii="Arial" w:cs="Arial" w:eastAsia="Arial" w:hAnsi="Arial"/>
                  <w:sz w:val="18"/>
                  <w:szCs w:val="18"/>
                  <w:color w:val="0000FF"/>
                  <w:w w:val="89"/>
                </w:rPr>
                <w:t>Share Purchase Agreement, dated as of May 6, 2019, by and between the Registrant and New Enterprise Associates 16, L.P.</w:t>
              </w:r>
            </w:hyperlink>
          </w:p>
        </w:tc>
        <w:tc>
          <w:tcPr>
            <w:tcW w:w="900" w:type="dxa"/>
            <w:vAlign w:val="bottom"/>
            <w:gridSpan w:val="25"/>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50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(incorporated by reference to Exhibit 10.17 to Amendment No. 3 to Registrant’s Registration Statement on Form S-1 (File No. 333-</w:t>
              </w:r>
            </w:hyperlink>
          </w:p>
        </w:tc>
        <w:tc>
          <w:tcPr>
            <w:tcW w:w="3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2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230745) filed with the SEC on May 7, 2019)</w:t>
              </w:r>
            </w:hyperlink>
          </w:p>
        </w:tc>
        <w:tc>
          <w:tcPr>
            <w:tcW w:w="20" w:type="dxa"/>
            <w:vAlign w:val="bottom"/>
            <w:tcBorders>
              <w:bottom w:val="single" w:sz="8" w:color="0000EE"/>
            </w:tcBorders>
          </w:tcPr>
          <w:p>
            <w:pPr>
              <w:spacing w:after="0"/>
              <w:rPr>
                <w:sz w:val="17"/>
                <w:szCs w:val="17"/>
                <w:color w:val="auto"/>
              </w:rPr>
            </w:pPr>
          </w:p>
        </w:tc>
        <w:tc>
          <w:tcPr>
            <w:tcW w:w="6620" w:type="dxa"/>
            <w:vAlign w:val="bottom"/>
            <w:gridSpan w:val="34"/>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10.19</w:t>
            </w:r>
          </w:p>
        </w:tc>
        <w:tc>
          <w:tcPr>
            <w:tcW w:w="9800" w:type="dxa"/>
            <w:vAlign w:val="bottom"/>
            <w:tcBorders>
              <w:bottom w:val="single" w:sz="8" w:color="0000FF"/>
            </w:tcBorders>
            <w:gridSpan w:val="48"/>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Loan and Security Agreement, dated as of August 13, 2020, between Silicon Valley Bank and Trevi Therapeutics, Inc. (incorporated by</w:t>
              </w:r>
            </w:hyperlink>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referred to Exhibit 10.1 to the Registrant’s Quarterly Report on Form 10-Q (File No. 001-38886) filed with the SEC on November 12,</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68">
              <w:r>
                <w:rPr>
                  <w:rFonts w:ascii="Arial" w:cs="Arial" w:eastAsia="Arial" w:hAnsi="Arial"/>
                  <w:sz w:val="18"/>
                  <w:szCs w:val="18"/>
                  <w:color w:val="0000FF"/>
                  <w:w w:val="86"/>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94967277"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10.20</w:t>
            </w:r>
          </w:p>
        </w:tc>
        <w:tc>
          <w:tcPr>
            <w:tcW w:w="9180" w:type="dxa"/>
            <w:vAlign w:val="bottom"/>
            <w:tcBorders>
              <w:bottom w:val="single" w:sz="8" w:color="0000FF"/>
            </w:tcBorders>
            <w:gridSpan w:val="30"/>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First Amendment to Loan and Security Agreement, dated July 6, 2021, by and between Silicon Valley Bank and the Registrant</w:t>
              </w:r>
            </w:hyperlink>
          </w:p>
        </w:tc>
        <w:tc>
          <w:tcPr>
            <w:tcW w:w="68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720" w:type="dxa"/>
            <w:vAlign w:val="bottom"/>
            <w:tcBorders>
              <w:bottom w:val="single" w:sz="8" w:color="0000FF"/>
            </w:tcBorders>
            <w:gridSpan w:val="46"/>
          </w:tcPr>
          <w:p>
            <w:pPr>
              <w:spacing w:after="0" w:line="19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(incorporated by reference to Exhibit 99.1 to the Registrant’s Current Report on Form 8-K (File No. 001-38886) filed with the SEC on</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8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July 7, 2021</w:t>
              </w:r>
            </w:hyperlink>
          </w:p>
        </w:tc>
        <w:tc>
          <w:tcPr>
            <w:tcW w:w="20" w:type="dxa"/>
            <w:vAlign w:val="bottom"/>
            <w:tcBorders>
              <w:bottom w:val="single" w:sz="8" w:color="0000EE"/>
            </w:tcBorders>
          </w:tcPr>
          <w:p>
            <w:pPr>
              <w:spacing w:after="0"/>
              <w:rPr>
                <w:sz w:val="17"/>
                <w:szCs w:val="17"/>
                <w:color w:val="auto"/>
              </w:rPr>
            </w:pPr>
          </w:p>
        </w:tc>
        <w:tc>
          <w:tcPr>
            <w:tcW w:w="8960" w:type="dxa"/>
            <w:vAlign w:val="bottom"/>
            <w:gridSpan w:val="45"/>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10.21</w:t>
            </w:r>
          </w:p>
        </w:tc>
        <w:tc>
          <w:tcPr>
            <w:tcW w:w="9680" w:type="dxa"/>
            <w:vAlign w:val="bottom"/>
            <w:tcBorders>
              <w:bottom w:val="single" w:sz="8" w:color="0000FF"/>
            </w:tcBorders>
            <w:gridSpan w:val="44"/>
          </w:tcPr>
          <w:p>
            <w:pPr>
              <w:spacing w:after="0"/>
              <w:rPr>
                <w:rFonts w:ascii="Arial" w:cs="Arial" w:eastAsia="Arial" w:hAnsi="Arial"/>
                <w:sz w:val="18"/>
                <w:szCs w:val="18"/>
                <w:color w:val="0000FF"/>
                <w:w w:val="90"/>
              </w:rPr>
            </w:pPr>
            <w:hyperlink r:id="rId170">
              <w:r>
                <w:rPr>
                  <w:rFonts w:ascii="Arial" w:cs="Arial" w:eastAsia="Arial" w:hAnsi="Arial"/>
                  <w:sz w:val="18"/>
                  <w:szCs w:val="18"/>
                  <w:color w:val="0000FF"/>
                  <w:w w:val="90"/>
                </w:rPr>
                <w:t>Second Amendment to Loan and Security Agreement, dated August 13, 2021, by and between Silicon Valley Bank and the Registrant</w:t>
              </w:r>
            </w:hyperlink>
          </w:p>
        </w:tc>
        <w:tc>
          <w:tcPr>
            <w:tcW w:w="18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740" w:type="dxa"/>
            <w:vAlign w:val="bottom"/>
            <w:tcBorders>
              <w:bottom w:val="single" w:sz="8" w:color="0000FF"/>
            </w:tcBorders>
            <w:gridSpan w:val="47"/>
          </w:tcPr>
          <w:p>
            <w:pPr>
              <w:spacing w:after="0" w:line="19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(incorporated by reference to Exhibit 10.2 to the Registrant’s Quarterly Report on Form 10-Q (File No. 001-38886) filed with the SEC</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6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on November 10, 2021</w:t>
              </w:r>
            </w:hyperlink>
          </w:p>
        </w:tc>
        <w:tc>
          <w:tcPr>
            <w:tcW w:w="8200" w:type="dxa"/>
            <w:vAlign w:val="bottom"/>
            <w:gridSpan w:val="37"/>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10.22</w:t>
            </w:r>
          </w:p>
        </w:tc>
        <w:tc>
          <w:tcPr>
            <w:tcW w:w="9320" w:type="dxa"/>
            <w:vAlign w:val="bottom"/>
            <w:tcBorders>
              <w:bottom w:val="single" w:sz="8" w:color="0000FF"/>
            </w:tcBorders>
            <w:gridSpan w:val="33"/>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Third Amendment to Loan and Security Agreement, dated April 6, 2022, by and between Silicon Valley Bank and the Registrant</w:t>
              </w:r>
            </w:hyperlink>
          </w:p>
        </w:tc>
        <w:tc>
          <w:tcPr>
            <w:tcW w:w="54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720" w:type="dxa"/>
            <w:vAlign w:val="bottom"/>
            <w:tcBorders>
              <w:bottom w:val="single" w:sz="8" w:color="0000FF"/>
            </w:tcBorders>
            <w:gridSpan w:val="46"/>
          </w:tcPr>
          <w:p>
            <w:pPr>
              <w:spacing w:after="0" w:line="19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(incorporated by reference to Exhibit 99.3 to the Registrant’s Current Report on Form 8-K (File No. 001-38886) filed with the SEC on</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02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171">
              <w:r>
                <w:rPr>
                  <w:rFonts w:ascii="Arial" w:cs="Arial" w:eastAsia="Arial" w:hAnsi="Arial"/>
                  <w:sz w:val="18"/>
                  <w:szCs w:val="18"/>
                  <w:color w:val="0000FF"/>
                  <w:w w:val="93"/>
                </w:rPr>
                <w:t>April 7, 2022)</w:t>
              </w:r>
            </w:hyperlink>
          </w:p>
        </w:tc>
        <w:tc>
          <w:tcPr>
            <w:tcW w:w="20" w:type="dxa"/>
            <w:vAlign w:val="bottom"/>
            <w:tcBorders>
              <w:bottom w:val="single" w:sz="8" w:color="0000EE"/>
            </w:tcBorders>
          </w:tcPr>
          <w:p>
            <w:pPr>
              <w:spacing w:after="0"/>
              <w:rPr>
                <w:sz w:val="17"/>
                <w:szCs w:val="17"/>
                <w:color w:val="auto"/>
              </w:rPr>
            </w:pPr>
          </w:p>
        </w:tc>
        <w:tc>
          <w:tcPr>
            <w:tcW w:w="8820" w:type="dxa"/>
            <w:vAlign w:val="bottom"/>
            <w:gridSpan w:val="43"/>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10.23</w:t>
            </w:r>
          </w:p>
        </w:tc>
        <w:tc>
          <w:tcPr>
            <w:tcW w:w="9660" w:type="dxa"/>
            <w:vAlign w:val="bottom"/>
            <w:tcBorders>
              <w:bottom w:val="single" w:sz="8" w:color="0000FF"/>
            </w:tcBorders>
            <w:gridSpan w:val="41"/>
          </w:tcPr>
          <w:p>
            <w:pPr>
              <w:spacing w:after="0"/>
              <w:rPr>
                <w:rFonts w:ascii="Arial" w:cs="Arial" w:eastAsia="Arial" w:hAnsi="Arial"/>
                <w:sz w:val="18"/>
                <w:szCs w:val="18"/>
                <w:color w:val="0000FF"/>
                <w:w w:val="90"/>
              </w:rPr>
            </w:pPr>
            <w:hyperlink r:id="rId172">
              <w:r>
                <w:rPr>
                  <w:rFonts w:ascii="Arial" w:cs="Arial" w:eastAsia="Arial" w:hAnsi="Arial"/>
                  <w:sz w:val="18"/>
                  <w:szCs w:val="18"/>
                  <w:color w:val="0000FF"/>
                  <w:w w:val="90"/>
                </w:rPr>
                <w:t>Purchase Agreement, dated as of June 18, 2021, by and between the Registrant and Lincoln Park Capital Fund, LLC (incorporated by</w:t>
              </w:r>
            </w:hyperlink>
          </w:p>
        </w:tc>
        <w:tc>
          <w:tcPr>
            <w:tcW w:w="20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56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reference to Exhibit 99.1 to the Registrant’s Current Report on Form 8-K (File No. 001-38886) filed with the SEC on June 21, 2021)</w:t>
              </w:r>
            </w:hyperlink>
          </w:p>
        </w:tc>
        <w:tc>
          <w:tcPr>
            <w:tcW w:w="3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10.24</w:t>
            </w:r>
          </w:p>
        </w:tc>
        <w:tc>
          <w:tcPr>
            <w:tcW w:w="9160" w:type="dxa"/>
            <w:vAlign w:val="bottom"/>
            <w:tcBorders>
              <w:bottom w:val="single" w:sz="8" w:color="0000FF"/>
            </w:tcBorders>
            <w:gridSpan w:val="29"/>
          </w:tcPr>
          <w:p>
            <w:pPr>
              <w:spacing w:after="0"/>
              <w:rPr>
                <w:rFonts w:ascii="Arial" w:cs="Arial" w:eastAsia="Arial" w:hAnsi="Arial"/>
                <w:sz w:val="18"/>
                <w:szCs w:val="18"/>
                <w:color w:val="0000FF"/>
                <w:w w:val="90"/>
              </w:rPr>
            </w:pPr>
            <w:hyperlink r:id="rId173">
              <w:r>
                <w:rPr>
                  <w:rFonts w:ascii="Arial" w:cs="Arial" w:eastAsia="Arial" w:hAnsi="Arial"/>
                  <w:sz w:val="18"/>
                  <w:szCs w:val="18"/>
                  <w:color w:val="0000FF"/>
                  <w:w w:val="90"/>
                </w:rPr>
                <w:t>Registration Rights Agreement, dated as of June 18, 2021, by and between the Registrant and Lincoln Park Capital Fund, LLC</w:t>
              </w:r>
            </w:hyperlink>
          </w:p>
        </w:tc>
        <w:tc>
          <w:tcPr>
            <w:tcW w:w="700" w:type="dxa"/>
            <w:vAlign w:val="bottom"/>
            <w:gridSpan w:val="22"/>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720" w:type="dxa"/>
            <w:vAlign w:val="bottom"/>
            <w:tcBorders>
              <w:bottom w:val="single" w:sz="8" w:color="0000FF"/>
            </w:tcBorders>
            <w:gridSpan w:val="46"/>
          </w:tcPr>
          <w:p>
            <w:pPr>
              <w:spacing w:after="0" w:line="196"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(incorporated by reference to Exhibit 99.2 to the Registrant’s Current Report on Form 8-K (File No. 001-38886) filed with the SEC on</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060" w:type="dxa"/>
            <w:vAlign w:val="bottom"/>
            <w:tcBorders>
              <w:bottom w:val="single" w:sz="8" w:color="0000FF"/>
            </w:tcBorders>
            <w:gridSpan w:val="9"/>
          </w:tcPr>
          <w:p>
            <w:pPr>
              <w:spacing w:after="0" w:line="196" w:lineRule="exact"/>
              <w:rPr>
                <w:rFonts w:ascii="Arial" w:cs="Arial" w:eastAsia="Arial" w:hAnsi="Arial"/>
                <w:sz w:val="18"/>
                <w:szCs w:val="18"/>
                <w:color w:val="0000FF"/>
                <w:w w:val="86"/>
              </w:rPr>
            </w:pPr>
            <w:hyperlink r:id="rId173">
              <w:r>
                <w:rPr>
                  <w:rFonts w:ascii="Arial" w:cs="Arial" w:eastAsia="Arial" w:hAnsi="Arial"/>
                  <w:sz w:val="18"/>
                  <w:szCs w:val="18"/>
                  <w:color w:val="0000FF"/>
                  <w:w w:val="86"/>
                </w:rPr>
                <w:t>June 21, 2021)</w:t>
              </w:r>
            </w:hyperlink>
          </w:p>
        </w:tc>
        <w:tc>
          <w:tcPr>
            <w:tcW w:w="20" w:type="dxa"/>
            <w:vAlign w:val="bottom"/>
            <w:tcBorders>
              <w:bottom w:val="single" w:sz="8" w:color="0000EE"/>
            </w:tcBorders>
          </w:tcPr>
          <w:p>
            <w:pPr>
              <w:spacing w:after="0"/>
              <w:rPr>
                <w:sz w:val="17"/>
                <w:szCs w:val="17"/>
                <w:color w:val="auto"/>
              </w:rPr>
            </w:pPr>
          </w:p>
        </w:tc>
        <w:tc>
          <w:tcPr>
            <w:tcW w:w="8780" w:type="dxa"/>
            <w:vAlign w:val="bottom"/>
            <w:gridSpan w:val="41"/>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10.25</w:t>
            </w:r>
          </w:p>
        </w:tc>
        <w:tc>
          <w:tcPr>
            <w:tcW w:w="9860" w:type="dxa"/>
            <w:vAlign w:val="bottom"/>
            <w:tcBorders>
              <w:bottom w:val="single" w:sz="8" w:color="0000FF"/>
            </w:tcBorders>
            <w:gridSpan w:val="51"/>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Form of Securities Purchase Agreement dated September 30, 2021 (incorporated by reference to Exhibit 99.1 to the Registrant’s Current</w:t>
              </w:r>
            </w:hyperlink>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59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2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10.26</w:t>
            </w:r>
          </w:p>
        </w:tc>
        <w:tc>
          <w:tcPr>
            <w:tcW w:w="9840" w:type="dxa"/>
            <w:vAlign w:val="bottom"/>
            <w:tcBorders>
              <w:bottom w:val="single" w:sz="8" w:color="0000FF"/>
            </w:tcBorders>
            <w:gridSpan w:val="50"/>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Form of Registration Rights Agreement dated September 30, 2021 (incorporated by reference to Exhibit 99.2 to the Registrant’s Current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59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2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10.27</w:t>
            </w:r>
          </w:p>
        </w:tc>
        <w:tc>
          <w:tcPr>
            <w:tcW w:w="9700" w:type="dxa"/>
            <w:vAlign w:val="bottom"/>
            <w:tcBorders>
              <w:bottom w:val="single" w:sz="8" w:color="0000FF"/>
            </w:tcBorders>
            <w:gridSpan w:val="43"/>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Form of Securities Purchase Agreement dated October 15, 2021 (incorporated by reference to Exhibit 99.1 to the Registrant’s Current</w:t>
              </w:r>
            </w:hyperlink>
          </w:p>
        </w:tc>
        <w:tc>
          <w:tcPr>
            <w:tcW w:w="16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Report on Form 8-K (File No. 001-38886) filed with the SEC on October 19, 2021)</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Borders>
              <w:right w:val="single" w:sz="8" w:color="0000FF"/>
            </w:tcBorders>
            <w:gridSpan w:val="11"/>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10.28</w:t>
            </w:r>
          </w:p>
        </w:tc>
        <w:tc>
          <w:tcPr>
            <w:tcW w:w="9680" w:type="dxa"/>
            <w:vAlign w:val="bottom"/>
            <w:tcBorders>
              <w:bottom w:val="single" w:sz="8" w:color="0000FF"/>
            </w:tcBorders>
            <w:gridSpan w:val="42"/>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Form of Registration Rights Agreement dated October 15, 2021 (incorporated by reference to Exhibit 99.2 to the Registrant’s Current</w:t>
              </w:r>
            </w:hyperlink>
          </w:p>
        </w:tc>
        <w:tc>
          <w:tcPr>
            <w:tcW w:w="18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rPr>
            </w:pPr>
            <w:hyperlink r:id="rId177">
              <w:r>
                <w:rPr>
                  <w:rFonts w:ascii="Arial" w:cs="Arial" w:eastAsia="Arial" w:hAnsi="Arial"/>
                  <w:sz w:val="18"/>
                  <w:szCs w:val="18"/>
                  <w:color w:val="0000FF"/>
                </w:rPr>
                <w:t>Report on Form 8-K (File No. 001-38886) filed with the SEC on October 19, 2021)</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Borders>
              <w:right w:val="single" w:sz="8" w:color="0000FF"/>
            </w:tcBorders>
            <w:gridSpan w:val="11"/>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10.29</w:t>
            </w:r>
          </w:p>
        </w:tc>
        <w:tc>
          <w:tcPr>
            <w:tcW w:w="9640" w:type="dxa"/>
            <w:vAlign w:val="bottom"/>
            <w:tcBorders>
              <w:bottom w:val="single" w:sz="8" w:color="0000FF"/>
            </w:tcBorders>
            <w:gridSpan w:val="40"/>
          </w:tcPr>
          <w:p>
            <w:pPr>
              <w:spacing w:after="0"/>
              <w:rPr>
                <w:rFonts w:ascii="Arial" w:cs="Arial" w:eastAsia="Arial" w:hAnsi="Arial"/>
                <w:sz w:val="18"/>
                <w:szCs w:val="18"/>
                <w:color w:val="0000FF"/>
                <w:w w:val="89"/>
              </w:rPr>
            </w:pPr>
            <w:hyperlink r:id="rId178">
              <w:r>
                <w:rPr>
                  <w:rFonts w:ascii="Arial" w:cs="Arial" w:eastAsia="Arial" w:hAnsi="Arial"/>
                  <w:sz w:val="18"/>
                  <w:szCs w:val="18"/>
                  <w:color w:val="0000FF"/>
                  <w:w w:val="89"/>
                </w:rPr>
                <w:t>Securities Purchase Agreement, dated April 6, 2022, by and among the Registrant and the Purchasers named therein (incorporated by</w:t>
              </w:r>
            </w:hyperlink>
          </w:p>
        </w:tc>
        <w:tc>
          <w:tcPr>
            <w:tcW w:w="22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w w:val="95"/>
              </w:rPr>
            </w:pPr>
            <w:hyperlink r:id="rId178">
              <w:r>
                <w:rPr>
                  <w:rFonts w:ascii="Arial" w:cs="Arial" w:eastAsia="Arial" w:hAnsi="Arial"/>
                  <w:sz w:val="18"/>
                  <w:szCs w:val="18"/>
                  <w:color w:val="0000FF"/>
                  <w:w w:val="95"/>
                </w:rPr>
                <w:t>reference to Exhibit 99.1 to the Registrant’s Current Report on Form 8-K (File No. 001-38886) filed with the SEC on April 7, 2022)</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Borders>
              <w:right w:val="single" w:sz="8" w:color="0000FF"/>
            </w:tcBorders>
            <w:gridSpan w:val="11"/>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420" w:type="dxa"/>
            <w:vAlign w:val="bottom"/>
            <w:tcBorders>
              <w:right w:val="single" w:sz="8" w:color="0000EE"/>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10.30</w:t>
            </w:r>
          </w:p>
        </w:tc>
        <w:tc>
          <w:tcPr>
            <w:tcW w:w="9640" w:type="dxa"/>
            <w:vAlign w:val="bottom"/>
            <w:tcBorders>
              <w:bottom w:val="single" w:sz="8" w:color="0000FF"/>
            </w:tcBorders>
            <w:gridSpan w:val="40"/>
          </w:tcPr>
          <w:p>
            <w:pPr>
              <w:spacing w:after="0"/>
              <w:rPr>
                <w:rFonts w:ascii="Arial" w:cs="Arial" w:eastAsia="Arial" w:hAnsi="Arial"/>
                <w:sz w:val="18"/>
                <w:szCs w:val="18"/>
                <w:color w:val="0000FF"/>
                <w:w w:val="90"/>
              </w:rPr>
            </w:pPr>
            <w:hyperlink r:id="rId179">
              <w:r>
                <w:rPr>
                  <w:rFonts w:ascii="Arial" w:cs="Arial" w:eastAsia="Arial" w:hAnsi="Arial"/>
                  <w:sz w:val="18"/>
                  <w:szCs w:val="18"/>
                  <w:color w:val="0000FF"/>
                  <w:w w:val="90"/>
                </w:rPr>
                <w:t>Registration Rights Agreement, dated April 6, 2022, by and among the Registrant and the Purchasers named therein (incorporated by</w:t>
              </w:r>
            </w:hyperlink>
          </w:p>
        </w:tc>
        <w:tc>
          <w:tcPr>
            <w:tcW w:w="22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w w:val="95"/>
              </w:rPr>
            </w:pPr>
            <w:hyperlink r:id="rId179">
              <w:r>
                <w:rPr>
                  <w:rFonts w:ascii="Arial" w:cs="Arial" w:eastAsia="Arial" w:hAnsi="Arial"/>
                  <w:sz w:val="18"/>
                  <w:szCs w:val="18"/>
                  <w:color w:val="0000FF"/>
                  <w:w w:val="95"/>
                </w:rPr>
                <w:t>reference to Exhibit 99.2 to the Registrant’s Current Report on Form 8-K (File No. 001-38886) filed with the SEC on April 7, 2022)</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Borders>
              <w:right w:val="single" w:sz="8" w:color="0000FF"/>
            </w:tcBorders>
            <w:gridSpan w:val="11"/>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420" w:type="dxa"/>
            <w:vAlign w:val="bottom"/>
            <w:tcBorders>
              <w:right w:val="single" w:sz="8" w:color="0000EE"/>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10.31</w:t>
            </w:r>
          </w:p>
        </w:tc>
        <w:tc>
          <w:tcPr>
            <w:tcW w:w="9860" w:type="dxa"/>
            <w:vAlign w:val="bottom"/>
            <w:tcBorders>
              <w:bottom w:val="single" w:sz="8" w:color="0000FF"/>
            </w:tcBorders>
            <w:gridSpan w:val="51"/>
          </w:tcPr>
          <w:p>
            <w:pPr>
              <w:spacing w:after="0"/>
              <w:rPr>
                <w:rFonts w:ascii="Arial" w:cs="Arial" w:eastAsia="Arial" w:hAnsi="Arial"/>
                <w:sz w:val="18"/>
                <w:szCs w:val="18"/>
                <w:color w:val="0000FF"/>
                <w:w w:val="89"/>
              </w:rPr>
            </w:pPr>
            <w:hyperlink r:id="rId180">
              <w:r>
                <w:rPr>
                  <w:rFonts w:ascii="Arial" w:cs="Arial" w:eastAsia="Arial" w:hAnsi="Arial"/>
                  <w:sz w:val="18"/>
                  <w:szCs w:val="18"/>
                  <w:color w:val="0000FF"/>
                  <w:w w:val="89"/>
                </w:rPr>
                <w:t>Consulting Services Agreement, dated August 31, 2022, by and between the Registrant and William P. Forbes (incorporated by reference</w:t>
              </w:r>
            </w:hyperlink>
          </w:p>
        </w:tc>
        <w:tc>
          <w:tcPr>
            <w:tcW w:w="20" w:type="dxa"/>
            <w:vAlign w:val="bottom"/>
            <w:tcBorders>
              <w:bottom w:val="single" w:sz="8" w:color="0000FF"/>
            </w:tcBorders>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w w:val="95"/>
              </w:rPr>
            </w:pPr>
            <w:hyperlink r:id="rId180">
              <w:r>
                <w:rPr>
                  <w:rFonts w:ascii="Arial" w:cs="Arial" w:eastAsia="Arial" w:hAnsi="Arial"/>
                  <w:sz w:val="18"/>
                  <w:szCs w:val="18"/>
                  <w:color w:val="0000FF"/>
                  <w:w w:val="95"/>
                </w:rPr>
                <w:t>to Exhibit 10.1 to the Registrant’s Quarterly Report on Form 10-Q (File No. 001-38886) filed with the SEC on November 10, 2022)</w:t>
              </w:r>
            </w:hyperlink>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10.32</w:t>
            </w:r>
          </w:p>
        </w:tc>
        <w:tc>
          <w:tcPr>
            <w:tcW w:w="9080" w:type="dxa"/>
            <w:vAlign w:val="bottom"/>
            <w:tcBorders>
              <w:top w:val="single" w:sz="8" w:color="0000FF"/>
              <w:bottom w:val="single" w:sz="8" w:color="0000FF"/>
            </w:tcBorders>
            <w:gridSpan w:val="28"/>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Sales Agreement, dated June 26, 2020, by and between the Registrant and SVB Securities LLC (formerly SVB Leerink LLC)</w:t>
              </w:r>
            </w:hyperlink>
          </w:p>
        </w:tc>
        <w:tc>
          <w:tcPr>
            <w:tcW w:w="420" w:type="dxa"/>
            <w:vAlign w:val="bottom"/>
            <w:tcBorders>
              <w:top w:val="single" w:sz="8" w:color="0000FF"/>
            </w:tcBorders>
            <w:gridSpan w:val="7"/>
          </w:tcPr>
          <w:p>
            <w:pPr>
              <w:spacing w:after="0"/>
              <w:rPr>
                <w:sz w:val="19"/>
                <w:szCs w:val="19"/>
                <w:color w:val="auto"/>
              </w:rPr>
            </w:pPr>
          </w:p>
        </w:tc>
        <w:tc>
          <w:tcPr>
            <w:tcW w:w="360" w:type="dxa"/>
            <w:vAlign w:val="bottom"/>
            <w:gridSpan w:val="16"/>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640" w:type="dxa"/>
            <w:vAlign w:val="bottom"/>
            <w:tcBorders>
              <w:bottom w:val="single" w:sz="8" w:color="0000FF"/>
            </w:tcBorders>
            <w:gridSpan w:val="40"/>
          </w:tcPr>
          <w:p>
            <w:pPr>
              <w:spacing w:after="0" w:line="19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(incorporated by reference to Exhibit 1.1 to the Registrant’s Registration Statement on Form S-3 (File No. 333-239499) filed with the</w:t>
              </w:r>
            </w:hyperlink>
          </w:p>
        </w:tc>
        <w:tc>
          <w:tcPr>
            <w:tcW w:w="2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660" w:type="dxa"/>
            <w:vAlign w:val="bottom"/>
            <w:tcBorders>
              <w:bottom w:val="single" w:sz="8" w:color="0000FF"/>
            </w:tcBorders>
            <w:gridSpan w:val="14"/>
          </w:tcPr>
          <w:p>
            <w:pPr>
              <w:spacing w:after="0" w:line="196" w:lineRule="exact"/>
              <w:rPr>
                <w:rFonts w:ascii="Arial" w:cs="Arial" w:eastAsia="Arial" w:hAnsi="Arial"/>
                <w:sz w:val="18"/>
                <w:szCs w:val="18"/>
                <w:color w:val="0000FF"/>
                <w:w w:val="87"/>
              </w:rPr>
            </w:pPr>
            <w:hyperlink r:id="rId181">
              <w:r>
                <w:rPr>
                  <w:rFonts w:ascii="Arial" w:cs="Arial" w:eastAsia="Arial" w:hAnsi="Arial"/>
                  <w:sz w:val="18"/>
                  <w:szCs w:val="18"/>
                  <w:color w:val="0000FF"/>
                  <w:w w:val="87"/>
                </w:rPr>
                <w:t>SEC on June 26, 2020)</w:t>
              </w:r>
            </w:hyperlink>
          </w:p>
        </w:tc>
        <w:tc>
          <w:tcPr>
            <w:tcW w:w="20" w:type="dxa"/>
            <w:vAlign w:val="bottom"/>
            <w:tcBorders>
              <w:bottom w:val="single" w:sz="8" w:color="0000EE"/>
            </w:tcBorders>
          </w:tcPr>
          <w:p>
            <w:pPr>
              <w:spacing w:after="0"/>
              <w:rPr>
                <w:sz w:val="17"/>
                <w:szCs w:val="17"/>
                <w:color w:val="auto"/>
              </w:rPr>
            </w:pPr>
          </w:p>
        </w:tc>
        <w:tc>
          <w:tcPr>
            <w:tcW w:w="8180" w:type="dxa"/>
            <w:vAlign w:val="bottom"/>
            <w:gridSpan w:val="36"/>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10.33</w:t>
            </w:r>
          </w:p>
        </w:tc>
        <w:tc>
          <w:tcPr>
            <w:tcW w:w="9740" w:type="dxa"/>
            <w:vAlign w:val="bottom"/>
            <w:tcBorders>
              <w:bottom w:val="single" w:sz="8" w:color="0000FF"/>
            </w:tcBorders>
            <w:gridSpan w:val="47"/>
          </w:tcPr>
          <w:p>
            <w:pPr>
              <w:spacing w:after="0"/>
              <w:rPr>
                <w:rFonts w:ascii="Arial" w:cs="Arial" w:eastAsia="Arial" w:hAnsi="Arial"/>
                <w:sz w:val="18"/>
                <w:szCs w:val="18"/>
                <w:color w:val="0000FF"/>
                <w:w w:val="90"/>
              </w:rPr>
            </w:pPr>
            <w:hyperlink r:id="rId182">
              <w:r>
                <w:rPr>
                  <w:rFonts w:ascii="Arial" w:cs="Arial" w:eastAsia="Arial" w:hAnsi="Arial"/>
                  <w:sz w:val="18"/>
                  <w:szCs w:val="18"/>
                  <w:color w:val="0000FF"/>
                  <w:w w:val="90"/>
                </w:rPr>
                <w:t>Amendment No. 1 to the Sales Agreement, dated May 13, 2022, by and between the Registrant and SVB Securities LLC (incorporated</w:t>
              </w:r>
            </w:hyperlink>
          </w:p>
        </w:tc>
        <w:tc>
          <w:tcPr>
            <w:tcW w:w="1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20" w:type="dxa"/>
            <w:vAlign w:val="bottom"/>
            <w:tcBorders>
              <w:bottom w:val="single" w:sz="8" w:color="0000EE"/>
            </w:tcBorders>
            <w:gridSpan w:val="49"/>
          </w:tcPr>
          <w:p>
            <w:pPr>
              <w:spacing w:after="0" w:line="196"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by reference to Exhibit 10.1 to the Registrant’s Current Report on Form 8-K (File No. 001-38886) filed with the SEC on May 13, 2022)</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21.1</w:t>
            </w:r>
          </w:p>
        </w:tc>
        <w:tc>
          <w:tcPr>
            <w:tcW w:w="9540" w:type="dxa"/>
            <w:vAlign w:val="bottom"/>
            <w:tcBorders>
              <w:bottom w:val="single" w:sz="8" w:color="0000FF"/>
            </w:tcBorders>
            <w:gridSpan w:val="36"/>
          </w:tcPr>
          <w:p>
            <w:pPr>
              <w:spacing w:after="0"/>
              <w:rPr>
                <w:rFonts w:ascii="Arial" w:cs="Arial" w:eastAsia="Arial" w:hAnsi="Arial"/>
                <w:sz w:val="18"/>
                <w:szCs w:val="18"/>
                <w:color w:val="0000FF"/>
                <w:w w:val="91"/>
              </w:rPr>
            </w:pPr>
            <w:hyperlink r:id="rId183">
              <w:r>
                <w:rPr>
                  <w:rFonts w:ascii="Arial" w:cs="Arial" w:eastAsia="Arial" w:hAnsi="Arial"/>
                  <w:sz w:val="18"/>
                  <w:szCs w:val="18"/>
                  <w:color w:val="0000FF"/>
                  <w:w w:val="91"/>
                </w:rPr>
                <w:t>List of Subsidiaries (incorporated by reference to Exhibit 21.1 to the Registrant’s Registration Statement on Form S-1 (File No. 333-</w:t>
              </w:r>
            </w:hyperlink>
          </w:p>
        </w:tc>
        <w:tc>
          <w:tcPr>
            <w:tcW w:w="320" w:type="dxa"/>
            <w:vAlign w:val="bottom"/>
            <w:gridSpan w:val="15"/>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rFonts w:ascii="Arial" w:cs="Arial" w:eastAsia="Arial" w:hAnsi="Arial"/>
                <w:sz w:val="18"/>
                <w:szCs w:val="18"/>
                <w:color w:val="0000FF"/>
              </w:rPr>
            </w:pPr>
            <w:hyperlink r:id="rId183">
              <w:r>
                <w:rPr>
                  <w:rFonts w:ascii="Arial" w:cs="Arial" w:eastAsia="Arial" w:hAnsi="Arial"/>
                  <w:sz w:val="18"/>
                  <w:szCs w:val="18"/>
                  <w:color w:val="0000FF"/>
                </w:rPr>
                <w:t>230745) filed with the SEC on April 5, 2019)</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Borders>
              <w:right w:val="single" w:sz="8" w:color="0000FF"/>
            </w:tcBorders>
            <w:gridSpan w:val="11"/>
            <w:shd w:val="clear" w:color="auto" w:fill="0000FF"/>
          </w:tcPr>
          <w:p>
            <w:pPr>
              <w:spacing w:after="0" w:line="20" w:lineRule="exact"/>
              <w:rPr>
                <w:sz w:val="1"/>
                <w:szCs w:val="1"/>
                <w:color w:val="auto"/>
              </w:rPr>
            </w:pPr>
          </w:p>
        </w:tc>
        <w:tc>
          <w:tcPr>
            <w:tcW w:w="1880" w:type="dxa"/>
            <w:vAlign w:val="bottom"/>
            <w:tcBorders>
              <w:right w:val="single" w:sz="8" w:color="0000EE"/>
            </w:tcBorders>
            <w:gridSpan w:val="7"/>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56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Consent of Ernst &amp; Young LLP, independent registered public accounting firm</w:t>
            </w:r>
          </w:p>
        </w:tc>
        <w:tc>
          <w:tcPr>
            <w:tcW w:w="20" w:type="dxa"/>
            <w:vAlign w:val="bottom"/>
            <w:tcBorders>
              <w:bottom w:val="single" w:sz="8" w:color="0000EE"/>
            </w:tcBorders>
          </w:tcPr>
          <w:p>
            <w:pPr>
              <w:spacing w:after="0"/>
              <w:rPr>
                <w:sz w:val="19"/>
                <w:szCs w:val="19"/>
                <w:color w:val="auto"/>
              </w:rPr>
            </w:pPr>
          </w:p>
        </w:tc>
        <w:tc>
          <w:tcPr>
            <w:tcW w:w="4180" w:type="dxa"/>
            <w:vAlign w:val="bottom"/>
            <w:gridSpan w:val="29"/>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660" w:type="dxa"/>
            <w:vAlign w:val="bottom"/>
            <w:tcBorders>
              <w:bottom w:val="single" w:sz="8" w:color="0000FF"/>
            </w:tcBorders>
            <w:gridSpan w:val="41"/>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20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498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86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9620" w:type="dxa"/>
            <w:vAlign w:val="bottom"/>
            <w:tcBorders>
              <w:bottom w:val="single" w:sz="8" w:color="0000FF"/>
            </w:tcBorders>
            <w:gridSpan w:val="39"/>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240" w:type="dxa"/>
            <w:vAlign w:val="bottom"/>
            <w:gridSpan w:val="12"/>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498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86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9600" w:type="dxa"/>
            <w:vAlign w:val="bottom"/>
            <w:tcBorders>
              <w:bottom w:val="single" w:sz="8" w:color="0000FF"/>
            </w:tcBorders>
            <w:gridSpan w:val="38"/>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w:t>
            </w:r>
          </w:p>
        </w:tc>
        <w:tc>
          <w:tcPr>
            <w:tcW w:w="260" w:type="dxa"/>
            <w:vAlign w:val="bottom"/>
            <w:gridSpan w:val="13"/>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51"/>
          </w:tcPr>
          <w:p>
            <w:pPr>
              <w:spacing w:after="0" w:line="196"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2" w:right="359" w:bottom="1440" w:gutter="0" w:footer="0" w:header="0"/>
          <w:type w:val="continuous"/>
        </w:sectPr>
      </w:pPr>
    </w:p>
    <w:bookmarkStart w:id="102" w:name="page103"/>
    <w:bookmarkEnd w:id="102"/>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9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 Sarbanes-</w:t>
            </w:r>
          </w:p>
        </w:tc>
      </w:tr>
      <w:tr>
        <w:trPr>
          <w:trHeight w:val="196"/>
        </w:trPr>
        <w:tc>
          <w:tcPr>
            <w:tcW w:w="13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3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95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95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95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95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95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95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1340" w:hanging="1319"/>
        <w:spacing w:after="0"/>
        <w:tabs>
          <w:tab w:leader="none" w:pos="1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 and contained in Exhibit 101)</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9030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36" w:lineRule="exact"/>
        <w:rPr>
          <w:sz w:val="20"/>
          <w:szCs w:val="20"/>
          <w:color w:val="auto"/>
        </w:rPr>
      </w:pPr>
    </w:p>
    <w:p>
      <w:pPr>
        <w:ind w:left="520" w:hanging="512"/>
        <w:spacing w:after="0" w:line="277" w:lineRule="auto"/>
        <w:tabs>
          <w:tab w:leader="none" w:pos="1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filed separately with the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Jennifer Good</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6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357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Jennifer Good</w:t>
      </w:r>
    </w:p>
    <w:p>
      <w:pPr>
        <w:spacing w:after="0" w:line="31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Lisa Delfini</w:t>
      </w:r>
    </w:p>
    <w:p>
      <w:pPr>
        <w:spacing w:after="0" w:line="3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Christopher Galletta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Christopher Galletta</w:t>
      </w:r>
    </w:p>
    <w:p>
      <w:pPr>
        <w:spacing w:after="0" w:line="31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David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David Meeker, M.D.</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 James V. Cassella,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3571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James V. Cassella, Ph.D.</w:t>
      </w:r>
    </w:p>
    <w:p>
      <w:pPr>
        <w:spacing w:after="0" w:line="25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Dominick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Dominick Colangelo</w:t>
      </w:r>
    </w:p>
    <w:p>
      <w:pPr>
        <w:spacing w:after="0" w:line="200" w:lineRule="exact"/>
        <w:rPr>
          <w:sz w:val="20"/>
          <w:szCs w:val="20"/>
          <w:color w:val="auto"/>
        </w:rPr>
      </w:pPr>
    </w:p>
    <w:p>
      <w:pPr>
        <w:spacing w:after="0" w:line="20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Michael Heffernan</w:t>
      </w:r>
    </w:p>
    <w:p>
      <w:pPr>
        <w:spacing w:after="0" w:line="200" w:lineRule="exact"/>
        <w:rPr>
          <w:sz w:val="20"/>
          <w:szCs w:val="20"/>
          <w:color w:val="auto"/>
        </w:rPr>
      </w:pPr>
    </w:p>
    <w:p>
      <w:pPr>
        <w:spacing w:after="0" w:line="20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Edward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Edward Mathers</w:t>
      </w:r>
    </w:p>
    <w:p>
      <w:pPr>
        <w:spacing w:after="0" w:line="200" w:lineRule="exact"/>
        <w:rPr>
          <w:sz w:val="20"/>
          <w:szCs w:val="20"/>
          <w:color w:val="auto"/>
        </w:rPr>
      </w:pPr>
    </w:p>
    <w:p>
      <w:pPr>
        <w:spacing w:after="0" w:line="20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Anne VanLent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Anne VanLent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85"/>
        </w:trPr>
        <w:tc>
          <w:tcPr>
            <w:tcW w:w="488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43"/>
        </w:trPr>
        <w:tc>
          <w:tcPr>
            <w:tcW w:w="48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26"/>
        </w:trPr>
        <w:tc>
          <w:tcPr>
            <w:tcW w:w="48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43"/>
        </w:trPr>
        <w:tc>
          <w:tcPr>
            <w:tcW w:w="48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27"/>
        </w:trPr>
        <w:tc>
          <w:tcPr>
            <w:tcW w:w="4880" w:type="dxa"/>
            <w:vAlign w:val="bottom"/>
          </w:tcPr>
          <w:p>
            <w:pPr>
              <w:jc w:val="center"/>
              <w:spacing w:after="0"/>
              <w:rPr>
                <w:sz w:val="20"/>
                <w:szCs w:val="20"/>
                <w:color w:val="auto"/>
              </w:rPr>
            </w:pPr>
            <w:r>
              <w:rPr>
                <w:rFonts w:ascii="Arial" w:cs="Arial" w:eastAsia="Arial" w:hAnsi="Arial"/>
                <w:sz w:val="18"/>
                <w:szCs w:val="18"/>
                <w:color w:val="auto"/>
                <w:w w:val="94"/>
              </w:rPr>
              <w:t>Controller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43"/>
        </w:trPr>
        <w:tc>
          <w:tcPr>
            <w:tcW w:w="488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27"/>
        </w:trPr>
        <w:tc>
          <w:tcPr>
            <w:tcW w:w="4880" w:type="dxa"/>
            <w:vAlign w:val="bottom"/>
          </w:tcPr>
          <w:p>
            <w:pPr>
              <w:jc w:val="center"/>
              <w:spacing w:after="0"/>
              <w:rPr>
                <w:sz w:val="20"/>
                <w:szCs w:val="20"/>
                <w:color w:val="auto"/>
              </w:rPr>
            </w:pPr>
            <w:r>
              <w:rPr>
                <w:rFonts w:ascii="Arial" w:cs="Arial" w:eastAsia="Arial" w:hAnsi="Arial"/>
                <w:sz w:val="18"/>
                <w:szCs w:val="18"/>
                <w:color w:val="auto"/>
                <w:w w:val="90"/>
              </w:rPr>
              <w:t>Chairman of the Board</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864"/>
        </w:trPr>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675"/>
        </w:trPr>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878"/>
        </w:trPr>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864"/>
        </w:trPr>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864"/>
        </w:trPr>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bl>
    <w:p>
      <w:pPr>
        <w:spacing w:after="0" w:line="415" w:lineRule="exact"/>
        <w:rPr>
          <w:sz w:val="20"/>
          <w:szCs w:val="20"/>
          <w:color w:val="auto"/>
        </w:rPr>
      </w:pPr>
    </w:p>
    <w:p>
      <w:pPr>
        <w:sectPr>
          <w:pgSz w:w="11900" w:h="16838" w:orient="portrait"/>
          <w:cols w:equalWidth="0" w:num="2">
            <w:col w:w="3120" w:space="720"/>
            <w:col w:w="7400"/>
          </w:cols>
          <w:pgMar w:left="320" w:top="121"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ind w:left="4680"/>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2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92"/>
              </w:rPr>
              <w:t>Report of Independent Registered Public Accounting Firm</w:t>
            </w:r>
          </w:p>
        </w:tc>
        <w:tc>
          <w:tcPr>
            <w:tcW w:w="6620" w:type="dxa"/>
            <w:vAlign w:val="bottom"/>
          </w:tcPr>
          <w:p>
            <w:pPr>
              <w:ind w:left="6020"/>
              <w:spacing w:after="0"/>
              <w:rPr>
                <w:sz w:val="20"/>
                <w:szCs w:val="20"/>
                <w:color w:val="auto"/>
              </w:rPr>
            </w:pPr>
            <w:r>
              <w:rPr>
                <w:rFonts w:ascii="Arial" w:cs="Arial" w:eastAsia="Arial" w:hAnsi="Arial"/>
                <w:sz w:val="18"/>
                <w:szCs w:val="18"/>
                <w:color w:val="auto"/>
              </w:rPr>
              <w:t>F-2</w:t>
            </w:r>
          </w:p>
        </w:tc>
      </w:tr>
      <w:tr>
        <w:trPr>
          <w:trHeight w:val="507"/>
        </w:trPr>
        <w:tc>
          <w:tcPr>
            <w:tcW w:w="36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662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4260" w:type="dxa"/>
            <w:vAlign w:val="bottom"/>
            <w:gridSpan w:val="6"/>
          </w:tcPr>
          <w:p>
            <w:pPr>
              <w:spacing w:after="0" w:line="202" w:lineRule="exact"/>
              <w:rPr>
                <w:sz w:val="20"/>
                <w:szCs w:val="20"/>
                <w:color w:val="auto"/>
              </w:rPr>
            </w:pPr>
            <w:r>
              <w:rPr>
                <w:rFonts w:ascii="Arial" w:cs="Arial" w:eastAsia="Arial" w:hAnsi="Arial"/>
                <w:sz w:val="18"/>
                <w:szCs w:val="18"/>
                <w:color w:val="0000FF"/>
              </w:rPr>
              <w:t>Consolidated Balance Sheets</w:t>
            </w:r>
          </w:p>
        </w:tc>
        <w:tc>
          <w:tcPr>
            <w:tcW w:w="6620" w:type="dxa"/>
            <w:vAlign w:val="bottom"/>
          </w:tcPr>
          <w:p>
            <w:pPr>
              <w:ind w:left="6020"/>
              <w:spacing w:after="0" w:line="202" w:lineRule="exact"/>
              <w:rPr>
                <w:sz w:val="20"/>
                <w:szCs w:val="20"/>
                <w:color w:val="auto"/>
              </w:rPr>
            </w:pPr>
            <w:r>
              <w:rPr>
                <w:rFonts w:ascii="Arial" w:cs="Arial" w:eastAsia="Arial" w:hAnsi="Arial"/>
                <w:sz w:val="18"/>
                <w:szCs w:val="18"/>
                <w:color w:val="auto"/>
              </w:rPr>
              <w:t>F-3</w:t>
            </w:r>
          </w:p>
        </w:tc>
      </w:tr>
      <w:tr>
        <w:trPr>
          <w:trHeight w:val="20"/>
        </w:trPr>
        <w:tc>
          <w:tcPr>
            <w:tcW w:w="36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3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Comprehensive Loss</w:t>
            </w:r>
          </w:p>
        </w:tc>
        <w:tc>
          <w:tcPr>
            <w:tcW w:w="20" w:type="dxa"/>
            <w:vAlign w:val="bottom"/>
            <w:tcBorders>
              <w:bottom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6620" w:type="dxa"/>
            <w:vAlign w:val="bottom"/>
          </w:tcPr>
          <w:p>
            <w:pPr>
              <w:ind w:left="6020"/>
              <w:spacing w:after="0"/>
              <w:rPr>
                <w:sz w:val="20"/>
                <w:szCs w:val="20"/>
                <w:color w:val="auto"/>
              </w:rPr>
            </w:pPr>
            <w:r>
              <w:rPr>
                <w:rFonts w:ascii="Arial" w:cs="Arial" w:eastAsia="Arial" w:hAnsi="Arial"/>
                <w:sz w:val="18"/>
                <w:szCs w:val="18"/>
                <w:color w:val="auto"/>
              </w:rPr>
              <w:t>F-4</w:t>
            </w:r>
          </w:p>
        </w:tc>
      </w:tr>
      <w:tr>
        <w:trPr>
          <w:trHeight w:val="223"/>
        </w:trPr>
        <w:tc>
          <w:tcPr>
            <w:tcW w:w="360" w:type="dxa"/>
            <w:vAlign w:val="bottom"/>
          </w:tcPr>
          <w:p>
            <w:pPr>
              <w:spacing w:after="0"/>
              <w:rPr>
                <w:sz w:val="19"/>
                <w:szCs w:val="19"/>
                <w:color w:val="auto"/>
              </w:rPr>
            </w:pPr>
          </w:p>
        </w:tc>
        <w:tc>
          <w:tcPr>
            <w:tcW w:w="35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Consolidated Statements of Stockholders’ Equity</w:t>
            </w:r>
          </w:p>
        </w:tc>
        <w:tc>
          <w:tcPr>
            <w:tcW w:w="700" w:type="dxa"/>
            <w:vAlign w:val="bottom"/>
          </w:tcPr>
          <w:p>
            <w:pPr>
              <w:spacing w:after="0"/>
              <w:rPr>
                <w:sz w:val="19"/>
                <w:szCs w:val="19"/>
                <w:color w:val="auto"/>
              </w:rPr>
            </w:pPr>
          </w:p>
        </w:tc>
        <w:tc>
          <w:tcPr>
            <w:tcW w:w="6620" w:type="dxa"/>
            <w:vAlign w:val="bottom"/>
          </w:tcPr>
          <w:p>
            <w:pPr>
              <w:ind w:left="6020"/>
              <w:spacing w:after="0"/>
              <w:rPr>
                <w:sz w:val="20"/>
                <w:szCs w:val="20"/>
                <w:color w:val="auto"/>
              </w:rPr>
            </w:pPr>
            <w:r>
              <w:rPr>
                <w:rFonts w:ascii="Arial" w:cs="Arial" w:eastAsia="Arial" w:hAnsi="Arial"/>
                <w:sz w:val="18"/>
                <w:szCs w:val="18"/>
                <w:color w:val="auto"/>
              </w:rPr>
              <w:t>F-5</w:t>
            </w:r>
          </w:p>
        </w:tc>
      </w:tr>
      <w:tr>
        <w:trPr>
          <w:trHeight w:val="223"/>
        </w:trPr>
        <w:tc>
          <w:tcPr>
            <w:tcW w:w="360" w:type="dxa"/>
            <w:vAlign w:val="bottom"/>
          </w:tcPr>
          <w:p>
            <w:pPr>
              <w:spacing w:after="0"/>
              <w:rPr>
                <w:sz w:val="19"/>
                <w:szCs w:val="19"/>
                <w:color w:val="auto"/>
              </w:rPr>
            </w:pPr>
          </w:p>
        </w:tc>
        <w:tc>
          <w:tcPr>
            <w:tcW w:w="4260" w:type="dxa"/>
            <w:vAlign w:val="bottom"/>
            <w:gridSpan w:val="6"/>
          </w:tcPr>
          <w:p>
            <w:pPr>
              <w:spacing w:after="0"/>
              <w:rPr>
                <w:sz w:val="20"/>
                <w:szCs w:val="20"/>
                <w:color w:val="auto"/>
              </w:rPr>
            </w:pPr>
            <w:r>
              <w:rPr>
                <w:rFonts w:ascii="Arial" w:cs="Arial" w:eastAsia="Arial" w:hAnsi="Arial"/>
                <w:sz w:val="18"/>
                <w:szCs w:val="18"/>
                <w:color w:val="0000FF"/>
              </w:rPr>
              <w:t>Consolidated Statements of Cash Flows</w:t>
            </w:r>
          </w:p>
        </w:tc>
        <w:tc>
          <w:tcPr>
            <w:tcW w:w="6620" w:type="dxa"/>
            <w:vAlign w:val="bottom"/>
          </w:tcPr>
          <w:p>
            <w:pPr>
              <w:ind w:left="6020"/>
              <w:spacing w:after="0"/>
              <w:rPr>
                <w:sz w:val="20"/>
                <w:szCs w:val="20"/>
                <w:color w:val="auto"/>
              </w:rPr>
            </w:pPr>
            <w:r>
              <w:rPr>
                <w:rFonts w:ascii="Arial" w:cs="Arial" w:eastAsia="Arial" w:hAnsi="Arial"/>
                <w:sz w:val="18"/>
                <w:szCs w:val="18"/>
                <w:color w:val="auto"/>
              </w:rPr>
              <w:t>F-6</w:t>
            </w:r>
          </w:p>
        </w:tc>
      </w:tr>
      <w:tr>
        <w:trPr>
          <w:trHeight w:val="20"/>
        </w:trPr>
        <w:tc>
          <w:tcPr>
            <w:tcW w:w="36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426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6620" w:type="dxa"/>
            <w:vAlign w:val="bottom"/>
          </w:tcPr>
          <w:p>
            <w:pPr>
              <w:ind w:left="6020"/>
              <w:spacing w:after="0"/>
              <w:rPr>
                <w:sz w:val="20"/>
                <w:szCs w:val="20"/>
                <w:color w:val="auto"/>
              </w:rPr>
            </w:pPr>
            <w:r>
              <w:rPr>
                <w:rFonts w:ascii="Arial" w:cs="Arial" w:eastAsia="Arial" w:hAnsi="Arial"/>
                <w:sz w:val="18"/>
                <w:szCs w:val="18"/>
                <w:color w:val="auto"/>
              </w:rPr>
              <w:t>F-7</w:t>
            </w:r>
          </w:p>
        </w:tc>
      </w:tr>
      <w:tr>
        <w:trPr>
          <w:trHeight w:val="696"/>
        </w:trPr>
        <w:tc>
          <w:tcPr>
            <w:tcW w:w="36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20" w:type="dxa"/>
            <w:vAlign w:val="bottom"/>
          </w:tcPr>
          <w:p>
            <w:pPr>
              <w:ind w:left="880"/>
              <w:spacing w:after="0"/>
              <w:rPr>
                <w:sz w:val="20"/>
                <w:szCs w:val="20"/>
                <w:color w:val="auto"/>
              </w:rPr>
            </w:pPr>
            <w:r>
              <w:rPr>
                <w:rFonts w:ascii="Arial" w:cs="Arial" w:eastAsia="Arial" w:hAnsi="Arial"/>
                <w:sz w:val="18"/>
                <w:szCs w:val="18"/>
                <w:color w:val="auto"/>
              </w:rPr>
              <w:t>F-1</w:t>
            </w:r>
          </w:p>
        </w:tc>
      </w:tr>
      <w:tr>
        <w:trPr>
          <w:trHeight w:val="115"/>
        </w:trPr>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3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Trevi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have audited the accompanying consolidated balance sheets of Trevi Therapeutics, Inc. (the Company) as of December 31, 2022 and 2021, the related consolidated statements of comprehensive loss</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4"/>
        </w:trPr>
        <w:tc>
          <w:tcPr>
            <w:tcW w:w="760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12,589</w:t>
            </w:r>
          </w:p>
        </w:tc>
        <w:tc>
          <w:tcPr>
            <w:tcW w:w="2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36,830</w:t>
            </w:r>
          </w:p>
        </w:tc>
        <w:tc>
          <w:tcPr>
            <w:tcW w:w="100" w:type="dxa"/>
            <w:vAlign w:val="bottom"/>
          </w:tcPr>
          <w:p>
            <w:pPr>
              <w:spacing w:after="0"/>
              <w:rPr>
                <w:sz w:val="19"/>
                <w:szCs w:val="19"/>
                <w:color w:val="auto"/>
              </w:rPr>
            </w:pPr>
          </w:p>
        </w:tc>
      </w:tr>
      <w:tr>
        <w:trPr>
          <w:trHeight w:val="236"/>
        </w:trPr>
        <w:tc>
          <w:tcPr>
            <w:tcW w:w="7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Marketable securities</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107,921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600" w:type="dxa"/>
            <w:vAlign w:val="bottom"/>
          </w:tcPr>
          <w:p>
            <w:pPr>
              <w:ind w:left="200"/>
              <w:spacing w:after="0"/>
              <w:rPr>
                <w:sz w:val="20"/>
                <w:szCs w:val="20"/>
                <w:color w:val="auto"/>
              </w:rPr>
            </w:pPr>
            <w:r>
              <w:rPr>
                <w:rFonts w:ascii="Arial" w:cs="Arial" w:eastAsia="Arial" w:hAnsi="Arial"/>
                <w:sz w:val="17"/>
                <w:szCs w:val="17"/>
                <w:color w:val="auto"/>
              </w:rPr>
              <w:t>Prepaid expenses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886</w:t>
            </w:r>
          </w:p>
        </w:tc>
        <w:tc>
          <w:tcPr>
            <w:tcW w:w="100" w:type="dxa"/>
            <w:vAlign w:val="bottom"/>
          </w:tcPr>
          <w:p>
            <w:pPr>
              <w:spacing w:after="0"/>
              <w:rPr>
                <w:sz w:val="19"/>
                <w:szCs w:val="19"/>
                <w:color w:val="auto"/>
              </w:rPr>
            </w:pPr>
          </w:p>
        </w:tc>
      </w:tr>
      <w:tr>
        <w:trPr>
          <w:trHeight w:val="230"/>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1,311</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00" w:type="dxa"/>
            <w:vAlign w:val="bottom"/>
          </w:tcPr>
          <w:p>
            <w:pPr>
              <w:ind w:left="38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122,616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37,957</w:t>
            </w:r>
          </w:p>
        </w:tc>
        <w:tc>
          <w:tcPr>
            <w:tcW w:w="100" w:type="dxa"/>
            <w:vAlign w:val="bottom"/>
          </w:tcPr>
          <w:p>
            <w:pPr>
              <w:spacing w:after="0"/>
              <w:rPr>
                <w:sz w:val="19"/>
                <w:szCs w:val="19"/>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non-current assets</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FF0FC"/>
          </w:tcPr>
          <w:p>
            <w:pPr>
              <w:spacing w:after="0"/>
              <w:rPr>
                <w:sz w:val="20"/>
                <w:szCs w:val="20"/>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7"/>
                <w:szCs w:val="17"/>
                <w:color w:val="auto"/>
              </w:rPr>
              <w:t>Operating lease right-of-use asset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r>
      <w:tr>
        <w:trPr>
          <w:trHeight w:val="230"/>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Property, equipment and leasehold improvements, net</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00" w:type="dxa"/>
            <w:vAlign w:val="bottom"/>
          </w:tcPr>
          <w:p>
            <w:pPr>
              <w:ind w:left="3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123,015</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38,475</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6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2,849</w:t>
            </w:r>
          </w:p>
        </w:tc>
        <w:tc>
          <w:tcPr>
            <w:tcW w:w="100" w:type="dxa"/>
            <w:vAlign w:val="bottom"/>
            <w:shd w:val="clear" w:color="auto" w:fill="CFF0FC"/>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7"/>
                <w:szCs w:val="17"/>
                <w:color w:val="auto"/>
              </w:rPr>
              <w:t>Accrued expenses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3,808</w:t>
            </w:r>
          </w:p>
        </w:tc>
        <w:tc>
          <w:tcPr>
            <w:tcW w:w="100" w:type="dxa"/>
            <w:vAlign w:val="bottom"/>
          </w:tcPr>
          <w:p>
            <w:pPr>
              <w:spacing w:after="0"/>
              <w:rPr>
                <w:sz w:val="19"/>
                <w:szCs w:val="19"/>
                <w:color w:val="auto"/>
              </w:rPr>
            </w:pPr>
          </w:p>
        </w:tc>
      </w:tr>
      <w:tr>
        <w:trPr>
          <w:trHeight w:val="236"/>
        </w:trPr>
        <w:tc>
          <w:tcPr>
            <w:tcW w:w="7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Term loan</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5,833</w:t>
            </w:r>
          </w:p>
        </w:tc>
        <w:tc>
          <w:tcPr>
            <w:tcW w:w="100" w:type="dxa"/>
            <w:vAlign w:val="bottom"/>
            <w:shd w:val="clear" w:color="auto" w:fill="CFF0FC"/>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7"/>
                <w:szCs w:val="17"/>
                <w:color w:val="auto"/>
              </w:rPr>
              <w:t>Term loan derivative liability</w:t>
            </w:r>
          </w:p>
        </w:tc>
        <w:tc>
          <w:tcPr>
            <w:tcW w:w="26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r>
      <w:tr>
        <w:trPr>
          <w:trHeight w:val="230"/>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Operating lease liability</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00" w:type="dxa"/>
            <w:vAlign w:val="bottom"/>
          </w:tcPr>
          <w:p>
            <w:pPr>
              <w:ind w:left="38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12,724</w:t>
            </w:r>
          </w:p>
        </w:tc>
        <w:tc>
          <w:tcPr>
            <w:tcW w:w="100" w:type="dxa"/>
            <w:vAlign w:val="bottom"/>
          </w:tcPr>
          <w:p>
            <w:pPr>
              <w:spacing w:after="0"/>
              <w:rPr>
                <w:sz w:val="19"/>
                <w:szCs w:val="19"/>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Term loan</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8,652</w:t>
            </w:r>
          </w:p>
        </w:tc>
        <w:tc>
          <w:tcPr>
            <w:tcW w:w="100" w:type="dxa"/>
            <w:vAlign w:val="bottom"/>
            <w:shd w:val="clear" w:color="auto" w:fill="CFF0FC"/>
          </w:tcPr>
          <w:p>
            <w:pPr>
              <w:spacing w:after="0"/>
              <w:rPr>
                <w:sz w:val="20"/>
                <w:szCs w:val="20"/>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7"/>
                <w:szCs w:val="17"/>
                <w:color w:val="auto"/>
              </w:rPr>
              <w:t>Operating lease liability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non-current liabilities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15,556</w:t>
            </w: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21,400</w:t>
            </w:r>
          </w:p>
        </w:tc>
        <w:tc>
          <w:tcPr>
            <w:tcW w:w="100" w:type="dxa"/>
            <w:vAlign w:val="bottom"/>
            <w:tcBorders>
              <w:top w:val="single" w:sz="8" w:color="CFF0FC"/>
            </w:tcBorders>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Commitments and contingencies (Note 13)</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7600" w:type="dxa"/>
            <w:vAlign w:val="bottom"/>
            <w:shd w:val="clear" w:color="auto" w:fill="CFF0FC"/>
          </w:tcPr>
          <w:p>
            <w:pPr>
              <w:ind w:left="200"/>
              <w:spacing w:after="0"/>
              <w:rPr>
                <w:sz w:val="20"/>
                <w:szCs w:val="20"/>
                <w:color w:val="auto"/>
              </w:rPr>
            </w:pPr>
            <w:r>
              <w:rPr>
                <w:rFonts w:ascii="Arial" w:cs="Arial" w:eastAsia="Arial" w:hAnsi="Arial"/>
                <w:sz w:val="17"/>
                <w:szCs w:val="17"/>
                <w:color w:val="auto"/>
                <w:w w:val="92"/>
              </w:rPr>
              <w:t>Preferred stock: $0.001 par value; 5,000,000 shares authorized at December 31, 2022 and December 31,</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2021; no shares issued or outstanding at December 31, 2022 and December 31, 2021.</w:t>
            </w:r>
          </w:p>
        </w:tc>
        <w:tc>
          <w:tcPr>
            <w:tcW w:w="26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198"/>
        </w:trPr>
        <w:tc>
          <w:tcPr>
            <w:tcW w:w="7600" w:type="dxa"/>
            <w:vAlign w:val="bottom"/>
          </w:tcPr>
          <w:p>
            <w:pPr>
              <w:ind w:left="200"/>
              <w:spacing w:after="0"/>
              <w:rPr>
                <w:sz w:val="20"/>
                <w:szCs w:val="20"/>
                <w:color w:val="auto"/>
              </w:rPr>
            </w:pPr>
            <w:r>
              <w:rPr>
                <w:rFonts w:ascii="Arial" w:cs="Arial" w:eastAsia="Arial" w:hAnsi="Arial"/>
                <w:sz w:val="17"/>
                <w:szCs w:val="17"/>
                <w:color w:val="auto"/>
                <w:w w:val="94"/>
              </w:rPr>
              <w:t>Common stock: $0.001 par value; 200,000,000 shares authorized at December 31, 2022 and December</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00" w:type="dxa"/>
            <w:vAlign w:val="bottom"/>
          </w:tcPr>
          <w:p>
            <w:pPr>
              <w:ind w:left="200"/>
              <w:spacing w:after="0"/>
              <w:rPr>
                <w:sz w:val="20"/>
                <w:szCs w:val="20"/>
                <w:color w:val="auto"/>
              </w:rPr>
            </w:pPr>
            <w:r>
              <w:rPr>
                <w:rFonts w:ascii="Arial" w:cs="Arial" w:eastAsia="Arial" w:hAnsi="Arial"/>
                <w:sz w:val="17"/>
                <w:szCs w:val="17"/>
                <w:color w:val="auto"/>
                <w:w w:val="97"/>
              </w:rPr>
              <w:t>31, 2021; and 59,943,430 and 28,505,804 shares issued and outstanding at December 31, 2022 and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600" w:type="dxa"/>
            <w:vAlign w:val="bottom"/>
          </w:tcPr>
          <w:p>
            <w:pPr>
              <w:ind w:left="200"/>
              <w:spacing w:after="0"/>
              <w:rPr>
                <w:sz w:val="20"/>
                <w:szCs w:val="20"/>
                <w:color w:val="auto"/>
              </w:rPr>
            </w:pPr>
            <w:r>
              <w:rPr>
                <w:rFonts w:ascii="Arial" w:cs="Arial" w:eastAsia="Arial" w:hAnsi="Arial"/>
                <w:sz w:val="17"/>
                <w:szCs w:val="17"/>
                <w:color w:val="auto"/>
              </w:rPr>
              <w:t>December 31, 2021, respectively.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r>
      <w:tr>
        <w:trPr>
          <w:trHeight w:val="238"/>
        </w:trPr>
        <w:tc>
          <w:tcPr>
            <w:tcW w:w="7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317,590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197,963</w:t>
            </w:r>
          </w:p>
        </w:tc>
        <w:tc>
          <w:tcPr>
            <w:tcW w:w="100" w:type="dxa"/>
            <w:vAlign w:val="bottom"/>
            <w:shd w:val="clear" w:color="auto" w:fill="CFF0FC"/>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(122 )</w:t>
            </w: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30"/>
        </w:trPr>
        <w:tc>
          <w:tcPr>
            <w:tcW w:w="76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(210,069 )</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(180,917 )</w:t>
            </w:r>
          </w:p>
        </w:tc>
      </w:tr>
      <w:tr>
        <w:trPr>
          <w:trHeight w:val="223"/>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107,459</w:t>
            </w: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17,075</w:t>
            </w:r>
          </w:p>
        </w:tc>
        <w:tc>
          <w:tcPr>
            <w:tcW w:w="100" w:type="dxa"/>
            <w:vAlign w:val="bottom"/>
            <w:tcBorders>
              <w:top w:val="single" w:sz="8" w:color="CFF0FC"/>
            </w:tcBorders>
          </w:tcPr>
          <w:p>
            <w:pPr>
              <w:spacing w:after="0"/>
              <w:rPr>
                <w:sz w:val="19"/>
                <w:szCs w:val="19"/>
                <w:color w:val="auto"/>
              </w:rPr>
            </w:pPr>
          </w:p>
        </w:tc>
      </w:tr>
      <w:tr>
        <w:trPr>
          <w:trHeight w:val="263"/>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123,015</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38,475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-4285615</wp:posOffset>
            </wp:positionV>
            <wp:extent cx="6858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-3693795</wp:posOffset>
            </wp:positionV>
            <wp:extent cx="6858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-2493645</wp:posOffset>
            </wp:positionV>
            <wp:extent cx="6858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-1902460</wp:posOffset>
            </wp:positionV>
            <wp:extent cx="685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-333375</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center"/>
        <w:ind w:right="40"/>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19,834</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10,073</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(29,907</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term loan derivative liability</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(147 )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Arial" w:cs="Arial" w:eastAsia="Arial" w:hAnsi="Arial"/>
                <w:sz w:val="18"/>
                <w:szCs w:val="18"/>
                <w:color w:val="auto"/>
              </w:rPr>
              <w:t>(1,163 )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(1,202 )</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Arial" w:cs="Arial" w:eastAsia="Arial" w:hAnsi="Arial"/>
                <w:sz w:val="18"/>
                <w:szCs w:val="18"/>
                <w:color w:val="auto"/>
              </w:rPr>
              <w:t>(29,188 )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(33,961 )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1"/>
              <w:spacing w:after="0"/>
              <w:rPr>
                <w:sz w:val="20"/>
                <w:szCs w:val="20"/>
                <w:color w:val="auto"/>
              </w:rPr>
            </w:pPr>
            <w:r>
              <w:rPr>
                <w:rFonts w:ascii="Arial" w:cs="Arial" w:eastAsia="Arial" w:hAnsi="Arial"/>
                <w:sz w:val="18"/>
                <w:szCs w:val="18"/>
                <w:color w:val="auto"/>
              </w:rPr>
              <w:t>(29,152 )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(33,940 )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common share outstanding</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common shares used in net loss per share</w:t>
            </w: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64,541,911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22,841,481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(29,152 )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(33,940 )</w:t>
            </w: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unrealized losses on available-for-sale marketable securities</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(122 )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1"/>
              <w:spacing w:after="0"/>
              <w:rPr>
                <w:sz w:val="20"/>
                <w:szCs w:val="20"/>
                <w:color w:val="auto"/>
              </w:rPr>
            </w:pPr>
            <w:r>
              <w:rPr>
                <w:rFonts w:ascii="Arial" w:cs="Arial" w:eastAsia="Arial" w:hAnsi="Arial"/>
                <w:sz w:val="18"/>
                <w:szCs w:val="18"/>
                <w:color w:val="auto"/>
              </w:rPr>
              <w:t>(29,274 )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(33,940 )</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4680"/>
              <w:spacing w:after="0"/>
              <w:rPr>
                <w:sz w:val="20"/>
                <w:szCs w:val="20"/>
                <w:color w:val="auto"/>
              </w:rPr>
            </w:pPr>
            <w:r>
              <w:rPr>
                <w:rFonts w:ascii="Arial" w:cs="Arial" w:eastAsia="Arial" w:hAnsi="Arial"/>
                <w:sz w:val="18"/>
                <w:szCs w:val="18"/>
                <w:color w:val="auto"/>
              </w:rPr>
              <w:t>See accompanying notes.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720" w:type="dxa"/>
            <w:vAlign w:val="bottom"/>
          </w:tcPr>
          <w:p>
            <w:pPr>
              <w:ind w:left="5500"/>
              <w:spacing w:after="0"/>
              <w:rPr>
                <w:sz w:val="20"/>
                <w:szCs w:val="20"/>
                <w:color w:val="auto"/>
              </w:rPr>
            </w:pPr>
            <w:r>
              <w:rPr>
                <w:rFonts w:ascii="Arial" w:cs="Arial" w:eastAsia="Arial" w:hAnsi="Arial"/>
                <w:sz w:val="18"/>
                <w:szCs w:val="18"/>
                <w:color w:val="auto"/>
              </w:rPr>
              <w:t>F-4</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-3539490</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-2279650</wp:posOffset>
            </wp:positionV>
            <wp:extent cx="6858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-1962785</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-1619885</wp:posOffset>
            </wp:positionV>
            <wp:extent cx="1234440" cy="4718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1234440" cy="4718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-685165</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02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Paid-</w:t>
            </w: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18,546,786</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174,240</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(146,977</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from employee stock purchase plan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42,290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20"/>
              <w:spacing w:after="0" w:line="143" w:lineRule="exact"/>
              <w:rPr>
                <w:sz w:val="20"/>
                <w:szCs w:val="20"/>
                <w:color w:val="auto"/>
              </w:rPr>
            </w:pPr>
            <w:r>
              <w:rPr>
                <w:rFonts w:ascii="Arial" w:cs="Arial" w:eastAsia="Arial" w:hAnsi="Arial"/>
                <w:sz w:val="14"/>
                <w:szCs w:val="14"/>
                <w:color w:val="auto"/>
                <w:w w:val="97"/>
              </w:rPr>
              <w:t>Issuance of common stock under the at-the-market sales agreement,</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0"/>
              <w:spacing w:after="0"/>
              <w:rPr>
                <w:sz w:val="20"/>
                <w:szCs w:val="20"/>
                <w:color w:val="auto"/>
              </w:rPr>
            </w:pPr>
            <w:r>
              <w:rPr>
                <w:rFonts w:ascii="Arial" w:cs="Arial" w:eastAsia="Arial" w:hAnsi="Arial"/>
                <w:sz w:val="14"/>
                <w:szCs w:val="14"/>
                <w:color w:val="auto"/>
              </w:rPr>
              <w:t>net of commissions and allocated fees</w:t>
            </w:r>
          </w:p>
        </w:tc>
        <w:tc>
          <w:tcPr>
            <w:tcW w:w="980" w:type="dxa"/>
            <w:vAlign w:val="bottom"/>
          </w:tcPr>
          <w:p>
            <w:pPr>
              <w:jc w:val="right"/>
              <w:spacing w:after="0"/>
              <w:rPr>
                <w:sz w:val="20"/>
                <w:szCs w:val="20"/>
                <w:color w:val="auto"/>
              </w:rPr>
            </w:pPr>
            <w:r>
              <w:rPr>
                <w:rFonts w:ascii="Arial" w:cs="Arial" w:eastAsia="Arial" w:hAnsi="Arial"/>
                <w:sz w:val="14"/>
                <w:szCs w:val="14"/>
                <w:color w:val="auto"/>
              </w:rPr>
              <w:t>2,895,518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Issuance of common stock to Lincoln Park Capital Fund (see Note 9)</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170,088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and warrants under private placements,</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0"/>
              <w:spacing w:after="0"/>
              <w:rPr>
                <w:sz w:val="20"/>
                <w:szCs w:val="20"/>
                <w:color w:val="auto"/>
              </w:rPr>
            </w:pPr>
            <w:r>
              <w:rPr>
                <w:rFonts w:ascii="Arial" w:cs="Arial" w:eastAsia="Arial" w:hAnsi="Arial"/>
                <w:sz w:val="14"/>
                <w:szCs w:val="14"/>
                <w:color w:val="auto"/>
              </w:rPr>
              <w:t>less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4,225,053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13,674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from warrant exercise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2,626,069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(33,940 )</w:t>
            </w: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(33,940 )</w:t>
            </w:r>
          </w:p>
        </w:tc>
        <w:tc>
          <w:tcPr>
            <w:tcW w:w="0" w:type="dxa"/>
            <w:vAlign w:val="bottom"/>
          </w:tcPr>
          <w:p>
            <w:pPr>
              <w:spacing w:after="0"/>
              <w:rPr>
                <w:sz w:val="1"/>
                <w:szCs w:val="1"/>
                <w:color w:val="auto"/>
              </w:rPr>
            </w:pPr>
          </w:p>
        </w:tc>
      </w:tr>
      <w:tr>
        <w:trPr>
          <w:trHeight w:val="16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28,505,804</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197,963</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(180,917</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from 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51,005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20"/>
              <w:spacing w:after="0" w:line="143" w:lineRule="exact"/>
              <w:rPr>
                <w:sz w:val="20"/>
                <w:szCs w:val="20"/>
                <w:color w:val="auto"/>
              </w:rPr>
            </w:pPr>
            <w:r>
              <w:rPr>
                <w:rFonts w:ascii="Arial" w:cs="Arial" w:eastAsia="Arial" w:hAnsi="Arial"/>
                <w:sz w:val="14"/>
                <w:szCs w:val="14"/>
                <w:color w:val="auto"/>
                <w:w w:val="97"/>
              </w:rPr>
              <w:t>Issuance of common stock under the at-the-market sales agreement,</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0"/>
              <w:spacing w:after="0"/>
              <w:rPr>
                <w:sz w:val="20"/>
                <w:szCs w:val="20"/>
                <w:color w:val="auto"/>
              </w:rPr>
            </w:pPr>
            <w:r>
              <w:rPr>
                <w:rFonts w:ascii="Arial" w:cs="Arial" w:eastAsia="Arial" w:hAnsi="Arial"/>
                <w:sz w:val="14"/>
                <w:szCs w:val="14"/>
                <w:color w:val="auto"/>
              </w:rPr>
              <w:t>net of commissions and allocated fees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from Employee Stock Purchase Plan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54,457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and warrants under public offering and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0"/>
              <w:spacing w:after="0"/>
              <w:rPr>
                <w:sz w:val="20"/>
                <w:szCs w:val="20"/>
                <w:color w:val="auto"/>
              </w:rPr>
            </w:pPr>
            <w:r>
              <w:rPr>
                <w:rFonts w:ascii="Arial" w:cs="Arial" w:eastAsia="Arial" w:hAnsi="Arial"/>
                <w:sz w:val="14"/>
                <w:szCs w:val="14"/>
                <w:color w:val="auto"/>
              </w:rPr>
              <w:t>private placement, less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20,433,624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105,375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105,395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from warrant exercise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10,898,540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11,772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Unrealized losses on available-for-sale marketable securities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(122 )</w:t>
            </w:r>
          </w:p>
        </w:tc>
        <w:tc>
          <w:tcPr>
            <w:tcW w:w="1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(29,152 )</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(29,152 )</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80" w:type="dxa"/>
            <w:vAlign w:val="bottom"/>
          </w:tcPr>
          <w:p>
            <w:pPr>
              <w:jc w:val="right"/>
              <w:spacing w:after="0"/>
              <w:rPr>
                <w:sz w:val="20"/>
                <w:szCs w:val="20"/>
                <w:color w:val="auto"/>
              </w:rPr>
            </w:pPr>
            <w:r>
              <w:rPr>
                <w:rFonts w:ascii="Arial" w:cs="Arial" w:eastAsia="Arial" w:hAnsi="Arial"/>
                <w:sz w:val="14"/>
                <w:szCs w:val="14"/>
                <w:color w:val="auto"/>
              </w:rPr>
              <w:t>59,943,430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317,590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(122 )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(210,069 )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107,459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-144780</wp:posOffset>
            </wp:positionV>
            <wp:extent cx="7747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-144780</wp:posOffset>
            </wp:positionV>
            <wp:extent cx="7747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-144780</wp:posOffset>
            </wp:positionV>
            <wp:extent cx="6858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-144780</wp:posOffset>
            </wp:positionV>
            <wp:extent cx="6858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-144780</wp:posOffset>
            </wp:positionV>
            <wp:extent cx="6858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3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23"/>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(29,152 )</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(33,940 )</w:t>
            </w:r>
          </w:p>
        </w:tc>
      </w:tr>
      <w:tr>
        <w:trPr>
          <w:trHeight w:val="236"/>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340" w:type="dxa"/>
            <w:vAlign w:val="bottom"/>
          </w:tcPr>
          <w:p>
            <w:pPr>
              <w:ind w:left="200"/>
              <w:spacing w:after="0"/>
              <w:rPr>
                <w:sz w:val="20"/>
                <w:szCs w:val="20"/>
                <w:color w:val="auto"/>
              </w:rPr>
            </w:pPr>
            <w:r>
              <w:rPr>
                <w:rFonts w:ascii="Arial" w:cs="Arial" w:eastAsia="Arial" w:hAnsi="Arial"/>
                <w:sz w:val="17"/>
                <w:szCs w:val="17"/>
                <w:color w:val="auto"/>
              </w:rPr>
              <w:t>Depreciation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r>
      <w:tr>
        <w:trPr>
          <w:trHeight w:val="236"/>
        </w:trPr>
        <w:tc>
          <w:tcPr>
            <w:tcW w:w="73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Accretion of available-for-sale marketable securities, net</w:t>
            </w:r>
          </w:p>
        </w:tc>
        <w:tc>
          <w:tcPr>
            <w:tcW w:w="10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(829 )</w:t>
            </w:r>
          </w:p>
        </w:tc>
        <w:tc>
          <w:tcPr>
            <w:tcW w:w="6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37"/>
        </w:trPr>
        <w:tc>
          <w:tcPr>
            <w:tcW w:w="7340" w:type="dxa"/>
            <w:vAlign w:val="bottom"/>
          </w:tcPr>
          <w:p>
            <w:pPr>
              <w:ind w:left="200"/>
              <w:spacing w:after="0"/>
              <w:rPr>
                <w:sz w:val="20"/>
                <w:szCs w:val="20"/>
                <w:color w:val="auto"/>
              </w:rPr>
            </w:pPr>
            <w:r>
              <w:rPr>
                <w:rFonts w:ascii="Arial" w:cs="Arial" w:eastAsia="Arial" w:hAnsi="Arial"/>
                <w:sz w:val="18"/>
                <w:szCs w:val="18"/>
                <w:color w:val="auto"/>
              </w:rPr>
              <w:t>Change in fair value of term loan derivative liability</w:t>
            </w: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147</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(82 )</w:t>
            </w:r>
          </w:p>
        </w:tc>
      </w:tr>
      <w:tr>
        <w:trPr>
          <w:trHeight w:val="236"/>
        </w:trPr>
        <w:tc>
          <w:tcPr>
            <w:tcW w:w="73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Accretion/accrual of term loan discounts and debt issuance costs</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w:t>
            </w:r>
          </w:p>
        </w:tc>
        <w:tc>
          <w:tcPr>
            <w:tcW w:w="100" w:type="dxa"/>
            <w:vAlign w:val="bottom"/>
            <w:shd w:val="clear" w:color="auto" w:fill="CFF0FC"/>
          </w:tcPr>
          <w:p>
            <w:pPr>
              <w:spacing w:after="0"/>
              <w:rPr>
                <w:sz w:val="20"/>
                <w:szCs w:val="20"/>
                <w:color w:val="auto"/>
              </w:rPr>
            </w:pPr>
          </w:p>
        </w:tc>
      </w:tr>
      <w:tr>
        <w:trPr>
          <w:trHeight w:val="223"/>
        </w:trPr>
        <w:tc>
          <w:tcPr>
            <w:tcW w:w="7340" w:type="dxa"/>
            <w:vAlign w:val="bottom"/>
          </w:tcPr>
          <w:p>
            <w:pPr>
              <w:ind w:left="200"/>
              <w:spacing w:after="0"/>
              <w:rPr>
                <w:sz w:val="20"/>
                <w:szCs w:val="20"/>
                <w:color w:val="auto"/>
              </w:rPr>
            </w:pPr>
            <w:r>
              <w:rPr>
                <w:rFonts w:ascii="Arial" w:cs="Arial" w:eastAsia="Arial" w:hAnsi="Arial"/>
                <w:sz w:val="17"/>
                <w:szCs w:val="17"/>
                <w:color w:val="auto"/>
              </w:rPr>
              <w:t>Other expense related to transaction with Lincoln Park Capital Fund, LLC</w:t>
            </w:r>
          </w:p>
        </w:tc>
        <w:tc>
          <w:tcPr>
            <w:tcW w:w="10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r>
      <w:tr>
        <w:trPr>
          <w:trHeight w:val="236"/>
        </w:trPr>
        <w:tc>
          <w:tcPr>
            <w:tcW w:w="73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2,327</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2,543</w:t>
            </w:r>
          </w:p>
        </w:tc>
        <w:tc>
          <w:tcPr>
            <w:tcW w:w="100" w:type="dxa"/>
            <w:vAlign w:val="bottom"/>
            <w:shd w:val="clear" w:color="auto" w:fill="CFF0FC"/>
          </w:tcPr>
          <w:p>
            <w:pPr>
              <w:spacing w:after="0"/>
              <w:rPr>
                <w:sz w:val="20"/>
                <w:szCs w:val="20"/>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3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10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(601 )</w:t>
            </w: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FF0FC"/>
          </w:tcPr>
          <w:p>
            <w:pPr>
              <w:spacing w:after="0"/>
              <w:rPr>
                <w:sz w:val="20"/>
                <w:szCs w:val="20"/>
                <w:color w:val="auto"/>
              </w:rPr>
            </w:pPr>
          </w:p>
        </w:tc>
      </w:tr>
      <w:tr>
        <w:trPr>
          <w:trHeight w:val="223"/>
        </w:trPr>
        <w:tc>
          <w:tcPr>
            <w:tcW w:w="734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expenses and other liabilities</w:t>
            </w:r>
          </w:p>
        </w:tc>
        <w:tc>
          <w:tcPr>
            <w:tcW w:w="10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(639 )</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FF0FC"/>
          </w:tcPr>
          <w:p>
            <w:pPr>
              <w:spacing w:after="0"/>
              <w:rPr>
                <w:sz w:val="19"/>
                <w:szCs w:val="19"/>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340" w:type="dxa"/>
            <w:vAlign w:val="bottom"/>
          </w:tcPr>
          <w:p>
            <w:pPr>
              <w:ind w:left="560"/>
              <w:spacing w:after="0"/>
              <w:rPr>
                <w:sz w:val="20"/>
                <w:szCs w:val="20"/>
                <w:color w:val="auto"/>
              </w:rPr>
            </w:pPr>
            <w:r>
              <w:rPr>
                <w:rFonts w:ascii="Arial" w:cs="Arial" w:eastAsia="Arial" w:hAnsi="Arial"/>
                <w:sz w:val="17"/>
                <w:szCs w:val="17"/>
                <w:color w:val="auto"/>
              </w:rPr>
              <w:t>Net cash used in operating activities</w:t>
            </w:r>
          </w:p>
        </w:tc>
        <w:tc>
          <w:tcPr>
            <w:tcW w:w="10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(28,175 )</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(28,946 )</w:t>
            </w:r>
          </w:p>
        </w:tc>
      </w:tr>
      <w:tr>
        <w:trPr>
          <w:trHeight w:val="229"/>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0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Proceeds from maturities of available-for-sale marketable securities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19,001</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36"/>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Purchases of available-for-sale marketable securities</w:t>
            </w:r>
          </w:p>
        </w:tc>
        <w:tc>
          <w:tcPr>
            <w:tcW w:w="10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w w:val="95"/>
              </w:rPr>
              <w:t>(126,215 )</w:t>
            </w:r>
          </w:p>
        </w:tc>
        <w:tc>
          <w:tcPr>
            <w:tcW w:w="6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Purchases of property, equipment and leasehold improvements</w:t>
            </w:r>
          </w:p>
        </w:tc>
        <w:tc>
          <w:tcPr>
            <w:tcW w:w="10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(159 )</w:t>
            </w:r>
          </w:p>
        </w:tc>
        <w:tc>
          <w:tcPr>
            <w:tcW w:w="6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3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Net cash used in investing activities</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(107,373</w:t>
            </w:r>
          </w:p>
        </w:tc>
        <w:tc>
          <w:tcPr>
            <w:tcW w:w="3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Repayments of term loan</w:t>
            </w:r>
          </w:p>
        </w:tc>
        <w:tc>
          <w:tcPr>
            <w:tcW w:w="10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(5,833 )</w:t>
            </w:r>
          </w:p>
        </w:tc>
        <w:tc>
          <w:tcPr>
            <w:tcW w:w="6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Payments of financing costs of term loan</w:t>
            </w:r>
          </w:p>
        </w:tc>
        <w:tc>
          <w:tcPr>
            <w:tcW w:w="10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(21 )</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(68 )</w:t>
            </w:r>
          </w:p>
        </w:tc>
      </w:tr>
      <w:tr>
        <w:trPr>
          <w:trHeight w:val="205"/>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w w:val="95"/>
              </w:rPr>
              <w:t>Proceeds from sale of common stock and warrants under public offering and private placement, net of</w:t>
            </w:r>
          </w:p>
        </w:tc>
        <w:tc>
          <w:tcPr>
            <w:tcW w:w="10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issuance costs</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105,410</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13,678</w:t>
            </w:r>
          </w:p>
        </w:tc>
        <w:tc>
          <w:tcPr>
            <w:tcW w:w="100" w:type="dxa"/>
            <w:vAlign w:val="bottom"/>
            <w:shd w:val="clear" w:color="auto" w:fill="CFF0FC"/>
          </w:tcPr>
          <w:p>
            <w:pPr>
              <w:spacing w:after="0"/>
              <w:rPr>
                <w:sz w:val="20"/>
                <w:szCs w:val="20"/>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Proceeds from exercises of warrants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11,782</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exercises of stock options</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Proceeds from employee stock purchase plan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at-the-market sales, net of commissions</w:t>
            </w:r>
          </w:p>
        </w:tc>
        <w:tc>
          <w:tcPr>
            <w:tcW w:w="10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7,505</w:t>
            </w:r>
          </w:p>
        </w:tc>
        <w:tc>
          <w:tcPr>
            <w:tcW w:w="100" w:type="dxa"/>
            <w:vAlign w:val="bottom"/>
            <w:shd w:val="clear" w:color="auto" w:fill="CFF0FC"/>
          </w:tcPr>
          <w:p>
            <w:pPr>
              <w:spacing w:after="0"/>
              <w:rPr>
                <w:sz w:val="20"/>
                <w:szCs w:val="20"/>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Payments of offering costs</w:t>
            </w:r>
          </w:p>
        </w:tc>
        <w:tc>
          <w:tcPr>
            <w:tcW w:w="10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(226 )</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(382 )</w:t>
            </w:r>
          </w:p>
        </w:tc>
      </w:tr>
      <w:tr>
        <w:trPr>
          <w:trHeight w:val="223"/>
        </w:trPr>
        <w:tc>
          <w:tcPr>
            <w:tcW w:w="73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111,307</w:t>
            </w: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0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(24,241 )</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(8,171 )</w:t>
            </w:r>
          </w:p>
        </w:tc>
      </w:tr>
      <w:tr>
        <w:trPr>
          <w:trHeight w:val="230"/>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0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36,830</w:t>
            </w: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45,001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1060" w:type="dxa"/>
            <w:vAlign w:val="bottom"/>
            <w:tcBorders>
              <w:bottom w:val="single" w:sz="8" w:color="auto"/>
            </w:tcBorders>
          </w:tcPr>
          <w:p>
            <w:pPr>
              <w:jc w:val="right"/>
              <w:ind w:right="877"/>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12,589</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36,830</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Interest paid</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594</w:t>
            </w:r>
          </w:p>
        </w:tc>
        <w:tc>
          <w:tcPr>
            <w:tcW w:w="300" w:type="dxa"/>
            <w:vAlign w:val="bottom"/>
          </w:tcPr>
          <w:p>
            <w:pPr>
              <w:spacing w:after="0"/>
              <w:rPr>
                <w:sz w:val="19"/>
                <w:szCs w:val="19"/>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9"/>
                <w:szCs w:val="19"/>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State research tax credits exchanged for cash</w:t>
            </w:r>
          </w:p>
        </w:tc>
        <w:tc>
          <w:tcPr>
            <w:tcW w:w="1060" w:type="dxa"/>
            <w:vAlign w:val="bottom"/>
            <w:shd w:val="clear" w:color="auto" w:fill="CFF0FC"/>
          </w:tcPr>
          <w:p>
            <w:pPr>
              <w:jc w:val="right"/>
              <w:ind w:right="877"/>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20"/>
                <w:szCs w:val="20"/>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Offering costs included in accrued expenses</w:t>
            </w:r>
          </w:p>
        </w:tc>
        <w:tc>
          <w:tcPr>
            <w:tcW w:w="1060" w:type="dxa"/>
            <w:vAlign w:val="bottom"/>
            <w:shd w:val="clear" w:color="auto" w:fill="CFF0FC"/>
          </w:tcPr>
          <w:p>
            <w:pPr>
              <w:jc w:val="right"/>
              <w:ind w:right="87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FF0FC"/>
          </w:tcPr>
          <w:p>
            <w:pPr>
              <w:spacing w:after="0"/>
              <w:rPr>
                <w:sz w:val="20"/>
                <w:szCs w:val="20"/>
                <w:color w:val="auto"/>
              </w:rPr>
            </w:pPr>
          </w:p>
        </w:tc>
      </w:tr>
      <w:tr>
        <w:trPr>
          <w:trHeight w:val="230"/>
        </w:trPr>
        <w:tc>
          <w:tcPr>
            <w:tcW w:w="7340" w:type="dxa"/>
            <w:vAlign w:val="bottom"/>
          </w:tcPr>
          <w:p>
            <w:pPr>
              <w:ind w:left="4680"/>
              <w:spacing w:after="0"/>
              <w:rPr>
                <w:sz w:val="20"/>
                <w:szCs w:val="20"/>
                <w:color w:val="auto"/>
              </w:rPr>
            </w:pPr>
            <w:r>
              <w:rPr>
                <w:rFonts w:ascii="Arial" w:cs="Arial" w:eastAsia="Arial" w:hAnsi="Arial"/>
                <w:sz w:val="18"/>
                <w:szCs w:val="18"/>
                <w:color w:val="auto"/>
              </w:rPr>
              <w:t>See accompanying notes.</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340" w:type="dxa"/>
            <w:vAlign w:val="bottom"/>
          </w:tcPr>
          <w:p>
            <w:pPr>
              <w:ind w:left="5500"/>
              <w:spacing w:after="0"/>
              <w:rPr>
                <w:sz w:val="20"/>
                <w:szCs w:val="20"/>
                <w:color w:val="auto"/>
              </w:rPr>
            </w:pPr>
            <w:r>
              <w:rPr>
                <w:rFonts w:ascii="Arial" w:cs="Arial" w:eastAsia="Arial" w:hAnsi="Arial"/>
                <w:sz w:val="18"/>
                <w:szCs w:val="18"/>
                <w:color w:val="auto"/>
              </w:rPr>
              <w:t>F-6</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-4208145</wp:posOffset>
            </wp:positionV>
            <wp:extent cx="76835"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-3308350</wp:posOffset>
            </wp:positionV>
            <wp:extent cx="7683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-1704975</wp:posOffset>
            </wp:positionV>
            <wp:extent cx="7683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-1405255</wp:posOffset>
            </wp:positionV>
            <wp:extent cx="76835"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80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17"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Trevi Therapeutics, Inc. (“Trevi” or the “Company”) is a clinical-stage biopharmaceutical company focused on the development and commercialization of the investigational therapy Haduvio (oral nalbuphine ER) for the treatment of chronic cough in adults with idiopathic pulmonary fibrosis (“IPF”) and other chronic cough indications, and for the treatment of prurigo nodularis.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6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cough and itch. Nalbuphine’s mechanism of action also mitigates the risk of abuse associated with μ-opioid agonists because it antagonizes or blocks, the μ-opioid receptor. Parenteral nalbuphine is not scheduled as a controlled substance in the U.S. and most of Europe.</w:t>
      </w:r>
    </w:p>
    <w:p>
      <w:pPr>
        <w:spacing w:after="0" w:line="8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Company’s Consolidated Financial Statements have been prepared on the basis of continuity of operations, realization of assets and the satisfaction of liabilities and commitments in the ordinary course of business. The Company has financed its operations to date primarily through private placements of its redeemable convertible preferred stock and convertible notes prior to its initial public offering (“IPO”), borrowings under its prior term loan facility, proceeds from its IPO and concurrent private placement completed in May 2019, sales of its common stock pursuant to the at-the-market Sales Agreement (the “ATM Sales Agreement”) (Note 9) with SVB Securities LLC (formerly SVB Leerink LLC) (“SVB Securities”) that the Company entered into in June 2020, the term loan facility with Silicon Valley Bank (“SVB”) that the Company entered into in August 2020 (Note 8), proceeds from the private placements completed in October 2021 and April 2022 (Note 9), proceeds from the exercise of common stock warrants that were issued in the October 2021 private placements and proceeds from the public offering completed in October 2022 (Note 9). The Company has incurred recurring losses since inception, including net losses of $29.2 million and $33.9 million for the years ended December 31, 2022 and 2021, respectively. As of December 31, 2022, the Company had cash, cash equivalents and marketable securities of $120.5 million compared to $36.8 million of cash and cash equivalents as of December 31, 2021. The Company had incurred losses and negative cash flows from operations and had an accumulated deficit of $210.1 million as of December 31, 2022. The Company expects to continue to incur losses for the foreseeable future. As of March 16, 2023, the date of issuance of these Consolidated Financial Statements, the Company believes that its cash, cash equivalents and marketable securities as of December 31, 2022, will be sufficient to fund its operating expenses and capital expenditure requirements for 12 months from the date of issuance of these Consolidated Financial Statements.</w:t>
      </w:r>
    </w:p>
    <w:p>
      <w:pPr>
        <w:spacing w:after="0" w:line="70" w:lineRule="exact"/>
        <w:rPr>
          <w:sz w:val="20"/>
          <w:szCs w:val="20"/>
          <w:color w:val="auto"/>
        </w:rPr>
      </w:pPr>
    </w:p>
    <w:p>
      <w:pPr>
        <w:ind w:left="520" w:right="7300" w:hanging="512"/>
        <w:spacing w:after="0" w:line="378" w:lineRule="auto"/>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480" w:firstLine="50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Trevi Therapeutics, Inc. and its wholly-owned subsidiary Trevi Therapeutics Limited. Intercompany balances and transactions have been eliminated.</w:t>
      </w:r>
    </w:p>
    <w:p>
      <w:pPr>
        <w:spacing w:after="0" w:line="62"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December 31, 2022 for potential recognition or disclosure in the Consolidated Financial Statements and concluded there were no subsequent events that required recognition or disclosure.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U.S.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1" w:name="page112"/>
    <w:bookmarkEnd w:id="111"/>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The Company classifies short-term, highly liquid investments with an original term of three months or less at the date of purchase as cash equivalents.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The Company generally invests its excess cash in money market funds and investment grade short- to intermediate-term fixed income securities. Such investments are included in cash and cash equivalents or marketable securities on the Consolidated Balance Sheet. Marketable securities classified as current assets as these investments are intended to be available to the Company for use in funding current operations. All of the Company’s marketable securities are considered available-for-sale and are reported at fair value with unrealized gains and losses included as a component of stockholders’ equity. The amortized cost of debt securities is adjusted for amortization of premiums and accretion of discounts to maturity, which is included in interest income, net on the Consolidated Statements of Comprehensive Loss. Realized gains and losses and declines in value judged to be other-than-temporary, if any, on marketable securities are included in interest income, net on the Consolidated Statements of Comprehensive Loss. The cost of securities sold is determined using specific identification.</w:t>
      </w:r>
    </w:p>
    <w:p>
      <w:pPr>
        <w:spacing w:after="0" w:line="70"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The Company evaluates whether declines in the fair values of its marketable securities below their amortized cost are other-than temporary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The Company’s financial instruments have consisted of cash and cash equivalents, available-for-sale marketable securities, other current assets, accounts payable, accrued expenses, term loans, term loan derivative liability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approximates its fair value due to its floating market-based interest rate. The fair value of the term loan derivative liability is estimated utilizing a probability-weighted cash flow approach. The warrants to acquire the Company’s common stock are not required to be accounted for at fair value.</w:t>
      </w:r>
    </w:p>
    <w:p>
      <w:pPr>
        <w:spacing w:after="0" w:line="5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Valuation Techniques - Level 2 Inputs</w:t>
      </w:r>
    </w:p>
    <w:p>
      <w:pPr>
        <w:spacing w:after="0" w:line="11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The Company estimates the fair values of its financial instruments categorized as level 2 in the fair value hierarchy, including U.S. Treasury securities, U.S. government agency obligations, corporate bonds, commercial paper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ind w:left="520"/>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 xml:space="preserve">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 There was no impairment or disposal of long-lived assets during the years ended December 31, 2022 and 2021.</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Consolidated Statements of Comprehensive Loss.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operating expenses. The deferred offering costs are included in Other non-current assets on the Consolidated Balance Sheets.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R&amp;D expenses as they are incurred.</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R&amp;D Expenses</w:t>
      </w:r>
    </w:p>
    <w:p>
      <w:pPr>
        <w:spacing w:after="0" w:line="11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and then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3" w:name="page114"/>
    <w:bookmarkEnd w:id="113"/>
    <w:p>
      <w:pPr>
        <w:ind w:firstLine="509"/>
        <w:spacing w:after="0" w:line="271" w:lineRule="auto"/>
        <w:rPr>
          <w:sz w:val="20"/>
          <w:szCs w:val="20"/>
          <w:color w:val="auto"/>
        </w:rPr>
      </w:pPr>
      <w:r>
        <w:rPr>
          <w:rFonts w:ascii="Arial" w:cs="Arial" w:eastAsia="Arial" w:hAnsi="Arial"/>
          <w:sz w:val="17"/>
          <w:szCs w:val="17"/>
          <w:color w:val="auto"/>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 xml:space="preserve">The Company accounts for stock-based compensation arrangements with employees and non-employees for consultancy services in accordance with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56"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Changes in the variables can materially affect the fair value and ultimately how much stock-based compensation expense is recognized. These inputs are subjective and generally require analysis and judgment to develop.</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76"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76"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62"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Risk-Free Interest Rate—The risk-free interest rate is based on the yield available on U.S. Treasury zero-coupon issues similar in duration to the expected term of the stock-based award.</w:t>
      </w:r>
    </w:p>
    <w:p>
      <w:pPr>
        <w:spacing w:after="0" w:line="62"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9"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 xml:space="preserve">The Company applies the provisions of ASC 740, </w:t>
      </w:r>
      <w:r>
        <w:rPr>
          <w:rFonts w:ascii="Arial" w:cs="Arial" w:eastAsia="Arial" w:hAnsi="Arial"/>
          <w:sz w:val="18"/>
          <w:szCs w:val="18"/>
          <w:i w:val="1"/>
          <w:iCs w:val="1"/>
          <w:color w:val="auto"/>
        </w:rPr>
        <w:t>Income Taxe</w:t>
      </w:r>
      <w:r>
        <w:rPr>
          <w:rFonts w:ascii="Arial" w:cs="Arial" w:eastAsia="Arial" w:hAnsi="Arial"/>
          <w:sz w:val="18"/>
          <w:szCs w:val="18"/>
          <w:color w:val="auto"/>
        </w:rPr>
        <w:t>s (“ASC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December 31, 2022 and December 31, 2021. The Company does not have any interest or penalties accrued related to tax positions as it does not have any unrecognized tax benefits.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 xml:space="preserve">Under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4" w:name="page115"/>
    <w:bookmarkEnd w:id="114"/>
    <w:p>
      <w:pPr>
        <w:ind w:right="180"/>
        <w:spacing w:after="0" w:line="277" w:lineRule="auto"/>
        <w:rPr>
          <w:sz w:val="20"/>
          <w:szCs w:val="20"/>
          <w:color w:val="auto"/>
        </w:rPr>
      </w:pPr>
      <w:r>
        <w:rPr>
          <w:rFonts w:ascii="Arial" w:cs="Arial" w:eastAsia="Arial" w:hAnsi="Arial"/>
          <w:sz w:val="18"/>
          <w:szCs w:val="18"/>
          <w:color w:val="auto"/>
        </w:rPr>
        <w:t>operating right-of-use asset represents the Company’s right of use to an underlying asset for the term of the lease and the operating liability represents the Company’s obligation to make lease payments arising from the lease.</w:t>
      </w:r>
    </w:p>
    <w:p>
      <w:pPr>
        <w:spacing w:after="0" w:line="6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based on information available at the commencement date of the lease to determine the present value of the lease payments.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76"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Company has one reporting segment which is also the Company’s only operating segment. Management uses one measurement of profitability and does not segregate its business for internal reporting. All long-lived assets are maintained in the U.S.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There have been no new pronouncements adopted during the year ended December 31, 2022, which materially impacted the Company’s Consolidated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There have been no new pronouncements issued during the year ended December 31, 2022, which could be expected to materially impact the Company’s Consolidated Financial Statements.</w:t>
      </w:r>
    </w:p>
    <w:p>
      <w:pPr>
        <w:spacing w:after="0" w:line="58"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fair value and amortized cost of available-for-sale marketable securities by major security type as of December 31, 2022 are presented in the following table (in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841"/>
              <w:spacing w:after="0"/>
              <w:rPr>
                <w:sz w:val="20"/>
                <w:szCs w:val="20"/>
                <w:color w:val="auto"/>
              </w:rPr>
            </w:pPr>
            <w:r>
              <w:rPr>
                <w:rFonts w:ascii="Arial" w:cs="Arial" w:eastAsia="Arial" w:hAnsi="Arial"/>
                <w:sz w:val="18"/>
                <w:szCs w:val="18"/>
                <w:b w:val="1"/>
                <w:bCs w:val="1"/>
                <w:color w:val="auto"/>
              </w:rPr>
              <w:t>December 31, 2022</w:t>
            </w: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w w:val="94"/>
              </w:rPr>
              <w:t>Unrealized</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00" w:type="dxa"/>
            <w:vAlign w:val="bottom"/>
            <w:gridSpan w:val="2"/>
          </w:tcPr>
          <w:p>
            <w:pPr>
              <w:ind w:left="1460"/>
              <w:spacing w:after="0"/>
              <w:rPr>
                <w:sz w:val="20"/>
                <w:szCs w:val="20"/>
                <w:color w:val="auto"/>
              </w:rPr>
            </w:pPr>
            <w:r>
              <w:rPr>
                <w:rFonts w:ascii="Arial" w:cs="Arial" w:eastAsia="Arial" w:hAnsi="Arial"/>
                <w:sz w:val="18"/>
                <w:szCs w:val="18"/>
                <w:b w:val="1"/>
                <w:bCs w:val="1"/>
                <w:color w:val="auto"/>
              </w:rPr>
              <w:t>Type of Security</w:t>
            </w:r>
          </w:p>
        </w:tc>
        <w:tc>
          <w:tcPr>
            <w:tcW w:w="1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Amortized Cost</w:t>
            </w:r>
          </w:p>
        </w:tc>
        <w:tc>
          <w:tcPr>
            <w:tcW w:w="360" w:type="dxa"/>
            <w:vAlign w:val="bottom"/>
          </w:tcPr>
          <w:p>
            <w:pPr>
              <w:spacing w:after="0"/>
              <w:rPr>
                <w:sz w:val="20"/>
                <w:szCs w:val="20"/>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Losses</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Estimated Fair Value</w:t>
            </w:r>
          </w:p>
        </w:tc>
        <w:tc>
          <w:tcPr>
            <w:tcW w:w="100" w:type="dxa"/>
            <w:vAlign w:val="bottom"/>
          </w:tcPr>
          <w:p>
            <w:pPr>
              <w:spacing w:after="0"/>
              <w:rPr>
                <w:sz w:val="20"/>
                <w:szCs w:val="20"/>
                <w:color w:val="auto"/>
              </w:rPr>
            </w:pPr>
          </w:p>
        </w:tc>
      </w:tr>
      <w:tr>
        <w:trPr>
          <w:trHeight w:val="243"/>
        </w:trPr>
        <w:tc>
          <w:tcPr>
            <w:tcW w:w="4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9,914</w:t>
            </w:r>
          </w:p>
        </w:tc>
        <w:tc>
          <w:tcPr>
            <w:tcW w:w="36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9,852</w:t>
            </w:r>
          </w:p>
        </w:tc>
        <w:tc>
          <w:tcPr>
            <w:tcW w:w="100" w:type="dxa"/>
            <w:vAlign w:val="bottom"/>
            <w:shd w:val="clear" w:color="auto" w:fill="CFF0FC"/>
          </w:tcPr>
          <w:p>
            <w:pPr>
              <w:spacing w:after="0"/>
              <w:rPr>
                <w:sz w:val="21"/>
                <w:szCs w:val="21"/>
                <w:color w:val="auto"/>
              </w:rPr>
            </w:pP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Asset backed securities</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1,912</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0"/>
                <w:szCs w:val="20"/>
                <w:color w:val="auto"/>
              </w:rPr>
            </w:pPr>
          </w:p>
        </w:tc>
      </w:tr>
      <w:tr>
        <w:trPr>
          <w:trHeight w:val="249"/>
        </w:trPr>
        <w:tc>
          <w:tcPr>
            <w:tcW w:w="4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(4 )</w:t>
            </w:r>
          </w:p>
        </w:tc>
        <w:tc>
          <w:tcPr>
            <w:tcW w:w="6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FF0FC"/>
          </w:tcPr>
          <w:p>
            <w:pPr>
              <w:spacing w:after="0"/>
              <w:rPr>
                <w:sz w:val="21"/>
                <w:szCs w:val="21"/>
                <w:color w:val="auto"/>
              </w:rPr>
            </w:pP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62,573</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83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(143 )</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62,513</w:t>
            </w:r>
          </w:p>
        </w:tc>
        <w:tc>
          <w:tcPr>
            <w:tcW w:w="100" w:type="dxa"/>
            <w:vAlign w:val="bottom"/>
          </w:tcPr>
          <w:p>
            <w:pPr>
              <w:spacing w:after="0"/>
              <w:rPr>
                <w:sz w:val="20"/>
                <w:szCs w:val="20"/>
                <w:color w:val="auto"/>
              </w:rPr>
            </w:pPr>
          </w:p>
        </w:tc>
      </w:tr>
      <w:tr>
        <w:trPr>
          <w:trHeight w:val="243"/>
        </w:trPr>
        <w:tc>
          <w:tcPr>
            <w:tcW w:w="4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30,739</w:t>
            </w:r>
          </w:p>
        </w:tc>
        <w:tc>
          <w:tcPr>
            <w:tcW w:w="3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Total marketable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108,043</w:t>
            </w:r>
          </w:p>
        </w:tc>
        <w:tc>
          <w:tcPr>
            <w:tcW w:w="13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87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(209 )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107,921</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-187960</wp:posOffset>
            </wp:positionV>
            <wp:extent cx="7747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685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net amortized cost and fair value of available-for-sale marketable securities at December 31, 2022 are shown below by contractual maturity. Actual maturities may differ from contractual maturities because securities may be restructured, called or prepaid, or the Company intends to sell a security prior to maturity.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4"/>
              </w:rPr>
              <w:t>December 31, 2022</w:t>
            </w:r>
          </w:p>
        </w:tc>
        <w:tc>
          <w:tcPr>
            <w:tcW w:w="1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Amortized Cost</w:t>
            </w:r>
          </w:p>
        </w:tc>
        <w:tc>
          <w:tcPr>
            <w:tcW w:w="6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color w:val="auto"/>
              </w:rPr>
              <w:t>Due to mature:</w:t>
            </w:r>
          </w:p>
        </w:tc>
        <w:tc>
          <w:tcPr>
            <w:tcW w:w="1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than one year</w:t>
            </w:r>
          </w:p>
        </w:tc>
        <w:tc>
          <w:tcPr>
            <w:tcW w:w="3700" w:type="dxa"/>
            <w:vAlign w:val="bottom"/>
            <w:gridSpan w:val="2"/>
            <w:shd w:val="clear" w:color="auto" w:fill="CFF0FC"/>
          </w:tcPr>
          <w:p>
            <w:pPr>
              <w:jc w:val="right"/>
              <w:ind w:right="17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69,527</w:t>
            </w:r>
          </w:p>
        </w:tc>
        <w:tc>
          <w:tcPr>
            <w:tcW w:w="11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69,367</w:t>
            </w: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8"/>
                <w:szCs w:val="18"/>
                <w:color w:val="auto"/>
              </w:rPr>
              <w:t>One year through two years</w:t>
            </w:r>
          </w:p>
        </w:tc>
        <w:tc>
          <w:tcPr>
            <w:tcW w:w="170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38,516</w:t>
            </w:r>
          </w:p>
        </w:tc>
        <w:tc>
          <w:tcPr>
            <w:tcW w:w="4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20"/>
                <w:szCs w:val="20"/>
                <w:color w:val="auto"/>
              </w:rPr>
            </w:pPr>
          </w:p>
        </w:tc>
      </w:tr>
      <w:tr>
        <w:trPr>
          <w:trHeight w:val="276"/>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FF0FC"/>
            </w:tcBorders>
            <w:shd w:val="clear" w:color="auto" w:fill="CFF0FC"/>
          </w:tcPr>
          <w:p>
            <w:pPr>
              <w:spacing w:after="0"/>
              <w:rPr>
                <w:sz w:val="24"/>
                <w:szCs w:val="24"/>
                <w:color w:val="auto"/>
              </w:rPr>
            </w:pPr>
          </w:p>
        </w:tc>
        <w:tc>
          <w:tcPr>
            <w:tcW w:w="2000" w:type="dxa"/>
            <w:vAlign w:val="bottom"/>
            <w:tcBorders>
              <w:bottom w:val="single" w:sz="8" w:color="auto"/>
            </w:tcBorders>
            <w:shd w:val="clear" w:color="auto" w:fill="CFF0FC"/>
          </w:tcPr>
          <w:p>
            <w:pPr>
              <w:jc w:val="right"/>
              <w:ind w:right="17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108,043</w:t>
            </w:r>
          </w:p>
        </w:tc>
        <w:tc>
          <w:tcPr>
            <w:tcW w:w="4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3780" w:type="dxa"/>
            <w:vAlign w:val="bottom"/>
          </w:tcPr>
          <w:p>
            <w:pPr>
              <w:spacing w:after="0"/>
              <w:rPr>
                <w:sz w:val="24"/>
                <w:szCs w:val="24"/>
                <w:color w:val="auto"/>
              </w:rPr>
            </w:pPr>
          </w:p>
        </w:tc>
        <w:tc>
          <w:tcPr>
            <w:tcW w:w="3700" w:type="dxa"/>
            <w:vAlign w:val="bottom"/>
            <w:gridSpan w:val="2"/>
          </w:tcPr>
          <w:p>
            <w:pPr>
              <w:jc w:val="right"/>
              <w:ind w:right="1590"/>
              <w:spacing w:after="0"/>
              <w:rPr>
                <w:sz w:val="20"/>
                <w:szCs w:val="20"/>
                <w:color w:val="auto"/>
              </w:rPr>
            </w:pPr>
            <w:r>
              <w:rPr>
                <w:rFonts w:ascii="Arial" w:cs="Arial" w:eastAsia="Arial" w:hAnsi="Arial"/>
                <w:sz w:val="18"/>
                <w:szCs w:val="18"/>
                <w:color w:val="auto"/>
              </w:rPr>
              <w:t>F-11</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-513715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-496570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5" w:name="page116"/>
    <w:bookmarkEnd w:id="115"/>
    <w:p>
      <w:pPr>
        <w:ind w:left="520"/>
        <w:spacing w:after="0"/>
        <w:rPr>
          <w:sz w:val="20"/>
          <w:szCs w:val="20"/>
          <w:color w:val="auto"/>
        </w:rPr>
      </w:pPr>
      <w:r>
        <w:rPr>
          <w:rFonts w:ascii="Arial" w:cs="Arial" w:eastAsia="Arial" w:hAnsi="Arial"/>
          <w:sz w:val="18"/>
          <w:szCs w:val="18"/>
          <w:color w:val="auto"/>
        </w:rPr>
        <w:t>During the year ended December 31, 2022, there have been no realized gains or losses on available-for-sale marketable securities.</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During the year ended December 31, 2022, no marketable securities had been in a continuous unrealized loss position for more than 12 months and the Company did not recognize any other-than-temporary impairment losses on marketable securities.</w:t>
      </w:r>
    </w:p>
    <w:p>
      <w:pPr>
        <w:spacing w:after="0" w:line="58"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financial assets and financial liabilities measured at fair value on a recurring basis as of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the basis for that measurement, by level within the fair value hierarchy: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1"/>
              </w:rPr>
              <w:t>Fair Value Measurement Using:</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2920" w:type="dxa"/>
            <w:vAlign w:val="bottom"/>
          </w:tcPr>
          <w:p>
            <w:pPr>
              <w:ind w:left="380"/>
              <w:spacing w:after="0"/>
              <w:rPr>
                <w:sz w:val="20"/>
                <w:szCs w:val="20"/>
                <w:color w:val="auto"/>
              </w:rPr>
            </w:pPr>
            <w:r>
              <w:rPr>
                <w:rFonts w:ascii="Arial" w:cs="Arial" w:eastAsia="Arial" w:hAnsi="Arial"/>
                <w:sz w:val="18"/>
                <w:szCs w:val="18"/>
                <w:b w:val="1"/>
                <w:bCs w:val="1"/>
                <w:color w:val="auto"/>
              </w:rPr>
              <w:t>Balance Sheet Classification</w:t>
            </w:r>
          </w:p>
        </w:tc>
        <w:tc>
          <w:tcPr>
            <w:tcW w:w="200" w:type="dxa"/>
            <w:vAlign w:val="bottom"/>
          </w:tcPr>
          <w:p>
            <w:pPr>
              <w:spacing w:after="0"/>
              <w:rPr>
                <w:sz w:val="20"/>
                <w:szCs w:val="20"/>
                <w:color w:val="auto"/>
              </w:rPr>
            </w:pPr>
          </w:p>
        </w:tc>
        <w:tc>
          <w:tcPr>
            <w:tcW w:w="3620" w:type="dxa"/>
            <w:vAlign w:val="bottom"/>
            <w:gridSpan w:val="2"/>
          </w:tcPr>
          <w:p>
            <w:pPr>
              <w:ind w:left="980"/>
              <w:spacing w:after="0"/>
              <w:rPr>
                <w:sz w:val="20"/>
                <w:szCs w:val="20"/>
                <w:color w:val="auto"/>
              </w:rPr>
            </w:pPr>
            <w:r>
              <w:rPr>
                <w:rFonts w:ascii="Arial" w:cs="Arial" w:eastAsia="Arial" w:hAnsi="Arial"/>
                <w:sz w:val="18"/>
                <w:szCs w:val="18"/>
                <w:b w:val="1"/>
                <w:bCs w:val="1"/>
                <w:color w:val="auto"/>
              </w:rPr>
              <w:t>Type of Instrument</w:t>
            </w:r>
          </w:p>
        </w:tc>
        <w:tc>
          <w:tcPr>
            <w:tcW w:w="1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Level 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Level 2</w:t>
            </w:r>
          </w:p>
        </w:tc>
        <w:tc>
          <w:tcPr>
            <w:tcW w:w="28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2"/>
        </w:trPr>
        <w:tc>
          <w:tcPr>
            <w:tcW w:w="29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34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92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2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11,589</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shd w:val="clear" w:color="auto" w:fill="CFF0FC"/>
          </w:tcPr>
          <w:p>
            <w:pPr>
              <w:spacing w:after="0"/>
              <w:rPr>
                <w:sz w:val="21"/>
                <w:szCs w:val="21"/>
                <w:color w:val="auto"/>
              </w:rPr>
            </w:pPr>
          </w:p>
        </w:tc>
      </w:tr>
      <w:tr>
        <w:trPr>
          <w:trHeight w:val="237"/>
        </w:trPr>
        <w:tc>
          <w:tcPr>
            <w:tcW w:w="292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20"/>
                <w:szCs w:val="20"/>
                <w:color w:val="auto"/>
              </w:rPr>
            </w:pPr>
          </w:p>
        </w:tc>
      </w:tr>
      <w:tr>
        <w:trPr>
          <w:trHeight w:val="249"/>
        </w:trPr>
        <w:tc>
          <w:tcPr>
            <w:tcW w:w="2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backed securities</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FF0FC"/>
          </w:tcPr>
          <w:p>
            <w:pPr>
              <w:spacing w:after="0"/>
              <w:rPr>
                <w:sz w:val="21"/>
                <w:szCs w:val="21"/>
                <w:color w:val="auto"/>
              </w:rPr>
            </w:pPr>
          </w:p>
        </w:tc>
      </w:tr>
      <w:tr>
        <w:trPr>
          <w:trHeight w:val="237"/>
        </w:trPr>
        <w:tc>
          <w:tcPr>
            <w:tcW w:w="292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0"/>
                <w:szCs w:val="20"/>
                <w:color w:val="auto"/>
              </w:rPr>
            </w:pPr>
          </w:p>
        </w:tc>
      </w:tr>
      <w:tr>
        <w:trPr>
          <w:trHeight w:val="249"/>
        </w:trPr>
        <w:tc>
          <w:tcPr>
            <w:tcW w:w="2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62,513</w:t>
            </w:r>
          </w:p>
        </w:tc>
        <w:tc>
          <w:tcPr>
            <w:tcW w:w="100" w:type="dxa"/>
            <w:vAlign w:val="bottom"/>
            <w:shd w:val="clear" w:color="auto" w:fill="CFF0FC"/>
          </w:tcPr>
          <w:p>
            <w:pPr>
              <w:spacing w:after="0"/>
              <w:rPr>
                <w:sz w:val="21"/>
                <w:szCs w:val="21"/>
                <w:color w:val="auto"/>
              </w:rPr>
            </w:pPr>
          </w:p>
        </w:tc>
      </w:tr>
      <w:tr>
        <w:trPr>
          <w:trHeight w:val="237"/>
        </w:trPr>
        <w:tc>
          <w:tcPr>
            <w:tcW w:w="292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30,739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30,739</w:t>
            </w:r>
          </w:p>
        </w:tc>
        <w:tc>
          <w:tcPr>
            <w:tcW w:w="100" w:type="dxa"/>
            <w:vAlign w:val="bottom"/>
          </w:tcPr>
          <w:p>
            <w:pPr>
              <w:spacing w:after="0"/>
              <w:rPr>
                <w:sz w:val="20"/>
                <w:szCs w:val="20"/>
                <w:color w:val="auto"/>
              </w:rPr>
            </w:pPr>
          </w:p>
        </w:tc>
      </w:tr>
      <w:tr>
        <w:trPr>
          <w:trHeight w:val="276"/>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FF0FC"/>
            </w:tcBorders>
            <w:shd w:val="clear" w:color="auto" w:fill="CFF0FC"/>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21,441</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98,069</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-25400</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150"/>
              <w:spacing w:after="0"/>
              <w:rPr>
                <w:sz w:val="20"/>
                <w:szCs w:val="20"/>
                <w:color w:val="auto"/>
              </w:rPr>
            </w:pPr>
            <w:r>
              <w:rPr>
                <w:rFonts w:ascii="Arial" w:cs="Arial" w:eastAsia="Arial" w:hAnsi="Arial"/>
                <w:sz w:val="18"/>
                <w:szCs w:val="18"/>
                <w:b w:val="1"/>
                <w:bCs w:val="1"/>
                <w:color w:val="auto"/>
                <w:w w:val="94"/>
              </w:rPr>
              <w:t>Fair Value Measurement Using:</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20" w:type="dxa"/>
            <w:vAlign w:val="bottom"/>
          </w:tcPr>
          <w:p>
            <w:pPr>
              <w:ind w:left="380"/>
              <w:spacing w:after="0"/>
              <w:rPr>
                <w:sz w:val="20"/>
                <w:szCs w:val="20"/>
                <w:color w:val="auto"/>
              </w:rPr>
            </w:pPr>
            <w:r>
              <w:rPr>
                <w:rFonts w:ascii="Arial" w:cs="Arial" w:eastAsia="Arial" w:hAnsi="Arial"/>
                <w:sz w:val="18"/>
                <w:szCs w:val="18"/>
                <w:b w:val="1"/>
                <w:bCs w:val="1"/>
                <w:color w:val="auto"/>
              </w:rPr>
              <w:t>Balance Sheet Classification</w:t>
            </w:r>
          </w:p>
        </w:tc>
        <w:tc>
          <w:tcPr>
            <w:tcW w:w="200" w:type="dxa"/>
            <w:vAlign w:val="bottom"/>
          </w:tcPr>
          <w:p>
            <w:pPr>
              <w:spacing w:after="0"/>
              <w:rPr>
                <w:sz w:val="20"/>
                <w:szCs w:val="20"/>
                <w:color w:val="auto"/>
              </w:rPr>
            </w:pPr>
          </w:p>
        </w:tc>
        <w:tc>
          <w:tcPr>
            <w:tcW w:w="3620" w:type="dxa"/>
            <w:vAlign w:val="bottom"/>
            <w:gridSpan w:val="2"/>
          </w:tcPr>
          <w:p>
            <w:pPr>
              <w:ind w:left="960"/>
              <w:spacing w:after="0"/>
              <w:rPr>
                <w:sz w:val="20"/>
                <w:szCs w:val="20"/>
                <w:color w:val="auto"/>
              </w:rPr>
            </w:pPr>
            <w:r>
              <w:rPr>
                <w:rFonts w:ascii="Arial" w:cs="Arial" w:eastAsia="Arial" w:hAnsi="Arial"/>
                <w:sz w:val="18"/>
                <w:szCs w:val="18"/>
                <w:b w:val="1"/>
                <w:bCs w:val="1"/>
                <w:color w:val="auto"/>
              </w:rPr>
              <w:t>Type of Instrument</w:t>
            </w:r>
          </w:p>
        </w:tc>
        <w:tc>
          <w:tcPr>
            <w:tcW w:w="12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1"/>
              </w:rPr>
              <w:t>Level 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Level 2</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Level 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92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2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200" w:type="dxa"/>
            <w:vAlign w:val="bottom"/>
            <w:tcBorders>
              <w:bottom w:val="single" w:sz="8" w:color="CFF0FC"/>
            </w:tcBorders>
            <w:shd w:val="clear" w:color="auto" w:fill="CFF0FC"/>
          </w:tcPr>
          <w:p>
            <w:pPr>
              <w:spacing w:after="0"/>
              <w:rPr>
                <w:sz w:val="21"/>
                <w:szCs w:val="21"/>
                <w:color w:val="auto"/>
              </w:rPr>
            </w:pPr>
          </w:p>
        </w:tc>
        <w:tc>
          <w:tcPr>
            <w:tcW w:w="3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35,835</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35,835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35,835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Term loan derivative liability</w:t>
            </w:r>
          </w:p>
        </w:tc>
        <w:tc>
          <w:tcPr>
            <w:tcW w:w="200" w:type="dxa"/>
            <w:vAlign w:val="bottom"/>
            <w:tcBorders>
              <w:bottom w:val="single" w:sz="8" w:color="CFF0FC"/>
            </w:tcBorders>
            <w:shd w:val="clear" w:color="auto" w:fill="CFF0FC"/>
          </w:tcPr>
          <w:p>
            <w:pPr>
              <w:spacing w:after="0"/>
              <w:rPr>
                <w:sz w:val="21"/>
                <w:szCs w:val="21"/>
                <w:color w:val="auto"/>
              </w:rPr>
            </w:pPr>
          </w:p>
        </w:tc>
        <w:tc>
          <w:tcPr>
            <w:tcW w:w="3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114</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gridSpan w:val="4"/>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260" w:type="dxa"/>
            <w:vAlign w:val="bottom"/>
            <w:gridSpan w:val="11"/>
          </w:tcPr>
          <w:p>
            <w:pPr>
              <w:ind w:left="520"/>
              <w:spacing w:after="0"/>
              <w:rPr>
                <w:sz w:val="20"/>
                <w:szCs w:val="20"/>
                <w:color w:val="auto"/>
              </w:rPr>
            </w:pPr>
            <w:r>
              <w:rPr>
                <w:rFonts w:ascii="Arial" w:cs="Arial" w:eastAsia="Arial" w:hAnsi="Arial"/>
                <w:sz w:val="18"/>
                <w:szCs w:val="18"/>
                <w:color w:val="auto"/>
                <w:w w:val="94"/>
              </w:rPr>
              <w:t>The following table represents a roll-forward of the fair value of Level 3 instruments (significant unobservable inputs):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20"/>
                <w:szCs w:val="20"/>
                <w:color w:val="auto"/>
              </w:rPr>
            </w:pPr>
          </w:p>
        </w:tc>
        <w:tc>
          <w:tcPr>
            <w:tcW w:w="3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40" w:type="dxa"/>
            <w:vAlign w:val="bottom"/>
            <w:gridSpan w:val="4"/>
            <w:shd w:val="clear" w:color="auto" w:fill="CFF0FC"/>
          </w:tcPr>
          <w:p>
            <w:pPr>
              <w:ind w:left="200"/>
              <w:spacing w:after="0"/>
              <w:rPr>
                <w:sz w:val="20"/>
                <w:szCs w:val="20"/>
                <w:color w:val="auto"/>
              </w:rPr>
            </w:pPr>
            <w:r>
              <w:rPr>
                <w:rFonts w:ascii="Arial" w:cs="Arial" w:eastAsia="Arial" w:hAnsi="Arial"/>
                <w:sz w:val="18"/>
                <w:szCs w:val="18"/>
                <w:color w:val="auto"/>
              </w:rPr>
              <w:t>Change in fair value of term loan derivative liability</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8"/>
                <w:szCs w:val="18"/>
                <w:color w:val="auto"/>
              </w:rPr>
              <w:t>Net settlements</w:t>
            </w: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(261 )</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CFF0FC"/>
            </w:tcBorders>
            <w:shd w:val="clear" w:color="auto" w:fill="CFF0FC"/>
          </w:tcPr>
          <w:p>
            <w:pPr>
              <w:spacing w:after="0"/>
              <w:rPr>
                <w:sz w:val="24"/>
                <w:szCs w:val="24"/>
                <w:color w:val="auto"/>
              </w:rPr>
            </w:pPr>
          </w:p>
        </w:tc>
        <w:tc>
          <w:tcPr>
            <w:tcW w:w="34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-2091055</wp:posOffset>
            </wp:positionV>
            <wp:extent cx="76835" cy="4972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76835" cy="4972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-2091055</wp:posOffset>
            </wp:positionV>
            <wp:extent cx="68580" cy="4972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-2091055</wp:posOffset>
            </wp:positionV>
            <wp:extent cx="68580" cy="4972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4972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-1439545</wp:posOffset>
            </wp:positionV>
            <wp:extent cx="7683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-1439545</wp:posOffset>
            </wp:positionV>
            <wp:extent cx="6858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-1439545</wp:posOffset>
            </wp:positionV>
            <wp:extent cx="6858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Company entered into a lease for office space in New Haven, CT, effective March 1, 2013, and entered into a First Amendment to such lease on December 5, 2017 and a Second Amendment (the “Second Amendment”) to such lease on November 21, 2022 (collectively, the “Office Space Lease”). The leased space approximates 5,600 square feet and, prior to the Second Amendment, the Office Space Lease had a term of 60 months expiring on February 28, 2023. Under the First Amendment, the Company was required to make monthly payments ranging from approximately $10 to $12 through February 1, 2023 and provided for two designated months of free rent. As a result of the Company entering into the Second Amendment, the leased space will increase to 12,500 square feet effective in March 2023 and the term for the Office Space Lease was extended for an additional 60 months from its prior termination date, until February 28, 2028. The Second Amendment to the Office Space Lease requires monthly payments ranging from approximately $23 to $32 effective in March 2023, when the lease space is available for use, and through February 2028 and includes a tenant improvement allowance of approximately $670. The Second Amendment space was not available as of December 31, 2022 and therefore the Company has not recorded a related right-of-use asset or operating lease liability.</w:t>
      </w:r>
    </w:p>
    <w:p>
      <w:pPr>
        <w:spacing w:after="0" w:line="7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In December 2022, the Company entered into a 24 month lease for the financing of the furniture that will be installed as part of the Company's new office space. The furniture lease requires monthly payments of approximately $11 once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jc w:val="both"/>
        <w:ind w:right="40"/>
        <w:spacing w:after="0" w:line="263" w:lineRule="auto"/>
        <w:rPr>
          <w:sz w:val="20"/>
          <w:szCs w:val="20"/>
          <w:color w:val="auto"/>
        </w:rPr>
      </w:pPr>
      <w:r>
        <w:rPr>
          <w:rFonts w:ascii="Arial" w:cs="Arial" w:eastAsia="Arial" w:hAnsi="Arial"/>
          <w:sz w:val="18"/>
          <w:szCs w:val="18"/>
          <w:color w:val="auto"/>
        </w:rPr>
        <w:t>furniture is delivered, which is estimated to occur in March 2023. The furniture had not been received as of December 31, 2022 and therefore the Company has not recorded a related right-of-use asset or lease liability. The Company also entered into an immaterial office equipment lease during the three months ended June 30, 2022 that has a term of 36 months.</w:t>
      </w:r>
    </w:p>
    <w:p>
      <w:pPr>
        <w:spacing w:after="0" w:line="76"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incremental borrowing rate used on the First Amendment to the Office Space Lease was 13.0%. The right-of-use asset also includes any lease payments related to initial direct costs and prepayments and excludes lease incentives. Lease expense is recognized on a straight-line basis over the lease term. The Company had no significant new leases, except for the Second Amendment to the Office Space Lease, during the years ended December 31, 2022 and 2021.</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First Amendment to the Office Space Lease was an operating lease and the remaining term as of December 31, 2022 was less than one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financing leases. The following table summarizes the Company’s operating leases as presented on its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9"/>
              </w:rPr>
              <w:t>December 31, 2021</w:t>
            </w:r>
          </w:p>
        </w:tc>
        <w:tc>
          <w:tcPr>
            <w:tcW w:w="100" w:type="dxa"/>
            <w:vAlign w:val="bottom"/>
          </w:tcPr>
          <w:p>
            <w:pPr>
              <w:spacing w:after="0"/>
              <w:rPr>
                <w:sz w:val="16"/>
                <w:szCs w:val="16"/>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i w:val="1"/>
                <w:iCs w:val="1"/>
                <w:color w:val="auto"/>
              </w:rPr>
              <w:t>Assets:</w:t>
            </w: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6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right-of-use asset</w:t>
            </w:r>
          </w:p>
        </w:tc>
        <w:tc>
          <w:tcPr>
            <w:tcW w:w="1660" w:type="dxa"/>
            <w:vAlign w:val="bottom"/>
            <w:shd w:val="clear" w:color="auto" w:fill="CFF0FC"/>
          </w:tcPr>
          <w:p>
            <w:pPr>
              <w:jc w:val="right"/>
              <w:ind w:right="147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5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24"/>
                <w:szCs w:val="24"/>
                <w:color w:val="auto"/>
              </w:rPr>
            </w:pPr>
          </w:p>
        </w:tc>
      </w:tr>
      <w:tr>
        <w:trPr>
          <w:trHeight w:val="223"/>
        </w:trPr>
        <w:tc>
          <w:tcPr>
            <w:tcW w:w="6960" w:type="dxa"/>
            <w:vAlign w:val="bottom"/>
            <w:tcBorders>
              <w:top w:val="single" w:sz="8" w:color="CFF0FC"/>
            </w:tcBorders>
          </w:tcPr>
          <w:p>
            <w:pPr>
              <w:ind w:left="20"/>
              <w:spacing w:after="0"/>
              <w:rPr>
                <w:sz w:val="20"/>
                <w:szCs w:val="20"/>
                <w:color w:val="auto"/>
              </w:rPr>
            </w:pPr>
            <w:r>
              <w:rPr>
                <w:rFonts w:ascii="Arial" w:cs="Arial" w:eastAsia="Arial" w:hAnsi="Arial"/>
                <w:sz w:val="18"/>
                <w:szCs w:val="18"/>
                <w:i w:val="1"/>
                <w:iCs w:val="1"/>
                <w:color w:val="auto"/>
              </w:rPr>
              <w:t>Liabilities:</w:t>
            </w:r>
          </w:p>
        </w:tc>
        <w:tc>
          <w:tcPr>
            <w:tcW w:w="16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9"/>
        </w:trPr>
        <w:tc>
          <w:tcPr>
            <w:tcW w:w="6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 current portion</w:t>
            </w:r>
          </w:p>
        </w:tc>
        <w:tc>
          <w:tcPr>
            <w:tcW w:w="16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21"/>
                <w:szCs w:val="2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8"/>
                <w:szCs w:val="18"/>
                <w:color w:val="auto"/>
              </w:rPr>
              <w:t>Operating lease liabilities, long term portion</w:t>
            </w:r>
          </w:p>
        </w:tc>
        <w:tc>
          <w:tcPr>
            <w:tcW w:w="1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r>
      <w:tr>
        <w:trPr>
          <w:trHeight w:val="276"/>
        </w:trPr>
        <w:tc>
          <w:tcPr>
            <w:tcW w:w="6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1660" w:type="dxa"/>
            <w:vAlign w:val="bottom"/>
            <w:tcBorders>
              <w:bottom w:val="single" w:sz="8" w:color="auto"/>
            </w:tcBorders>
            <w:shd w:val="clear" w:color="auto" w:fill="CFF0FC"/>
          </w:tcPr>
          <w:p>
            <w:pPr>
              <w:jc w:val="right"/>
              <w:ind w:right="14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-676910</wp:posOffset>
            </wp:positionV>
            <wp:extent cx="147447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1474470"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from December 31, 2022 until the expiration of the operating lease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1"/>
                <w:szCs w:val="21"/>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49"/>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2026</w:t>
            </w:r>
          </w:p>
        </w:tc>
        <w:tc>
          <w:tcPr>
            <w:tcW w:w="10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0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Less: imputed discount rate</w:t>
            </w:r>
          </w:p>
        </w:tc>
        <w:tc>
          <w:tcPr>
            <w:tcW w:w="10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77"/>
        </w:trPr>
        <w:tc>
          <w:tcPr>
            <w:tcW w:w="8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Carrying value of operating lease liabilities</w:t>
            </w: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Lease expense under operating leases, including leases of office equipment, was $123 and $120 for the years ended December 31, 2022 and 2021, respectively. Lease payments made were $130 and $139 in the years ended December 31, 2022 and 2021, respectively, with such amounts reflected in the Consolidated Statements of Cash Flows in operating activities.</w:t>
      </w:r>
    </w:p>
    <w:p>
      <w:pPr>
        <w:spacing w:after="0" w:line="72"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Leasehold Improvements,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equipment and leasehold improvements, net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website development and office equipment</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5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2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500" w:type="dxa"/>
            <w:vAlign w:val="bottom"/>
          </w:tcPr>
          <w:p>
            <w:pPr>
              <w:spacing w:after="0"/>
              <w:rPr>
                <w:sz w:val="20"/>
                <w:szCs w:val="20"/>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(225 )</w:t>
            </w:r>
          </w:p>
        </w:tc>
        <w:tc>
          <w:tcPr>
            <w:tcW w:w="56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(182 )</w:t>
            </w:r>
          </w:p>
        </w:tc>
      </w:tr>
      <w:tr>
        <w:trPr>
          <w:trHeight w:val="277"/>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equipment and leasehold improvements, net</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was $43 and $50 for the years ended December 31,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benefits</w:t>
            </w:r>
          </w:p>
        </w:tc>
        <w:tc>
          <w:tcPr>
            <w:tcW w:w="1280" w:type="dxa"/>
            <w:vAlign w:val="bottom"/>
            <w:shd w:val="clear" w:color="auto" w:fill="CFF0FC"/>
          </w:tcPr>
          <w:p>
            <w:pPr>
              <w:jc w:val="right"/>
              <w:ind w:right="10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3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0"/>
                <w:szCs w:val="20"/>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Accrued R&amp;D projects</w:t>
            </w:r>
          </w:p>
        </w:tc>
        <w:tc>
          <w:tcPr>
            <w:tcW w:w="1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1,130</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other</w:t>
            </w:r>
          </w:p>
        </w:tc>
        <w:tc>
          <w:tcPr>
            <w:tcW w:w="12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Accrued consulting and professional fees</w:t>
            </w: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r>
      <w:tr>
        <w:trPr>
          <w:trHeight w:val="283"/>
        </w:trPr>
        <w:tc>
          <w:tcPr>
            <w:tcW w:w="7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accrued expenses</w:t>
            </w:r>
          </w:p>
        </w:tc>
        <w:tc>
          <w:tcPr>
            <w:tcW w:w="1280" w:type="dxa"/>
            <w:vAlign w:val="bottom"/>
            <w:tcBorders>
              <w:bottom w:val="single" w:sz="8" w:color="auto"/>
            </w:tcBorders>
            <w:shd w:val="clear" w:color="auto" w:fill="CFF0FC"/>
          </w:tcPr>
          <w:p>
            <w:pPr>
              <w:jc w:val="right"/>
              <w:ind w:right="10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w:t>
            </w:r>
          </w:p>
        </w:tc>
        <w:tc>
          <w:tcPr>
            <w:tcW w:w="3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Silicon Valley Bank Term Loan</w:t>
      </w:r>
    </w:p>
    <w:p>
      <w:pPr>
        <w:spacing w:after="0" w:line="117"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SVB Term Loan bears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w:t>
      </w:r>
    </w:p>
    <w:p>
      <w:pPr>
        <w:spacing w:after="0" w:line="4" w:lineRule="exact"/>
        <w:rPr>
          <w:sz w:val="20"/>
          <w:szCs w:val="20"/>
          <w:color w:val="auto"/>
        </w:rPr>
      </w:pPr>
    </w:p>
    <w:p>
      <w:pPr>
        <w:ind w:right="40" w:firstLine="8"/>
        <w:spacing w:after="0" w:line="267" w:lineRule="auto"/>
        <w:tabs>
          <w:tab w:leader="none" w:pos="2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prime rate plus 3.00% and (B) 6.25% (see term loan derivative liability discussion below). Commencing on March 1, 2022 and on the first business day of each month thereafter, the Company was required to make monthly interest payments and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w:t>
      </w:r>
    </w:p>
    <w:p>
      <w:pPr>
        <w:spacing w:after="0" w:line="78" w:lineRule="exact"/>
        <w:rPr>
          <w:sz w:val="20"/>
          <w:szCs w:val="20"/>
          <w:color w:val="auto"/>
        </w:rPr>
      </w:pPr>
    </w:p>
    <w:p>
      <w:pPr>
        <w:ind w:firstLine="578"/>
        <w:spacing w:after="0" w:line="287" w:lineRule="auto"/>
        <w:rPr>
          <w:sz w:val="20"/>
          <w:szCs w:val="20"/>
          <w:color w:val="auto"/>
        </w:rPr>
      </w:pPr>
      <w:r>
        <w:rPr>
          <w:rFonts w:ascii="Arial" w:cs="Arial" w:eastAsia="Arial" w:hAnsi="Arial"/>
          <w:sz w:val="16"/>
          <w:szCs w:val="16"/>
          <w:color w:val="auto"/>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be required to deposit unrestricted and unencumbered cash equal to 100% of all outstanding amounts owed to SVB in a cash collateral account with SVB, which could be used by SVB to prepay the SVB Term Loan at any time. In addition, the Loan Amendment provided that if the Company failed to maintain at least $20.0 million in unrestricted and unencumbered cash in its accounts with SVB at any time prior to the satisfaction of all the Milestone Conditions (the "Minimum Required Cash"), the Company would be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ATM Sales Agreement and two private placements, which took place in October 2021 (see Note 9).</w:t>
      </w:r>
    </w:p>
    <w:p>
      <w:pPr>
        <w:spacing w:after="0" w:line="60"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color w:val="auto"/>
        </w:rPr>
        <w:t>On April 6, 2022, the Company and SVB entered into a Third Amendment (the “Third Amendment”) to the SVB Loan Agreement. The Third Amendment principally modified the conditions under which the Company would be required to cash collateralize all outstanding amounts owed to SVB under the SVB Loan Agreement. Under the terms of the Third Amendment, if the Company raised $45.0 million in net proceeds from the sale of equity securities (the “2022 Equity Event”), the Company’s obligations to achieve the Milestone Conditions and maintain the Minimum Required Cash would terminate and the sole remaining trigger for cash collateralization would be if the Company did not receive positive final data by December 31, 2022 from either its Phase 2b/3 PRISM trial of Haduvio for prurigo nodularis or its Phase 2 CANAL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8" w:name="page119"/>
    <w:bookmarkEnd w:id="118"/>
    <w:p>
      <w:pPr>
        <w:spacing w:after="0" w:line="291" w:lineRule="auto"/>
        <w:rPr>
          <w:sz w:val="20"/>
          <w:szCs w:val="20"/>
          <w:color w:val="auto"/>
        </w:rPr>
      </w:pPr>
      <w:r>
        <w:rPr>
          <w:rFonts w:ascii="Arial" w:cs="Arial" w:eastAsia="Arial" w:hAnsi="Arial"/>
          <w:sz w:val="16"/>
          <w:szCs w:val="16"/>
          <w:color w:val="auto"/>
        </w:rPr>
        <w:t>trial of Haduvio for the treatment of chronic cough in adults with IPF. In addition, the Third Amendment modified the interest rate on the principal amount outstanding under the Loan Agreement. As a result of the Third Amendment, amounts outstanding under the Loan Agreement accrue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spacing w:after="0" w:line="58"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restricts the payment of dividends on the Company’s common stock.</w:t>
      </w:r>
    </w:p>
    <w:p>
      <w:pPr>
        <w:spacing w:after="0" w:line="84" w:lineRule="exact"/>
        <w:rPr>
          <w:sz w:val="20"/>
          <w:szCs w:val="20"/>
          <w:color w:val="auto"/>
        </w:rPr>
      </w:pPr>
    </w:p>
    <w:p>
      <w:pPr>
        <w:ind w:firstLine="578"/>
        <w:spacing w:after="0" w:line="290" w:lineRule="auto"/>
        <w:rPr>
          <w:sz w:val="20"/>
          <w:szCs w:val="20"/>
          <w:color w:val="auto"/>
        </w:rPr>
      </w:pPr>
      <w:r>
        <w:rPr>
          <w:rFonts w:ascii="Arial" w:cs="Arial" w:eastAsia="Arial" w:hAnsi="Arial"/>
          <w:sz w:val="16"/>
          <w:szCs w:val="16"/>
          <w:color w:val="auto"/>
        </w:rPr>
        <w:t>In August 2020, in connection with the SVB Term Loan, the Company paid $57 in financing costs to a third-party, which were recorded as deferred charges and will be amortized over the life of the SVB Term Loan using the effective interest method. In connection with the Loan Amendment, the Company paid $68 in financing costs to a third-party, which were recorded as deferred charges and will be amortized over the remaining life of the SVB Term Loan using the effective interest method. In connection with the Third Amendment, the Company paid $21 in financing costs to a third-party, which were recorded as deferred charges and will be amortized over the remaining life of the SVB Term Loan using the effective interest method. Amortization of these deferred financing charges totaled $68 and $40 for the years ended December 31, 2022 and 2021, respectively, and is included in interest expense in the Company’s Consolidated Statements of Comprehensive Loss. The unamortized deferred charges at December 31, 2022 and 2021 totaled $29 and $76, respectively, and are included as a direct reduction of the carrying value of the term loan payable on the Company’s Consolidated Balance Sheets.</w:t>
      </w:r>
    </w:p>
    <w:p>
      <w:pPr>
        <w:spacing w:after="0" w:line="57" w:lineRule="exact"/>
        <w:rPr>
          <w:sz w:val="20"/>
          <w:szCs w:val="20"/>
          <w:color w:val="auto"/>
        </w:rPr>
      </w:pPr>
    </w:p>
    <w:p>
      <w:pPr>
        <w:ind w:right="20" w:firstLine="584"/>
        <w:spacing w:after="0" w:line="296" w:lineRule="auto"/>
        <w:rPr>
          <w:sz w:val="20"/>
          <w:szCs w:val="20"/>
          <w:color w:val="auto"/>
        </w:rPr>
      </w:pPr>
      <w:r>
        <w:rPr>
          <w:rFonts w:ascii="Arial" w:cs="Arial" w:eastAsia="Arial" w:hAnsi="Arial"/>
          <w:sz w:val="16"/>
          <w:szCs w:val="16"/>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Consolidated Balance Sheet and will be accreted over the life of the SVB Term Loan using the effective interest method. Accretion of these loan discounts totaled $9 and $11 for the years ended December 31, 2022 and 2021, respectively and is included in interest expense in the Company’s Consolidated Statements of Comprehensive Loss. At December 31, 2022 and 2021, the loan discount-financing costs unamortized balance was $3 and $12, respectively.</w:t>
      </w:r>
    </w:p>
    <w:p>
      <w:pPr>
        <w:spacing w:after="0" w:line="53" w:lineRule="exact"/>
        <w:rPr>
          <w:sz w:val="20"/>
          <w:szCs w:val="20"/>
          <w:color w:val="auto"/>
        </w:rPr>
      </w:pPr>
    </w:p>
    <w:p>
      <w:pPr>
        <w:ind w:right="180" w:firstLine="578"/>
        <w:spacing w:after="0" w:line="275" w:lineRule="auto"/>
        <w:rPr>
          <w:sz w:val="20"/>
          <w:szCs w:val="20"/>
          <w:color w:val="auto"/>
        </w:rPr>
      </w:pPr>
      <w:r>
        <w:rPr>
          <w:rFonts w:ascii="Arial" w:cs="Arial" w:eastAsia="Arial" w:hAnsi="Arial"/>
          <w:sz w:val="17"/>
          <w:szCs w:val="17"/>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Consolidated Balance Sheets. Accrual of this final payment fee totaled $383 and $474 for the years ended December 31, 2022 and 2021, respectively, and is included in interest expense in the Company’s Consolidated Statements of Comprehensive Loss. At December 31, 2022 and 2021, $1,040 and $657 was accrued for the final payment fee, respectively.</w:t>
      </w:r>
    </w:p>
    <w:p>
      <w:pPr>
        <w:spacing w:after="0" w:line="68"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 xml:space="preserve">Prior to the Third Amendment, the SVB Loan Agreement provided that upon SVB receiving evidence satisfactory to it that the Company had (i) received positive data for the Phase 2b/3 PRISM trial sufficient to advance Haduvio into a second Phase 3 clinical trial for prurigo nodularis and (ii) raised sufficient financing to fund such Phase 3 clinical trial and the Company’s operations, the interest rate on the SVB Term Loan would increase by 2.00% (the “Contingent Interest Rate Increase”) as described above. The Contingent Interest Rate Increase represented a free-standing financial instrument. Accordingly, the Company accounted for the Contingent Interest Rate Increase as a derivative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therefore, recorded a term loan derivative liability for the Contingent Interest Rate Increase at its fair value of $187 on the Effective Date of the SVB Loan Agreement. The Company adjusted this liability to fair value at each reporting date it remained outstanding, with such adjustments recorded as non-cash charges in other income (expense), net in the Company’s Consolidated Statements of Comprehensive Loss. The term loan derivative liability was presented as a current liability on the Company’s Consolidated Balance Sheets as of December 31, 2021. Upon recording such term loan derivative liability, the Company also recorded an offsetting term loan discount – interest, to be amortized to interest expense in the Company’s Consolidated Statements of Comprehensive Loss through the SVB Term Loan’s maturity date using the effective interest method. Such amortization was $60 and $74 for the years ended December 31, 2022 and 2021, respectively. At December 31, 2022 and 2021, the balance of the term loan discount – interest was $24 and $84,</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9" w:name="page120"/>
    <w:bookmarkEnd w:id="119"/>
    <w:p>
      <w:pPr>
        <w:ind w:right="40"/>
        <w:spacing w:after="0" w:line="257" w:lineRule="auto"/>
        <w:rPr>
          <w:sz w:val="20"/>
          <w:szCs w:val="20"/>
          <w:color w:val="auto"/>
        </w:rPr>
      </w:pPr>
      <w:r>
        <w:rPr>
          <w:rFonts w:ascii="Arial" w:cs="Arial" w:eastAsia="Arial" w:hAnsi="Arial"/>
          <w:sz w:val="18"/>
          <w:szCs w:val="18"/>
          <w:color w:val="auto"/>
        </w:rPr>
        <w:t>respectively, and is included as a reduction in the balance of the term loan payable on the Company’s Consolidated Balance Sheets. Upon entering into the Third Amendment, the Contingent Interest Rate Increase became effective and the Company recorded an increase to the total fair value of the term loan derivative liability of $136 for the three months ended June 30, 2022. The term loan derivative liability was then settled and reclassed to both current and non-current interest payable, which are presented as accrued liabilities and other non-current liabilities on the Company’s Consolidated Balance Sheet as of December 31, 2022.</w:t>
      </w:r>
    </w:p>
    <w:p>
      <w:pPr>
        <w:spacing w:after="0" w:line="80" w:lineRule="exact"/>
        <w:rPr>
          <w:sz w:val="20"/>
          <w:szCs w:val="20"/>
          <w:color w:val="auto"/>
        </w:rPr>
      </w:pPr>
    </w:p>
    <w:p>
      <w:pPr>
        <w:ind w:right="200" w:firstLine="578"/>
        <w:spacing w:after="0" w:line="259" w:lineRule="auto"/>
        <w:rPr>
          <w:sz w:val="20"/>
          <w:szCs w:val="20"/>
          <w:color w:val="auto"/>
        </w:rPr>
      </w:pPr>
      <w:r>
        <w:rPr>
          <w:rFonts w:ascii="Arial" w:cs="Arial" w:eastAsia="Arial" w:hAnsi="Arial"/>
          <w:sz w:val="18"/>
          <w:szCs w:val="18"/>
          <w:color w:val="auto"/>
        </w:rPr>
        <w:t>Fair values of the term loan derivative liability were estimated utilizing a probability-weighted cash flow approach, including variables for the timing of the Phase 3 Event and other probability estimates. For the fair value calculations of the term loan derivative liability at December 31, 2021, significant inputs included the Contingent Interest Rate Increase of 2.00%, a discount rate of 12.0% and the SVB Term Loan maturity date of February 1, 2024.</w:t>
      </w:r>
    </w:p>
    <w:p>
      <w:pPr>
        <w:spacing w:after="0" w:line="79" w:lineRule="exact"/>
        <w:rPr>
          <w:sz w:val="20"/>
          <w:szCs w:val="20"/>
          <w:color w:val="auto"/>
        </w:rPr>
      </w:pPr>
    </w:p>
    <w:p>
      <w:pPr>
        <w:jc w:val="both"/>
        <w:ind w:right="20" w:firstLine="584"/>
        <w:spacing w:after="0" w:line="263" w:lineRule="auto"/>
        <w:rPr>
          <w:sz w:val="20"/>
          <w:szCs w:val="20"/>
          <w:color w:val="auto"/>
        </w:rPr>
      </w:pPr>
      <w:r>
        <w:rPr>
          <w:rFonts w:ascii="Arial" w:cs="Arial" w:eastAsia="Arial" w:hAnsi="Arial"/>
          <w:sz w:val="18"/>
          <w:szCs w:val="18"/>
          <w:color w:val="auto"/>
        </w:rPr>
        <w:t>As of December 31, 2022 and December 31, 2021, the Company had outstanding borrowings of $8.2 million and $14.0 million, respectively, under the SVB Term Loan and the term loan payable balance as presented in the Company’s Consolidated Balance Sheets as of December 31, 2022 and 2021 was comprised as shown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outstanding under term loan</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3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20"/>
                <w:szCs w:val="20"/>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Term loan discount-interest</w:t>
            </w:r>
          </w:p>
        </w:tc>
        <w:tc>
          <w:tcPr>
            <w:tcW w:w="44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(24 )</w:t>
            </w:r>
          </w:p>
        </w:tc>
        <w:tc>
          <w:tcPr>
            <w:tcW w:w="4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(84 )</w:t>
            </w:r>
          </w:p>
        </w:tc>
      </w:tr>
      <w:tr>
        <w:trPr>
          <w:trHeight w:val="24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discount-unamortized deferred charges</w:t>
            </w:r>
          </w:p>
        </w:tc>
        <w:tc>
          <w:tcPr>
            <w:tcW w:w="4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(29 )</w:t>
            </w:r>
          </w:p>
        </w:tc>
        <w:tc>
          <w:tcPr>
            <w:tcW w:w="4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(76 )</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Term loan discount-financing costs, net of accretion</w:t>
            </w:r>
          </w:p>
        </w:tc>
        <w:tc>
          <w:tcPr>
            <w:tcW w:w="44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(3 )</w:t>
            </w:r>
          </w:p>
        </w:tc>
        <w:tc>
          <w:tcPr>
            <w:tcW w:w="4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r>
      <w:tr>
        <w:trPr>
          <w:trHeight w:val="249"/>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loan-final payment fee</w:t>
            </w: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3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9,151</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14,485</w:t>
            </w:r>
          </w:p>
        </w:tc>
        <w:tc>
          <w:tcPr>
            <w:tcW w:w="100" w:type="dxa"/>
            <w:vAlign w:val="bottom"/>
          </w:tcPr>
          <w:p>
            <w:pPr>
              <w:spacing w:after="0"/>
              <w:rPr>
                <w:sz w:val="20"/>
                <w:szCs w:val="20"/>
                <w:color w:val="auto"/>
              </w:rPr>
            </w:pPr>
          </w:p>
        </w:tc>
      </w:tr>
      <w:tr>
        <w:trPr>
          <w:trHeight w:val="249"/>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3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Term loan payable, non-current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36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-505460</wp:posOffset>
            </wp:positionV>
            <wp:extent cx="77470"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7747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Interest expense on the SVB Term Loan, which is comprised of interest payments, accretion and amortization of term loan discounts and the accrual of the final payment fee, is shown below for the years ended December 31, 2022 and 2021. As of December 31, 2022 and 2021, the interest rate applicable to borrowings under the SVB Term Loan was 5.36% and 4.25%, respectively.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80" w:type="dxa"/>
            <w:vAlign w:val="bottom"/>
          </w:tcPr>
          <w:p>
            <w:pPr>
              <w:spacing w:after="0"/>
              <w:rPr>
                <w:sz w:val="14"/>
                <w:szCs w:val="1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37"/>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payments</w:t>
            </w: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20"/>
                <w:szCs w:val="20"/>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Accrual of the final payment fee</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r>
      <w:tr>
        <w:trPr>
          <w:trHeight w:val="24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Accretion and amortization of term loan discounts</w:t>
            </w:r>
          </w:p>
        </w:tc>
        <w:tc>
          <w:tcPr>
            <w:tcW w:w="1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80" w:type="dxa"/>
            <w:vAlign w:val="bottom"/>
          </w:tcPr>
          <w:p>
            <w:pPr>
              <w:spacing w:after="0"/>
              <w:rPr>
                <w:sz w:val="20"/>
                <w:szCs w:val="20"/>
                <w:color w:val="auto"/>
              </w:rPr>
            </w:pP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1,163</w:t>
            </w:r>
          </w:p>
        </w:tc>
        <w:tc>
          <w:tcPr>
            <w:tcW w:w="10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0"/>
                <w:szCs w:val="20"/>
                <w:color w:val="auto"/>
              </w:rPr>
            </w:pPr>
          </w:p>
        </w:tc>
      </w:tr>
      <w:tr>
        <w:trPr>
          <w:trHeight w:val="20"/>
        </w:trPr>
        <w:tc>
          <w:tcPr>
            <w:tcW w:w="7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-187960</wp:posOffset>
            </wp:positionV>
            <wp:extent cx="6858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left="520" w:right="9100" w:hanging="512"/>
        <w:spacing w:after="0" w:line="425" w:lineRule="auto"/>
        <w:tabs>
          <w:tab w:leader="none" w:pos="52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ind w:right="540" w:firstLine="509"/>
        <w:spacing w:after="0" w:line="277" w:lineRule="auto"/>
        <w:rPr>
          <w:sz w:val="20"/>
          <w:szCs w:val="20"/>
          <w:color w:val="auto"/>
        </w:rPr>
      </w:pPr>
      <w:r>
        <w:rPr>
          <w:rFonts w:ascii="Arial" w:cs="Arial" w:eastAsia="Arial" w:hAnsi="Arial"/>
          <w:sz w:val="18"/>
          <w:szCs w:val="18"/>
          <w:color w:val="auto"/>
        </w:rPr>
        <w:t>As of December 31, 2022 and 2021, the Company’s restated certificate of incorporation authorized the Company to issue 5,000,000 shares of preferred stock, with a par value of $0.001 per share.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As of December 31, 2022 and 2021, the Company’s restated certificate of incorporation authorized the Company to issue 200,000,000 shares of common stock, with a par value of $0.001 per share.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0" w:name="page121"/>
    <w:bookmarkEnd w:id="120"/>
    <w:p>
      <w:pPr>
        <w:ind w:left="520"/>
        <w:spacing w:after="0"/>
        <w:rPr>
          <w:sz w:val="20"/>
          <w:szCs w:val="20"/>
          <w:color w:val="auto"/>
        </w:rPr>
      </w:pPr>
      <w:r>
        <w:rPr>
          <w:rFonts w:ascii="Arial" w:cs="Arial" w:eastAsia="Arial" w:hAnsi="Arial"/>
          <w:sz w:val="17"/>
          <w:szCs w:val="17"/>
          <w:color w:val="auto"/>
        </w:rPr>
        <w:t>As of December 31, 2022 and 2021, the Company had reserved shares of common stock for future issuance as shown in the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2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2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4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602,231</w:t>
            </w:r>
          </w:p>
        </w:tc>
        <w:tc>
          <w:tcPr>
            <w:tcW w:w="2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665,720</w:t>
            </w:r>
          </w:p>
        </w:tc>
        <w:tc>
          <w:tcPr>
            <w:tcW w:w="100" w:type="dxa"/>
            <w:vAlign w:val="bottom"/>
            <w:shd w:val="clear" w:color="auto" w:fill="CFF0FC"/>
          </w:tcPr>
          <w:p>
            <w:pPr>
              <w:spacing w:after="0"/>
              <w:rPr>
                <w:sz w:val="20"/>
                <w:szCs w:val="20"/>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308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4,553,202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3,400,489</w:t>
            </w:r>
          </w:p>
        </w:tc>
        <w:tc>
          <w:tcPr>
            <w:tcW w:w="100" w:type="dxa"/>
            <w:vAlign w:val="bottom"/>
          </w:tcPr>
          <w:p>
            <w:pPr>
              <w:spacing w:after="0"/>
              <w:rPr>
                <w:sz w:val="20"/>
                <w:szCs w:val="20"/>
                <w:color w:val="auto"/>
              </w:rPr>
            </w:pPr>
          </w:p>
        </w:tc>
      </w:tr>
      <w:tr>
        <w:trPr>
          <w:trHeight w:val="24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701,232</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470,631</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Shares to be issued upon exercise of common stock warrants and pre-funded warrants</w:t>
            </w:r>
          </w:p>
        </w:tc>
        <w:tc>
          <w:tcPr>
            <w:tcW w:w="1420" w:type="dxa"/>
            <w:vAlign w:val="bottom"/>
          </w:tcPr>
          <w:p>
            <w:pPr>
              <w:jc w:val="right"/>
              <w:spacing w:after="0"/>
              <w:rPr>
                <w:sz w:val="20"/>
                <w:szCs w:val="20"/>
                <w:color w:val="auto"/>
              </w:rPr>
            </w:pPr>
            <w:r>
              <w:rPr>
                <w:rFonts w:ascii="Arial" w:cs="Arial" w:eastAsia="Arial" w:hAnsi="Arial"/>
                <w:sz w:val="18"/>
                <w:szCs w:val="18"/>
                <w:color w:val="auto"/>
              </w:rPr>
              <w:t>48,330,707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20,602,244</w:t>
            </w:r>
          </w:p>
        </w:tc>
        <w:tc>
          <w:tcPr>
            <w:tcW w:w="100" w:type="dxa"/>
            <w:vAlign w:val="bottom"/>
          </w:tcPr>
          <w:p>
            <w:pPr>
              <w:spacing w:after="0"/>
              <w:rPr>
                <w:sz w:val="20"/>
                <w:szCs w:val="20"/>
                <w:color w:val="auto"/>
              </w:rPr>
            </w:pPr>
          </w:p>
        </w:tc>
      </w:tr>
      <w:tr>
        <w:trPr>
          <w:trHeight w:val="243"/>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0"/>
              </w:rPr>
              <w:t>Shares to be issued upon sales under the LPC Purchase Agreement</w:t>
            </w:r>
          </w:p>
        </w:tc>
        <w:tc>
          <w:tcPr>
            <w:tcW w:w="30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30,000,000</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9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84,187,372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55,139,084</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-187960</wp:posOffset>
            </wp:positionV>
            <wp:extent cx="685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June 2020, the Company entered into the ATM Sales Agreement with SVB Securities, under which the Company may issue and sell shares of its common stock, from time to time, having an aggregate offering price of up to $12.0 million. 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The Company began making sales pursuant to the ATM Sales Agreement in July 2020, and as of December 31, 2022, the Company had issued and sold an aggregate of 3,583,394 shares of common stock for gross proceeds of $11.0 million, before deducting estimated commissions and allocated fees of $0.8 million.</w:t>
      </w:r>
    </w:p>
    <w:p>
      <w:pPr>
        <w:spacing w:after="0" w:line="70"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In May 2022, the Company amended the ATM Sales Agreement with SVB Securities to increase the maximum aggregate offering price of common stock that it may issue and sell from time to time under the ATM Sales Agreement by $50.0 million, from $12.0 million to up to $62.0 million.</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 million of shares of common stock over a 24-month period commencing on July 23, 2021. In addition, under the LPC Purchase Agreement, the Company issued 170,088 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Under the terms of the October 2021 private placements described below, the Company agreed to not issue or sell additional shares under the LPC Purchase Agreement on or prior to April 6, 2023.</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Of the accompanying common stock warrants, warrants to purchase an aggregate of 7,299,270 shares will expire on April 5, 2025, and warrants to purchase an aggregate of 7,299,270 shares will expire on October 5, 2028. The accompanying common stock warrants have an exercise price of $1.37 per share and became exercisable immediately upon issuance.</w:t>
      </w:r>
    </w:p>
    <w:p>
      <w:pPr>
        <w:spacing w:after="0" w:line="58"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On October 18, 2021, the Company issued and sold to New Enterprise Associates 16, L.P., an existing stockholder of the Company (“NEA”) and related party, in a private placement, 1,851,852 shares of the Company’s common stock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ind w:right="200"/>
        <w:spacing w:after="0" w:line="296" w:lineRule="auto"/>
        <w:rPr>
          <w:sz w:val="20"/>
          <w:szCs w:val="20"/>
          <w:color w:val="auto"/>
        </w:rPr>
      </w:pPr>
      <w:r>
        <w:rPr>
          <w:rFonts w:ascii="Arial" w:cs="Arial" w:eastAsia="Arial" w:hAnsi="Arial"/>
          <w:sz w:val="16"/>
          <w:szCs w:val="16"/>
          <w:color w:val="auto"/>
        </w:rPr>
        <w:t>accompanying warrants to purchase an aggregate of 3,703,704 shares of the Company’s common stock. Each share of the Company’s common stock and accompanying common stock warrants were sold together at a combined price of $1.62 for gross proceeds of approximately $3.0 million. Of the accompanying common stock warrants, warrants to purchase an aggregate of 1,851,852 shares of the Company’s common stock will expire on April 18, 2025, and warrants to purchase an aggregate of 1,851,852 shares of the Company’s common stock will expire on October 18, 2028. The accompanying common stock warrants have an exercise price of $1.37 per share and became exercisable immediately upon issuance.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net proceeds from the two October 2021 private placements were $13.7 million, after deducting issuance costs of $1.1 million.</w:t>
      </w:r>
    </w:p>
    <w:p>
      <w:pPr>
        <w:spacing w:after="0" w:line="1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On April 6, 2022, the Company entered into a securities purchase agreement (the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is exercisable immediately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is exercisable immediately and will be exercisable until the pre-funded warrant is exercised in full. Under the terms of the Underwriting Agreement, the Company agreed not to issue and sell additional shares until after November 21, 2022 except in certain circumstances, including the issuance and sale of additional shares pursuant to the Underwriting Agreement.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Warrant activity, including activity related to pre-funded warrants, for the year ended December 31, 2022 is shown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Pre-funded Warrant</w:t>
            </w: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Warrant</w:t>
            </w: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Warrant</w:t>
            </w:r>
          </w:p>
        </w:tc>
        <w:tc>
          <w:tcPr>
            <w:tcW w:w="12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2,300,000</w:t>
            </w:r>
          </w:p>
        </w:tc>
        <w:tc>
          <w:tcPr>
            <w:tcW w:w="24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18,302,244</w:t>
            </w:r>
          </w:p>
        </w:tc>
        <w:tc>
          <w:tcPr>
            <w:tcW w:w="2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20,602,244</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380"/>
              <w:spacing w:after="0"/>
              <w:rPr>
                <w:sz w:val="20"/>
                <w:szCs w:val="20"/>
                <w:color w:val="auto"/>
              </w:rPr>
            </w:pPr>
            <w:r>
              <w:rPr>
                <w:rFonts w:ascii="Arial" w:cs="Arial" w:eastAsia="Arial" w:hAnsi="Arial"/>
                <w:sz w:val="18"/>
                <w:szCs w:val="18"/>
                <w:color w:val="auto"/>
              </w:rPr>
              <w:t>Issued</w:t>
            </w:r>
          </w:p>
        </w:tc>
        <w:tc>
          <w:tcPr>
            <w:tcW w:w="1460" w:type="dxa"/>
            <w:vAlign w:val="bottom"/>
          </w:tcPr>
          <w:p>
            <w:pPr>
              <w:jc w:val="right"/>
              <w:spacing w:after="0"/>
              <w:rPr>
                <w:sz w:val="20"/>
                <w:szCs w:val="20"/>
                <w:color w:val="auto"/>
              </w:rPr>
            </w:pPr>
            <w:r>
              <w:rPr>
                <w:rFonts w:ascii="Arial" w:cs="Arial" w:eastAsia="Arial" w:hAnsi="Arial"/>
                <w:sz w:val="18"/>
                <w:szCs w:val="18"/>
                <w:color w:val="auto"/>
              </w:rPr>
              <w:t>38,627,003</w:t>
            </w:r>
          </w:p>
        </w:tc>
        <w:tc>
          <w:tcPr>
            <w:tcW w:w="2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38,627,003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0.001</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(2,300,000 )</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(8,598,540 )</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(10,898,540 )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as of December 31, 2022</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38,627,003</w:t>
            </w:r>
          </w:p>
        </w:tc>
        <w:tc>
          <w:tcPr>
            <w:tcW w:w="24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9,703,704</w:t>
            </w: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48,330,707</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0.28</w:t>
            </w:r>
          </w:p>
        </w:tc>
        <w:tc>
          <w:tcPr>
            <w:tcW w:w="12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-187960</wp:posOffset>
            </wp:positionV>
            <wp:extent cx="7747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-187960</wp:posOffset>
            </wp:positionV>
            <wp:extent cx="6858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-187960</wp:posOffset>
            </wp:positionV>
            <wp:extent cx="6858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both"/>
        <w:ind w:right="200" w:firstLine="509"/>
        <w:spacing w:after="0" w:line="311" w:lineRule="auto"/>
        <w:rPr>
          <w:sz w:val="20"/>
          <w:szCs w:val="20"/>
          <w:color w:val="auto"/>
        </w:rPr>
      </w:pPr>
      <w:r>
        <w:rPr>
          <w:rFonts w:ascii="Arial" w:cs="Arial" w:eastAsia="Arial" w:hAnsi="Arial"/>
          <w:sz w:val="16"/>
          <w:szCs w:val="16"/>
          <w:color w:val="auto"/>
        </w:rPr>
        <w:t>As of March 31, 2022, all of the pre-funded warrants from the October 2021 private placements had been exercised at the exercise price of $0.001 per share. 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on May 7, 2019, that no further equity-based awards may be granted under the 2012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2" w:name="page123"/>
    <w:bookmarkEnd w:id="122"/>
    <w:p>
      <w:pPr>
        <w:ind w:right="80" w:firstLine="509"/>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total number of shares of common stock that may be issued under the 2019 Plan and the 2012 Plan was 5,155,433 and 4,066,209 as of December 31, 2022 and 2021, respectively, of which 705,150 and 1,136,737 shares remained available for grant under the 2019 Plan, respectively.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2022 and January 1, 2021, respectively, the number of shares reserved for issuance under the 2019 Plan increased, pursuant to the terms of the 2019 Plan, by an additional 1,140,232 shares and 741,871 shares, equal to 4% of the Company’s then-outstanding common stock.</w:t>
      </w:r>
    </w:p>
    <w:p>
      <w:pPr>
        <w:spacing w:after="0" w:line="77"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As of December 31, 2022 and 2021, respectively, options to purchase 3,848,052 and 2,263,752 shares of common stock were granted and outstanding, net of cancelations, under the 2019 Plan. As of December 31, 2022 and 2021, respectively, options to purchase 602,231 and 665,720 shares of common stock were granted and outstanding, net of cancellations, under the 2012 Plan.</w:t>
      </w:r>
    </w:p>
    <w:p>
      <w:pPr>
        <w:spacing w:after="0" w:line="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February 2021, the compensation committee of the Company’s board of directors approved the grant of stock options to purchase 450,875 shares of common stock with performance-based vesting (“PSOs”) to employees of the Company. The PSOs granted in February 2021, vest based on the timing and successful results of the Company’s PRISM or CANAL clinical trials.</w:t>
      </w:r>
    </w:p>
    <w:p>
      <w:pPr>
        <w:spacing w:after="0" w:line="76" w:lineRule="exact"/>
        <w:rPr>
          <w:sz w:val="20"/>
          <w:szCs w:val="20"/>
          <w:color w:val="auto"/>
        </w:rPr>
      </w:pPr>
    </w:p>
    <w:p>
      <w:pPr>
        <w:ind w:right="480" w:firstLine="509"/>
        <w:spacing w:after="0" w:line="258"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year ended December 31, 2022 is as follows:</w:t>
      </w:r>
    </w:p>
    <w:tbl>
      <w:tblPr>
        <w:tblLayout w:type="fixed"/>
        <w:tblInd w:w="0" w:type="dxa"/>
        <w:tblCellMar>
          <w:top w:w="0" w:type="dxa"/>
          <w:left w:w="0" w:type="dxa"/>
          <w:bottom w:w="0" w:type="dxa"/>
          <w:right w:w="0" w:type="dxa"/>
        </w:tblCellMar>
      </w:tblPr>
      <w:tr>
        <w:trPr>
          <w:trHeight w:val="141"/>
        </w:trPr>
        <w:tc>
          <w:tcPr>
            <w:tcW w:w="578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6"/>
              <w:spacing w:after="0" w:line="141"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2,929,472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spacing w:after="0"/>
              <w:rPr>
                <w:sz w:val="20"/>
                <w:szCs w:val="20"/>
                <w:color w:val="auto"/>
              </w:rPr>
            </w:pPr>
            <w:r>
              <w:rPr>
                <w:rFonts w:ascii="Arial" w:cs="Arial" w:eastAsia="Arial" w:hAnsi="Arial"/>
                <w:sz w:val="18"/>
                <w:szCs w:val="18"/>
                <w:color w:val="auto"/>
              </w:rPr>
              <w:t>1,669,250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Forfeited</w:t>
            </w:r>
          </w:p>
        </w:tc>
        <w:tc>
          <w:tcPr>
            <w:tcW w:w="2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(53,513 ) $</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8"/>
                <w:szCs w:val="18"/>
                <w:color w:val="auto"/>
              </w:rPr>
              <w:t>Expired</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(43,921 ) $</w:t>
            </w: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Exercised</w:t>
            </w:r>
          </w:p>
        </w:tc>
        <w:tc>
          <w:tcPr>
            <w:tcW w:w="2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(51,005 ) $</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as of December 31, 2022</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4,450,283</w:t>
            </w:r>
          </w:p>
        </w:tc>
        <w:tc>
          <w:tcPr>
            <w:tcW w:w="2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3.26</w:t>
            </w:r>
          </w:p>
        </w:tc>
        <w:tc>
          <w:tcPr>
            <w:tcW w:w="11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7.6</w:t>
            </w:r>
          </w:p>
        </w:tc>
        <w:tc>
          <w:tcPr>
            <w:tcW w:w="34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exercisable as of December 31, 2022</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2,196,428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Options unvested as of December 31, 2022</w:t>
            </w:r>
          </w:p>
        </w:tc>
        <w:tc>
          <w:tcPr>
            <w:tcW w:w="1820" w:type="dxa"/>
            <w:vAlign w:val="bottom"/>
          </w:tcPr>
          <w:p>
            <w:pPr>
              <w:jc w:val="right"/>
              <w:spacing w:after="0"/>
              <w:rPr>
                <w:sz w:val="20"/>
                <w:szCs w:val="20"/>
                <w:color w:val="auto"/>
              </w:rPr>
            </w:pPr>
            <w:r>
              <w:rPr>
                <w:rFonts w:ascii="Arial" w:cs="Arial" w:eastAsia="Arial" w:hAnsi="Arial"/>
                <w:sz w:val="18"/>
                <w:szCs w:val="18"/>
                <w:color w:val="auto"/>
              </w:rPr>
              <w:t>2,253,855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-488315</wp:posOffset>
            </wp:positionV>
            <wp:extent cx="7683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94"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weighted average grant-date fair value per share of stock options granted was $0.93 and $2.28 for the years ended December 31, 2022 and 2021, respectively.</w:t>
      </w:r>
    </w:p>
    <w:p>
      <w:pPr>
        <w:spacing w:after="0" w:line="62"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The aggregate fair value of stock options that vested during the years ended December 31, 2022 and 2021 was $2.9 million and $2.4 million, respectively.</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 ended December 31, 2022 was $33. No stock options were exercised during the year ended December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3" w:name="page124"/>
    <w:bookmarkEnd w:id="123"/>
    <w:p>
      <w:pPr>
        <w:ind w:left="520"/>
        <w:spacing w:after="0"/>
        <w:rPr>
          <w:sz w:val="20"/>
          <w:szCs w:val="20"/>
          <w:color w:val="auto"/>
        </w:rPr>
      </w:pPr>
      <w:r>
        <w:rPr>
          <w:rFonts w:ascii="Arial" w:cs="Arial" w:eastAsia="Arial" w:hAnsi="Arial"/>
          <w:sz w:val="16"/>
          <w:szCs w:val="16"/>
          <w:color w:val="auto"/>
        </w:rPr>
        <w:t>The assumptions that the Company used to determine the fair value of the stock options granted were as follows, presented on a weighted average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19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0" w:type="dxa"/>
            <w:vAlign w:val="bottom"/>
            <w:tcBorders>
              <w:top w:val="single" w:sz="8" w:color="auto"/>
              <w:bottom w:val="single" w:sz="8" w:color="auto"/>
            </w:tcBorders>
          </w:tcPr>
          <w:p>
            <w:pPr>
              <w:jc w:val="right"/>
              <w:ind w:right="11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103.3 %</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94.0 %</w:t>
            </w:r>
          </w:p>
        </w:tc>
      </w:tr>
      <w:tr>
        <w:trPr>
          <w:trHeight w:val="256"/>
        </w:trPr>
        <w:tc>
          <w:tcPr>
            <w:tcW w:w="7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Expected life of options (in years)</w:t>
            </w: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6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The total number of shares of common stock that may be issued under the 2019 ESPP was 803,976 as of December 31, 2022, of which 701,232 shares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2022 and January 1, 2021, respectively, the aggregate number of shares of the Company’s common stock that may be issued under the 2019 ESPP increased, pursuant to the terms of the 2019 ESPP, by an additional 285,058 shares and 185,467 shares, equal to 1% of the Company’s then-outstanding common stock.</w:t>
      </w:r>
    </w:p>
    <w:p>
      <w:pPr>
        <w:spacing w:after="0" w:line="70"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following table summarizes the classifications of stock-based compensation expenses for the 2012 Plan, the 2019 Plan and the 2019 ESPP recognized in the Consolidated Statements of Comprehensive Loss: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9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w:t>
            </w:r>
          </w:p>
        </w:tc>
        <w:tc>
          <w:tcPr>
            <w:tcW w:w="1560" w:type="dxa"/>
            <w:vAlign w:val="bottom"/>
            <w:shd w:val="clear" w:color="auto" w:fill="CFF0FC"/>
          </w:tcPr>
          <w:p>
            <w:pPr>
              <w:jc w:val="right"/>
              <w:ind w:right="137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FF0FC"/>
          </w:tcPr>
          <w:p>
            <w:pPr>
              <w:spacing w:after="0"/>
              <w:rPr>
                <w:sz w:val="20"/>
                <w:szCs w:val="20"/>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1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r>
      <w:tr>
        <w:trPr>
          <w:trHeight w:val="277"/>
        </w:trPr>
        <w:tc>
          <w:tcPr>
            <w:tcW w:w="59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ind w:right="13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3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200" w:firstLine="509"/>
        <w:spacing w:after="0" w:line="277" w:lineRule="auto"/>
        <w:rPr>
          <w:sz w:val="20"/>
          <w:szCs w:val="20"/>
          <w:color w:val="auto"/>
        </w:rPr>
      </w:pPr>
      <w:r>
        <w:rPr>
          <w:rFonts w:ascii="Arial" w:cs="Arial" w:eastAsia="Arial" w:hAnsi="Arial"/>
          <w:sz w:val="18"/>
          <w:szCs w:val="18"/>
          <w:color w:val="auto"/>
        </w:rPr>
        <w:t>As of December 31, 2022, total unrecognized compensation cost related to the unvested share-based awards was $2.9 million, which is expected to be recognized over a weighted average period of 2.4 years.</w:t>
      </w:r>
    </w:p>
    <w:p>
      <w:pPr>
        <w:spacing w:after="0" w:line="58"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During the years ended December 31, 2022 and 2021, the Company recorded an income tax benefit related to state research and development tax credits of $36 and $21,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tax benefit for the years ended December 31, 2022 and 2021,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20"/>
                <w:szCs w:val="20"/>
                <w:color w:val="auto"/>
              </w:rPr>
            </w:pPr>
          </w:p>
        </w:tc>
        <w:tc>
          <w:tcPr>
            <w:tcW w:w="26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140" w:type="dxa"/>
            <w:vAlign w:val="bottom"/>
          </w:tcPr>
          <w:p>
            <w:pPr>
              <w:ind w:left="12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30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FF0FC"/>
          </w:tcPr>
          <w:p>
            <w:pPr>
              <w:spacing w:after="0"/>
              <w:rPr>
                <w:sz w:val="21"/>
                <w:szCs w:val="21"/>
                <w:color w:val="auto"/>
              </w:rPr>
            </w:pPr>
          </w:p>
        </w:tc>
        <w:tc>
          <w:tcPr>
            <w:tcW w:w="30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(36 )</w:t>
            </w:r>
          </w:p>
        </w:tc>
        <w:tc>
          <w:tcPr>
            <w:tcW w:w="92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5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2"/>
          </w:tcPr>
          <w:p>
            <w:pPr>
              <w:jc w:val="right"/>
              <w:ind w:right="230"/>
              <w:spacing w:after="0"/>
              <w:rPr>
                <w:sz w:val="20"/>
                <w:szCs w:val="20"/>
                <w:color w:val="auto"/>
              </w:rPr>
            </w:pPr>
            <w:r>
              <w:rPr>
                <w:rFonts w:ascii="Arial" w:cs="Arial" w:eastAsia="Arial" w:hAnsi="Arial"/>
                <w:sz w:val="18"/>
                <w:szCs w:val="18"/>
                <w:color w:val="auto"/>
              </w:rPr>
              <w:t>(36 )</w:t>
            </w:r>
          </w:p>
        </w:tc>
        <w:tc>
          <w:tcPr>
            <w:tcW w:w="92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Borders>
              <w:top w:val="single" w:sz="8" w:color="auto"/>
            </w:tcBorders>
            <w:shd w:val="clear" w:color="auto" w:fill="CFF0FC"/>
          </w:tcPr>
          <w:p>
            <w:pPr>
              <w:spacing w:after="0"/>
              <w:rPr>
                <w:sz w:val="21"/>
                <w:szCs w:val="21"/>
                <w:color w:val="auto"/>
              </w:rPr>
            </w:pPr>
          </w:p>
        </w:tc>
        <w:tc>
          <w:tcPr>
            <w:tcW w:w="2600" w:type="dxa"/>
            <w:vAlign w:val="bottom"/>
            <w:tcBorders>
              <w:top w:val="single" w:sz="8" w:color="auto"/>
            </w:tcBorders>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40" w:type="dxa"/>
            <w:vAlign w:val="bottom"/>
          </w:tcPr>
          <w:p>
            <w:pPr>
              <w:ind w:left="12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20"/>
                <w:szCs w:val="20"/>
                <w:color w:val="auto"/>
              </w:rPr>
            </w:pPr>
          </w:p>
        </w:tc>
        <w:tc>
          <w:tcPr>
            <w:tcW w:w="30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9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FF0FC"/>
          </w:tcPr>
          <w:p>
            <w:pPr>
              <w:spacing w:after="0"/>
              <w:rPr>
                <w:sz w:val="21"/>
                <w:szCs w:val="21"/>
                <w:color w:val="auto"/>
              </w:rPr>
            </w:pPr>
          </w:p>
        </w:tc>
        <w:tc>
          <w:tcPr>
            <w:tcW w:w="2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9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35"/>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2"/>
          </w:tcPr>
          <w:p>
            <w:pPr>
              <w:jc w:val="right"/>
              <w:ind w:right="2450"/>
              <w:spacing w:after="0"/>
              <w:rPr>
                <w:sz w:val="20"/>
                <w:szCs w:val="20"/>
                <w:color w:val="auto"/>
              </w:rPr>
            </w:pPr>
            <w:r>
              <w:rPr>
                <w:rFonts w:ascii="Arial" w:cs="Arial" w:eastAsia="Arial" w:hAnsi="Arial"/>
                <w:sz w:val="18"/>
                <w:szCs w:val="18"/>
                <w:color w:val="auto"/>
              </w:rPr>
              <w:t>F-20</w:t>
            </w:r>
          </w:p>
        </w:tc>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-1473835</wp:posOffset>
            </wp:positionV>
            <wp:extent cx="685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-839470</wp:posOffset>
            </wp:positionV>
            <wp:extent cx="685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24" w:name="page125"/>
    <w:bookmarkEnd w:id="124"/>
    <w:p>
      <w:pPr>
        <w:ind w:left="520"/>
        <w:spacing w:after="0"/>
        <w:rPr>
          <w:sz w:val="20"/>
          <w:szCs w:val="20"/>
          <w:color w:val="auto"/>
        </w:rPr>
      </w:pPr>
      <w:r>
        <w:rPr>
          <w:rFonts w:ascii="Arial" w:cs="Arial" w:eastAsia="Arial" w:hAnsi="Arial"/>
          <w:sz w:val="17"/>
          <w:szCs w:val="17"/>
          <w:color w:val="auto"/>
        </w:rPr>
        <w:t>The following table provides a reconciliation between income tax benefit and the expected tax benefit at the statutory rate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93"/>
              </w:rPr>
              <w:t>Year Ended December 31,</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5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5480" w:type="dxa"/>
            <w:vAlign w:val="bottom"/>
          </w:tcPr>
          <w:p>
            <w:pPr>
              <w:ind w:left="20"/>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6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spacing w:after="0"/>
              <w:rPr>
                <w:sz w:val="20"/>
                <w:szCs w:val="20"/>
                <w:color w:val="auto"/>
              </w:rPr>
            </w:pPr>
            <w:r>
              <w:rPr>
                <w:rFonts w:ascii="Arial" w:cs="Arial" w:eastAsia="Arial" w:hAnsi="Arial"/>
                <w:sz w:val="18"/>
                <w:szCs w:val="18"/>
                <w:color w:val="auto"/>
                <w:w w:val="87"/>
              </w:rPr>
              <w:t>%</w:t>
            </w:r>
          </w:p>
        </w:tc>
      </w:tr>
      <w:tr>
        <w:trPr>
          <w:trHeight w:val="249"/>
        </w:trPr>
        <w:tc>
          <w:tcPr>
            <w:tcW w:w="5480" w:type="dxa"/>
            <w:vAlign w:val="bottom"/>
          </w:tcPr>
          <w:p>
            <w:pPr>
              <w:ind w:left="200"/>
              <w:spacing w:after="0"/>
              <w:rPr>
                <w:sz w:val="20"/>
                <w:szCs w:val="20"/>
                <w:color w:val="auto"/>
              </w:rPr>
            </w:pPr>
            <w:r>
              <w:rPr>
                <w:rFonts w:ascii="Arial" w:cs="Arial" w:eastAsia="Arial" w:hAnsi="Arial"/>
                <w:sz w:val="18"/>
                <w:szCs w:val="18"/>
                <w:color w:val="auto"/>
              </w:rPr>
              <w:t>State income tax benefit—net of federal tax</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valuation allowance</w:t>
            </w:r>
          </w:p>
        </w:tc>
        <w:tc>
          <w:tcPr>
            <w:tcW w:w="10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w w:val="96"/>
              </w:rPr>
              <w:t>(28.7 )</w:t>
            </w:r>
          </w:p>
        </w:tc>
        <w:tc>
          <w:tcPr>
            <w:tcW w:w="6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(29.1 )</w:t>
            </w:r>
          </w:p>
        </w:tc>
        <w:tc>
          <w:tcPr>
            <w:tcW w:w="60" w:type="dxa"/>
            <w:vAlign w:val="bottom"/>
          </w:tcPr>
          <w:p>
            <w:pPr>
              <w:spacing w:after="0"/>
              <w:rPr>
                <w:sz w:val="21"/>
                <w:szCs w:val="21"/>
                <w:color w:val="auto"/>
              </w:rPr>
            </w:pPr>
          </w:p>
        </w:tc>
      </w:tr>
      <w:tr>
        <w:trPr>
          <w:trHeight w:val="237"/>
        </w:trPr>
        <w:tc>
          <w:tcPr>
            <w:tcW w:w="5480" w:type="dxa"/>
            <w:vAlign w:val="bottom"/>
          </w:tcPr>
          <w:p>
            <w:pPr>
              <w:ind w:left="200"/>
              <w:spacing w:after="0"/>
              <w:rPr>
                <w:sz w:val="20"/>
                <w:szCs w:val="20"/>
                <w:color w:val="auto"/>
              </w:rPr>
            </w:pPr>
            <w:r>
              <w:rPr>
                <w:rFonts w:ascii="Arial" w:cs="Arial" w:eastAsia="Arial" w:hAnsi="Arial"/>
                <w:sz w:val="18"/>
                <w:szCs w:val="18"/>
                <w:color w:val="auto"/>
              </w:rPr>
              <w:t>Refundable tax credit</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R&amp;D tax credits</w:t>
            </w:r>
          </w:p>
        </w:tc>
        <w:tc>
          <w:tcPr>
            <w:tcW w:w="10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480" w:type="dxa"/>
            <w:vAlign w:val="bottom"/>
          </w:tcPr>
          <w:p>
            <w:pPr>
              <w:ind w:left="200"/>
              <w:spacing w:after="0"/>
              <w:rPr>
                <w:sz w:val="20"/>
                <w:szCs w:val="20"/>
                <w:color w:val="auto"/>
              </w:rPr>
            </w:pPr>
            <w:r>
              <w:rPr>
                <w:rFonts w:ascii="Arial" w:cs="Arial" w:eastAsia="Arial" w:hAnsi="Arial"/>
                <w:sz w:val="18"/>
                <w:szCs w:val="18"/>
                <w:color w:val="auto"/>
              </w:rPr>
              <w:t>Permanent adjustments</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3"/>
          </w:tcPr>
          <w:p>
            <w:pPr>
              <w:jc w:val="right"/>
              <w:ind w:right="110"/>
              <w:spacing w:after="0"/>
              <w:rPr>
                <w:sz w:val="20"/>
                <w:szCs w:val="20"/>
                <w:color w:val="auto"/>
              </w:rPr>
            </w:pPr>
            <w:r>
              <w:rPr>
                <w:rFonts w:ascii="Arial" w:cs="Arial" w:eastAsia="Arial" w:hAnsi="Arial"/>
                <w:sz w:val="18"/>
                <w:szCs w:val="18"/>
                <w:color w:val="auto"/>
              </w:rPr>
              <w:t>(0.6 )</w:t>
            </w:r>
          </w:p>
        </w:tc>
        <w:tc>
          <w:tcPr>
            <w:tcW w:w="660" w:type="dxa"/>
            <w:vAlign w:val="bottom"/>
          </w:tcPr>
          <w:p>
            <w:pPr>
              <w:spacing w:after="0"/>
              <w:rPr>
                <w:sz w:val="21"/>
                <w:szCs w:val="21"/>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04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gridSpan w:val="2"/>
          </w:tcPr>
          <w:p>
            <w:pPr>
              <w:spacing w:after="0"/>
              <w:rPr>
                <w:sz w:val="20"/>
                <w:szCs w:val="20"/>
                <w:color w:val="auto"/>
              </w:rPr>
            </w:pPr>
            <w:r>
              <w:rPr>
                <w:rFonts w:ascii="Arial" w:cs="Arial" w:eastAsia="Arial" w:hAnsi="Arial"/>
                <w:sz w:val="18"/>
                <w:szCs w:val="18"/>
                <w:color w:val="auto"/>
                <w:w w:val="87"/>
              </w:rPr>
              <w:t>%</w:t>
            </w:r>
          </w:p>
        </w:tc>
      </w:tr>
      <w:tr>
        <w:trPr>
          <w:trHeight w:val="20"/>
        </w:trPr>
        <w:tc>
          <w:tcPr>
            <w:tcW w:w="5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7240" w:type="dxa"/>
            <w:vAlign w:val="bottom"/>
            <w:gridSpan w:val="3"/>
          </w:tcPr>
          <w:p>
            <w:pPr>
              <w:ind w:left="520"/>
              <w:spacing w:after="0"/>
              <w:rPr>
                <w:sz w:val="20"/>
                <w:szCs w:val="20"/>
                <w:color w:val="auto"/>
              </w:rPr>
            </w:pPr>
            <w:r>
              <w:rPr>
                <w:rFonts w:ascii="Arial" w:cs="Arial" w:eastAsia="Arial" w:hAnsi="Arial"/>
                <w:sz w:val="18"/>
                <w:szCs w:val="18"/>
                <w:color w:val="auto"/>
                <w:w w:val="93"/>
              </w:rPr>
              <w:t>Significant components of the Company’s deferred tax assets and liabilities are as follows: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54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5480" w:type="dxa"/>
            <w:vAlign w:val="bottom"/>
          </w:tcPr>
          <w:p>
            <w:pPr>
              <w:spacing w:after="0"/>
              <w:rPr>
                <w:sz w:val="14"/>
                <w:szCs w:val="14"/>
                <w:color w:val="auto"/>
              </w:rPr>
            </w:pPr>
          </w:p>
        </w:tc>
        <w:tc>
          <w:tcPr>
            <w:tcW w:w="1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Federal and state tax credits</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R&amp;D</w:t>
            </w:r>
          </w:p>
        </w:tc>
        <w:tc>
          <w:tcPr>
            <w:tcW w:w="10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61,292</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52,731</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548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(220 )</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60" w:type="dxa"/>
            <w:vAlign w:val="bottom"/>
          </w:tcPr>
          <w:p>
            <w:pPr>
              <w:spacing w:after="0"/>
              <w:rPr>
                <w:sz w:val="24"/>
                <w:szCs w:val="24"/>
                <w:color w:val="auto"/>
              </w:rPr>
            </w:pPr>
          </w:p>
        </w:tc>
      </w:tr>
      <w:tr>
        <w:trPr>
          <w:trHeight w:val="237"/>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79"/>
        </w:trPr>
        <w:tc>
          <w:tcPr>
            <w:tcW w:w="54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(61,072 )</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(52,696 )</w:t>
            </w:r>
          </w:p>
        </w:tc>
        <w:tc>
          <w:tcPr>
            <w:tcW w:w="60" w:type="dxa"/>
            <w:vAlign w:val="bottom"/>
          </w:tcPr>
          <w:p>
            <w:pPr>
              <w:spacing w:after="0"/>
              <w:rPr>
                <w:sz w:val="24"/>
                <w:szCs w:val="24"/>
                <w:color w:val="auto"/>
              </w:rPr>
            </w:pPr>
          </w:p>
        </w:tc>
      </w:tr>
      <w:tr>
        <w:trPr>
          <w:trHeight w:val="277"/>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deferred tax asset</w:t>
            </w:r>
          </w:p>
        </w:tc>
        <w:tc>
          <w:tcPr>
            <w:tcW w:w="104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-2528570</wp:posOffset>
            </wp:positionV>
            <wp:extent cx="7132320" cy="1803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-985520</wp:posOffset>
            </wp:positionV>
            <wp:extent cx="68580" cy="3257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3257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-505460</wp:posOffset>
            </wp:positionV>
            <wp:extent cx="68580" cy="3257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32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For the years ended December 31, 2022 and 2021, the Company generated federal and state net operating losses (“NOLs”) of approximately $8.7 million and $32.1 million, respectively. At December 31, 2022 and 2021, the federal and state net operating loss balances were approximately $178.4 million and $169.7 million, respectively. The operating losses generated prior to 2018 will expire in years 2031 through 2037, unless previously utilized. The operating losses generated in 2018 or later can be carried forward indefinitely, however will only offset 80% of taxable income in a carryforward year. The Company also generated federal R&amp;D tax credits for the years ended December 31, 2022 and 2021 of approximately $756 and $702, respectively. At December 31, 2022 and 2021, the federal R&amp;D tax credit carryforwards were approximately $5.4 million and $4.6 million, respectively. These credits will expire in years 2032 through 2042, unless previously utilized. The Company completed a detailed Section 382 analysis, and due to multiple historical ownership changes, the Company's NOLs as of December 31, 2022, in the amount of $178.4 million and R&amp;D tax credits in the amount of $5.4 million are subject to limitation. If a further ownership change occurs, the Company's ability to use its tax attributes might be further limited.</w:t>
      </w:r>
    </w:p>
    <w:p>
      <w:pPr>
        <w:spacing w:after="0" w:line="5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Company also generated state research tax credits for the years ended December 31, 2022 and 2021 of approximately $118 and $149, respectively. The Company applied to exchange a portion of these credits for cash under a state-run program. These amounts, $36 and $21 for the years ended December 31, 2022 and 2021, respectively, were recognized as current income tax benefits in the Company’s Consolidated Statements of Comprehensive Loss. At each of December 31, 2022 and 2021, the Company’s Consolidated Balance Sheets reflect income tax receivables of $36 and $21 respectively, related to these credits. Because of the net operating loss and research credit carryforwards, tax years 2012 through 2021 remain open to U.S. federal and state tax examinations.</w:t>
      </w:r>
    </w:p>
    <w:p>
      <w:pPr>
        <w:spacing w:after="0" w:line="84" w:lineRule="exact"/>
        <w:rPr>
          <w:sz w:val="20"/>
          <w:szCs w:val="20"/>
          <w:color w:val="auto"/>
        </w:rPr>
      </w:pPr>
    </w:p>
    <w:p>
      <w:pPr>
        <w:ind w:right="180" w:firstLine="509"/>
        <w:spacing w:after="0" w:line="272" w:lineRule="auto"/>
        <w:rPr>
          <w:sz w:val="20"/>
          <w:szCs w:val="20"/>
          <w:color w:val="auto"/>
        </w:rPr>
      </w:pPr>
      <w:r>
        <w:rPr>
          <w:rFonts w:ascii="Arial" w:cs="Arial" w:eastAsia="Arial" w:hAnsi="Arial"/>
          <w:sz w:val="17"/>
          <w:szCs w:val="17"/>
          <w:color w:val="auto"/>
        </w:rPr>
        <w:t>Beginning in 2022, the Tax Cuts and Jobs Act of 2017 ("TCJA") eliminated the option to deduct research and development expenditures in the current year and requires taxpayers to amortize U.S. expenses over five years and non-U.S. expenses over fifteen years pursuant to Internal Revenue Code Section 174. In the future, Congress may consider legislation that would defer the amortization requirement to later years, possibly with retroactive effect. In the meantime, we expect to continue to capitalize research and development expenses under the current tax law. The impact of Section 174 on the Company's deferred tax assets depends on the amount of research and development expenditures incurred by the Company and whether the IRS issues guidance on the provision, which differs from the Company's current interpretation, among other things. For the year ended December 31, 2022, this provision resulted in a deferred tax asset of $4,825.</w:t>
      </w:r>
    </w:p>
    <w:p>
      <w:pPr>
        <w:spacing w:after="0" w:line="6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Income taxes are provided using the asset/liability method, in which deferred taxes are recognized for the tax consequences of temporary differences between the financial statement carrying amounts and tax bases of existing assets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25" w:name="page126"/>
    <w:bookmarkEnd w:id="125"/>
    <w:p>
      <w:pPr>
        <w:ind w:right="20"/>
        <w:spacing w:after="0" w:line="273" w:lineRule="auto"/>
        <w:rPr>
          <w:sz w:val="20"/>
          <w:szCs w:val="20"/>
          <w:color w:val="auto"/>
        </w:rPr>
      </w:pPr>
      <w:r>
        <w:rPr>
          <w:rFonts w:ascii="Arial" w:cs="Arial" w:eastAsia="Arial" w:hAnsi="Arial"/>
          <w:sz w:val="17"/>
          <w:szCs w:val="17"/>
          <w:color w:val="auto"/>
        </w:rPr>
        <w:t>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w:t>
      </w:r>
    </w:p>
    <w:p>
      <w:pPr>
        <w:spacing w:after="0" w:line="7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The Company determined that operating losses it incurred since its inception on March 17, 2011, represented negative evidence sufficient to conclude a valuation allowance was necessary. As such, the Company has recorded a valuation allowance of $61.1 million and $52.7 million at December 31, 2022 and 2021, respectively, as a reserve against its net deferred tax assets. These balances reflect increases in the valuation allowance of $8.4 million and $9.9 million in 2022 and 2021, respectively, both representing an increase in net deferred tax assets.</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2022 and 2021, the Company had no unrecognized tax benefits or related interest and penalties accrued. In the event the Company determines that accrual of interest or penalties are necessary in the future, the amount will be presented as a component of interest expense.</w:t>
      </w:r>
    </w:p>
    <w:p>
      <w:pPr>
        <w:spacing w:after="0" w:line="73"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8"/>
                <w:szCs w:val="18"/>
                <w:color w:val="auto"/>
              </w:rPr>
              <w:t>Weighted average common shares used in net loss per share attributable to common</w:t>
            </w:r>
          </w:p>
        </w:tc>
        <w:tc>
          <w:tcPr>
            <w:tcW w:w="11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8"/>
              </w:rPr>
              <w:t>64,541,911</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22,841,481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stockholders, basic and diluted</w:t>
            </w: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common share outstanding</w:t>
            </w:r>
          </w:p>
        </w:tc>
        <w:tc>
          <w:tcPr>
            <w:tcW w:w="1120" w:type="dxa"/>
            <w:vAlign w:val="bottom"/>
            <w:tcBorders>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Basic shares outstanding includes the weighted average effect of the Company’s pre-funded warrants from the date of issuance, the exercise of which requires little or no consideration for the delivery of shares of common stock. As of December 31, 2022, the Company had pre-funded warrants to purchase 38,627,003 shares of common stock outstanding, which were issued in the April 2022 Private Placement and the September 2022 Offering, which warrants are included in the weighted average common shares used in calculating the net loss per share attributable to common stockholders, basic and diluted, for the year ended December 31, 2022.</w:t>
      </w:r>
    </w:p>
    <w:p>
      <w:pPr>
        <w:spacing w:after="0" w:line="8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December 31, 2022 and 2021, respectively, were excluded from the calculation of diluted net loss per share attributable to common stockholders for the periods indicated because including them would have had an anti-dilutive effect: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560" w:type="dxa"/>
            <w:vAlign w:val="bottom"/>
            <w:tcBorders>
              <w:bottom w:val="single" w:sz="8" w:color="auto"/>
            </w:tcBorders>
            <w:gridSpan w:val="3"/>
          </w:tcPr>
          <w:p>
            <w:pPr>
              <w:ind w:left="1740"/>
              <w:spacing w:after="0"/>
              <w:rPr>
                <w:sz w:val="20"/>
                <w:szCs w:val="20"/>
                <w:color w:val="auto"/>
              </w:rPr>
            </w:pPr>
            <w:r>
              <w:rPr>
                <w:rFonts w:ascii="Arial" w:cs="Arial" w:eastAsia="Arial" w:hAnsi="Arial"/>
                <w:sz w:val="14"/>
                <w:szCs w:val="14"/>
                <w:b w:val="1"/>
                <w:bCs w:val="1"/>
                <w:color w:val="auto"/>
              </w:rPr>
              <w:t>Shares as of December 31,</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360" w:type="dxa"/>
            <w:vAlign w:val="bottom"/>
            <w:tcBorders>
              <w:bottom w:val="single" w:sz="8" w:color="auto"/>
            </w:tcBorders>
          </w:tcPr>
          <w:p>
            <w:pPr>
              <w:jc w:val="right"/>
              <w:ind w:right="95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2780" w:type="dxa"/>
            <w:vAlign w:val="bottom"/>
            <w:shd w:val="clear" w:color="auto" w:fill="CFF0FC"/>
          </w:tcPr>
          <w:p>
            <w:pPr>
              <w:spacing w:after="0"/>
              <w:rPr>
                <w:sz w:val="20"/>
                <w:szCs w:val="20"/>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4,450,283</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2,929,472</w:t>
            </w:r>
          </w:p>
        </w:tc>
        <w:tc>
          <w:tcPr>
            <w:tcW w:w="100" w:type="dxa"/>
            <w:vAlign w:val="bottom"/>
            <w:shd w:val="clear" w:color="auto" w:fill="CFF0FC"/>
          </w:tcPr>
          <w:p>
            <w:pPr>
              <w:spacing w:after="0"/>
              <w:rPr>
                <w:sz w:val="20"/>
                <w:szCs w:val="20"/>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Warrants</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9,703,704</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20,602,244</w:t>
            </w:r>
          </w:p>
        </w:tc>
        <w:tc>
          <w:tcPr>
            <w:tcW w:w="100" w:type="dxa"/>
            <w:vAlign w:val="bottom"/>
          </w:tcPr>
          <w:p>
            <w:pPr>
              <w:spacing w:after="0"/>
              <w:rPr>
                <w:sz w:val="20"/>
                <w:szCs w:val="20"/>
                <w:color w:val="auto"/>
              </w:rPr>
            </w:pPr>
          </w:p>
        </w:tc>
      </w:tr>
      <w:tr>
        <w:trPr>
          <w:trHeight w:val="277"/>
        </w:trPr>
        <w:tc>
          <w:tcPr>
            <w:tcW w:w="3260" w:type="dxa"/>
            <w:vAlign w:val="bottom"/>
            <w:tcBorders>
              <w:bottom w:val="single" w:sz="8" w:color="CFF0FC"/>
            </w:tcBorders>
            <w:shd w:val="clear" w:color="auto" w:fill="CFF0FC"/>
          </w:tcPr>
          <w:p>
            <w:pPr>
              <w:spacing w:after="0"/>
              <w:rPr>
                <w:sz w:val="24"/>
                <w:szCs w:val="24"/>
                <w:color w:val="auto"/>
              </w:rPr>
            </w:pPr>
          </w:p>
        </w:tc>
        <w:tc>
          <w:tcPr>
            <w:tcW w:w="2780" w:type="dxa"/>
            <w:vAlign w:val="bottom"/>
            <w:tcBorders>
              <w:bottom w:val="single" w:sz="8" w:color="CFF0FC"/>
            </w:tcBorders>
            <w:shd w:val="clear" w:color="auto" w:fill="CFF0FC"/>
          </w:tcPr>
          <w:p>
            <w:pPr>
              <w:spacing w:after="0"/>
              <w:rPr>
                <w:sz w:val="24"/>
                <w:szCs w:val="24"/>
                <w:color w:val="auto"/>
              </w:rPr>
            </w:pPr>
          </w:p>
        </w:tc>
        <w:tc>
          <w:tcPr>
            <w:tcW w:w="2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14,153,987</w:t>
            </w:r>
          </w:p>
        </w:tc>
        <w:tc>
          <w:tcPr>
            <w:tcW w:w="3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23,531,716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51"/>
        </w:trPr>
        <w:tc>
          <w:tcPr>
            <w:tcW w:w="3260" w:type="dxa"/>
            <w:vAlign w:val="bottom"/>
          </w:tcPr>
          <w:p>
            <w:pPr>
              <w:spacing w:after="0"/>
              <w:rPr>
                <w:sz w:val="24"/>
                <w:szCs w:val="24"/>
                <w:color w:val="auto"/>
              </w:rPr>
            </w:pPr>
          </w:p>
        </w:tc>
        <w:tc>
          <w:tcPr>
            <w:tcW w:w="6340" w:type="dxa"/>
            <w:vAlign w:val="bottom"/>
            <w:gridSpan w:val="4"/>
          </w:tcPr>
          <w:p>
            <w:pPr>
              <w:ind w:left="2200"/>
              <w:spacing w:after="0"/>
              <w:rPr>
                <w:sz w:val="20"/>
                <w:szCs w:val="20"/>
                <w:color w:val="auto"/>
              </w:rPr>
            </w:pPr>
            <w:r>
              <w:rPr>
                <w:rFonts w:ascii="Arial" w:cs="Arial" w:eastAsia="Arial" w:hAnsi="Arial"/>
                <w:sz w:val="18"/>
                <w:szCs w:val="18"/>
                <w:color w:val="auto"/>
              </w:rPr>
              <w:t>F-22</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-659130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-641985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6" w:name="page127"/>
    <w:bookmarkEnd w:id="126"/>
    <w:p>
      <w:pPr>
        <w:ind w:left="520" w:hanging="512"/>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9"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8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76"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8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49"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commitments under lease and licensing agreements (Note 5 and Note 12).</w:t>
      </w:r>
    </w:p>
    <w:p>
      <w:pPr>
        <w:spacing w:after="0" w:line="113"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March 2013, the Company adopted and became a participating employer of a multiple employer defined contribution retirement plan that complies with Section 401(k) of the Code. All eligible employees of the Company are able to immediately participate in the plan (with an entry date of the first day of any month), with no minimum service requirement. The 401(k) plan provides that the Company make non-discretionary matching contributions of 50% of the first 6% of elective contributions. Participants are immediately vested in their contributions, as well as any earnings thereon. Vesting in the employer match contribution portion of their accounts, as well as any earnings thereon, is based on years of credited service, vesting over a four-year period, with 25% vesting per completed year. The Company’s expense under the 401(k) plan, representing its employer matching contributions and additional contributions in accordance with regulatory compliance requirements, totaled $90 and $96 for the years ended December 31, 2022 and 2021,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ind w:left="10100"/>
        <w:spacing w:after="0"/>
        <w:rPr>
          <w:sz w:val="20"/>
          <w:szCs w:val="20"/>
          <w:color w:val="auto"/>
        </w:rPr>
      </w:pPr>
      <w:r>
        <w:rPr>
          <w:rFonts w:ascii="Arial" w:cs="Arial" w:eastAsia="Arial" w:hAnsi="Arial"/>
          <w:sz w:val="19"/>
          <w:szCs w:val="19"/>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635</wp:posOffset>
            </wp:positionV>
            <wp:extent cx="1388745" cy="668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13887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November 4,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Dear David,</w:t>
      </w:r>
    </w:p>
    <w:p>
      <w:pPr>
        <w:spacing w:after="0" w:line="17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On behalf of Trevi Therapeutics, Inc. (the “Company” or “Trevi”), I am pleased to offer you employment with the Company on the following terms.</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b w:val="1"/>
          <w:bCs w:val="1"/>
          <w:color w:val="auto"/>
        </w:rPr>
        <w:t>Employment</w:t>
      </w:r>
      <w:r>
        <w:rPr>
          <w:rFonts w:ascii="Arial" w:cs="Arial" w:eastAsia="Arial" w:hAnsi="Arial"/>
          <w:sz w:val="19"/>
          <w:szCs w:val="19"/>
          <w:color w:val="auto"/>
        </w:rPr>
        <w:t>. You will be hired for the position of Chief Medical Officer beginning on November 14, 2022 (the “</w:t>
      </w:r>
      <w:r>
        <w:rPr>
          <w:rFonts w:ascii="Arial" w:cs="Arial" w:eastAsia="Arial" w:hAnsi="Arial"/>
          <w:sz w:val="19"/>
          <w:szCs w:val="19"/>
          <w:u w:val="single" w:color="auto"/>
          <w:color w:val="auto"/>
        </w:rPr>
        <w:t>Start Date</w:t>
      </w:r>
      <w:r>
        <w:rPr>
          <w:rFonts w:ascii="Arial" w:cs="Arial" w:eastAsia="Arial" w:hAnsi="Arial"/>
          <w:sz w:val="19"/>
          <w:szCs w:val="19"/>
          <w:color w:val="auto"/>
        </w:rPr>
        <w:t>”), reporting to</w:t>
      </w:r>
      <w:r>
        <w:rPr>
          <w:rFonts w:ascii="Arial" w:cs="Arial" w:eastAsia="Arial" w:hAnsi="Arial"/>
          <w:sz w:val="19"/>
          <w:szCs w:val="19"/>
          <w:b w:val="1"/>
          <w:bCs w:val="1"/>
          <w:color w:val="auto"/>
        </w:rPr>
        <w:t xml:space="preserve"> </w:t>
      </w:r>
      <w:r>
        <w:rPr>
          <w:rFonts w:ascii="Arial" w:cs="Arial" w:eastAsia="Arial" w:hAnsi="Arial"/>
          <w:sz w:val="19"/>
          <w:szCs w:val="19"/>
          <w:color w:val="auto"/>
        </w:rPr>
        <w:t>Jennifer Good, CEO. You will be responsible for performing the duties and responsibilities as are customarily associated with the position or as the Company may otherwise assign to you. Your primary place of employment will be home-based, with time spent in the New Haven, CT office or traveling for the Company. This time may vary based on the needs of the Company, but is generally expected to be about 20% of your time.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CEO. In the course of your employment with the Company, you will be subject to, and required to comply with, all Company policies and procedures and all applicable laws and regulations.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 During your employment, your base annual salary will be $470,000, payable in accordance with the regular payroll practices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and subject to applicable deductions and withholdings. Your salary may be adjusted from time to time in accordance with normal business practice and in the sole discretion of the Company.</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Annual Incentive Bonus</w:t>
      </w:r>
      <w:r>
        <w:rPr>
          <w:rFonts w:ascii="Arial" w:cs="Arial" w:eastAsia="Arial" w:hAnsi="Arial"/>
          <w:sz w:val="20"/>
          <w:szCs w:val="20"/>
          <w:color w:val="auto"/>
        </w:rPr>
        <w:t>. Following the end of each fiscal year and subject to the approval by the Company’s Board of Directors in its sole</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 you will be eligible to earn an incentive bonus, based on your performance and the Company’s performance, each during the applicable fiscal year, and subject to your continued employment in good standing on the date of payment of such incentive bonus. Your target annual incentive bonus opportunity shall be up to 40% of your base salary. Because of your start date, in accordance with the Company’s policy, the first year you will be eligible for a bonus is 2023.</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Benefits</w:t>
      </w:r>
      <w:r>
        <w:rPr>
          <w:rFonts w:ascii="Arial" w:cs="Arial" w:eastAsia="Arial" w:hAnsi="Arial"/>
          <w:sz w:val="20"/>
          <w:szCs w:val="20"/>
          <w:color w:val="auto"/>
        </w:rPr>
        <w:t>. You may participate in the benefit programs that the Company establishes and makes available to its employees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of those programs. The Company’s benefits programs are subject to change at any time in the Company’s sole discretion. One of these benefit programs includes the Change in Control Policy adopted by the Board of Directors for Corporate Officers.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Vacation</w:t>
      </w:r>
      <w:r>
        <w:rPr>
          <w:rFonts w:ascii="Arial" w:cs="Arial" w:eastAsia="Arial" w:hAnsi="Arial"/>
          <w:sz w:val="20"/>
          <w:szCs w:val="20"/>
          <w:color w:val="auto"/>
        </w:rPr>
        <w:t>. You will be eligible for annual paid vacation of 20 days. Your accrual and use of vacation time will be pursuant and subject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vacation or time off policy the Company may establish or modify from time to time. The Company’s vacation policy is subject to change at any time in the Company’s sole discretion.</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8" w:name="page129"/>
    <w:bookmarkEnd w:id="128"/>
    <w:p>
      <w:pPr>
        <w:jc w:val="both"/>
        <w:ind w:right="20"/>
        <w:spacing w:after="0" w:line="268" w:lineRule="auto"/>
        <w:rPr>
          <w:sz w:val="20"/>
          <w:szCs w:val="20"/>
          <w:color w:val="auto"/>
        </w:rPr>
      </w:pPr>
      <w:r>
        <w:rPr>
          <w:rFonts w:ascii="Arial" w:cs="Arial" w:eastAsia="Arial" w:hAnsi="Arial"/>
          <w:sz w:val="20"/>
          <w:szCs w:val="20"/>
          <w:b w:val="1"/>
          <w:bCs w:val="1"/>
          <w:color w:val="auto"/>
        </w:rPr>
        <w:t>Sick Time and Holiday Pay</w:t>
      </w:r>
      <w:r>
        <w:rPr>
          <w:rFonts w:ascii="Arial" w:cs="Arial" w:eastAsia="Arial" w:hAnsi="Arial"/>
          <w:sz w:val="20"/>
          <w:szCs w:val="20"/>
          <w:color w:val="auto"/>
        </w:rPr>
        <w:t>: As an eligible, full-time employee, you will also accrue 1.54 hours per pay period, or five (5) days per year, of</w:t>
      </w:r>
      <w:r>
        <w:rPr>
          <w:rFonts w:ascii="Arial" w:cs="Arial" w:eastAsia="Arial" w:hAnsi="Arial"/>
          <w:sz w:val="20"/>
          <w:szCs w:val="20"/>
          <w:b w:val="1"/>
          <w:bCs w:val="1"/>
          <w:color w:val="auto"/>
        </w:rPr>
        <w:t xml:space="preserve"> </w:t>
      </w:r>
      <w:r>
        <w:rPr>
          <w:rFonts w:ascii="Arial" w:cs="Arial" w:eastAsia="Arial" w:hAnsi="Arial"/>
          <w:sz w:val="20"/>
          <w:szCs w:val="20"/>
          <w:color w:val="auto"/>
        </w:rPr>
        <w:t>sick days. In addition, the Company honors at least 11 holidays per year.</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Equity Grants</w:t>
      </w:r>
      <w:r>
        <w:rPr>
          <w:rFonts w:ascii="Arial" w:cs="Arial" w:eastAsia="Arial" w:hAnsi="Arial"/>
          <w:sz w:val="19"/>
          <w:szCs w:val="19"/>
          <w:color w:val="auto"/>
        </w:rPr>
        <w:t>. Upon your Start Date, the Company shall grant to you a stock option (the “</w:t>
      </w:r>
      <w:r>
        <w:rPr>
          <w:rFonts w:ascii="Arial" w:cs="Arial" w:eastAsia="Arial" w:hAnsi="Arial"/>
          <w:sz w:val="19"/>
          <w:szCs w:val="19"/>
          <w:u w:val="single" w:color="auto"/>
          <w:color w:val="auto"/>
        </w:rPr>
        <w:t>Option</w:t>
      </w:r>
      <w:r>
        <w:rPr>
          <w:rFonts w:ascii="Arial" w:cs="Arial" w:eastAsia="Arial" w:hAnsi="Arial"/>
          <w:sz w:val="19"/>
          <w:szCs w:val="19"/>
          <w:color w:val="auto"/>
        </w:rPr>
        <w:t>”) under the Company’s 2019 Equity</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Plan, as it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to purchase 300,000 shares (subject to any adjustments for any stock splits, stock dividends, reverse stock splits or recapitalizations that are effected at any time during the period commencing after the date of this letter and ending on the grant date of the Option, the “</w:t>
      </w:r>
      <w:r>
        <w:rPr>
          <w:rFonts w:ascii="Arial" w:cs="Arial" w:eastAsia="Arial" w:hAnsi="Arial"/>
          <w:sz w:val="19"/>
          <w:szCs w:val="19"/>
          <w:u w:val="single" w:color="auto"/>
          <w:color w:val="auto"/>
        </w:rPr>
        <w:t>Option Shares”</w:t>
      </w:r>
      <w:r>
        <w:rPr>
          <w:rFonts w:ascii="Arial" w:cs="Arial" w:eastAsia="Arial" w:hAnsi="Arial"/>
          <w:sz w:val="19"/>
          <w:szCs w:val="19"/>
          <w:color w:val="auto"/>
        </w:rPr>
        <w:t>) of the Company’s common stock, $0.001 par value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at an exercise price equal to fair market value of the Common Stock, as determined by the Board of Directors of the Company, on the date of the grant of the Option (the “</w:t>
      </w:r>
      <w:r>
        <w:rPr>
          <w:rFonts w:ascii="Arial" w:cs="Arial" w:eastAsia="Arial" w:hAnsi="Arial"/>
          <w:sz w:val="19"/>
          <w:szCs w:val="19"/>
          <w:u w:val="single" w:color="auto"/>
          <w:color w:val="auto"/>
        </w:rPr>
        <w:t>Grant Date</w:t>
      </w:r>
      <w:r>
        <w:rPr>
          <w:rFonts w:ascii="Arial" w:cs="Arial" w:eastAsia="Arial" w:hAnsi="Arial"/>
          <w:sz w:val="19"/>
          <w:szCs w:val="19"/>
          <w:color w:val="auto"/>
        </w:rPr>
        <w:t>”).</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Promptly after the Grant Date, the Company and you shall execute and deliver to each other the Company’s then standard form of stock option agreement, evidencing the Option and the terms thereof. The Option shall be subject to, and governed by, the terms, provisions, and restrictions on transfer of the Plan, your stock option agreement, any other agreement to which you shall become, or are required to become, a party pursuant to the terms of the Plan.</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may be awarded additional equity grants from time to time in accordance with normal business practice and in the sole discretion of the Company’s CEO or Board of Directors. The terms of any future equity grant will be consistent with any plan under which they are granted and the terms of the applicable agreement under which the award(s) are granted.</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Invention, Non-Disclosure, Non-Competition and Non-Solicitation Obligations</w:t>
      </w:r>
      <w:r>
        <w:rPr>
          <w:rFonts w:ascii="Arial" w:cs="Arial" w:eastAsia="Arial" w:hAnsi="Arial"/>
          <w:sz w:val="20"/>
          <w:szCs w:val="20"/>
          <w:color w:val="auto"/>
        </w:rPr>
        <w:t>. At or prior to the Start Date, you shall execute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for the benefit of the Company the Invention and Non-Disclosure Agreement and, Non-Competition and Non-Solicitation Agreement in the forms attached to this letter.</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At-Will Employment</w:t>
      </w:r>
      <w:r>
        <w:rPr>
          <w:rFonts w:ascii="Arial" w:cs="Arial" w:eastAsia="Arial" w:hAnsi="Arial"/>
          <w:sz w:val="20"/>
          <w:szCs w:val="20"/>
          <w:color w:val="auto"/>
        </w:rPr>
        <w:t>. This letter shall not be construed as an agreement, either express or implied, to employ you for any stated term,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in no way alter the Company’s policy of employment at-will. Similarly, nothing in this letter shall be construed as an agreement, either express or implied, to pay you any compensation or grant you any benefit beyond the end of your employment with the Company, except as otherwise explicitly set forth in this letter. This letter supersedes all prior understandings, whether written or oral, with respect to the subject matter of this letter.</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 During your employment with the Company and thereafter, you shall cooperate with the Company and be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to the Company with respect to continuing and/or future matters relating to your employment period with the Company and/or its affiliates, whether such matters are business-related, legal, regulatory or otherwise (including, without limitation, your appearing at the Company’s request to give testimony without requiring service of a subpoena or other legal process, volunteering to the Company all pertinent information and turning over to the Company all relevant documents which are or may come into your possession). Following your employment term with the Company, the Company shall reimburse you for all reasonable out of pocket travel expenses incurred by you in rendering such services that are approved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jc w:val="both"/>
        <w:spacing w:after="0" w:line="253" w:lineRule="auto"/>
        <w:rPr>
          <w:sz w:val="20"/>
          <w:szCs w:val="20"/>
          <w:color w:val="auto"/>
        </w:rPr>
      </w:pPr>
      <w:r>
        <w:rPr>
          <w:rFonts w:ascii="Arial" w:cs="Arial" w:eastAsia="Arial" w:hAnsi="Arial"/>
          <w:sz w:val="20"/>
          <w:szCs w:val="20"/>
          <w:b w:val="1"/>
          <w:bCs w:val="1"/>
          <w:color w:val="auto"/>
        </w:rPr>
        <w:t>Representations</w:t>
      </w:r>
      <w:r>
        <w:rPr>
          <w:rFonts w:ascii="Arial" w:cs="Arial" w:eastAsia="Arial" w:hAnsi="Arial"/>
          <w:sz w:val="20"/>
          <w:szCs w:val="20"/>
          <w:color w:val="auto"/>
        </w:rPr>
        <w:t>. You hereby represent and warrant to the Company that the execution, delivery and performance of this offer letter by you</w:t>
      </w:r>
      <w:r>
        <w:rPr>
          <w:rFonts w:ascii="Arial" w:cs="Arial" w:eastAsia="Arial" w:hAnsi="Arial"/>
          <w:sz w:val="20"/>
          <w:szCs w:val="20"/>
          <w:b w:val="1"/>
          <w:bCs w:val="1"/>
          <w:color w:val="auto"/>
        </w:rPr>
        <w:t xml:space="preserve"> </w:t>
      </w:r>
      <w:r>
        <w:rPr>
          <w:rFonts w:ascii="Arial" w:cs="Arial" w:eastAsia="Arial" w:hAnsi="Arial"/>
          <w:sz w:val="20"/>
          <w:szCs w:val="20"/>
          <w:color w:val="auto"/>
        </w:rPr>
        <w:t>does not and shall not conflict with, breach, violate or cause a default under any contract, agreement, instrument, order, judgment or decree to which you are a party or by which you are bound.</w:t>
      </w:r>
    </w:p>
    <w:p>
      <w:pPr>
        <w:spacing w:after="0" w:line="13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letter constitutes the entire agreement and understanding between you and the Company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and terminates and supersedes any and all prior agreements, understandings and representations, whether written or oral, by or between you and the Company which may have related to the subject matter hereof in any way, any of which are hereby terminated and cancelled and of no further force or effect without the payment of any consideration by or to either you or the Company.</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Amendment</w:t>
      </w:r>
      <w:r>
        <w:rPr>
          <w:rFonts w:ascii="Arial" w:cs="Arial" w:eastAsia="Arial" w:hAnsi="Arial"/>
          <w:sz w:val="20"/>
          <w:szCs w:val="20"/>
          <w:color w:val="auto"/>
        </w:rPr>
        <w:t>. The provisions of this letter may be amended or waived only with the prior written consent of the Company and you, and no</w:t>
      </w:r>
      <w:r>
        <w:rPr>
          <w:rFonts w:ascii="Arial" w:cs="Arial" w:eastAsia="Arial" w:hAnsi="Arial"/>
          <w:sz w:val="20"/>
          <w:szCs w:val="20"/>
          <w:b w:val="1"/>
          <w:bCs w:val="1"/>
          <w:color w:val="auto"/>
        </w:rPr>
        <w:t xml:space="preserve"> </w:t>
      </w:r>
      <w:r>
        <w:rPr>
          <w:rFonts w:ascii="Arial" w:cs="Arial" w:eastAsia="Arial" w:hAnsi="Arial"/>
          <w:sz w:val="20"/>
          <w:szCs w:val="20"/>
          <w:color w:val="auto"/>
        </w:rPr>
        <w:t>course of conduct or course of dealing or failure or delay by you or the Company in enforcing or exercising any of the provisions of this letter shall affect the validity, binding effect or enforceability of the letter or be deemed to be an implied waiver of any similar or dissimilar requirement, provision or condition of this letter at the same or any prior or subsequent time.</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David, we look forward to having you join the Trevi leadership team. We have lots of exciting development work ahead of us, which hopefully ends in an FDA filing. Please indicate your acceptance of this letter of employment by signing a copy of this offer letter and returning it to us by Thursday November 10, 2022. I’m happy to discuss any of the terms of our offer.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 Jennifer L. Good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Jennifer L. Good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CEO</w:t>
      </w:r>
    </w:p>
    <w:p>
      <w:pPr>
        <w:spacing w:after="0" w:line="21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foregoing correctly sets forth the terms of my at-will employment with Trevi. I am not relying on any representations other than those set forth above.</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/s/David Clark</w:t>
            </w:r>
          </w:p>
        </w:tc>
        <w:tc>
          <w:tcPr>
            <w:tcW w:w="1120" w:type="dxa"/>
            <w:vAlign w:val="bottom"/>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11/5/2022</w:t>
            </w:r>
          </w:p>
        </w:tc>
        <w:tc>
          <w:tcPr>
            <w:tcW w:w="6080" w:type="dxa"/>
            <w:vAlign w:val="bottom"/>
          </w:tcPr>
          <w:p>
            <w:pPr>
              <w:spacing w:after="0"/>
              <w:rPr>
                <w:sz w:val="19"/>
                <w:szCs w:val="19"/>
                <w:color w:val="auto"/>
              </w:rPr>
            </w:pPr>
          </w:p>
        </w:tc>
      </w:tr>
      <w:tr>
        <w:trPr>
          <w:trHeight w:val="430"/>
        </w:trPr>
        <w:tc>
          <w:tcPr>
            <w:tcW w:w="3240" w:type="dxa"/>
            <w:vAlign w:val="bottom"/>
          </w:tcPr>
          <w:p>
            <w:pPr>
              <w:spacing w:after="0"/>
              <w:rPr>
                <w:sz w:val="20"/>
                <w:szCs w:val="20"/>
                <w:color w:val="auto"/>
              </w:rPr>
            </w:pPr>
            <w:r>
              <w:rPr>
                <w:rFonts w:ascii="Arial" w:cs="Arial" w:eastAsia="Arial" w:hAnsi="Arial"/>
                <w:sz w:val="20"/>
                <w:szCs w:val="20"/>
                <w:color w:val="auto"/>
              </w:rPr>
              <w:t>NAME</w:t>
            </w:r>
          </w:p>
        </w:tc>
        <w:tc>
          <w:tcPr>
            <w:tcW w:w="11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20"/>
                <w:szCs w:val="20"/>
                <w:color w:val="auto"/>
              </w:rPr>
              <w:t>Date</w:t>
            </w:r>
          </w:p>
        </w:tc>
      </w:tr>
      <w:tr>
        <w:trPr>
          <w:trHeight w:val="178"/>
        </w:trPr>
        <w:tc>
          <w:tcPr>
            <w:tcW w:w="32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4428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7136130" cy="7442835"/>
                    </a:xfrm>
                    <a:prstGeom prst="rect">
                      <a:avLst/>
                    </a:prstGeom>
                    <a:noFill/>
                  </pic:spPr>
                </pic:pic>
              </a:graphicData>
            </a:graphic>
          </wp:anchor>
        </w:drawing>
        <w:t>Exhibit 10.16</w:t>
      </w:r>
    </w:p>
    <w:p>
      <w:pPr>
        <w:jc w:val="center"/>
        <w:ind w:right="60"/>
        <w:spacing w:after="0"/>
        <w:rPr>
          <w:sz w:val="20"/>
          <w:szCs w:val="20"/>
          <w:color w:val="auto"/>
        </w:rPr>
      </w:pPr>
      <w:r>
        <w:rPr>
          <w:rFonts w:ascii="Arial" w:cs="Arial" w:eastAsia="Arial" w:hAnsi="Arial"/>
          <w:sz w:val="29"/>
          <w:szCs w:val="29"/>
          <w:b w:val="1"/>
          <w:bCs w:val="1"/>
          <w:color w:val="auto"/>
        </w:rPr>
        <w:t>Second Amendment to Lease</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THIS SECOND AMENDMENT TO LEASE </w:t>
      </w:r>
      <w:r>
        <w:rPr>
          <w:rFonts w:ascii="Arial" w:cs="Arial" w:eastAsia="Arial" w:hAnsi="Arial"/>
          <w:sz w:val="22"/>
          <w:szCs w:val="22"/>
          <w:color w:val="auto"/>
        </w:rPr>
        <w:t>(“</w:t>
      </w:r>
      <w:r>
        <w:rPr>
          <w:rFonts w:ascii="Arial" w:cs="Arial" w:eastAsia="Arial" w:hAnsi="Arial"/>
          <w:sz w:val="22"/>
          <w:szCs w:val="22"/>
          <w:u w:val="single" w:color="auto"/>
          <w:color w:val="auto"/>
        </w:rPr>
        <w:t>Second Amendment</w:t>
      </w:r>
      <w:r>
        <w:rPr>
          <w:rFonts w:ascii="Arial" w:cs="Arial" w:eastAsia="Arial" w:hAnsi="Arial"/>
          <w:sz w:val="22"/>
          <w:szCs w:val="22"/>
          <w:color w:val="auto"/>
        </w:rPr>
        <w:t>”) dated November 21, 2022,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by and between 195 Church Street Associates, LLC, a Connecticut limited liability corporation ("</w:t>
      </w:r>
      <w:r>
        <w:rPr>
          <w:rFonts w:ascii="Arial" w:cs="Arial" w:eastAsia="Arial" w:hAnsi="Arial"/>
          <w:sz w:val="22"/>
          <w:szCs w:val="22"/>
          <w:u w:val="single" w:color="auto"/>
          <w:color w:val="auto"/>
        </w:rPr>
        <w:t>Landlord</w:t>
      </w:r>
      <w:r>
        <w:rPr>
          <w:rFonts w:ascii="Arial" w:cs="Arial" w:eastAsia="Arial" w:hAnsi="Arial"/>
          <w:sz w:val="22"/>
          <w:szCs w:val="22"/>
          <w:color w:val="auto"/>
        </w:rPr>
        <w:t>") and Trevi Therapeutics, Inc.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47" w:lineRule="exact"/>
        <w:rPr>
          <w:sz w:val="20"/>
          <w:szCs w:val="20"/>
          <w:color w:val="auto"/>
        </w:rPr>
      </w:pPr>
    </w:p>
    <w:p>
      <w:pPr>
        <w:jc w:val="both"/>
        <w:spacing w:after="0" w:line="20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entered into a certain Indenture of Lease with Tenant dated February 6</w:t>
      </w:r>
      <w:r>
        <w:rPr>
          <w:rFonts w:ascii="Arial" w:cs="Arial" w:eastAsia="Arial" w:hAnsi="Arial"/>
          <w:sz w:val="28"/>
          <w:szCs w:val="28"/>
          <w:color w:val="auto"/>
          <w:vertAlign w:val="superscript"/>
        </w:rPr>
        <w:t>th</w:t>
      </w:r>
      <w:r>
        <w:rPr>
          <w:rFonts w:ascii="Arial" w:cs="Arial" w:eastAsia="Arial" w:hAnsi="Arial"/>
          <w:sz w:val="22"/>
          <w:szCs w:val="22"/>
          <w:color w:val="auto"/>
        </w:rPr>
        <w:t>, 2013 (the “</w:t>
      </w:r>
      <w:r>
        <w:rPr>
          <w:rFonts w:ascii="Arial" w:cs="Arial" w:eastAsia="Arial" w:hAnsi="Arial"/>
          <w:sz w:val="22"/>
          <w:szCs w:val="22"/>
          <w:u w:val="single" w:color="auto"/>
          <w:color w:val="auto"/>
        </w:rPr>
        <w:t>Original</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Lease</w:t>
      </w:r>
      <w:r>
        <w:rPr>
          <w:rFonts w:ascii="Arial" w:cs="Arial" w:eastAsia="Arial" w:hAnsi="Arial"/>
          <w:sz w:val="22"/>
          <w:szCs w:val="22"/>
          <w:color w:val="auto"/>
        </w:rPr>
        <w:t>”) and with respect to certain office space located on the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of the Building comprised of 3,387 rentable square feet (the “</w:t>
      </w:r>
      <w:r>
        <w:rPr>
          <w:rFonts w:ascii="Arial" w:cs="Arial" w:eastAsia="Arial" w:hAnsi="Arial"/>
          <w:sz w:val="22"/>
          <w:szCs w:val="22"/>
          <w:u w:val="single" w:color="auto"/>
          <w:color w:val="auto"/>
        </w:rPr>
        <w:t>Original Premises</w:t>
      </w:r>
      <w:r>
        <w:rPr>
          <w:rFonts w:ascii="Arial" w:cs="Arial" w:eastAsia="Arial" w:hAnsi="Arial"/>
          <w:sz w:val="22"/>
          <w:szCs w:val="22"/>
          <w:color w:val="auto"/>
        </w:rPr>
        <w:t>”).</w:t>
      </w:r>
    </w:p>
    <w:p>
      <w:pPr>
        <w:spacing w:after="0" w:line="22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entered into a certain First Amendment to Lease with Tenant dated December 5</w:t>
      </w:r>
      <w:r>
        <w:rPr>
          <w:rFonts w:ascii="Arial" w:cs="Arial" w:eastAsia="Arial" w:hAnsi="Arial"/>
          <w:sz w:val="28"/>
          <w:szCs w:val="28"/>
          <w:color w:val="auto"/>
          <w:vertAlign w:val="superscript"/>
        </w:rPr>
        <w:t>th</w:t>
      </w:r>
      <w:r>
        <w:rPr>
          <w:rFonts w:ascii="Arial" w:cs="Arial" w:eastAsia="Arial" w:hAnsi="Arial"/>
          <w:sz w:val="22"/>
          <w:szCs w:val="22"/>
          <w:color w:val="auto"/>
        </w:rPr>
        <w:t>, 2017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First Amendment</w:t>
      </w:r>
      <w:r>
        <w:rPr>
          <w:rFonts w:ascii="Arial" w:cs="Arial" w:eastAsia="Arial" w:hAnsi="Arial"/>
          <w:sz w:val="22"/>
          <w:szCs w:val="22"/>
          <w:color w:val="auto"/>
        </w:rPr>
        <w:t>”) and with respect to adding the Expansion Space to the Original Premises for a total Demised Premises of 5,563 rentable square feet (the “</w:t>
      </w:r>
      <w:r>
        <w:rPr>
          <w:rFonts w:ascii="Arial" w:cs="Arial" w:eastAsia="Arial" w:hAnsi="Arial"/>
          <w:sz w:val="22"/>
          <w:szCs w:val="22"/>
          <w:u w:val="single" w:color="auto"/>
          <w:color w:val="auto"/>
        </w:rPr>
        <w:t>14th Floor Premises</w:t>
      </w:r>
      <w:r>
        <w:rPr>
          <w:rFonts w:ascii="Arial" w:cs="Arial" w:eastAsia="Arial" w:hAnsi="Arial"/>
          <w:sz w:val="22"/>
          <w:szCs w:val="22"/>
          <w:color w:val="auto"/>
        </w:rPr>
        <w:t>”) and extending the Term to February 28, 2023 (the “</w:t>
      </w:r>
      <w:r>
        <w:rPr>
          <w:rFonts w:ascii="Arial" w:cs="Arial" w:eastAsia="Arial" w:hAnsi="Arial"/>
          <w:sz w:val="22"/>
          <w:szCs w:val="22"/>
          <w:u w:val="single" w:color="auto"/>
          <w:color w:val="auto"/>
        </w:rPr>
        <w:t>Current Termination Date</w:t>
      </w:r>
      <w:r>
        <w:rPr>
          <w:rFonts w:ascii="Arial" w:cs="Arial" w:eastAsia="Arial" w:hAnsi="Arial"/>
          <w:sz w:val="22"/>
          <w:szCs w:val="22"/>
          <w:color w:val="auto"/>
        </w:rPr>
        <w:t>”).</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and Tenant wish to amend the Lease with regard to the size and location of the Demised</w:t>
      </w:r>
      <w:r>
        <w:rPr>
          <w:rFonts w:ascii="Arial" w:cs="Arial" w:eastAsia="Arial" w:hAnsi="Arial"/>
          <w:sz w:val="21"/>
          <w:szCs w:val="21"/>
          <w:b w:val="1"/>
          <w:bCs w:val="1"/>
          <w:color w:val="auto"/>
        </w:rPr>
        <w:t xml:space="preserve"> </w:t>
      </w:r>
      <w:r>
        <w:rPr>
          <w:rFonts w:ascii="Arial" w:cs="Arial" w:eastAsia="Arial" w:hAnsi="Arial"/>
          <w:sz w:val="21"/>
          <w:szCs w:val="21"/>
          <w:color w:val="auto"/>
        </w:rPr>
        <w:t>Premises, the Term of the Lease, the fit up amount, the Fixed Rent, and the percentage of total rentable space.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terms and conditions of the Lease and the mutual covenants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therein and herein, each of the parties hereto agrees as follows:</w:t>
      </w:r>
    </w:p>
    <w:p>
      <w:pPr>
        <w:spacing w:after="0" w:line="195" w:lineRule="exact"/>
        <w:rPr>
          <w:sz w:val="20"/>
          <w:szCs w:val="20"/>
          <w:color w:val="auto"/>
        </w:rPr>
      </w:pPr>
    </w:p>
    <w:p>
      <w:pPr>
        <w:jc w:val="both"/>
        <w:ind w:left="660" w:hanging="334"/>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All capitalized terms not otherwise defined herein shall have the meaning ascribed to them in the Original Lease. The Original Lease, as amended by the First Amendment and this Second Amendment, is hereinafter referred to as the “</w:t>
      </w:r>
      <w:r>
        <w:rPr>
          <w:rFonts w:ascii="Arial" w:cs="Arial" w:eastAsia="Arial" w:hAnsi="Arial"/>
          <w:sz w:val="22"/>
          <w:szCs w:val="22"/>
          <w:u w:val="single" w:color="auto"/>
          <w:color w:val="auto"/>
        </w:rPr>
        <w:t>Lease</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660" w:hanging="334"/>
        <w:spacing w:after="0" w:line="277" w:lineRule="auto"/>
        <w:tabs>
          <w:tab w:leader="none" w:pos="6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Term is hereby extended for a period of five (5) years from the Current Termination Date, unless sooner terminated or otherwise extended in accordance with the terms of the Lease, to February 28, 2028 (the “</w:t>
      </w:r>
      <w:r>
        <w:rPr>
          <w:rFonts w:ascii="Arial" w:cs="Arial" w:eastAsia="Arial" w:hAnsi="Arial"/>
          <w:sz w:val="19"/>
          <w:szCs w:val="19"/>
          <w:u w:val="single" w:color="auto"/>
          <w:color w:val="auto"/>
        </w:rPr>
        <w:t>Extended Term</w:t>
      </w:r>
      <w:r>
        <w:rPr>
          <w:rFonts w:ascii="Arial" w:cs="Arial" w:eastAsia="Arial" w:hAnsi="Arial"/>
          <w:sz w:val="19"/>
          <w:szCs w:val="19"/>
          <w:color w:val="auto"/>
        </w:rPr>
        <w:t>”). Tenant’s obligation to pay Fixed Rent for the Expansion Space (as hereinafter defined) shall commence on the later to occur of (i) completion of all of the Expansion Conditions (as hereinafter defined) or (ii) March 1, 2023 (the “</w:t>
      </w:r>
      <w:r>
        <w:rPr>
          <w:rFonts w:ascii="Arial" w:cs="Arial" w:eastAsia="Arial" w:hAnsi="Arial"/>
          <w:sz w:val="19"/>
          <w:szCs w:val="19"/>
          <w:u w:val="single" w:color="auto"/>
          <w:color w:val="auto"/>
        </w:rPr>
        <w:t>Expansion Space Commencement Date</w:t>
      </w:r>
      <w:r>
        <w:rPr>
          <w:rFonts w:ascii="Arial" w:cs="Arial" w:eastAsia="Arial" w:hAnsi="Arial"/>
          <w:sz w:val="19"/>
          <w:szCs w:val="19"/>
          <w:color w:val="auto"/>
        </w:rPr>
        <w:t>”). Except as otherwise provided in this Second Amendment, the terms and conditions of the Extended Term shall be the same terms and conditions as are set forth in (and are last applicable under) the Original Lease.</w:t>
      </w:r>
    </w:p>
    <w:p>
      <w:pPr>
        <w:spacing w:after="0" w:line="178" w:lineRule="exact"/>
        <w:rPr>
          <w:rFonts w:ascii="Arial" w:cs="Arial" w:eastAsia="Arial" w:hAnsi="Arial"/>
          <w:sz w:val="19"/>
          <w:szCs w:val="19"/>
          <w:color w:val="auto"/>
        </w:rPr>
      </w:pPr>
    </w:p>
    <w:p>
      <w:pPr>
        <w:jc w:val="both"/>
        <w:ind w:left="660"/>
        <w:spacing w:after="0" w:line="246" w:lineRule="auto"/>
        <w:rPr>
          <w:rFonts w:ascii="Arial" w:cs="Arial" w:eastAsia="Arial" w:hAnsi="Arial"/>
          <w:sz w:val="19"/>
          <w:szCs w:val="19"/>
          <w:color w:val="auto"/>
        </w:rPr>
      </w:pPr>
      <w:r>
        <w:rPr>
          <w:rFonts w:ascii="Arial" w:cs="Arial" w:eastAsia="Arial" w:hAnsi="Arial"/>
          <w:sz w:val="21"/>
          <w:szCs w:val="21"/>
          <w:color w:val="auto"/>
        </w:rPr>
        <w:t>As of the Expansion Space Commencement Date and continuing for the remainder of the Extended Term, the “Demised Premises”, as such term is used in the Original Lease, shall include the entirety of the 16th floor of the Building, which Landlord represents is 12,500 rentable square feet measured pursuant to ANSI/BOMA Z65.1-2017 (“</w:t>
      </w:r>
      <w:r>
        <w:rPr>
          <w:rFonts w:ascii="Arial" w:cs="Arial" w:eastAsia="Arial" w:hAnsi="Arial"/>
          <w:sz w:val="21"/>
          <w:szCs w:val="21"/>
          <w:u w:val="single" w:color="auto"/>
          <w:color w:val="auto"/>
        </w:rPr>
        <w:t>BOMA</w:t>
      </w:r>
      <w:r>
        <w:rPr>
          <w:rFonts w:ascii="Arial" w:cs="Arial" w:eastAsia="Arial" w:hAnsi="Arial"/>
          <w:sz w:val="21"/>
          <w:szCs w:val="21"/>
          <w:color w:val="auto"/>
        </w:rPr>
        <w:t xml:space="preserve">”) and as shown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Expansion Space</w:t>
      </w:r>
      <w:r>
        <w:rPr>
          <w:rFonts w:ascii="Arial" w:cs="Arial" w:eastAsia="Arial" w:hAnsi="Arial"/>
          <w:sz w:val="21"/>
          <w:szCs w:val="21"/>
          <w:color w:val="auto"/>
        </w:rPr>
        <w:t>”) (collectively, the “</w:t>
      </w:r>
      <w:r>
        <w:rPr>
          <w:rFonts w:ascii="Arial" w:cs="Arial" w:eastAsia="Arial" w:hAnsi="Arial"/>
          <w:sz w:val="21"/>
          <w:szCs w:val="21"/>
          <w:u w:val="single" w:color="auto"/>
          <w:color w:val="auto"/>
        </w:rPr>
        <w:t>Demised Premises</w:t>
      </w:r>
      <w:r>
        <w:rPr>
          <w:rFonts w:ascii="Arial" w:cs="Arial" w:eastAsia="Arial" w:hAnsi="Arial"/>
          <w:sz w:val="21"/>
          <w:szCs w:val="21"/>
          <w:color w:val="auto"/>
        </w:rPr>
        <w:t>”). Landlord shall deliver to Tenant exclusive possession of the Expansion Space on the Expansion Space Commencement Date in the condition required hereunder. If any portion of the Expansion Space is ready for occupancy prior to the Expansion Space Commencement Date, Tenant will be permitted access to same without being obligated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406400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476" w:right="799" w:bottom="1440" w:gutter="0" w:footer="0" w:header="0"/>
        </w:sectPr>
      </w:pPr>
    </w:p>
    <w:bookmarkStart w:id="131" w:name="page132"/>
    <w:bookmarkEnd w:id="131"/>
    <w:p>
      <w:pPr>
        <w:jc w:val="both"/>
        <w:ind w:left="34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619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7136130" cy="6619875"/>
                    </a:xfrm>
                    <a:prstGeom prst="rect">
                      <a:avLst/>
                    </a:prstGeom>
                    <a:noFill/>
                  </pic:spPr>
                </pic:pic>
              </a:graphicData>
            </a:graphic>
          </wp:anchor>
        </w:drawing>
        <w:t>pay Fixed Rent or any additional rent therefor (except for electric costs as herein limited) until the Expansion Space Commencement Date, but subject to all other terms and covenants of the Lease. Landlord hereby warrants and represents that, as of the Expansion Space Commencement Date (or on such earlier date that Landlord delivers exclusive occupancy of the Expansion Space to Tenant), all of which shall be the “</w:t>
      </w:r>
      <w:r>
        <w:rPr>
          <w:rFonts w:ascii="Arial" w:cs="Arial" w:eastAsia="Arial" w:hAnsi="Arial"/>
          <w:sz w:val="19"/>
          <w:szCs w:val="19"/>
          <w:u w:val="single" w:color="auto"/>
          <w:color w:val="auto"/>
        </w:rPr>
        <w:t>Expansion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(a) the Expansion Space shall be vacant, broom-clean and ready for Tenant’s exclusive occupancy; (b) Landlord’s Work (as herein defined) shall be substantially completed such that a final and unconditional certificate of completion permitting lawful occupancy has been duly issued, and such that Tenant may reasonably commence its business operations, subject only to punch list items that do not interfere with Tenant’s business and shall be completed within thirty (30) days of the date of substantial completion; (c) all mechanical, electrical, plumbing, HVAC and life safety equipment and utility systems serving the Expansion Space shall be in good working order; (d) the Demised Premises shall be structurally sound and “water-tight”;</w:t>
      </w:r>
    </w:p>
    <w:p>
      <w:pPr>
        <w:spacing w:after="0" w:line="7" w:lineRule="exact"/>
        <w:rPr>
          <w:sz w:val="20"/>
          <w:szCs w:val="20"/>
          <w:color w:val="auto"/>
        </w:rPr>
      </w:pPr>
    </w:p>
    <w:p>
      <w:pPr>
        <w:jc w:val="both"/>
        <w:ind w:left="340" w:hanging="10"/>
        <w:spacing w:after="0" w:line="233" w:lineRule="auto"/>
        <w:tabs>
          <w:tab w:leader="none" w:pos="653"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Tenant’s access to the Demised Premises shall be reasonably secure and unimpeded; and (f) the Demised Premises shall be in compliance with all applicable laws, codes, statutes, ordinances, guidelines, rules, and regulations. Landlord’s warranties and representations under this Paragraph shall survive the commencement of the Extended Term.</w:t>
      </w:r>
    </w:p>
    <w:p>
      <w:pPr>
        <w:spacing w:after="0" w:line="228" w:lineRule="exact"/>
        <w:rPr>
          <w:sz w:val="20"/>
          <w:szCs w:val="20"/>
          <w:color w:val="auto"/>
        </w:rPr>
      </w:pPr>
    </w:p>
    <w:p>
      <w:pPr>
        <w:jc w:val="both"/>
        <w:ind w:left="340"/>
        <w:spacing w:after="0" w:line="239" w:lineRule="auto"/>
        <w:rPr>
          <w:sz w:val="20"/>
          <w:szCs w:val="20"/>
          <w:color w:val="auto"/>
        </w:rPr>
      </w:pPr>
      <w:r>
        <w:rPr>
          <w:rFonts w:ascii="Arial" w:cs="Arial" w:eastAsia="Arial" w:hAnsi="Arial"/>
          <w:sz w:val="20"/>
          <w:szCs w:val="20"/>
          <w:color w:val="auto"/>
        </w:rPr>
        <w:t>After the Expansion Space Commencement Date, Article 37 shall not be applicable to the 14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Premises and Tenant shall reasonably promptly relocate its personal property to the Demised Premises. If Tenant fails to vacate the 14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Premises within fifteen (15) business days of the Expansion Space Commencement Date, Tenant shall be obligated to continue to pay Rent for such space until it is vacated at the same rate as is required for the 14th Floor Premises in the Lease for the monthly period immediately preceding the Expansion Space Commencement Date. The Renewal Options shall be available at the end of the Extended Term pursuant to compliance with Section 29.01, as amended by this Second Amendment.</w:t>
      </w:r>
    </w:p>
    <w:p>
      <w:pPr>
        <w:spacing w:after="0" w:line="217"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Section 1.04 of the Lease shall be deleted in its entirety and the following shall be inserted in lieu thereof:</w:t>
      </w:r>
    </w:p>
    <w:p>
      <w:pPr>
        <w:spacing w:after="0" w:line="233" w:lineRule="exact"/>
        <w:rPr>
          <w:sz w:val="20"/>
          <w:szCs w:val="20"/>
          <w:color w:val="auto"/>
        </w:rPr>
      </w:pPr>
    </w:p>
    <w:p>
      <w:pPr>
        <w:jc w:val="both"/>
        <w:ind w:left="980"/>
        <w:spacing w:after="0" w:line="235" w:lineRule="auto"/>
        <w:rPr>
          <w:sz w:val="20"/>
          <w:szCs w:val="20"/>
          <w:color w:val="auto"/>
        </w:rPr>
      </w:pPr>
      <w:r>
        <w:rPr>
          <w:rFonts w:ascii="Arial" w:cs="Arial" w:eastAsia="Arial" w:hAnsi="Arial"/>
          <w:sz w:val="21"/>
          <w:szCs w:val="21"/>
          <w:color w:val="auto"/>
        </w:rPr>
        <w:t>“Tenant shall have the option to terminate this Lease provided that Tenant shall not at the time of the exercise of the hereinafter described option, be in default of any of the terms, covenants or conditions to be kept and performed on the part of Tenant under this Lease beyond applicable notice and cure periods. Such termination shall be effective on the last day of the thirty sixth (36</w:t>
      </w:r>
      <w:r>
        <w:rPr>
          <w:rFonts w:ascii="Arial" w:cs="Arial" w:eastAsia="Arial" w:hAnsi="Arial"/>
          <w:sz w:val="27"/>
          <w:szCs w:val="27"/>
          <w:color w:val="auto"/>
          <w:vertAlign w:val="superscript"/>
        </w:rPr>
        <w:t>th</w:t>
      </w:r>
      <w:r>
        <w:rPr>
          <w:rFonts w:ascii="Arial" w:cs="Arial" w:eastAsia="Arial" w:hAnsi="Arial"/>
          <w:sz w:val="21"/>
          <w:szCs w:val="21"/>
          <w:color w:val="auto"/>
        </w:rPr>
        <w:t>) month of the Extended Term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To exercise this option to terminate, Tenant shall provide written notice to Landlord no later than the first day of the thirty-first (31</w:t>
      </w:r>
      <w:r>
        <w:rPr>
          <w:rFonts w:ascii="Arial" w:cs="Arial" w:eastAsia="Arial" w:hAnsi="Arial"/>
          <w:sz w:val="27"/>
          <w:szCs w:val="27"/>
          <w:color w:val="auto"/>
          <w:vertAlign w:val="superscript"/>
        </w:rPr>
        <w:t>st</w:t>
      </w:r>
      <w:r>
        <w:rPr>
          <w:rFonts w:ascii="Arial" w:cs="Arial" w:eastAsia="Arial" w:hAnsi="Arial"/>
          <w:sz w:val="21"/>
          <w:szCs w:val="21"/>
          <w:color w:val="auto"/>
        </w:rPr>
        <w:t>) month of the Extended Term and such notice shall be accompanied by a sum equal to three (3) months Fixed Rent at the then current rate, which is $90,249.99 and the unamortized Tenant Improvement Allowance of $670,000.00, unamortized brokerage fees (which at the time of signing of this amendment have not been calculated), and all free rent totaling $111,035.00. On or before the Termination Date, Tenant shall surrender possession of the Demised Premises to Landlord; time is of the essence in all respects of Tenant’s obligations under this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410845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100" w:top="685" w:right="799" w:bottom="1440" w:gutter="0" w:footer="0" w:header="0"/>
        </w:sectPr>
      </w:pPr>
    </w:p>
    <w:bookmarkStart w:id="132" w:name="page133"/>
    <w:bookmarkEnd w:id="132"/>
    <w:p>
      <w:pPr>
        <w:jc w:val="both"/>
        <w:ind w:left="1120" w:right="460" w:hanging="334"/>
        <w:spacing w:after="0"/>
        <w:tabs>
          <w:tab w:leader="none" w:pos="1120" w:val="left"/>
        </w:tabs>
        <w:numPr>
          <w:ilvl w:val="0"/>
          <w:numId w:val="7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151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7136130" cy="7151370"/>
                    </a:xfrm>
                    <a:prstGeom prst="rect">
                      <a:avLst/>
                    </a:prstGeom>
                    <a:noFill/>
                  </pic:spPr>
                </pic:pic>
              </a:graphicData>
            </a:graphic>
          </wp:anchor>
        </w:drawing>
        <w:t>Landlord shall substantially complete all of the initial alterations and related improvements to the Demised Premises as mutually agreed upon by Landlord and Tenant and necessary for the conduct of Tenant’s business therein (the “</w:t>
      </w:r>
      <w:r>
        <w:rPr>
          <w:rFonts w:ascii="Arial" w:cs="Arial" w:eastAsia="Arial" w:hAnsi="Arial"/>
          <w:sz w:val="22"/>
          <w:szCs w:val="22"/>
          <w:u w:val="single" w:color="auto"/>
          <w:color w:val="auto"/>
        </w:rPr>
        <w:t>Landlord’s Work</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1120" w:right="460" w:hanging="334"/>
        <w:spacing w:after="0" w:line="274" w:lineRule="auto"/>
        <w:tabs>
          <w:tab w:leader="none" w:pos="11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Landlord, at its sole cost and expense, but subject to the Fit-Up Allowance, shall perform Landlord’s Work so that it is substantially completed on or before the Expansion Space Commencement Date. Landlord’s Work shall be performed by Landlord in a first-class manner as to workmanship, installation and materials. Landlord shall provide Tenant with a fit-up allowance of up to $670,000.00 (“</w:t>
      </w:r>
      <w:r>
        <w:rPr>
          <w:rFonts w:ascii="Arial" w:cs="Arial" w:eastAsia="Arial" w:hAnsi="Arial"/>
          <w:sz w:val="19"/>
          <w:szCs w:val="19"/>
          <w:u w:val="single" w:color="auto"/>
          <w:color w:val="auto"/>
        </w:rPr>
        <w:t>Fit-Up Allowance</w:t>
      </w:r>
      <w:r>
        <w:rPr>
          <w:rFonts w:ascii="Arial" w:cs="Arial" w:eastAsia="Arial" w:hAnsi="Arial"/>
          <w:sz w:val="19"/>
          <w:szCs w:val="19"/>
          <w:color w:val="auto"/>
        </w:rPr>
        <w:t xml:space="preserve">”), which Fit-Up Allowance shall be used for the hard and soft costs of the Landlord’s Work. Tenant shall, at its sole cost and expense, reimburse Landlord for any costs and expenses associated with Landlord’s Work that exceeds the Fit-Up Allowance. Landlord has stated the Fit-Up Allowance will cover all costs associated with the plans and specifications for Landlord’s Work based on the specifications and finishes within the building, including all fit and finishes and as more particularly described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w:t>
      </w:r>
    </w:p>
    <w:p>
      <w:pPr>
        <w:spacing w:after="0" w:line="198" w:lineRule="exact"/>
        <w:rPr>
          <w:rFonts w:ascii="Arial" w:cs="Arial" w:eastAsia="Arial" w:hAnsi="Arial"/>
          <w:sz w:val="19"/>
          <w:szCs w:val="19"/>
          <w:color w:val="auto"/>
        </w:rPr>
      </w:pPr>
    </w:p>
    <w:p>
      <w:pPr>
        <w:jc w:val="both"/>
        <w:ind w:left="1120" w:right="460"/>
        <w:spacing w:after="0" w:line="265" w:lineRule="auto"/>
        <w:rPr>
          <w:rFonts w:ascii="Arial" w:cs="Arial" w:eastAsia="Arial" w:hAnsi="Arial"/>
          <w:sz w:val="19"/>
          <w:szCs w:val="19"/>
          <w:color w:val="auto"/>
        </w:rPr>
      </w:pPr>
      <w:r>
        <w:rPr>
          <w:rFonts w:ascii="Arial" w:cs="Arial" w:eastAsia="Arial" w:hAnsi="Arial"/>
          <w:sz w:val="19"/>
          <w:szCs w:val="19"/>
          <w:color w:val="auto"/>
        </w:rPr>
        <w:t>Landlord shall, on or before the thirtieth (30</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Effective Date, submit to Tenant for Tenant’s written approval final and complete dimensioned and detailed plans and specifications of partition layouts (including openings), colors, and per Tenant’s furniture plan, including any and all budget information as may be reasonably necessary to determine the budget in connection with Landlord’s Work (such plans and specifications are collectively referred to herein as the “</w:t>
      </w:r>
      <w:r>
        <w:rPr>
          <w:rFonts w:ascii="Arial" w:cs="Arial" w:eastAsia="Arial" w:hAnsi="Arial"/>
          <w:sz w:val="19"/>
          <w:szCs w:val="19"/>
          <w:u w:val="single" w:color="auto"/>
          <w:color w:val="auto"/>
        </w:rPr>
        <w:t>Plans</w:t>
      </w:r>
      <w:r>
        <w:rPr>
          <w:rFonts w:ascii="Arial" w:cs="Arial" w:eastAsia="Arial" w:hAnsi="Arial"/>
          <w:sz w:val="19"/>
          <w:szCs w:val="19"/>
          <w:color w:val="auto"/>
        </w:rPr>
        <w:t>”). Landlord shall submit the Plans to Tenant in form, quality and quantity acceptable for the purposes of filing for a building permit with the Building Department of the City of New Haven, and such plans shall be signed and sealed by an architect licensed in the State of Connecticut. After receipt of the Plans, Tenant shall either approve in writing the Plans or designate by notice to Landlord the specific design or cost changes required to be made to the Plans which would result in its approval of the Plans. Landlord shall cause its architect to make the changes required by Tenant and deliver revised Plans to Tenant for approval within five (5) business days of receipt of Tenant’s notice. This procedure shall be repeated until the Plans are approved in writing by Tenant. The existing mechanicals, electrical circuitry plans, ceiling and lighting shall remain and be modified by Landlord as part of the Landlord’s Work.</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1120" w:right="460" w:hanging="334"/>
        <w:spacing w:after="0" w:line="250" w:lineRule="auto"/>
        <w:tabs>
          <w:tab w:leader="none" w:pos="11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Fixed Rent for the Extended Term shall be payable in accordance with the schedule below and the applicable terms of the Lease: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700" w:type="dxa"/>
            <w:vAlign w:val="bottom"/>
            <w:tcBorders>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Months</w:t>
            </w:r>
          </w:p>
        </w:tc>
        <w:tc>
          <w:tcPr>
            <w:tcW w:w="2080" w:type="dxa"/>
            <w:vAlign w:val="bottom"/>
            <w:tcBorders>
              <w:top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rPr>
              <w:t>Per Square Foot</w:t>
            </w:r>
          </w:p>
        </w:tc>
        <w:tc>
          <w:tcPr>
            <w:tcW w:w="374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22"/>
                <w:szCs w:val="22"/>
                <w:color w:val="auto"/>
              </w:rPr>
              <w:t>Annual Rent</w:t>
            </w:r>
          </w:p>
        </w:tc>
        <w:tc>
          <w:tcPr>
            <w:tcW w:w="3000" w:type="dxa"/>
            <w:vAlign w:val="bottom"/>
            <w:tcBorders>
              <w:top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Monthly Rent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0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0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22"/>
                <w:szCs w:val="22"/>
                <w:color w:val="auto"/>
              </w:rPr>
              <w:t>1-12</w:t>
            </w:r>
          </w:p>
        </w:tc>
        <w:tc>
          <w:tcPr>
            <w:tcW w:w="2080" w:type="dxa"/>
            <w:vAlign w:val="bottom"/>
            <w:tcBorders>
              <w:right w:val="single" w:sz="8" w:color="auto"/>
            </w:tcBorders>
            <w:vMerge w:val="restart"/>
          </w:tcPr>
          <w:p>
            <w:pPr>
              <w:jc w:val="right"/>
              <w:ind w:right="672"/>
              <w:spacing w:after="0"/>
              <w:rPr>
                <w:sz w:val="20"/>
                <w:szCs w:val="20"/>
                <w:color w:val="auto"/>
              </w:rPr>
            </w:pPr>
            <w:r>
              <w:rPr>
                <w:rFonts w:ascii="Arial" w:cs="Arial" w:eastAsia="Arial" w:hAnsi="Arial"/>
                <w:sz w:val="22"/>
                <w:szCs w:val="22"/>
                <w:color w:val="auto"/>
              </w:rPr>
              <w:t>$27.50</w:t>
            </w:r>
          </w:p>
        </w:tc>
        <w:tc>
          <w:tcPr>
            <w:tcW w:w="3740" w:type="dxa"/>
            <w:vAlign w:val="bottom"/>
            <w:tcBorders>
              <w:bottom w:val="single" w:sz="8" w:color="auto"/>
              <w:right w:val="single" w:sz="8" w:color="auto"/>
            </w:tcBorders>
          </w:tcPr>
          <w:p>
            <w:pPr>
              <w:jc w:val="center"/>
              <w:spacing w:after="0" w:line="247" w:lineRule="exact"/>
              <w:rPr>
                <w:sz w:val="20"/>
                <w:szCs w:val="20"/>
                <w:color w:val="auto"/>
              </w:rPr>
            </w:pPr>
            <w:r>
              <w:rPr>
                <w:rFonts w:ascii="Arial" w:cs="Arial" w:eastAsia="Arial" w:hAnsi="Arial"/>
                <w:sz w:val="22"/>
                <w:szCs w:val="22"/>
                <w:color w:val="auto"/>
                <w:w w:val="87"/>
              </w:rPr>
              <w:t>$275,000</w:t>
            </w:r>
          </w:p>
        </w:tc>
        <w:tc>
          <w:tcPr>
            <w:tcW w:w="3000" w:type="dxa"/>
            <w:vAlign w:val="bottom"/>
            <w:tcBorders>
              <w:right w:val="single" w:sz="8" w:color="auto"/>
            </w:tcBorders>
            <w:vMerge w:val="restart"/>
          </w:tcPr>
          <w:p>
            <w:pPr>
              <w:jc w:val="right"/>
              <w:ind w:right="932"/>
              <w:spacing w:after="0"/>
              <w:rPr>
                <w:sz w:val="20"/>
                <w:szCs w:val="20"/>
                <w:color w:val="auto"/>
              </w:rPr>
            </w:pPr>
            <w:r>
              <w:rPr>
                <w:rFonts w:ascii="Arial" w:cs="Arial" w:eastAsia="Arial" w:hAnsi="Arial"/>
                <w:sz w:val="22"/>
                <w:szCs w:val="22"/>
                <w:color w:val="auto"/>
              </w:rPr>
              <w:t>$22,916.67</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7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vMerge w:val="continue"/>
          </w:tcPr>
          <w:p>
            <w:pPr>
              <w:spacing w:after="0"/>
              <w:rPr>
                <w:sz w:val="24"/>
                <w:szCs w:val="24"/>
                <w:color w:val="auto"/>
              </w:rPr>
            </w:pPr>
          </w:p>
        </w:tc>
        <w:tc>
          <w:tcPr>
            <w:tcW w:w="2080" w:type="dxa"/>
            <w:vAlign w:val="bottom"/>
            <w:tcBorders>
              <w:right w:val="single" w:sz="8" w:color="auto"/>
            </w:tcBorders>
            <w:vMerge w:val="continue"/>
          </w:tcPr>
          <w:p>
            <w:pPr>
              <w:spacing w:after="0"/>
              <w:rPr>
                <w:sz w:val="24"/>
                <w:szCs w:val="24"/>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Based on a 10,000 square foot Premises</w:t>
            </w:r>
          </w:p>
        </w:tc>
        <w:tc>
          <w:tcPr>
            <w:tcW w:w="30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00" w:type="dxa"/>
            <w:vAlign w:val="bottom"/>
            <w:tcBorders>
              <w:right w:val="single" w:sz="8" w:color="auto"/>
            </w:tcBorders>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(i.e., free rent of $68,750)</w:t>
            </w:r>
          </w:p>
        </w:tc>
        <w:tc>
          <w:tcPr>
            <w:tcW w:w="30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1"/>
        </w:trPr>
        <w:tc>
          <w:tcPr>
            <w:tcW w:w="700" w:type="dxa"/>
            <w:vAlign w:val="bottom"/>
            <w:tcBorders>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3000" w:type="dxa"/>
            <w:vAlign w:val="bottom"/>
            <w:tcBorders>
              <w:bottom w:val="single" w:sz="8" w:color="auto"/>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00" w:type="dxa"/>
            <w:vAlign w:val="bottom"/>
            <w:tcBorders>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13-24</w:t>
            </w:r>
          </w:p>
        </w:tc>
        <w:tc>
          <w:tcPr>
            <w:tcW w:w="2080" w:type="dxa"/>
            <w:vAlign w:val="bottom"/>
            <w:tcBorders>
              <w:bottom w:val="single" w:sz="8" w:color="auto"/>
              <w:right w:val="single" w:sz="8" w:color="auto"/>
            </w:tcBorders>
          </w:tcPr>
          <w:p>
            <w:pPr>
              <w:jc w:val="right"/>
              <w:ind w:right="672"/>
              <w:spacing w:after="0"/>
              <w:rPr>
                <w:sz w:val="20"/>
                <w:szCs w:val="20"/>
                <w:color w:val="auto"/>
              </w:rPr>
            </w:pPr>
            <w:r>
              <w:rPr>
                <w:rFonts w:ascii="Arial" w:cs="Arial" w:eastAsia="Arial" w:hAnsi="Arial"/>
                <w:sz w:val="22"/>
                <w:szCs w:val="22"/>
                <w:color w:val="auto"/>
              </w:rPr>
              <w:t>$28.19</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$310,090</w:t>
            </w:r>
          </w:p>
        </w:tc>
        <w:tc>
          <w:tcPr>
            <w:tcW w:w="3000" w:type="dxa"/>
            <w:vAlign w:val="bottom"/>
            <w:tcBorders>
              <w:bottom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$25,840.83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33" w:name="page134"/>
    <w:bookmarkEnd w:id="133"/>
    <w:p>
      <w:pPr>
        <w:ind w:left="3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886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136130" cy="7888605"/>
                    </a:xfrm>
                    <a:prstGeom prst="rect">
                      <a:avLst/>
                    </a:prstGeom>
                    <a:noFill/>
                  </pic:spPr>
                </pic:pic>
              </a:graphicData>
            </a:graphic>
          </wp:anchor>
        </w:drawing>
        <w:t>Based on</w:t>
      </w:r>
    </w:p>
    <w:p>
      <w:pPr>
        <w:spacing w:after="0" w:line="8" w:lineRule="exact"/>
        <w:rPr>
          <w:sz w:val="20"/>
          <w:szCs w:val="20"/>
          <w:color w:val="auto"/>
        </w:rPr>
      </w:pPr>
    </w:p>
    <w:p>
      <w:pPr>
        <w:ind w:left="440" w:right="9240" w:hanging="92"/>
        <w:spacing w:after="0" w:line="281" w:lineRule="auto"/>
        <w:tabs>
          <w:tab w:leader="none" w:pos="5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11,000 square</w:t>
      </w:r>
    </w:p>
    <w:p>
      <w:pPr>
        <w:jc w:val="center"/>
        <w:ind w:right="8840"/>
        <w:spacing w:after="0" w:line="231" w:lineRule="auto"/>
        <w:rPr>
          <w:sz w:val="20"/>
          <w:szCs w:val="20"/>
          <w:color w:val="auto"/>
        </w:rPr>
      </w:pPr>
      <w:r>
        <w:rPr>
          <w:rFonts w:ascii="Arial" w:cs="Arial" w:eastAsia="Arial" w:hAnsi="Arial"/>
          <w:sz w:val="22"/>
          <w:szCs w:val="22"/>
          <w:color w:val="auto"/>
        </w:rPr>
        <w:t>foot</w:t>
      </w:r>
    </w:p>
    <w:p>
      <w:pPr>
        <w:ind w:left="320"/>
        <w:spacing w:after="0" w:line="231" w:lineRule="auto"/>
        <w:rPr>
          <w:sz w:val="20"/>
          <w:szCs w:val="20"/>
          <w:color w:val="auto"/>
        </w:rPr>
      </w:pPr>
      <w:r>
        <w:rPr>
          <w:rFonts w:ascii="Arial" w:cs="Arial" w:eastAsia="Arial" w:hAnsi="Arial"/>
          <w:sz w:val="22"/>
          <w:szCs w:val="22"/>
          <w:color w:val="auto"/>
        </w:rPr>
        <w:t>Premises</w:t>
      </w:r>
    </w:p>
    <w:p>
      <w:pPr>
        <w:ind w:left="320"/>
        <w:spacing w:after="0" w:line="230" w:lineRule="auto"/>
        <w:rPr>
          <w:sz w:val="20"/>
          <w:szCs w:val="20"/>
          <w:color w:val="auto"/>
        </w:rPr>
      </w:pPr>
      <w:r>
        <w:rPr>
          <w:rFonts w:ascii="Arial" w:cs="Arial" w:eastAsia="Arial" w:hAnsi="Arial"/>
          <w:sz w:val="22"/>
          <w:szCs w:val="22"/>
          <w:color w:val="auto"/>
        </w:rPr>
        <w:t>(i.e., free</w:t>
      </w:r>
    </w:p>
    <w:p>
      <w:pPr>
        <w:ind w:left="440"/>
        <w:spacing w:after="0" w:line="231" w:lineRule="auto"/>
        <w:rPr>
          <w:sz w:val="20"/>
          <w:szCs w:val="20"/>
          <w:color w:val="auto"/>
        </w:rPr>
      </w:pPr>
      <w:r>
        <w:rPr>
          <w:rFonts w:ascii="Arial" w:cs="Arial" w:eastAsia="Arial" w:hAnsi="Arial"/>
          <w:sz w:val="22"/>
          <w:szCs w:val="22"/>
          <w:color w:val="auto"/>
        </w:rPr>
        <w:t>rent of</w:t>
      </w:r>
    </w:p>
    <w:p>
      <w:pPr>
        <w:ind w:left="360"/>
        <w:spacing w:after="0"/>
        <w:rPr>
          <w:sz w:val="20"/>
          <w:szCs w:val="20"/>
          <w:color w:val="auto"/>
        </w:rPr>
      </w:pPr>
      <w:r>
        <w:rPr>
          <w:rFonts w:ascii="Arial" w:cs="Arial" w:eastAsia="Arial" w:hAnsi="Arial"/>
          <w:sz w:val="22"/>
          <w:szCs w:val="22"/>
          <w:color w:val="auto"/>
        </w:rPr>
        <w:t>$42,285)</w:t>
      </w:r>
    </w:p>
    <w:p>
      <w:pPr>
        <w:spacing w:after="0" w:line="3" w:lineRule="exact"/>
        <w:rPr>
          <w:sz w:val="20"/>
          <w:szCs w:val="20"/>
          <w:color w:val="auto"/>
        </w:rPr>
      </w:pPr>
    </w:p>
    <w:tbl>
      <w:tblPr>
        <w:tblLayout w:type="fixed"/>
        <w:tblInd w:w="210" w:type="dxa"/>
        <w:tblCellMar>
          <w:top w:w="0" w:type="dxa"/>
          <w:left w:w="0" w:type="dxa"/>
          <w:bottom w:w="0" w:type="dxa"/>
          <w:right w:w="0" w:type="dxa"/>
        </w:tblCellMar>
      </w:tblPr>
      <w:tr>
        <w:trPr>
          <w:trHeight w:val="291"/>
        </w:trPr>
        <w:tc>
          <w:tcPr>
            <w:tcW w:w="1100" w:type="dxa"/>
            <w:vAlign w:val="bottom"/>
            <w:tcBorders>
              <w:top w:val="single" w:sz="8" w:color="auto"/>
              <w:bottom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25-36</w:t>
            </w:r>
          </w:p>
        </w:tc>
        <w:tc>
          <w:tcPr>
            <w:tcW w:w="2100" w:type="dxa"/>
            <w:vAlign w:val="bottom"/>
            <w:tcBorders>
              <w:top w:val="single" w:sz="8" w:color="auto"/>
              <w:bottom w:val="single" w:sz="8" w:color="auto"/>
              <w:right w:val="single" w:sz="8" w:color="auto"/>
            </w:tcBorders>
          </w:tcPr>
          <w:p>
            <w:pPr>
              <w:jc w:val="right"/>
              <w:ind w:right="692"/>
              <w:spacing w:after="0"/>
              <w:rPr>
                <w:sz w:val="20"/>
                <w:szCs w:val="20"/>
                <w:color w:val="auto"/>
              </w:rPr>
            </w:pPr>
            <w:r>
              <w:rPr>
                <w:rFonts w:ascii="Arial" w:cs="Arial" w:eastAsia="Arial" w:hAnsi="Arial"/>
                <w:sz w:val="22"/>
                <w:szCs w:val="22"/>
                <w:color w:val="auto"/>
              </w:rPr>
              <w:t>$28.89</w:t>
            </w:r>
          </w:p>
        </w:tc>
        <w:tc>
          <w:tcPr>
            <w:tcW w:w="3740" w:type="dxa"/>
            <w:vAlign w:val="bottom"/>
            <w:tcBorders>
              <w:top w:val="single" w:sz="8" w:color="auto"/>
              <w:bottom w:val="single" w:sz="8" w:color="auto"/>
              <w:right w:val="single" w:sz="8" w:color="auto"/>
            </w:tcBorders>
          </w:tcPr>
          <w:p>
            <w:pPr>
              <w:jc w:val="right"/>
              <w:ind w:right="1412"/>
              <w:spacing w:after="0"/>
              <w:rPr>
                <w:sz w:val="20"/>
                <w:szCs w:val="20"/>
                <w:color w:val="auto"/>
              </w:rPr>
            </w:pPr>
            <w:r>
              <w:rPr>
                <w:rFonts w:ascii="Arial" w:cs="Arial" w:eastAsia="Arial" w:hAnsi="Arial"/>
                <w:sz w:val="22"/>
                <w:szCs w:val="22"/>
                <w:color w:val="auto"/>
              </w:rPr>
              <w:t>$361,125</w:t>
            </w:r>
          </w:p>
        </w:tc>
        <w:tc>
          <w:tcPr>
            <w:tcW w:w="2980" w:type="dxa"/>
            <w:vAlign w:val="bottom"/>
            <w:tcBorders>
              <w:top w:val="single" w:sz="8" w:color="auto"/>
              <w:bottom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$30,093.75</w:t>
            </w:r>
          </w:p>
        </w:tc>
      </w:tr>
      <w:tr>
        <w:trPr>
          <w:trHeight w:val="277"/>
        </w:trPr>
        <w:tc>
          <w:tcPr>
            <w:tcW w:w="1100" w:type="dxa"/>
            <w:vAlign w:val="bottom"/>
            <w:tcBorders>
              <w:left w:val="single" w:sz="8" w:color="auto"/>
              <w:bottom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37-48</w:t>
            </w:r>
          </w:p>
        </w:tc>
        <w:tc>
          <w:tcPr>
            <w:tcW w:w="210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22"/>
                <w:szCs w:val="22"/>
                <w:color w:val="auto"/>
              </w:rPr>
              <w:t>$29.61</w:t>
            </w:r>
          </w:p>
        </w:tc>
        <w:tc>
          <w:tcPr>
            <w:tcW w:w="3740" w:type="dxa"/>
            <w:vAlign w:val="bottom"/>
            <w:tcBorders>
              <w:bottom w:val="single" w:sz="8" w:color="auto"/>
              <w:right w:val="single" w:sz="8" w:color="auto"/>
            </w:tcBorders>
          </w:tcPr>
          <w:p>
            <w:pPr>
              <w:jc w:val="right"/>
              <w:ind w:right="1412"/>
              <w:spacing w:after="0"/>
              <w:rPr>
                <w:sz w:val="20"/>
                <w:szCs w:val="20"/>
                <w:color w:val="auto"/>
              </w:rPr>
            </w:pPr>
            <w:r>
              <w:rPr>
                <w:rFonts w:ascii="Arial" w:cs="Arial" w:eastAsia="Arial" w:hAnsi="Arial"/>
                <w:sz w:val="22"/>
                <w:szCs w:val="22"/>
                <w:color w:val="auto"/>
              </w:rPr>
              <w:t>$370,125</w:t>
            </w:r>
          </w:p>
        </w:tc>
        <w:tc>
          <w:tcPr>
            <w:tcW w:w="2980" w:type="dxa"/>
            <w:vAlign w:val="bottom"/>
            <w:tcBorders>
              <w:bottom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$30,843.75</w:t>
            </w:r>
          </w:p>
        </w:tc>
      </w:tr>
      <w:tr>
        <w:trPr>
          <w:trHeight w:val="264"/>
        </w:trPr>
        <w:tc>
          <w:tcPr>
            <w:tcW w:w="1100" w:type="dxa"/>
            <w:vAlign w:val="bottom"/>
            <w:tcBorders>
              <w:left w:val="single" w:sz="8" w:color="auto"/>
              <w:bottom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49-60</w:t>
            </w:r>
          </w:p>
        </w:tc>
        <w:tc>
          <w:tcPr>
            <w:tcW w:w="210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22"/>
                <w:szCs w:val="22"/>
                <w:color w:val="auto"/>
              </w:rPr>
              <w:t>$30.35</w:t>
            </w:r>
          </w:p>
        </w:tc>
        <w:tc>
          <w:tcPr>
            <w:tcW w:w="3740" w:type="dxa"/>
            <w:vAlign w:val="bottom"/>
            <w:tcBorders>
              <w:bottom w:val="single" w:sz="8" w:color="auto"/>
              <w:right w:val="single" w:sz="8" w:color="auto"/>
            </w:tcBorders>
          </w:tcPr>
          <w:p>
            <w:pPr>
              <w:jc w:val="right"/>
              <w:ind w:right="1412"/>
              <w:spacing w:after="0"/>
              <w:rPr>
                <w:sz w:val="20"/>
                <w:szCs w:val="20"/>
                <w:color w:val="auto"/>
              </w:rPr>
            </w:pPr>
            <w:r>
              <w:rPr>
                <w:rFonts w:ascii="Arial" w:cs="Arial" w:eastAsia="Arial" w:hAnsi="Arial"/>
                <w:sz w:val="22"/>
                <w:szCs w:val="22"/>
                <w:color w:val="auto"/>
              </w:rPr>
              <w:t>$379,375</w:t>
            </w:r>
          </w:p>
        </w:tc>
        <w:tc>
          <w:tcPr>
            <w:tcW w:w="2980" w:type="dxa"/>
            <w:vAlign w:val="bottom"/>
            <w:tcBorders>
              <w:bottom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$31,614.58</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140"/>
        <w:spacing w:after="0"/>
        <w:rPr>
          <w:sz w:val="20"/>
          <w:szCs w:val="20"/>
          <w:color w:val="auto"/>
        </w:rPr>
      </w:pPr>
      <w:r>
        <w:rPr>
          <w:rFonts w:ascii="Arial" w:cs="Arial" w:eastAsia="Arial" w:hAnsi="Arial"/>
          <w:sz w:val="22"/>
          <w:szCs w:val="22"/>
          <w:color w:val="auto"/>
        </w:rPr>
        <w:t>Notwithstanding anything to the contrary in the Lease, in all years of the Extended Term all rents are quoted exclusive of pro rata share of electric costs. Tenant shall be responsible for additional rent for its proportionate share of all electric costs, said share not to exceed $31,250.00 per year.</w:t>
      </w:r>
    </w:p>
    <w:p>
      <w:pPr>
        <w:spacing w:after="0" w:line="200" w:lineRule="exact"/>
        <w:rPr>
          <w:sz w:val="20"/>
          <w:szCs w:val="20"/>
          <w:color w:val="auto"/>
        </w:rPr>
      </w:pPr>
    </w:p>
    <w:p>
      <w:pPr>
        <w:spacing w:after="0" w:line="229" w:lineRule="exact"/>
        <w:rPr>
          <w:sz w:val="20"/>
          <w:szCs w:val="20"/>
          <w:color w:val="auto"/>
        </w:rPr>
      </w:pPr>
    </w:p>
    <w:p>
      <w:pPr>
        <w:ind w:left="660" w:hanging="334"/>
        <w:spacing w:after="0" w:line="250"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Effective as of the Expansion Premises Commencement Date, Section 2.03(b) of the Lease shall be deleted in its entirety and replaced with the following:</w:t>
      </w:r>
    </w:p>
    <w:p>
      <w:pPr>
        <w:spacing w:after="0" w:line="202" w:lineRule="exact"/>
        <w:rPr>
          <w:sz w:val="20"/>
          <w:szCs w:val="20"/>
          <w:color w:val="auto"/>
        </w:rPr>
      </w:pPr>
    </w:p>
    <w:p>
      <w:pPr>
        <w:jc w:val="both"/>
        <w:ind w:left="1300"/>
        <w:spacing w:after="0" w:line="275" w:lineRule="auto"/>
        <w:rPr>
          <w:sz w:val="20"/>
          <w:szCs w:val="20"/>
          <w:color w:val="auto"/>
        </w:rPr>
      </w:pPr>
      <w:r>
        <w:rPr>
          <w:rFonts w:ascii="Arial" w:cs="Arial" w:eastAsia="Arial" w:hAnsi="Arial"/>
          <w:sz w:val="19"/>
          <w:szCs w:val="19"/>
          <w:color w:val="auto"/>
        </w:rPr>
        <w:t>“Subject to the provisions herein, effective as of the Expansion Space Commencement Date, Tenant shall pay the amount equal to 5.1% (the percentage of total rentable space in the Building leased by Tenant hereunder) of the amount by which Building Operating and real-estate taxes paid or incurred by Landlord during any calendar year during the Extended Term hereof exceed Operating Expenses for the base year. Landlord represents that the total rentable area of the Building measures 245,000 rentable square feet per BOMA. The “base year” shall be the calendar year ending December 31, 2023. Notwithstanding anything to the contrary in the foregoing, Tenant’s pro rata share of electric costs shall not exceed $31,250.00 for each year of the Extended Term and the Additional Renewal Term.”</w:t>
      </w:r>
    </w:p>
    <w:p>
      <w:pPr>
        <w:spacing w:after="0" w:line="184" w:lineRule="exact"/>
        <w:rPr>
          <w:sz w:val="20"/>
          <w:szCs w:val="20"/>
          <w:color w:val="auto"/>
        </w:rPr>
      </w:pPr>
    </w:p>
    <w:p>
      <w:pPr>
        <w:ind w:left="660" w:hanging="334"/>
        <w:spacing w:after="0" w:line="250"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Effective as of the Expansion Premises Commencement Date, Section 2.04(A)(9) of the Lease shall be deleted in its entirety and replaced with the following:</w:t>
      </w:r>
    </w:p>
    <w:p>
      <w:pPr>
        <w:spacing w:after="0" w:line="202"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“Costs (including applicable taxes) for electricity and other utilities provided that Tenant’s pro rata share of electric costs shall not exceed $31,250.00 for any year of the Extended Term.”</w:t>
      </w:r>
    </w:p>
    <w:p>
      <w:pPr>
        <w:spacing w:after="0" w:line="202" w:lineRule="exact"/>
        <w:rPr>
          <w:sz w:val="20"/>
          <w:szCs w:val="20"/>
          <w:color w:val="auto"/>
        </w:rPr>
      </w:pPr>
    </w:p>
    <w:p>
      <w:pPr>
        <w:ind w:left="660" w:hanging="334"/>
        <w:spacing w:after="0" w:line="239"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Effective as of the Expansion Premises Commencement Date, Section 5.01 of the Lease shall be deleted in its entirety and the following shall be inserted in lieu thereof:</w:t>
      </w:r>
    </w:p>
    <w:p>
      <w:pPr>
        <w:jc w:val="both"/>
        <w:ind w:left="980"/>
        <w:spacing w:after="0" w:line="230" w:lineRule="auto"/>
        <w:rPr>
          <w:rFonts w:ascii="Arial" w:cs="Arial" w:eastAsia="Arial" w:hAnsi="Arial"/>
          <w:sz w:val="22"/>
          <w:szCs w:val="22"/>
          <w:color w:val="auto"/>
        </w:rPr>
      </w:pPr>
      <w:r>
        <w:rPr>
          <w:rFonts w:ascii="Arial" w:cs="Arial" w:eastAsia="Arial" w:hAnsi="Arial"/>
          <w:sz w:val="22"/>
          <w:szCs w:val="22"/>
          <w:color w:val="auto"/>
        </w:rPr>
        <w:t>“Landlord shall make its best efforts to provide 25 parking spaces for Tenant’s use in the Connecticut Financial Center parking garage located adjacent and below the Building at current market rates per space and at Tenant’s sole cost. Including in such parking allocation, Landlord shall provide four (4) spaces located on level P2 of said garage. Tenant shall pay for said spaces, at its sole cost and expense, directly to the garage operator.</w:t>
      </w:r>
    </w:p>
    <w:p>
      <w:pPr>
        <w:spacing w:after="0" w:line="233" w:lineRule="auto"/>
        <w:rPr>
          <w:sz w:val="20"/>
          <w:szCs w:val="20"/>
          <w:color w:val="auto"/>
        </w:rPr>
      </w:pPr>
      <w:r>
        <w:rPr>
          <w:rFonts w:ascii="Arial" w:cs="Arial" w:eastAsia="Arial" w:hAnsi="Arial"/>
          <w:sz w:val="22"/>
          <w:szCs w:val="22"/>
          <w:color w:val="auto"/>
        </w:rPr>
        <w:t>.</w:t>
      </w:r>
    </w:p>
    <w:p>
      <w:pPr>
        <w:ind w:left="320"/>
        <w:spacing w:after="0"/>
        <w:rPr>
          <w:sz w:val="20"/>
          <w:szCs w:val="20"/>
          <w:color w:val="auto"/>
        </w:rPr>
      </w:pPr>
      <w:r>
        <w:rPr>
          <w:rFonts w:ascii="Arial" w:cs="Arial" w:eastAsia="Arial" w:hAnsi="Arial"/>
          <w:sz w:val="22"/>
          <w:szCs w:val="22"/>
          <w:color w:val="auto"/>
        </w:rPr>
        <w:t>10. The parties hereto agree that Evan O’Brien of Cushman &amp; Wakefield represents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411480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712" w:right="799" w:bottom="1440" w:gutter="0" w:footer="0" w:header="0"/>
        </w:sectPr>
      </w:pPr>
    </w:p>
    <w:bookmarkStart w:id="134" w:name="page135"/>
    <w:bookmarkEnd w:id="134"/>
    <w:p>
      <w:pPr>
        <w:jc w:val="both"/>
        <w:ind w:left="334"/>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7227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136130" cy="6722745"/>
                    </a:xfrm>
                    <a:prstGeom prst="rect">
                      <a:avLst/>
                    </a:prstGeom>
                    <a:noFill/>
                  </pic:spPr>
                </pic:pic>
              </a:graphicData>
            </a:graphic>
          </wp:anchor>
        </w:drawing>
        <w:t>Landlord and Robert H. Motley of Cushman &amp; Wakefield represents the Tenant’s interest in negotiations of the Second Amendment and shall be paid by Landlord pursuant to a separate agreement. The parties hereby acknowledge that these brokers/agents are the only parties with any claim to a commission arising out of this transaction and shall indemnify the other for any adverse claims to the contrary.</w:t>
      </w:r>
    </w:p>
    <w:p>
      <w:pPr>
        <w:spacing w:after="0" w:line="170" w:lineRule="exact"/>
        <w:rPr>
          <w:sz w:val="20"/>
          <w:szCs w:val="20"/>
          <w:color w:val="auto"/>
        </w:rPr>
      </w:pPr>
    </w:p>
    <w:p>
      <w:pPr>
        <w:ind w:left="334" w:hanging="334"/>
        <w:spacing w:after="0" w:line="250" w:lineRule="auto"/>
        <w:tabs>
          <w:tab w:leader="none" w:pos="334" w:val="left"/>
        </w:tabs>
        <w:numPr>
          <w:ilvl w:val="0"/>
          <w:numId w:val="82"/>
        </w:numPr>
        <w:rPr>
          <w:rFonts w:ascii="Arial" w:cs="Arial" w:eastAsia="Arial" w:hAnsi="Arial"/>
          <w:sz w:val="22"/>
          <w:szCs w:val="22"/>
          <w:color w:val="auto"/>
        </w:rPr>
      </w:pPr>
      <w:r>
        <w:rPr>
          <w:rFonts w:ascii="Arial" w:cs="Arial" w:eastAsia="Arial" w:hAnsi="Arial"/>
          <w:sz w:val="22"/>
          <w:szCs w:val="22"/>
          <w:color w:val="auto"/>
        </w:rPr>
        <w:t>Effective as of the date hereof, the first and second paragraphs of Section 29.01 of the Lease are hereby deleted in its entirety and replaced with the following:</w:t>
      </w:r>
    </w:p>
    <w:p>
      <w:pPr>
        <w:spacing w:after="0" w:line="202" w:lineRule="exact"/>
        <w:rPr>
          <w:sz w:val="20"/>
          <w:szCs w:val="20"/>
          <w:color w:val="auto"/>
        </w:rPr>
      </w:pPr>
    </w:p>
    <w:p>
      <w:pPr>
        <w:jc w:val="both"/>
        <w:ind w:left="974"/>
        <w:spacing w:after="0" w:line="244" w:lineRule="auto"/>
        <w:rPr>
          <w:sz w:val="20"/>
          <w:szCs w:val="20"/>
          <w:color w:val="auto"/>
        </w:rPr>
      </w:pPr>
      <w:r>
        <w:rPr>
          <w:rFonts w:ascii="Arial" w:cs="Arial" w:eastAsia="Arial" w:hAnsi="Arial"/>
          <w:sz w:val="21"/>
          <w:szCs w:val="21"/>
          <w:color w:val="auto"/>
        </w:rPr>
        <w:t>“Effective as of the Expansion Space Commencement Date, if, immediately prior to the expiration of the Extended Term provided in Article 1, this Lease (for purposes of this Article 29 only, the “Term” is hereinafter called the “</w:t>
      </w:r>
      <w:r>
        <w:rPr>
          <w:rFonts w:ascii="Arial" w:cs="Arial" w:eastAsia="Arial" w:hAnsi="Arial"/>
          <w:sz w:val="21"/>
          <w:szCs w:val="21"/>
          <w:u w:val="single" w:color="auto"/>
          <w:color w:val="auto"/>
        </w:rPr>
        <w:t>Extended Term”</w:t>
      </w:r>
      <w:r>
        <w:rPr>
          <w:rFonts w:ascii="Arial" w:cs="Arial" w:eastAsia="Arial" w:hAnsi="Arial"/>
          <w:sz w:val="21"/>
          <w:szCs w:val="21"/>
          <w:color w:val="auto"/>
        </w:rPr>
        <w:t>) shall be in full force and effect and provided Tenant not less than nine (9) months prior to the expiration of the Extended Term shall have given Landlord written notice of Tenant's interest in renewing this Lease, and upon receipt of such valid notice, the lease term shall be extended for a further term of five (5) years (hereinafter called the "</w:t>
      </w:r>
      <w:r>
        <w:rPr>
          <w:rFonts w:ascii="Arial" w:cs="Arial" w:eastAsia="Arial" w:hAnsi="Arial"/>
          <w:sz w:val="21"/>
          <w:szCs w:val="21"/>
          <w:u w:val="single" w:color="auto"/>
          <w:color w:val="auto"/>
        </w:rPr>
        <w:t>Additional Renewal Term</w:t>
      </w:r>
      <w:r>
        <w:rPr>
          <w:rFonts w:ascii="Arial" w:cs="Arial" w:eastAsia="Arial" w:hAnsi="Arial"/>
          <w:sz w:val="21"/>
          <w:szCs w:val="21"/>
          <w:color w:val="auto"/>
        </w:rPr>
        <w:t>") commencing upon the expiration of the Extended Term and ending on the day preceding the fifth (5th) anniversary of the commencing of the Additional Renewal Term, consistent with the terms of this Lease, as amended, other than Fixed Rent which shall be at the Fair Rental Value as described in the remainder of this Section 29.01 and the base year which shall be the first calendar year of the Additional Renewal Term. ”</w:t>
      </w:r>
    </w:p>
    <w:p>
      <w:pPr>
        <w:spacing w:after="0" w:line="215" w:lineRule="exact"/>
        <w:rPr>
          <w:sz w:val="20"/>
          <w:szCs w:val="20"/>
          <w:color w:val="auto"/>
        </w:rPr>
      </w:pPr>
    </w:p>
    <w:p>
      <w:pPr>
        <w:ind w:left="334" w:hanging="334"/>
        <w:spacing w:after="0"/>
        <w:tabs>
          <w:tab w:leader="none" w:pos="334" w:val="left"/>
        </w:tabs>
        <w:numPr>
          <w:ilvl w:val="0"/>
          <w:numId w:val="83"/>
        </w:numPr>
        <w:rPr>
          <w:rFonts w:ascii="Arial" w:cs="Arial" w:eastAsia="Arial" w:hAnsi="Arial"/>
          <w:sz w:val="22"/>
          <w:szCs w:val="22"/>
          <w:color w:val="auto"/>
        </w:rPr>
      </w:pPr>
      <w:r>
        <w:rPr>
          <w:rFonts w:ascii="Arial" w:cs="Arial" w:eastAsia="Arial" w:hAnsi="Arial"/>
          <w:sz w:val="22"/>
          <w:szCs w:val="22"/>
          <w:color w:val="auto"/>
        </w:rPr>
        <w:t>Section 29.02 is hereby deleted in its entirety.</w:t>
      </w:r>
    </w:p>
    <w:p>
      <w:pPr>
        <w:spacing w:after="0" w:line="233" w:lineRule="exact"/>
        <w:rPr>
          <w:rFonts w:ascii="Arial" w:cs="Arial" w:eastAsia="Arial" w:hAnsi="Arial"/>
          <w:sz w:val="22"/>
          <w:szCs w:val="22"/>
          <w:color w:val="auto"/>
        </w:rPr>
      </w:pPr>
    </w:p>
    <w:p>
      <w:pPr>
        <w:ind w:left="334" w:right="320" w:hanging="334"/>
        <w:spacing w:after="0" w:line="238" w:lineRule="auto"/>
        <w:tabs>
          <w:tab w:leader="none" w:pos="334"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Except as modified herein, all terms, covenants, agreements and conditions of the Lease shall remain unchanged. The rights, privileges, duties and obligations of the parties under the Lease shall, except as modified above, remain unchanged and in full force and effect and nothing herein contained shall operate to release Tenant from its obligations under the Lease.</w:t>
      </w:r>
    </w:p>
    <w:p>
      <w:pPr>
        <w:spacing w:after="0" w:line="211" w:lineRule="exact"/>
        <w:rPr>
          <w:rFonts w:ascii="Arial" w:cs="Arial" w:eastAsia="Arial" w:hAnsi="Arial"/>
          <w:sz w:val="22"/>
          <w:szCs w:val="22"/>
          <w:color w:val="auto"/>
        </w:rPr>
      </w:pPr>
    </w:p>
    <w:p>
      <w:pPr>
        <w:ind w:left="334" w:right="40" w:hanging="334"/>
        <w:spacing w:after="0" w:line="250" w:lineRule="auto"/>
        <w:tabs>
          <w:tab w:leader="none" w:pos="33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Second Amendment is an integrated document and all terms and provisions as to the subject matter hereof are embodied herein and shall not be varied.</w:t>
      </w:r>
    </w:p>
    <w:p>
      <w:pPr>
        <w:spacing w:after="0" w:line="201" w:lineRule="exact"/>
        <w:rPr>
          <w:rFonts w:ascii="Arial" w:cs="Arial" w:eastAsia="Arial" w:hAnsi="Arial"/>
          <w:sz w:val="22"/>
          <w:szCs w:val="22"/>
          <w:color w:val="auto"/>
        </w:rPr>
      </w:pPr>
    </w:p>
    <w:p>
      <w:pPr>
        <w:ind w:left="334" w:hanging="334"/>
        <w:spacing w:after="0" w:line="238" w:lineRule="auto"/>
        <w:tabs>
          <w:tab w:leader="none" w:pos="33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Second Amendment may be signed or electronically executed in any number of counterparts. Each executed counterpart shall be deemed an original hereof and all such executed counterparts shall together constitute but one and the same instrument, which instrument shall for all purposes be sufficiently evidenced by any such executed counterpart.</w:t>
      </w:r>
    </w:p>
    <w:p>
      <w:pPr>
        <w:spacing w:after="0" w:line="211" w:lineRule="exact"/>
        <w:rPr>
          <w:rFonts w:ascii="Arial" w:cs="Arial" w:eastAsia="Arial" w:hAnsi="Arial"/>
          <w:sz w:val="22"/>
          <w:szCs w:val="22"/>
          <w:color w:val="auto"/>
        </w:rPr>
      </w:pPr>
    </w:p>
    <w:p>
      <w:pPr>
        <w:ind w:left="334" w:right="80" w:hanging="334"/>
        <w:spacing w:after="0"/>
        <w:tabs>
          <w:tab w:leader="none" w:pos="33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Second Amendment shall be binding upon and inure to the benefit of the parties hereto and their respective successors and assigns, provided that nothing contained herein shall permit any transfer, assignment or sublease, contrary to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548005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4"/>
          </w:cols>
          <w:pgMar w:left="1106" w:top="685" w:right="799" w:bottom="1440" w:gutter="0" w:footer="0" w:header="0"/>
        </w:sectPr>
      </w:pPr>
    </w:p>
    <w:bookmarkStart w:id="135" w:name="page136"/>
    <w:bookmarkEnd w:id="135"/>
    <w:p>
      <w:pPr>
        <w:ind w:left="1120" w:right="960" w:hanging="334"/>
        <w:spacing w:after="0"/>
        <w:tabs>
          <w:tab w:leader="none" w:pos="1120" w:val="left"/>
        </w:tabs>
        <w:numPr>
          <w:ilvl w:val="0"/>
          <w:numId w:val="8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328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7136130" cy="3328035"/>
                    </a:xfrm>
                    <a:prstGeom prst="rect">
                      <a:avLst/>
                    </a:prstGeom>
                    <a:noFill/>
                  </pic:spPr>
                </pic:pic>
              </a:graphicData>
            </a:graphic>
          </wp:anchor>
        </w:drawing>
        <w:t>This Second Amendment is made, executed and delivered in the State of Connecticut and it is the specific desire and intention of the parties that it shall in all respects be construed under the laws of the State of Connecticut.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set their hands and seals as of the day and year first above written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20" w:type="dxa"/>
            <w:vAlign w:val="bottom"/>
            <w:gridSpan w:val="4"/>
          </w:tcPr>
          <w:p>
            <w:pPr>
              <w:ind w:left="1120"/>
              <w:spacing w:after="0"/>
              <w:rPr>
                <w:sz w:val="20"/>
                <w:szCs w:val="20"/>
                <w:color w:val="auto"/>
              </w:rPr>
            </w:pPr>
            <w:r>
              <w:rPr>
                <w:rFonts w:ascii="Arial" w:cs="Arial" w:eastAsia="Arial" w:hAnsi="Arial"/>
                <w:sz w:val="22"/>
                <w:szCs w:val="22"/>
                <w:color w:val="auto"/>
              </w:rPr>
              <w:t>LANDLORD:</w:t>
            </w: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20" w:type="dxa"/>
            <w:vAlign w:val="bottom"/>
            <w:gridSpan w:val="3"/>
          </w:tcPr>
          <w:p>
            <w:pPr>
              <w:ind w:left="40"/>
              <w:spacing w:after="0"/>
              <w:rPr>
                <w:sz w:val="20"/>
                <w:szCs w:val="20"/>
                <w:color w:val="auto"/>
              </w:rPr>
            </w:pPr>
            <w:r>
              <w:rPr>
                <w:rFonts w:ascii="Arial" w:cs="Arial" w:eastAsia="Arial" w:hAnsi="Arial"/>
                <w:sz w:val="22"/>
                <w:szCs w:val="22"/>
                <w:color w:val="auto"/>
              </w:rPr>
              <w:t>TENANT:</w:t>
            </w:r>
          </w:p>
        </w:tc>
      </w:tr>
      <w:tr>
        <w:trPr>
          <w:trHeight w:val="486"/>
        </w:trPr>
        <w:tc>
          <w:tcPr>
            <w:tcW w:w="5260" w:type="dxa"/>
            <w:vAlign w:val="bottom"/>
            <w:gridSpan w:val="6"/>
          </w:tcPr>
          <w:p>
            <w:pPr>
              <w:ind w:left="1120"/>
              <w:spacing w:after="0"/>
              <w:rPr>
                <w:sz w:val="20"/>
                <w:szCs w:val="20"/>
                <w:color w:val="auto"/>
              </w:rPr>
            </w:pPr>
            <w:r>
              <w:rPr>
                <w:rFonts w:ascii="Arial" w:cs="Arial" w:eastAsia="Arial" w:hAnsi="Arial"/>
                <w:sz w:val="22"/>
                <w:szCs w:val="22"/>
                <w:color w:val="auto"/>
                <w:w w:val="95"/>
              </w:rPr>
              <w:t>195 CHURCH STREET ASSOCIATES, LLC</w:t>
            </w:r>
          </w:p>
        </w:tc>
        <w:tc>
          <w:tcPr>
            <w:tcW w:w="5980" w:type="dxa"/>
            <w:vAlign w:val="bottom"/>
            <w:gridSpan w:val="4"/>
          </w:tcPr>
          <w:p>
            <w:pPr>
              <w:ind w:left="180"/>
              <w:spacing w:after="0"/>
              <w:rPr>
                <w:sz w:val="20"/>
                <w:szCs w:val="20"/>
                <w:color w:val="auto"/>
              </w:rPr>
            </w:pPr>
            <w:r>
              <w:rPr>
                <w:rFonts w:ascii="Arial" w:cs="Arial" w:eastAsia="Arial" w:hAnsi="Arial"/>
                <w:sz w:val="22"/>
                <w:szCs w:val="22"/>
                <w:color w:val="auto"/>
              </w:rPr>
              <w:t>TREVI THERAPEUTICS, INC.</w:t>
            </w:r>
          </w:p>
        </w:tc>
      </w:tr>
      <w:tr>
        <w:trPr>
          <w:trHeight w:val="678"/>
        </w:trPr>
        <w:tc>
          <w:tcPr>
            <w:tcW w:w="5260" w:type="dxa"/>
            <w:vAlign w:val="bottom"/>
            <w:gridSpan w:val="6"/>
          </w:tcPr>
          <w:p>
            <w:pPr>
              <w:ind w:left="1120"/>
              <w:spacing w:after="0"/>
              <w:rPr>
                <w:sz w:val="20"/>
                <w:szCs w:val="20"/>
                <w:color w:val="auto"/>
              </w:rPr>
            </w:pPr>
            <w:r>
              <w:rPr>
                <w:rFonts w:ascii="Arial" w:cs="Arial" w:eastAsia="Arial" w:hAnsi="Arial"/>
                <w:sz w:val="22"/>
                <w:szCs w:val="22"/>
                <w:color w:val="auto"/>
                <w:w w:val="95"/>
              </w:rPr>
              <w:t>BY: /s/ Paul Denz_____________________</w:t>
            </w:r>
          </w:p>
        </w:tc>
        <w:tc>
          <w:tcPr>
            <w:tcW w:w="5980" w:type="dxa"/>
            <w:vAlign w:val="bottom"/>
            <w:gridSpan w:val="4"/>
          </w:tcPr>
          <w:p>
            <w:pPr>
              <w:ind w:left="180"/>
              <w:spacing w:after="0"/>
              <w:rPr>
                <w:sz w:val="20"/>
                <w:szCs w:val="20"/>
                <w:color w:val="auto"/>
              </w:rPr>
            </w:pPr>
            <w:r>
              <w:rPr>
                <w:rFonts w:ascii="Arial" w:cs="Arial" w:eastAsia="Arial" w:hAnsi="Arial"/>
                <w:sz w:val="22"/>
                <w:szCs w:val="22"/>
                <w:color w:val="auto"/>
              </w:rPr>
              <w:t>BY: /s/ Lisa Delfini __________</w:t>
            </w:r>
          </w:p>
        </w:tc>
      </w:tr>
      <w:tr>
        <w:trPr>
          <w:trHeight w:val="20"/>
        </w:trPr>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42"/>
        </w:trPr>
        <w:tc>
          <w:tcPr>
            <w:tcW w:w="3720" w:type="dxa"/>
            <w:vAlign w:val="bottom"/>
            <w:gridSpan w:val="4"/>
          </w:tcPr>
          <w:p>
            <w:pPr>
              <w:ind w:left="1120"/>
              <w:spacing w:after="0" w:line="242" w:lineRule="exact"/>
              <w:rPr>
                <w:sz w:val="20"/>
                <w:szCs w:val="20"/>
                <w:color w:val="auto"/>
              </w:rPr>
            </w:pPr>
            <w:r>
              <w:rPr>
                <w:rFonts w:ascii="Arial" w:cs="Arial" w:eastAsia="Arial" w:hAnsi="Arial"/>
                <w:sz w:val="22"/>
                <w:szCs w:val="22"/>
                <w:color w:val="auto"/>
              </w:rPr>
              <w:t>Name:   Paul Denz</w:t>
            </w:r>
          </w:p>
        </w:tc>
        <w:tc>
          <w:tcPr>
            <w:tcW w:w="7520" w:type="dxa"/>
            <w:vAlign w:val="bottom"/>
            <w:gridSpan w:val="6"/>
          </w:tcPr>
          <w:p>
            <w:pPr>
              <w:ind w:left="1280"/>
              <w:spacing w:after="0" w:line="242" w:lineRule="exact"/>
              <w:rPr>
                <w:sz w:val="20"/>
                <w:szCs w:val="20"/>
                <w:color w:val="auto"/>
              </w:rPr>
            </w:pPr>
            <w:r>
              <w:rPr>
                <w:rFonts w:ascii="Arial" w:cs="Arial" w:eastAsia="Arial" w:hAnsi="Arial"/>
                <w:sz w:val="22"/>
                <w:szCs w:val="22"/>
                <w:color w:val="auto"/>
              </w:rPr>
              <w:t>Name: Lisa Delfini</w:t>
            </w:r>
          </w:p>
        </w:tc>
      </w:tr>
      <w:tr>
        <w:trPr>
          <w:trHeight w:val="274"/>
        </w:trPr>
        <w:tc>
          <w:tcPr>
            <w:tcW w:w="3720" w:type="dxa"/>
            <w:vAlign w:val="bottom"/>
            <w:gridSpan w:val="4"/>
          </w:tcPr>
          <w:p>
            <w:pPr>
              <w:ind w:left="1120"/>
              <w:spacing w:after="0"/>
              <w:rPr>
                <w:sz w:val="20"/>
                <w:szCs w:val="20"/>
                <w:color w:val="auto"/>
              </w:rPr>
            </w:pPr>
            <w:r>
              <w:rPr>
                <w:rFonts w:ascii="Arial" w:cs="Arial" w:eastAsia="Arial" w:hAnsi="Arial"/>
                <w:sz w:val="22"/>
                <w:szCs w:val="22"/>
                <w:color w:val="auto"/>
              </w:rPr>
              <w:t>ITS: Manager</w:t>
            </w:r>
          </w:p>
        </w:tc>
        <w:tc>
          <w:tcPr>
            <w:tcW w:w="7520" w:type="dxa"/>
            <w:vAlign w:val="bottom"/>
            <w:gridSpan w:val="6"/>
          </w:tcPr>
          <w:p>
            <w:pPr>
              <w:ind w:left="840"/>
              <w:spacing w:after="0"/>
              <w:rPr>
                <w:sz w:val="20"/>
                <w:szCs w:val="20"/>
                <w:color w:val="auto"/>
              </w:rPr>
            </w:pPr>
            <w:r>
              <w:rPr>
                <w:rFonts w:ascii="Arial" w:cs="Arial" w:eastAsia="Arial" w:hAnsi="Arial"/>
                <w:sz w:val="22"/>
                <w:szCs w:val="22"/>
                <w:color w:val="auto"/>
              </w:rPr>
              <w:t>ITS: Authorized Signatory</w:t>
            </w:r>
          </w:p>
        </w:tc>
      </w:tr>
      <w:tr>
        <w:trPr>
          <w:trHeight w:val="435"/>
        </w:trPr>
        <w:tc>
          <w:tcPr>
            <w:tcW w:w="3720" w:type="dxa"/>
            <w:vAlign w:val="bottom"/>
            <w:gridSpan w:val="4"/>
          </w:tcPr>
          <w:p>
            <w:pPr>
              <w:ind w:left="1120"/>
              <w:spacing w:after="0"/>
              <w:rPr>
                <w:sz w:val="20"/>
                <w:szCs w:val="20"/>
                <w:color w:val="auto"/>
              </w:rPr>
            </w:pPr>
            <w:r>
              <w:rPr>
                <w:rFonts w:ascii="Arial" w:cs="Arial" w:eastAsia="Arial" w:hAnsi="Arial"/>
                <w:sz w:val="22"/>
                <w:szCs w:val="22"/>
                <w:color w:val="auto"/>
              </w:rPr>
              <w:t>Date: 11/21/2022</w:t>
            </w:r>
          </w:p>
        </w:tc>
        <w:tc>
          <w:tcPr>
            <w:tcW w:w="7520" w:type="dxa"/>
            <w:vAlign w:val="bottom"/>
            <w:gridSpan w:val="6"/>
          </w:tcPr>
          <w:p>
            <w:pPr>
              <w:ind w:left="840"/>
              <w:spacing w:after="0"/>
              <w:rPr>
                <w:sz w:val="20"/>
                <w:szCs w:val="20"/>
                <w:color w:val="auto"/>
              </w:rPr>
            </w:pPr>
            <w:r>
              <w:rPr>
                <w:rFonts w:ascii="Arial" w:cs="Arial" w:eastAsia="Arial" w:hAnsi="Arial"/>
                <w:sz w:val="22"/>
                <w:szCs w:val="22"/>
                <w:color w:val="auto"/>
              </w:rPr>
              <w:t>Date: 11/21/2022</w:t>
            </w:r>
          </w:p>
        </w:tc>
      </w:tr>
      <w:tr>
        <w:trPr>
          <w:trHeight w:val="919"/>
        </w:trPr>
        <w:tc>
          <w:tcPr>
            <w:tcW w:w="1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1677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7136130" cy="1167765"/>
                    </a:xfrm>
                    <a:prstGeom prst="rect">
                      <a:avLst/>
                    </a:prstGeom>
                    <a:noFill/>
                  </pic:spPr>
                </pic:pic>
              </a:graphicData>
            </a:graphic>
          </wp:anchor>
        </w:drawing>
        <w:t>EXHIBIT 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570865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85" w:right="1440" w:bottom="1440"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10928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7157720" cy="1092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10928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7157720" cy="1092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1677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7136130" cy="1167765"/>
                    </a:xfrm>
                    <a:prstGeom prst="rect">
                      <a:avLst/>
                    </a:prstGeom>
                    <a:noFill/>
                  </pic:spPr>
                </pic:pic>
              </a:graphicData>
            </a:graphic>
          </wp:anchor>
        </w:drawing>
        <w:t>EXHIBIT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PLANS &amp;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570865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85" w:right="1440" w:bottom="1440"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036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7157720" cy="803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43929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392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74961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7157720" cy="7496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46843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50444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0">
                      <a:extLst>
                        <a:ext uri="{28A0092B-C50C-407E-A947-70E740481C1C}"/>
                      </a:extLst>
                    </a:blip>
                    <a:srcRect/>
                    <a:stretch>
                      <a:fillRect/>
                    </a:stretch>
                  </pic:blipFill>
                  <pic:spPr bwMode="auto">
                    <a:xfrm>
                      <a:off x="0" y="0"/>
                      <a:ext cx="7157720" cy="5044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0342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1">
                      <a:extLst>
                        <a:ext uri="{28A0092B-C50C-407E-A947-70E740481C1C}"/>
                      </a:extLst>
                    </a:blip>
                    <a:srcRect/>
                    <a:stretch>
                      <a:fillRect/>
                    </a:stretch>
                  </pic:blipFill>
                  <pic:spPr bwMode="auto">
                    <a:xfrm>
                      <a:off x="0" y="0"/>
                      <a:ext cx="7136130" cy="503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4895-9289-7840, v.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413385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1440"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333333"/>
        </w:rPr>
        <w:t>Exhibit 23.1</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03" w:lineRule="exact"/>
        <w:rPr>
          <w:sz w:val="20"/>
          <w:szCs w:val="20"/>
          <w:color w:val="auto"/>
        </w:rPr>
      </w:pPr>
    </w:p>
    <w:p>
      <w:pPr>
        <w:ind w:left="1140" w:hanging="758"/>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S-1 No. 333-257747) of Trevi Therapeutics, Inc.,</w:t>
      </w:r>
    </w:p>
    <w:p>
      <w:pPr>
        <w:spacing w:after="0" w:line="117" w:lineRule="exact"/>
        <w:rPr>
          <w:rFonts w:ascii="Arial" w:cs="Arial" w:eastAsia="Arial" w:hAnsi="Arial"/>
          <w:sz w:val="18"/>
          <w:szCs w:val="18"/>
          <w:color w:val="auto"/>
        </w:rPr>
      </w:pPr>
    </w:p>
    <w:p>
      <w:pPr>
        <w:ind w:left="1140" w:hanging="758"/>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Statements (Form S-3 Nos. 333-239499, 333-260279, 333-260820 and 333-264614) of Trevi Therapeutics, Inc.,</w:t>
      </w:r>
    </w:p>
    <w:p>
      <w:pPr>
        <w:spacing w:after="0" w:line="117" w:lineRule="exact"/>
        <w:rPr>
          <w:rFonts w:ascii="Arial" w:cs="Arial" w:eastAsia="Arial" w:hAnsi="Arial"/>
          <w:sz w:val="18"/>
          <w:szCs w:val="18"/>
          <w:color w:val="auto"/>
        </w:rPr>
      </w:pPr>
    </w:p>
    <w:p>
      <w:pPr>
        <w:ind w:left="1140" w:right="40" w:hanging="758"/>
        <w:spacing w:after="0" w:line="277"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S-8 No. 333-231260) pertaining to the 2012 Stock Incentive Plan, as amended, the 2019 Stock Incentive Plan and the 2019 Employee Stock Purchase Plan of Trevi Therapeutics, Inc., and</w:t>
      </w:r>
    </w:p>
    <w:p>
      <w:pPr>
        <w:spacing w:after="0" w:line="62" w:lineRule="exact"/>
        <w:rPr>
          <w:rFonts w:ascii="Arial" w:cs="Arial" w:eastAsia="Arial" w:hAnsi="Arial"/>
          <w:sz w:val="18"/>
          <w:szCs w:val="18"/>
          <w:color w:val="auto"/>
        </w:rPr>
      </w:pPr>
    </w:p>
    <w:p>
      <w:pPr>
        <w:ind w:left="1140" w:right="340" w:hanging="758"/>
        <w:spacing w:after="0" w:line="277"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Statements (Form S-8 Nos. 333-237193, 333-257729 and 333-264615) pertaining to the 2019 Stock Incentive Plan and the 2019 Employee Stock Purchase Plan of Trevi Therapeutics, Inc.;</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our report dated March 16, 2023, with respect to the consolidated financial statements of Trevi Therapeutics, Inc. included in this Annual Report (Form 10-K) of Trevi Therapeutics, Inc. for the year ended December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Trevi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760" w:right="80" w:hanging="3"/>
        <w:spacing w:after="0" w:line="263" w:lineRule="auto"/>
        <w:tabs>
          <w:tab w:leader="none" w:pos="94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60" w:right="480" w:hanging="3"/>
        <w:spacing w:after="0" w:line="263" w:lineRule="auto"/>
        <w:tabs>
          <w:tab w:leader="none" w:pos="9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760" w:right="600" w:hanging="3"/>
        <w:spacing w:after="0" w:line="342" w:lineRule="auto"/>
        <w:tabs>
          <w:tab w:leader="none" w:pos="945"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60" w:right="80" w:hanging="3"/>
        <w:spacing w:after="0" w:line="263" w:lineRule="auto"/>
        <w:tabs>
          <w:tab w:leader="none" w:pos="9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60" w:right="820" w:hanging="3"/>
        <w:spacing w:after="0" w:line="342" w:lineRule="auto"/>
        <w:tabs>
          <w:tab w:leader="none" w:pos="945"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760" w:right="500" w:hanging="3"/>
        <w:spacing w:after="0" w:line="308" w:lineRule="auto"/>
        <w:tabs>
          <w:tab w:leader="none" w:pos="9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2023</w:t>
      </w:r>
    </w:p>
    <w:p>
      <w:pPr>
        <w:ind w:left="578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4445</wp:posOffset>
            </wp:positionV>
            <wp:extent cx="31718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4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Jennifer L. Good</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590550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Lisa Delfini, certify that:</w:t>
      </w:r>
    </w:p>
    <w:p>
      <w:pPr>
        <w:spacing w:after="0" w:line="225"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Trevi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760" w:right="80" w:hanging="3"/>
        <w:spacing w:after="0" w:line="263" w:lineRule="auto"/>
        <w:tabs>
          <w:tab w:leader="none" w:pos="94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60" w:right="480" w:hanging="3"/>
        <w:spacing w:after="0" w:line="263" w:lineRule="auto"/>
        <w:tabs>
          <w:tab w:leader="none" w:pos="9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760" w:right="600" w:hanging="3"/>
        <w:spacing w:after="0" w:line="342" w:lineRule="auto"/>
        <w:tabs>
          <w:tab w:leader="none" w:pos="9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60" w:right="80" w:hanging="3"/>
        <w:spacing w:after="0" w:line="263" w:lineRule="auto"/>
        <w:tabs>
          <w:tab w:leader="none" w:pos="9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60" w:right="820" w:hanging="3"/>
        <w:spacing w:after="0" w:line="342" w:lineRule="auto"/>
        <w:tabs>
          <w:tab w:leader="none" w:pos="9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760" w:right="500" w:hanging="3"/>
        <w:spacing w:after="0" w:line="277" w:lineRule="auto"/>
        <w:tabs>
          <w:tab w:leader="none" w:pos="9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2023</w:t>
      </w:r>
    </w:p>
    <w:p>
      <w:pPr>
        <w:ind w:left="58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4445</wp:posOffset>
            </wp:positionV>
            <wp:extent cx="31718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4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Lisa Delfini</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In connection with the Annual Report on Form 10-K of Trevi Therapeutics, Inc. (the “Company”) for the period ended December 31, 2022,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020" w:hanging="263"/>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60" w:right="620" w:hanging="3"/>
        <w:spacing w:after="0" w:line="277" w:lineRule="auto"/>
        <w:tabs>
          <w:tab w:leader="none" w:pos="10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2023</w:t>
      </w:r>
    </w:p>
    <w:p>
      <w:pPr>
        <w:ind w:left="5520"/>
        <w:spacing w:after="0"/>
        <w:tabs>
          <w:tab w:leader="none" w:pos="5960" w:val="left"/>
        </w:tabs>
        <w:rPr>
          <w:sz w:val="20"/>
          <w:szCs w:val="20"/>
          <w:color w:val="auto"/>
        </w:rPr>
      </w:pPr>
      <w:r>
        <w:rPr>
          <w:rFonts w:ascii="Arial" w:cs="Arial" w:eastAsia="Arial" w:hAnsi="Arial"/>
          <w:sz w:val="18"/>
          <w:szCs w:val="18"/>
          <w:color w:val="auto"/>
        </w:rPr>
        <w:t>By:</w:t>
        <w:tab/>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4445</wp:posOffset>
            </wp:positionV>
            <wp:extent cx="33261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Jennifer L. Good</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749"/>
        <w:spacing w:after="0" w:line="259" w:lineRule="auto"/>
        <w:rPr>
          <w:sz w:val="20"/>
          <w:szCs w:val="20"/>
          <w:color w:val="auto"/>
        </w:rPr>
      </w:pPr>
      <w:r>
        <w:rPr>
          <w:rFonts w:ascii="Arial" w:cs="Arial" w:eastAsia="Arial" w:hAnsi="Arial"/>
          <w:sz w:val="18"/>
          <w:szCs w:val="18"/>
          <w:color w:val="auto"/>
        </w:rPr>
        <w:t>In connection with the Annual Report on Form 10-K of Trevi Therapeutics, Inc. (the “Company”) for the period ended December 31, 2022,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020" w:hanging="263"/>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60" w:right="620" w:hanging="3"/>
        <w:spacing w:after="0" w:line="277" w:lineRule="auto"/>
        <w:tabs>
          <w:tab w:leader="none" w:pos="10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2023</w:t>
      </w:r>
    </w:p>
    <w:p>
      <w:pPr>
        <w:ind w:left="5520"/>
        <w:spacing w:after="0"/>
        <w:tabs>
          <w:tab w:leader="none" w:pos="5960" w:val="left"/>
        </w:tabs>
        <w:rPr>
          <w:sz w:val="20"/>
          <w:szCs w:val="20"/>
          <w:color w:val="auto"/>
        </w:rPr>
      </w:pPr>
      <w:r>
        <w:rPr>
          <w:rFonts w:ascii="Arial" w:cs="Arial" w:eastAsia="Arial" w:hAnsi="Arial"/>
          <w:sz w:val="18"/>
          <w:szCs w:val="18"/>
          <w:color w:val="auto"/>
        </w:rPr>
        <w:t>By:</w:t>
        <w:tab/>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4445</wp:posOffset>
            </wp:positionV>
            <wp:extent cx="332613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Lisa Delfini</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lowerRoman"/>
      <w:start w:val="2"/>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decimal"/>
      <w:start w:val="4"/>
    </w:lvl>
  </w:abstractNum>
  <w:abstractNum w:abstractNumId="51">
    <w:nsid w:val="98A3148"/>
    <w:multiLevelType w:val="hybridMultilevel"/>
    <w:lvl w:ilvl="0">
      <w:lvlJc w:val="left"/>
      <w:lvlText w:val="(%1)"/>
      <w:numFmt w:val="lowerRoman"/>
      <w:start w:val="1"/>
    </w:lvl>
  </w:abstractNum>
  <w:abstractNum w:abstractNumId="52">
    <w:nsid w:val="799D0247"/>
    <w:multiLevelType w:val="hybridMultilevel"/>
    <w:lvl w:ilvl="0">
      <w:lvlJc w:val="left"/>
      <w:lvlText w:val="(%1)"/>
      <w:numFmt w:val="upperLetter"/>
      <w:start w:val="2"/>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lvl w:ilvl="1">
      <w:lvlJc w:val="left"/>
      <w:lvlText w:val="%2"/>
      <w:numFmt w:val="decimal"/>
      <w:start w:val="104"/>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decimal"/>
      <w:start w:val="2"/>
    </w:lvl>
  </w:abstractNum>
  <w:abstractNum w:abstractNumId="61">
    <w:nsid w:val="51D9C564"/>
    <w:multiLevelType w:val="hybridMultilevel"/>
    <w:lvl w:ilvl="0">
      <w:lvlJc w:val="left"/>
      <w:lvlText w:val="%1."/>
      <w:numFmt w:val="decimal"/>
      <w:start w:val="3"/>
    </w:lvl>
  </w:abstractNum>
  <w:abstractNum w:abstractNumId="62">
    <w:nsid w:val="613EFDC5"/>
    <w:multiLevelType w:val="hybridMultilevel"/>
    <w:lvl w:ilvl="0">
      <w:lvlJc w:val="left"/>
      <w:lvlText w:val="%1."/>
      <w:numFmt w:val="decimal"/>
      <w:start w:val="4"/>
    </w:lvl>
  </w:abstractNum>
  <w:abstractNum w:abstractNumId="63">
    <w:nsid w:val="BF72B14"/>
    <w:multiLevelType w:val="hybridMultilevel"/>
    <w:lvl w:ilvl="0">
      <w:lvlJc w:val="left"/>
      <w:lvlText w:val="%1."/>
      <w:numFmt w:val="decimal"/>
      <w:start w:val="5"/>
    </w:lvl>
  </w:abstractNum>
  <w:abstractNum w:abstractNumId="64">
    <w:nsid w:val="11447B73"/>
    <w:multiLevelType w:val="hybridMultilevel"/>
    <w:lvl w:ilvl="0">
      <w:lvlJc w:val="left"/>
      <w:lvlText w:val="%1."/>
      <w:numFmt w:val="decimal"/>
      <w:start w:val="6"/>
    </w:lvl>
  </w:abstractNum>
  <w:abstractNum w:abstractNumId="65">
    <w:nsid w:val="42963E5A"/>
    <w:multiLevelType w:val="hybridMultilevel"/>
    <w:lvl w:ilvl="0">
      <w:lvlJc w:val="left"/>
      <w:lvlText w:val="%1."/>
      <w:numFmt w:val="decimal"/>
      <w:start w:val="7"/>
    </w:lvl>
  </w:abstractNum>
  <w:abstractNum w:abstractNumId="66">
    <w:nsid w:val="A0382C5"/>
    <w:multiLevelType w:val="hybridMultilevel"/>
    <w:lvl w:ilvl="0">
      <w:lvlJc w:val="left"/>
      <w:lvlText w:val="%1."/>
      <w:numFmt w:val="decimal"/>
      <w:start w:val="8"/>
    </w:lvl>
  </w:abstractNum>
  <w:abstractNum w:abstractNumId="67">
    <w:nsid w:val="8F2B15E"/>
    <w:multiLevelType w:val="hybridMultilevel"/>
    <w:lvl w:ilvl="0">
      <w:lvlJc w:val="left"/>
      <w:lvlText w:val="(%1)"/>
      <w:numFmt w:val="upperLetter"/>
      <w:start w:val="1"/>
    </w:lvl>
  </w:abstractNum>
  <w:abstractNum w:abstractNumId="68">
    <w:nsid w:val="1A32234B"/>
    <w:multiLevelType w:val="hybridMultilevel"/>
    <w:lvl w:ilvl="0">
      <w:lvlJc w:val="left"/>
      <w:lvlText w:val="%1."/>
      <w:numFmt w:val="decimal"/>
      <w:start w:val="9"/>
    </w:lvl>
  </w:abstractNum>
  <w:abstractNum w:abstractNumId="69">
    <w:nsid w:val="3B0FD379"/>
    <w:multiLevelType w:val="hybridMultilevel"/>
    <w:lvl w:ilvl="0">
      <w:lvlJc w:val="left"/>
      <w:lvlText w:val="%1."/>
      <w:numFmt w:val="decimal"/>
      <w:start w:val="10"/>
    </w:lvl>
  </w:abstractNum>
  <w:abstractNum w:abstractNumId="70">
    <w:nsid w:val="68EB2F63"/>
    <w:multiLevelType w:val="hybridMultilevel"/>
    <w:lvl w:ilvl="0">
      <w:lvlJc w:val="left"/>
      <w:lvlText w:val="%1."/>
      <w:numFmt w:val="decimal"/>
      <w:start w:val="11"/>
    </w:lvl>
  </w:abstractNum>
  <w:abstractNum w:abstractNumId="71">
    <w:nsid w:val="4962813B"/>
    <w:multiLevelType w:val="hybridMultilevel"/>
    <w:lvl w:ilvl="0">
      <w:lvlJc w:val="left"/>
      <w:lvlText w:val="%1."/>
      <w:numFmt w:val="decimal"/>
      <w:start w:val="12"/>
    </w:lvl>
  </w:abstractNum>
  <w:abstractNum w:abstractNumId="72">
    <w:nsid w:val="60B6DF70"/>
    <w:multiLevelType w:val="hybridMultilevel"/>
    <w:lvl w:ilvl="0">
      <w:lvlJc w:val="left"/>
      <w:lvlText w:val="%1."/>
      <w:numFmt w:val="decimal"/>
      <w:start w:val="13"/>
    </w:lvl>
  </w:abstractNum>
  <w:abstractNum w:abstractNumId="73">
    <w:nsid w:val="6A5EE64"/>
    <w:multiLevelType w:val="hybridMultilevel"/>
    <w:lvl w:ilvl="0">
      <w:lvlJc w:val="left"/>
      <w:lvlText w:val="%1."/>
      <w:numFmt w:val="decimal"/>
      <w:start w:val="14"/>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lowerLetter"/>
      <w:start w:val="5"/>
    </w:lvl>
  </w:abstractNum>
  <w:abstractNum w:abstractNumId="76">
    <w:nsid w:val="1A27709E"/>
    <w:multiLevelType w:val="hybridMultilevel"/>
    <w:lvl w:ilvl="0">
      <w:lvlJc w:val="left"/>
      <w:lvlText w:val="%1."/>
      <w:numFmt w:val="decimal"/>
      <w:start w:val="4"/>
    </w:lvl>
  </w:abstractNum>
  <w:abstractNum w:abstractNumId="77">
    <w:nsid w:val="71EA1109"/>
    <w:multiLevelType w:val="hybridMultilevel"/>
    <w:lvl w:ilvl="0">
      <w:lvlJc w:val="left"/>
      <w:lvlText w:val="a"/>
      <w:numFmt w:val="bullet"/>
      <w:start w:val="1"/>
    </w:lvl>
  </w:abstractNum>
  <w:abstractNum w:abstractNumId="78">
    <w:nsid w:val="100F59DC"/>
    <w:multiLevelType w:val="hybridMultilevel"/>
    <w:lvl w:ilvl="0">
      <w:lvlJc w:val="left"/>
      <w:lvlText w:val="%1."/>
      <w:numFmt w:val="decimal"/>
      <w:start w:val="7"/>
    </w:lvl>
  </w:abstractNum>
  <w:abstractNum w:abstractNumId="79">
    <w:nsid w:val="7FB7E0AA"/>
    <w:multiLevelType w:val="hybridMultilevel"/>
    <w:lvl w:ilvl="0">
      <w:lvlJc w:val="left"/>
      <w:lvlText w:val="%1."/>
      <w:numFmt w:val="decimal"/>
      <w:start w:val="8"/>
    </w:lvl>
  </w:abstractNum>
  <w:abstractNum w:abstractNumId="80">
    <w:nsid w:val="6EB5BD4"/>
    <w:multiLevelType w:val="hybridMultilevel"/>
    <w:lvl w:ilvl="0">
      <w:lvlJc w:val="left"/>
      <w:lvlText w:val="%1."/>
      <w:numFmt w:val="decimal"/>
      <w:start w:val="9"/>
    </w:lvl>
  </w:abstractNum>
  <w:abstractNum w:abstractNumId="81">
    <w:nsid w:val="6F6DD9AC"/>
    <w:multiLevelType w:val="hybridMultilevel"/>
    <w:lvl w:ilvl="0">
      <w:lvlJc w:val="left"/>
      <w:lvlText w:val="%1."/>
      <w:numFmt w:val="decimal"/>
      <w:start w:val="11"/>
    </w:lvl>
  </w:abstractNum>
  <w:abstractNum w:abstractNumId="82">
    <w:nsid w:val="94211F2"/>
    <w:multiLevelType w:val="hybridMultilevel"/>
    <w:lvl w:ilvl="0">
      <w:lvlJc w:val="left"/>
      <w:lvlText w:val="%1."/>
      <w:numFmt w:val="decimal"/>
      <w:start w:val="12"/>
    </w:lvl>
  </w:abstractNum>
  <w:abstractNum w:abstractNumId="83">
    <w:nsid w:val="885E1B"/>
    <w:multiLevelType w:val="hybridMultilevel"/>
    <w:lvl w:ilvl="0">
      <w:lvlJc w:val="left"/>
      <w:lvlText w:val="%1."/>
      <w:numFmt w:val="decimal"/>
      <w:start w:val="17"/>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jpe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379" Type="http://schemas.openxmlformats.org/officeDocument/2006/relationships/image" Target="media/image329.png"/><Relationship Id="rId380" Type="http://schemas.openxmlformats.org/officeDocument/2006/relationships/image" Target="media/image330.png"/><Relationship Id="rId381" Type="http://schemas.openxmlformats.org/officeDocument/2006/relationships/image" Target="media/image331.png"/><Relationship Id="rId382" Type="http://schemas.openxmlformats.org/officeDocument/2006/relationships/image" Target="media/image332.png"/><Relationship Id="rId383" Type="http://schemas.openxmlformats.org/officeDocument/2006/relationships/image" Target="media/image333.png"/><Relationship Id="rId384" Type="http://schemas.openxmlformats.org/officeDocument/2006/relationships/image" Target="media/image334.png"/><Relationship Id="rId385" Type="http://schemas.openxmlformats.org/officeDocument/2006/relationships/image" Target="media/image335.png"/><Relationship Id="rId386" Type="http://schemas.openxmlformats.org/officeDocument/2006/relationships/image" Target="media/image336.png"/><Relationship Id="rId387" Type="http://schemas.openxmlformats.org/officeDocument/2006/relationships/image" Target="media/image337.png"/><Relationship Id="rId388" Type="http://schemas.openxmlformats.org/officeDocument/2006/relationships/image" Target="media/image338.png"/><Relationship Id="rId389" Type="http://schemas.openxmlformats.org/officeDocument/2006/relationships/image" Target="media/image339.png"/><Relationship Id="rId390" Type="http://schemas.openxmlformats.org/officeDocument/2006/relationships/image" Target="media/image340.png"/><Relationship Id="rId391" Type="http://schemas.openxmlformats.org/officeDocument/2006/relationships/image" Target="media/image341.png"/><Relationship Id="rId392" Type="http://schemas.openxmlformats.org/officeDocument/2006/relationships/image" Target="media/image342.png"/><Relationship Id="rId139" Type="http://schemas.openxmlformats.org/officeDocument/2006/relationships/hyperlink" Target="https://www.sec.gov/Archives/edgar/data/1563880/000119312519142949/d740290dex31.htm" TargetMode="External"/><Relationship Id="rId140" Type="http://schemas.openxmlformats.org/officeDocument/2006/relationships/hyperlink" Target="https://www.sec.gov/Archives/edgar/data/1563880/000119312519142949/d740290dex32.htm" TargetMode="External"/><Relationship Id="rId141" Type="http://schemas.openxmlformats.org/officeDocument/2006/relationships/hyperlink" Target="https://www.sec.gov/Archives/edgar/data/1563880/000119312519099340/d643194dex41.htm" TargetMode="External"/><Relationship Id="rId142" Type="http://schemas.openxmlformats.org/officeDocument/2006/relationships/hyperlink" Target="https://www.sec.gov/Archives/edgar/data/1563880/000156459020010996/trvi-ex42_203.htm" TargetMode="External"/><Relationship Id="rId143" Type="http://schemas.openxmlformats.org/officeDocument/2006/relationships/hyperlink" Target="https://www.sec.gov/Archives/edgar/data/1563880/000119312521288912/d208387dex41.htm" TargetMode="External"/><Relationship Id="rId144" Type="http://schemas.openxmlformats.org/officeDocument/2006/relationships/hyperlink" Target="https://www.sec.gov/Archives/edgar/data/1563880/000119312521288912/d208387dex42.htm" TargetMode="External"/><Relationship Id="rId145" Type="http://schemas.openxmlformats.org/officeDocument/2006/relationships/hyperlink" Target="https://www.sec.gov/Archives/edgar/data/1563880/000119312521288912/d208387dex43.htm" TargetMode="External"/><Relationship Id="rId146" Type="http://schemas.openxmlformats.org/officeDocument/2006/relationships/hyperlink" Target="https://www.sec.gov/Archives/edgar/data/1563880/000119312521301603/d540031dex41.htm" TargetMode="External"/><Relationship Id="rId147" Type="http://schemas.openxmlformats.org/officeDocument/2006/relationships/hyperlink" Target="https://www.sec.gov/Archives/edgar/data/1563880/000119312521301603/d540031dex42.htm" TargetMode="External"/><Relationship Id="rId148" Type="http://schemas.openxmlformats.org/officeDocument/2006/relationships/hyperlink" Target="https://www.sec.gov/Archives/edgar/data/1563880/000119312522098229/d324144dex41.htm" TargetMode="External"/><Relationship Id="rId149" Type="http://schemas.openxmlformats.org/officeDocument/2006/relationships/hyperlink" Target="https://www.sec.gov/Archives/edgar/data/1563880/000119312522249748/d378568dex41.htm" TargetMode="External"/><Relationship Id="rId150" Type="http://schemas.openxmlformats.org/officeDocument/2006/relationships/hyperlink" Target="https://www.sec.gov/Archives/edgar/data/1563880/000119312519099340/d643194dex101.htm" TargetMode="External"/><Relationship Id="rId151" Type="http://schemas.openxmlformats.org/officeDocument/2006/relationships/hyperlink" Target="https://www.sec.gov/Archives/edgar/data/1563880/000119312519099340/d643194dex102.htm" TargetMode="External"/><Relationship Id="rId152" Type="http://schemas.openxmlformats.org/officeDocument/2006/relationships/hyperlink" Target="https://www.sec.gov/Archives/edgar/data/1563880/000119312519099340/d643194dex103.htm" TargetMode="External"/><Relationship Id="rId153" Type="http://schemas.openxmlformats.org/officeDocument/2006/relationships/hyperlink" Target="https://www.sec.gov/Archives/edgar/data/1563880/000119312519099340/d643194dex104.htm" TargetMode="External"/><Relationship Id="rId154" Type="http://schemas.openxmlformats.org/officeDocument/2006/relationships/hyperlink" Target="https://www.sec.gov/Archives/edgar/data/1563880/000119312519099340/d643194dex105.htm" TargetMode="External"/><Relationship Id="rId155" Type="http://schemas.openxmlformats.org/officeDocument/2006/relationships/hyperlink" Target="https://www.sec.gov/Archives/edgar/data/1563880/000119312519099340/d643194dex106.htm" TargetMode="External"/><Relationship Id="rId156" Type="http://schemas.openxmlformats.org/officeDocument/2006/relationships/hyperlink" Target="https://www.sec.gov/Archives/edgar/data/1563880/000156459021015506/trvi-ex107_330.htm" TargetMode="External"/><Relationship Id="rId157" Type="http://schemas.openxmlformats.org/officeDocument/2006/relationships/hyperlink" Target="https://www.sec.gov/Archives/edgar/data/1563880/000119312519253605/d808144dex101.htm" TargetMode="External"/><Relationship Id="rId158" Type="http://schemas.openxmlformats.org/officeDocument/2006/relationships/hyperlink" Target="https://www.sec.gov/Archives/edgar/data/1563880/000119312519099340/d643194dex108.htm" TargetMode="External"/><Relationship Id="rId159" Type="http://schemas.openxmlformats.org/officeDocument/2006/relationships/hyperlink" Target="https://www.sec.gov/Archives/edgar/data/1563880/000156459020010996/trvi-ex1010_255.htm" TargetMode="External"/><Relationship Id="rId160" Type="http://schemas.openxmlformats.org/officeDocument/2006/relationships/hyperlink" Target="https://www.sec.gov/Archives/edgar/data/1563880/000156459021043968/trvi-ex106_190.htm" TargetMode="External"/><Relationship Id="rId161" Type="http://schemas.openxmlformats.org/officeDocument/2006/relationships/hyperlink" Target="https://www.sec.gov/Archives/edgar/data/1563880/000119312519099340/d643194dex1012.htm" TargetMode="External"/><Relationship Id="rId164" Type="http://schemas.openxmlformats.org/officeDocument/2006/relationships/hyperlink" Target="https://www.sec.gov/Archives/edgar/data/1563880/000119312519099340/d643194dex1013.htm" TargetMode="External"/><Relationship Id="rId165" Type="http://schemas.openxmlformats.org/officeDocument/2006/relationships/hyperlink" Target="https://www.sec.gov/Archives/edgar/data/1563880/000119312519099340/d643194dex1014.htm" TargetMode="External"/><Relationship Id="rId166" Type="http://schemas.openxmlformats.org/officeDocument/2006/relationships/hyperlink" Target="https://www.sec.gov/Archives/edgar/data/1563880/000119312519099340/d643194dex1015.htm" TargetMode="External"/><Relationship Id="rId167" Type="http://schemas.openxmlformats.org/officeDocument/2006/relationships/hyperlink" Target="https://www.sec.gov/Archives/edgar/data/1563880/000119312519138831/d643194dex1017.htm" TargetMode="External"/><Relationship Id="rId168" Type="http://schemas.openxmlformats.org/officeDocument/2006/relationships/hyperlink" Target="https://www.sec.gov/Archives/edgar/data/1563880/000156459020053330/trvi-ex101_80.htm" TargetMode="External"/><Relationship Id="rId169" Type="http://schemas.openxmlformats.org/officeDocument/2006/relationships/hyperlink" Target="https://www.sec.gov/Archives/edgar/data/1563880/000156459021035888/trvi-ex991_15.htm" TargetMode="External"/><Relationship Id="rId170" Type="http://schemas.openxmlformats.org/officeDocument/2006/relationships/hyperlink" Target="https://www.sec.gov/Archives/edgar/data/1563880/000156459021056183/trvi-ex101_67.htm" TargetMode="External"/><Relationship Id="rId171" Type="http://schemas.openxmlformats.org/officeDocument/2006/relationships/hyperlink" Target="https://www.sec.gov/Archives/edgar/data/1563880/000119312522098229/d324144dex993.htm" TargetMode="External"/><Relationship Id="rId172" Type="http://schemas.openxmlformats.org/officeDocument/2006/relationships/hyperlink" Target="https://www.sec.gov/Archives/edgar/data/1563880/000119312521195073/d195500dex991.htm" TargetMode="External"/><Relationship Id="rId173" Type="http://schemas.openxmlformats.org/officeDocument/2006/relationships/hyperlink" Target="https://www.sec.gov/Archives/edgar/data/1563880/000119312521195073/d195500dex992.htm" TargetMode="External"/><Relationship Id="rId174" Type="http://schemas.openxmlformats.org/officeDocument/2006/relationships/hyperlink" Target="https://www.sec.gov/Archives/edgar/data/1563880/000119312521288912/d208387dex991.htm" TargetMode="External"/><Relationship Id="rId175" Type="http://schemas.openxmlformats.org/officeDocument/2006/relationships/hyperlink" Target="https://www.sec.gov/Archives/edgar/data/1563880/000119312521288912/d208387dex992.htm" TargetMode="External"/><Relationship Id="rId176" Type="http://schemas.openxmlformats.org/officeDocument/2006/relationships/hyperlink" Target="https://www.sec.gov/Archives/edgar/data/1563880/000119312521301603/d540031dex991.htm" TargetMode="External"/><Relationship Id="rId177" Type="http://schemas.openxmlformats.org/officeDocument/2006/relationships/hyperlink" Target="https://www.sec.gov/Archives/edgar/data/1563880/000119312521301603/d540031dex992.htm" TargetMode="External"/><Relationship Id="rId178" Type="http://schemas.openxmlformats.org/officeDocument/2006/relationships/hyperlink" Target="https://www.sec.gov/Archives/edgar/data/1563880/000119312522098229/d324144dex991.htm" TargetMode="External"/><Relationship Id="rId179" Type="http://schemas.openxmlformats.org/officeDocument/2006/relationships/hyperlink" Target="https://www.sec.gov/Archives/edgar/data/1563880/000119312522098229/d324144dex992.htm" TargetMode="External"/><Relationship Id="rId180" Type="http://schemas.openxmlformats.org/officeDocument/2006/relationships/hyperlink" Target="https://www.sec.gov/Archives/edgar/data/1563880/000156459022037385/trvi-ex101_115.htm" TargetMode="External"/><Relationship Id="rId181" Type="http://schemas.openxmlformats.org/officeDocument/2006/relationships/hyperlink" Target="https://www.sec.gov/Archives/edgar/data/1563880/000119312520181094/d893814dex11.htm" TargetMode="External"/><Relationship Id="rId182" Type="http://schemas.openxmlformats.org/officeDocument/2006/relationships/hyperlink" Target="https://www.sec.gov/Archives/edgar/data/1563880/000156459022020177/trvi-ex101_42.htm" TargetMode="External"/><Relationship Id="rId183" Type="http://schemas.openxmlformats.org/officeDocument/2006/relationships/hyperlink" Target="https://www.sec.gov/Archives/edgar/data/1563880/000119312519099340/d64319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2023-03-16T16:11:24Z</dcterms:created>
  <dcterms:modified xsi:type="dcterms:W3CDTF">2023-03-16T16:11:24Z</dcterms:modified>
</cp:coreProperties>
</file>