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60630.htm"/>
      <w:bookmarkStart w:id="1" w:name="kstrvi20260630"/>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31, 2026, the registrant had 142,475,841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patients with idiopathic pulmonary fibrosis, or IPF, non-IPF interstitial lung disease, or non-IPF ILD, and refractory chronic cough, or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 including with respect to our ongoing Phase 3 OCEAN-1 trial and planned Phase 3 OCEAN-2 trial of Haduvio, each for the treatment of chronic cough in patients with IPF, our planned adaptive design Phase 2b clinical trial of Haduvio for the treatment of chronic cough in patients with non-IPF ILD, our ongoing Phase 2b LAKE trial of Haduvio for the treatment of patients with RCC,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most recent Annual Report on Form 10-K, particularly in the sections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0"/>
        <w:gridCol w:w="146"/>
        <w:gridCol w:w="211"/>
        <w:gridCol w:w="841"/>
        <w:gridCol w:w="166"/>
        <w:gridCol w:w="146"/>
        <w:gridCol w:w="213"/>
        <w:gridCol w:w="850"/>
        <w:gridCol w:w="612"/>
      </w:tblGrid>
      <w:tr>
        <w:trPr/>
        <w:tc>
          <w:tcPr>
            <w:tcW w:w="7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169,346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191,656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330,518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9,749</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10,195</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June 30, 2026 and December 31, 2025; no</w:t>
            </w:r>
            <w:r>
              <w:rPr>
                <w:rFonts w:ascii="Times New Roman" w:hAnsi="Times New Roman"/>
                <w:color w:val="000000"/>
                <w:sz w:val="20"/>
              </w:rPr>
              <w:t> </w:t>
            </w:r>
            <w:r>
              <w:rPr>
                <w:rFonts w:ascii="Times New Roman" w:hAnsi="Times New Roman"/>
                <w:color w:val="000000"/>
                <w:sz w:val="19"/>
              </w:rPr>
              <w:t>shares issued or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400,000,000</w:t>
            </w:r>
            <w:r>
              <w:rPr>
                <w:rFonts w:ascii="Times New Roman" w:hAnsi="Times New Roman"/>
                <w:color w:val="000000"/>
                <w:sz w:val="20"/>
              </w:rPr>
              <w:t> </w:t>
            </w:r>
            <w:r>
              <w:rPr>
                <w:rFonts w:ascii="Times New Roman" w:hAnsi="Times New Roman"/>
                <w:color w:val="000000"/>
                <w:sz w:val="19"/>
              </w:rPr>
              <w:t>and 200,000,000</w:t>
            </w:r>
            <w:r>
              <w:rPr>
                <w:rFonts w:ascii="Times New Roman" w:hAnsi="Times New Roman"/>
                <w:color w:val="000000"/>
                <w:sz w:val="20"/>
              </w:rPr>
              <w:t> </w:t>
            </w:r>
            <w:r>
              <w:rPr>
                <w:rFonts w:ascii="Times New Roman" w:hAnsi="Times New Roman"/>
                <w:color w:val="000000"/>
                <w:sz w:val="19"/>
              </w:rPr>
              <w:t>shares authorized at June 30, 2026 and December 31, 2025, respectively; and 142,420,883</w:t>
            </w:r>
            <w:r>
              <w:rPr>
                <w:rFonts w:ascii="Times New Roman" w:hAnsi="Times New Roman"/>
                <w:color w:val="000000"/>
                <w:sz w:val="20"/>
              </w:rPr>
              <w:t> </w:t>
            </w:r>
            <w:r>
              <w:rPr>
                <w:rFonts w:ascii="Times New Roman" w:hAnsi="Times New Roman"/>
                <w:color w:val="000000"/>
                <w:sz w:val="19"/>
              </w:rPr>
              <w:t>and 128,306,056</w:t>
            </w:r>
            <w:r>
              <w:rPr>
                <w:rFonts w:ascii="Times New Roman" w:hAnsi="Times New Roman"/>
                <w:color w:val="000000"/>
                <w:sz w:val="20"/>
              </w:rPr>
              <w:t> </w:t>
            </w:r>
            <w:r>
              <w:rPr>
                <w:rFonts w:ascii="Times New Roman" w:hAnsi="Times New Roman"/>
                <w:color w:val="000000"/>
                <w:sz w:val="19"/>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512,772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(329,804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183,244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141"/>
        <w:gridCol w:w="166"/>
        <w:gridCol w:w="146"/>
        <w:gridCol w:w="211"/>
        <w:gridCol w:w="1141"/>
        <w:gridCol w:w="166"/>
        <w:gridCol w:w="146"/>
        <w:gridCol w:w="211"/>
        <w:gridCol w:w="1141"/>
        <w:gridCol w:w="166"/>
        <w:gridCol w:w="146"/>
        <w:gridCol w:w="211"/>
        <w:gridCol w:w="1141"/>
        <w:gridCol w:w="61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used in net loss per share</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156,602,158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130,350,391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151,127,942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124,015,763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losses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6"/>
        <w:gridCol w:w="146"/>
        <w:gridCol w:w="146"/>
        <w:gridCol w:w="1006"/>
        <w:gridCol w:w="146"/>
        <w:gridCol w:w="146"/>
        <w:gridCol w:w="257"/>
        <w:gridCol w:w="494"/>
        <w:gridCol w:w="146"/>
        <w:gridCol w:w="146"/>
        <w:gridCol w:w="205"/>
        <w:gridCol w:w="726"/>
        <w:gridCol w:w="146"/>
        <w:gridCol w:w="146"/>
        <w:gridCol w:w="502"/>
        <w:gridCol w:w="858"/>
        <w:gridCol w:w="166"/>
        <w:gridCol w:w="146"/>
        <w:gridCol w:w="233"/>
        <w:gridCol w:w="893"/>
        <w:gridCol w:w="166"/>
        <w:gridCol w:w="146"/>
        <w:gridCol w:w="247"/>
        <w:gridCol w:w="873"/>
        <w:gridCol w:w="213"/>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128,411,048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142,420,883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321,506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99,892,915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107,393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121,775,753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198,493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6"/>
        <w:gridCol w:w="146"/>
        <w:gridCol w:w="146"/>
        <w:gridCol w:w="1006"/>
        <w:gridCol w:w="146"/>
        <w:gridCol w:w="146"/>
        <w:gridCol w:w="257"/>
        <w:gridCol w:w="494"/>
        <w:gridCol w:w="146"/>
        <w:gridCol w:w="146"/>
        <w:gridCol w:w="205"/>
        <w:gridCol w:w="726"/>
        <w:gridCol w:w="146"/>
        <w:gridCol w:w="146"/>
        <w:gridCol w:w="502"/>
        <w:gridCol w:w="858"/>
        <w:gridCol w:w="166"/>
        <w:gridCol w:w="146"/>
        <w:gridCol w:w="233"/>
        <w:gridCol w:w="893"/>
        <w:gridCol w:w="166"/>
        <w:gridCol w:w="146"/>
        <w:gridCol w:w="247"/>
        <w:gridCol w:w="873"/>
        <w:gridCol w:w="213"/>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128,306,056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142,420,883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321,506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121,775,753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198,493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6031"/>
        <w:gridCol w:w="146"/>
        <w:gridCol w:w="211"/>
        <w:gridCol w:w="841"/>
        <w:gridCol w:w="166"/>
        <w:gridCol w:w="146"/>
        <w:gridCol w:w="211"/>
        <w:gridCol w:w="781"/>
        <w:gridCol w:w="8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(22,641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32,095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equipment and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offering of common stock,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108,154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164,579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119,100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82,961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117,058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non-IPF interstitial lung disease (“non-IPF ILD”), and refractory chronic cough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Haduvio acts on the cough reflex arc both centrally and peripherally as a kappa receptor agonist and a mu receptor antagonist (“KAMA”), targeting opioid receptors that play a key role in controlling chronic cough. Nalbuphine has been approved and marketed as an injectable for pain indications for decades in the United States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for the three and six months ended June 30, 2026 and 2025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June 30, 2026 for potential recognition or disclosure in the Condensed Consolidated Financial Statements and concluded there were no subsequent events that required recognition or disclosure other than those provided in Note 11.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prepaid expenses, accrued expenses and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Balance Sheet as of June 30, 2026 and the Condensed Consolidated Statements of Comprehensive Loss, the Condensed Consolidated Statements of Stockholders’ Equity and the Condensed Consolidated Statements of Cash Flows for the three and six months ended June 30, 2026 and 2025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2026 and the results of its operations and its cash flows for the three and six months ended June 30, 2026 and 2025. The results for the three and six months ended June 30, 2026 and 2025 are not necessarily indicative of results to be expected for the year ending December 31, 2026 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potentially subject the Company to concentrations of credit risk. The Company’s cash management and investment policy limits investment instruments to investment-grade securities with the objective to preserve capital and to maintain liquidity until the funds can be used in business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off-balance sheet risk, such as foreign exchange contracts, option contracts, or other foreign-hedging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short-term, highly liquid investments with an original term of three months or less at the date of purchase as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(loss)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inputs—quoted prices in active markets for identical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Condensed Consolidated Statements of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an in process equity financing no longer be considered probable of being consummated, the deferred offering costs are expensed immediately as a charge to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Condensed Consolidated Balance Sheets,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 xml:space="preserve">Stock Compensation </w:t>
      </w:r>
      <w:r>
        <w:rPr>
          <w:rFonts w:ascii="Times New Roman" w:hAnsi="Times New Roman"/>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Volatility—The Company estimates expected volatility based on a combination of its own historical stock price volatility, when sufficient trading history is available, and the historical volatility of a group of publicly traded peer companies. For purposes of identifying these peer companies, the Company considered the industry, stage of development, size and financial leverage of potential comparable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Dividend—The Black-Scholes valuation model calls for a single expected dividend yield as an input. The Company currently has no history or expectation of paying cash dividends on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Taxes</w:t>
      </w:r>
      <w:r>
        <w:rPr>
          <w:rFonts w:ascii="Times New Roman" w:hAnsi="Times New Roman"/>
          <w:color w:val="000000"/>
          <w:sz w:val="20"/>
        </w:rPr>
        <w:t>,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June 30, 2026 and December 31, 2025.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right-of-use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Basic and Diluted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outstanding is determined by dividing net loss by the weighted average shares of common stock outstanding during the period. Basic shares outstanding includes the weighted average effect of the Company’s outstanding pre-funded warrants, the exercise of which requires little or no consideration for the delivery of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shares of common stock used to calculate both basic and diluted net loss per share are the same for each of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segment, which is also the Company’s only operating segment. The Company’s chief operating decision maker (“CODM”) is the President and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evaluates the Company’s financial performance and allocates resources based on consolidated net loss, which is reported on the Company’s consolidated statements of comprehensive loss. 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Improvements to Income Tax Disclosures</w:t>
      </w:r>
      <w:r>
        <w:rPr>
          <w:rFonts w:ascii="Times New Roman" w:hAnsi="Times New Roman"/>
          <w:color w:val="000000"/>
          <w:sz w:val="20"/>
        </w:rPr>
        <w:t>, which requires entities to disclose disaggregated information about their effective tax rate reconciliation as well as expanded information on income taxes paid by jurisdiction. The Company adopted this accounting standard, on a prospective basis, for the fiscal year beginning on January 1, 2025 and it has resulted in incremental disclosures within the footnotes to the Company’s consolidated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672"/>
        <w:gridCol w:w="1105"/>
        <w:gridCol w:w="146"/>
        <w:gridCol w:w="146"/>
        <w:gridCol w:w="552"/>
        <w:gridCol w:w="1266"/>
        <w:gridCol w:w="166"/>
        <w:gridCol w:w="146"/>
        <w:gridCol w:w="346"/>
        <w:gridCol w:w="1283"/>
        <w:gridCol w:w="295"/>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264,568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591"/>
        <w:gridCol w:w="1185"/>
        <w:gridCol w:w="146"/>
        <w:gridCol w:w="146"/>
        <w:gridCol w:w="688"/>
        <w:gridCol w:w="1130"/>
        <w:gridCol w:w="166"/>
        <w:gridCol w:w="146"/>
        <w:gridCol w:w="346"/>
        <w:gridCol w:w="1283"/>
        <w:gridCol w:w="296"/>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546"/>
        <w:gridCol w:w="146"/>
        <w:gridCol w:w="301"/>
        <w:gridCol w:w="1124"/>
        <w:gridCol w:w="146"/>
        <w:gridCol w:w="146"/>
        <w:gridCol w:w="217"/>
        <w:gridCol w:w="803"/>
        <w:gridCol w:w="2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546"/>
        <w:gridCol w:w="146"/>
        <w:gridCol w:w="301"/>
        <w:gridCol w:w="1124"/>
        <w:gridCol w:w="146"/>
        <w:gridCol w:w="146"/>
        <w:gridCol w:w="217"/>
        <w:gridCol w:w="803"/>
        <w:gridCol w:w="2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and 2025,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no marketable securities had been in a continuous unrealized loss position for more than 12 months and the Company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accrued interest receivables on the Company’s available-for-sale marketable securities were $1.6 million and $1.0 million, respectively, and were included within other current assets as presented on its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97,004</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317,292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187,272</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6805" w:type="dxa"/>
        <w:jc w:val="left"/>
        <w:tblInd w:w="0" w:type="dxa"/>
        <w:tblLayout w:type="fixed"/>
        <w:tblCellMar>
          <w:top w:w="28" w:type="dxa"/>
          <w:left w:w="28" w:type="dxa"/>
          <w:bottom w:w="28" w:type="dxa"/>
          <w:right w:w="28" w:type="dxa"/>
        </w:tblCellMar>
      </w:tblPr>
      <w:tblGrid>
        <w:gridCol w:w="3451"/>
        <w:gridCol w:w="146"/>
        <w:gridCol w:w="303"/>
        <w:gridCol w:w="822"/>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 2026, the Company filed an amendment to the Company’s Restated Certificate of Incorporation, as amended to increase the number of authorized shares of the Company’s common stock from 200,000,000 to 400,000,000 shares, following approval of the amendment by the stockholders of the Company at the Company’s 2026 annual meeting of stockholders held on the same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under the Amended and Restated 2019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under the 2012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29,506,260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entered into an at-the-market sales agreement with Leerink Partners, LLC (formerly SVB Securities LLC) (the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Company filed an automatic universal shelf registration statement on Form S-3 (the “2025 Shelf Registration Statement”) with the SEC, which became effective upon filing. The 2025 Shelf Registration Statement permits the Company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Company’s prior universal shelf registration statement. Concurrently with the filing of the 2025 Shelf Registration Statement, the Company filed a new prospectus supplement pursuant to which shares of the Company’s common stock having an aggregate offering price of up to $200.0 million may be offered and sold from time to time under the ATM Sales Agreement. No shares were sold under the ATM Sales Agreement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were scheduled to expire on April 18, 2025, and warrants to purchase an aggregate of 1,851,852 shares of the Company’s common stock will expire on October 18, 2028. On April 17, 2025, NEA exercised all of the warrants that would have expired on April 18, 2025. None of the accompanying common stock warrants issued to NEA in the private placement that expire on October 18, 2028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 As of June 30, 2026, pre-funded warrants that were issued and sold in the April 2022 Private Placement to purchase 12,531,332 shares of common stock remain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Registered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 As of June 30, 2026, pre-funded warrants that were issued and sold in the September 2022 Offering to purchase 4,717,616 shares of common stock remain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the Company issued and sold 17,400,000 shares of the Company’s common stock to the public in an underwritten offering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the Company also granted the underwriters a 30-day option to purchase up to an additional 2,610,000 shares of common stock at the price to the public, less underwriting discounts and commissions. The underwriters exercised the option in full and settled in cash, concurrent with the offering. The June 2025 Offering resulted in aggregate gross proceeds to the Company of approximately $115.1 million.</w:t>
      </w:r>
    </w:p>
    <w:p>
      <w:pPr>
        <w:pStyle w:val="TextBody"/>
        <w:bidi w:val="0"/>
        <w:spacing w:before="120" w:after="283"/>
        <w:jc w:val="left"/>
        <w:rPr>
          <w:rFonts w:ascii="Times New Roman" w:hAnsi="Times New Roman"/>
          <w:sz w:val="20"/>
        </w:rPr>
      </w:pPr>
      <w:r>
        <w:rPr>
          <w:rFonts w:ascii="Times New Roman" w:hAnsi="Times New Roman"/>
          <w:color w:val="000000"/>
          <w:sz w:val="20"/>
        </w:rPr>
        <w:t>On April 16, 2026, the Company issued and sold 11,600,000 shares of the Company’s common stock to the public in an underwritten offering (the “April 2026 Offering”), at an offering price of $13.00 per share of common stock pursuant to an underwriting agreement with Morgan Stanley &amp; Co. LLC and Leerink Partners LLC, as representatives of the several underwriters. In connection with the offering, the Company also granted the underwriters a 30-day option to purchase up to an additional 1,740,000 shares of common stock at the price to the public, less underwriting discounts and commissions. The underwriters option was exercised in full and settled in cash, concurrent with the closing of the offering. The April 2026 Offering resulted in aggregate gross proceeds to the Company of $173.4 million or net proceeds to the Company of approximately $162.3 million, after deducting underwriting discounts and commissions and offering expenses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1"/>
        <w:gridCol w:w="146"/>
        <w:gridCol w:w="194"/>
        <w:gridCol w:w="1384"/>
        <w:gridCol w:w="146"/>
        <w:gridCol w:w="146"/>
        <w:gridCol w:w="251"/>
        <w:gridCol w:w="1602"/>
        <w:gridCol w:w="146"/>
        <w:gridCol w:w="146"/>
        <w:gridCol w:w="161"/>
        <w:gridCol w:w="1149"/>
        <w:gridCol w:w="146"/>
        <w:gridCol w:w="146"/>
        <w:gridCol w:w="248"/>
        <w:gridCol w:w="548"/>
        <w:gridCol w:w="595"/>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Company’s board of directors approved, and in June 2025 the Company’s stockholders subsequently approved, an amendment to the 2019 Plan, which (i) increased the number of shares authorized for issuance under the plan by 6,000,000 shares to 16,490,422 shares and (ii) eliminated the evergreen provision of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Company’s board of directors approved, and in June 2026 the Company’s stockholders subsequently approved, an amendment and restatement of the 2019 Plan, which (i) increased the number of shares authorized for issuance under the 2019 Plan by 8,000,000 shares to 24,490,422 shares, (ii) limited non-employee director compensation, (iii) prohibited liberal share recycling by providing that shares delivered to the Company in satisfaction of an exercise price or tax withholding do not become available under the 2019 Plan for future grants and (iv) clarified that any dividends or dividend equivalents paid with respect to awards under the 2019 Plan are subject to the same vesting and forfeiture provisions as the award with respect to which the dividend or dividend equivalent is paid. Accordingly, the total number of shares of common stock that may be issued under both the 2019 Plan and the 2012 Plan was 23,444,372 as of June 30, 2026, of which 11,779,682 shares remained available for grant under the 2019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June 30, 2026 and December 31, 2025, respectively, options to purchase 11,386,272 shares and 9,023,200 shares of common stock were granted and outstanding, net of cancellations, under the 2019 Plan. As of June 30, 2026 and December 31, 2025 options to purchase 278,418 shares of common stock were granted and outstanding, net of cancellations,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options to purchase 832,250 shares of common stock subject to performance-based vesting (“PSOs”) to employees of the Company. The PSOs were subject to vesting based on performance criteria related to the timing and results of two of the Company’s clinical trials. By May 2025, the timing and results of both clinical trials had been determined, and the compensation committee of the Company's board of directors had certified to the satisfaction of the related performance metrics, resulting in PSOs to purchase 642,160 shares vesting and the remaining PSOs being cancelled.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granted PSOs to purchase 710,500 shares of common stock to employees of the Company. The PSOs are subject to vesting based on performance criteria related to the timing and results of the Company’s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p>
      <w:pPr>
        <w:pStyle w:val="TextBody"/>
        <w:bidi w:val="0"/>
        <w:jc w:val="left"/>
        <w:rPr/>
      </w:pPr>
      <w:r>
        <w:rPr/>
        <w:t> </w:t>
      </w:r>
    </w:p>
    <w:tbl>
      <w:tblPr>
        <w:tblW w:w="6058" w:type="dxa"/>
        <w:jc w:val="left"/>
        <w:tblInd w:w="0" w:type="dxa"/>
        <w:tblLayout w:type="fixed"/>
        <w:tblCellMar>
          <w:top w:w="28" w:type="dxa"/>
          <w:left w:w="28" w:type="dxa"/>
          <w:bottom w:w="28" w:type="dxa"/>
          <w:right w:w="28" w:type="dxa"/>
        </w:tblCellMar>
      </w:tblPr>
      <w:tblGrid>
        <w:gridCol w:w="3331"/>
        <w:gridCol w:w="146"/>
        <w:gridCol w:w="146"/>
        <w:gridCol w:w="1036"/>
        <w:gridCol w:w="166"/>
        <w:gridCol w:w="146"/>
        <w:gridCol w:w="214"/>
        <w:gridCol w:w="582"/>
        <w:gridCol w:w="2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1,097,288 as of June 30, 2026.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No annual increase was made on January 1, 2025 and 2026,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8067" w:type="dxa"/>
        <w:jc w:val="left"/>
        <w:tblInd w:w="0" w:type="dxa"/>
        <w:tblLayout w:type="fixed"/>
        <w:tblCellMar>
          <w:top w:w="28" w:type="dxa"/>
          <w:left w:w="28" w:type="dxa"/>
          <w:bottom w:w="28" w:type="dxa"/>
          <w:right w:w="28" w:type="dxa"/>
        </w:tblCellMar>
      </w:tblPr>
      <w:tblGrid>
        <w:gridCol w:w="3626"/>
        <w:gridCol w:w="146"/>
        <w:gridCol w:w="211"/>
        <w:gridCol w:w="571"/>
        <w:gridCol w:w="146"/>
        <w:gridCol w:w="146"/>
        <w:gridCol w:w="211"/>
        <w:gridCol w:w="571"/>
        <w:gridCol w:w="146"/>
        <w:gridCol w:w="146"/>
        <w:gridCol w:w="211"/>
        <w:gridCol w:w="571"/>
        <w:gridCol w:w="146"/>
        <w:gridCol w:w="146"/>
        <w:gridCol w:w="211"/>
        <w:gridCol w:w="57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and December 31, 2025, the Company maintained a full valuation allowance on deferred tax assets. The income tax benefit recorded during the three and six months ended June 30, 2026 and 2025 was for the Company’s estimates for its state research and development tax credits in each given year.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3404"/>
        <w:gridCol w:w="146"/>
        <w:gridCol w:w="211"/>
        <w:gridCol w:w="1141"/>
        <w:gridCol w:w="166"/>
        <w:gridCol w:w="146"/>
        <w:gridCol w:w="211"/>
        <w:gridCol w:w="1141"/>
        <w:gridCol w:w="166"/>
        <w:gridCol w:w="146"/>
        <w:gridCol w:w="211"/>
        <w:gridCol w:w="1141"/>
        <w:gridCol w:w="166"/>
        <w:gridCol w:w="146"/>
        <w:gridCol w:w="211"/>
        <w:gridCol w:w="1141"/>
        <w:gridCol w:w="311"/>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of common stock used in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156,602,158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130,350,391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151,127,942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124,015,763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both June 30, 2026 and December 31, 2025, the Company had pre-funded warrants to purchase 17,248,948 shares of common stock outstanding, which were issued in the April 2022 Private Placement and the September 2022 Offering, which warrants are included in the weighted average shares of common stock used in calculating the net loss per share attributable to common stockholders, basic and diluted, for each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potential dilutive securities, which include stock options and warrants that are not pre-funded, have been excluded from the computation of diluted net loss per share attributable to common stockholders whenever the effect of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them would be to reduce the net loss per share. In periods where there is a net loss, the weighted average number of shares of common stock outstanding used to calculate both basic and diluted net loss per share attributable to common stockholders is the same. The following potential shares of common stock, presented based on shares outstanding as of June 30, 2026 and 2025, respectively, were excluded from the calculation of diluted net loss per share attributable to common stockholders for the periods indicated because including them would have had an anti-dilutive effect:</w:t>
      </w:r>
    </w:p>
    <w:tbl>
      <w:tblPr>
        <w:tblW w:w="6509" w:type="dxa"/>
        <w:jc w:val="left"/>
        <w:tblInd w:w="0" w:type="dxa"/>
        <w:tblLayout w:type="fixed"/>
        <w:tblCellMar>
          <w:top w:w="28" w:type="dxa"/>
          <w:left w:w="28" w:type="dxa"/>
          <w:bottom w:w="28" w:type="dxa"/>
          <w:right w:w="28" w:type="dxa"/>
        </w:tblCellMar>
      </w:tblPr>
      <w:tblGrid>
        <w:gridCol w:w="3416"/>
        <w:gridCol w:w="146"/>
        <w:gridCol w:w="146"/>
        <w:gridCol w:w="1036"/>
        <w:gridCol w:w="146"/>
        <w:gridCol w:w="146"/>
        <w:gridCol w:w="146"/>
        <w:gridCol w:w="1036"/>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10,239,338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12,091,190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single reportable segment is the business of developing and commercializing the investigational therapy Haduvio (oral nalbuphine ER) for the treatment of chronic cough in patients with IPF, non-IPF ILD, and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segment are described in Note 2 of the notes to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loss, including significant expense categories, attributable to the Company’s reportable segment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4"/>
        <w:gridCol w:w="146"/>
        <w:gridCol w:w="211"/>
        <w:gridCol w:w="676"/>
        <w:gridCol w:w="166"/>
        <w:gridCol w:w="146"/>
        <w:gridCol w:w="211"/>
        <w:gridCol w:w="676"/>
        <w:gridCol w:w="166"/>
        <w:gridCol w:w="146"/>
        <w:gridCol w:w="211"/>
        <w:gridCol w:w="676"/>
        <w:gridCol w:w="166"/>
        <w:gridCol w:w="146"/>
        <w:gridCol w:w="211"/>
        <w:gridCol w:w="676"/>
        <w:gridCol w:w="291"/>
      </w:tblGrid>
      <w:tr>
        <w:trPr/>
        <w:tc>
          <w:tcPr>
            <w:tcW w:w="5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Chronic cough in IPF 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Refractory chronic cough 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trials and studies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development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(excluding 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 Includes</w:t>
      </w:r>
      <w:r>
        <w:rPr>
          <w:rFonts w:ascii="Times New Roman" w:hAnsi="Times New Roman"/>
          <w:color w:val="000000"/>
          <w:sz w:val="20"/>
        </w:rPr>
        <w:t xml:space="preserve"> </w:t>
      </w:r>
      <w:r>
        <w:rPr>
          <w:rFonts w:ascii="Times New Roman" w:hAnsi="Times New Roman"/>
          <w:color w:val="000000"/>
          <w:sz w:val="17"/>
        </w:rPr>
        <w:t>expense related to the Company’s Phase 1 NDA supportive studies</w:t>
      </w:r>
    </w:p>
    <w:p>
      <w:pPr>
        <w:pStyle w:val="TextBody"/>
        <w:bidi w:val="0"/>
        <w:jc w:val="left"/>
        <w:rPr>
          <w:rFonts w:ascii="Times New Roman" w:hAnsi="Times New Roman"/>
          <w:color w:val="000000"/>
          <w:sz w:val="17"/>
        </w:rPr>
      </w:pPr>
      <w:r>
        <w:rPr>
          <w:rFonts w:ascii="Times New Roman" w:hAnsi="Times New Roman"/>
          <w:color w:val="000000"/>
          <w:sz w:val="17"/>
        </w:rPr>
        <w:t>(2) Includes expense related to general research and development activities, regulatory, medical affairs, and quality assurance.</w:t>
      </w:r>
    </w:p>
    <w:p>
      <w:pPr>
        <w:pStyle w:val="TextBody"/>
        <w:bidi w:val="0"/>
        <w:jc w:val="left"/>
        <w:rPr>
          <w:rFonts w:ascii="Times New Roman" w:hAnsi="Times New Roman"/>
          <w:color w:val="000000"/>
          <w:sz w:val="17"/>
        </w:rPr>
      </w:pPr>
      <w:r>
        <w:rPr>
          <w:rFonts w:ascii="Times New Roman" w:hAnsi="Times New Roman"/>
          <w:color w:val="000000"/>
          <w:sz w:val="17"/>
        </w:rPr>
        <w:t>(3) Includes general administrative expense, other (expense) income, net and income tax benefit.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There have been no material changes to the Company's lease obligations or licensing agreements from those disclosed in the consolidated financial statements included in the Company's Annual Report on Form 10-K for the fiscal year ended December 31, 2025.</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sz w:val="20"/>
        </w:rPr>
      </w:pPr>
      <w:r>
        <w:rPr>
          <w:rFonts w:ascii="Times New Roman" w:hAnsi="Times New Roman"/>
          <w:b/>
          <w:color w:val="000000"/>
          <w:sz w:val="20"/>
        </w:rPr>
        <w:t>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the Company purchased an active pharmaceutical ingredient from Par Health for use in the manufacture of the Company's product candidate, Haduvio, for approximately $2.4 million. The active pharmaceutical ingredient was delivered in July 2026, and the related payment obligation was outstanding as of the date of this Quarterly Report on Form 10-Q. Michael Heffernan, a member of the Company's board of directors, serves as chairman of the board of directors of Par Health.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2025 included in our Annual Report on Form 10-K, filed with the Securities and Exchange Commission, or SEC, on March 17, 2026.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and in our most recent Annual Report on Form 10-K, including the risks identified under “Risk Factors” of such reports, as well as in our other SEC filings.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 Haduvio is an oral extended-release formulation of nalbuphine.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ntagonist, or KAMA, targeting opioid receptors that play a key role in controlling chronic cough. The kappa- and mu-opioid receptors are found in respiratory-related regions of the brainstem and spinal cord, as well as higher brain regions.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IPF-related Chronic Cough Program.</w:t>
      </w:r>
      <w:r>
        <w:rPr>
          <w:rFonts w:ascii="Times New Roman" w:hAnsi="Times New Roman"/>
          <w:color w:val="000000"/>
          <w:sz w:val="20"/>
        </w:rPr>
        <w:t xml:space="preserve"> We are initially developing Haduvio for the treatment of IPF-related chronic cough, which is a progressive fibrosing interstitial lung disease associated with high mortality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twice-a-day, or BID, 54 mg BID and 27 mg BID dose groups achieved statistically significant reductions from Baseline of 60.2% (p&lt;0.0001), 53.4% (p&lt;0.0001), and 47.9% (p&lt;0.01), respectively, compared to a placebo reduction from Baseline of 16.9%.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an End-of-Phase 2 meeting with the U.S. Food and Drug Administration, or the FDA. At the meeting, we gained overall alignment on the plan for the remaining clinical trials to potentially support a New Drug Application, or NDA, submission for Haduvio, including two pivotal Phase 3 clinical trials and the remaining Phase 1 clinical trials. We initiated our Phase 3 OCEAN-1 trial in the second quarter of 2026 and plan to initiate our Phase 3 OCEAN-2 trial in the third quarter of 2026. The two Phase 3 trials will be conducted as randomized, double-blind, placebo-controlled, multicenter global trials with 2:1 randomization. The protocol for the Phase 3 OCEAN-1 trial provides for the enrollment of approximately 300 patients and 52 weeks of fixed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dosing with Haduvio 54 mg BID, with the primary efficacy endpoint measured at 24 weeks of fixed dosing and the safety endpoints measured at 52 weeks of fixed dosing. The protocol for the Phase 3 OCEAN-2 trial provides for the enrollment of approximately 200 patients and 12 weeks of fixed dosing with Haduvio 54 mg BID with the primary efficacy endpoint measured at 12 weeks of fixed dosing. The primary efficacy endpoint for both trials is the relative change from Baseline in 24-hour cough frequency (coughs per hour), as determined by an objective cough monitor, for Haduvio compared with placebo. A key secondary endpoint for both trials is absolute change from Baseline in the Cough Severity Numerical Rating Scale (CS-NRS). These trials are subject to review of the protocols by regulatory authorities. We expect to have topline results from the Phase 3 OCEAN-1 trial in the first half of 2028 and from the Phase 3 OCEAN-2 trial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Non-IPF ILD-related Chronic Cough Program. </w:t>
      </w:r>
      <w:r>
        <w:rPr>
          <w:rFonts w:ascii="Times New Roman" w:hAnsi="Times New Roman"/>
          <w:color w:val="000000"/>
          <w:sz w:val="20"/>
        </w:rPr>
        <w:t>We are also developing Haduvio for the treatment of non-IPF ILD-related chronic cough. We plan to initiate an adaptive design Phase 2b clinical trial for the treatment of patients with non-IPF ILD-related chronic cough in the second half of 2026, subject to a meeting with the FDA and review of the trial protocol by the FDA. We recently submitted a meeting request to the FDA. If we initiate the trial when anticipated, we would expect topline results from the Phase 2b trial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developing Haduvio for the treatment of RCC, which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announced positive topline data from our Phase 2a proof-of-concept clinical trial of Haduvio for the treatment of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(n=66).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our Phase 2b LAKE trial of Haduvio for the treatment of patients with RCC in the second quarter of 2026. We are conducting this randomized, double-blind, placebo-controlled, multicenter trial in the United Kingdom, Canada, and Poland. The Phase 2b LAKE trial will enroll approximately 100 patients. The Phase 2b LAKE trial is designed to evaluate three different dose groups of Haduvio (54 mg BID, 27 mg BID, and 27 mg once daily (QD)) as compared to placebo. The primary efficacy endpoint for the trial is the relative change from Baseline in 24-hour cough frequency (coughs per hour) at the end of Week 6, as determined by an objective cough monitor, for Haduvio compared with placebo. The protocol provides for a sample size re-estimation, or SSRE, analysis once 50% of the patients complete treatment, which is expected to occur in the fourth quarter of 2026. We will report the outcome of the SSRE once available and expect to report topline results from the trial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 xml:space="preserve">We also plan to continue to progress and advance NDA supportive studies necessary for regulatory approval, including Phase 1 clinical studies such as conducting drug-drug interaction, food effect, and hepatic and renal impairment studies. We have completed the clinical portion of our respiratory safety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June 30, 2026, we had an accumulated deficit of $360.8 million, primarily as a result of research and development and general and administrative expenses. We do not expect to generate product revenue unless and until we obtain marketing approval for and commercialize Haduvio for the treatment of chronic cough in patients with IPF, non-IPF ILD, or RCC and we can provide no assurance that we will ever generate significant revenue or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$318.9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ongoing Phase 3 OCEAN-1 trial and our planned Phase 3 OCEAN-2 trial, each for the treatment of IPF-related chronic cough, our planned adaptive design Phase 2b clinical trial of Haduvio for the treatment of non-IPF ILD-related chronic cough, our ongoing Phase 2b LAKE clinical trial of Haduvio for the treatment of patients with RCC, and our ongoing and planned Phase 1 NDA supportive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 We also anticipate that our general and administrative expenses will increase as we expect to continue to incur increased costs as we continue to prepare for compliance with Section 404 of the Sarbanes-Oxley Act of 2002, or SOX 404(b).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income, net consists of foreign currency transaction gains and losses.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65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571"/>
        <w:gridCol w:w="146"/>
        <w:gridCol w:w="146"/>
        <w:gridCol w:w="211"/>
        <w:gridCol w:w="57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increased to $15.2 million from $9.4 million for the corresponding period in 2025, primarily due to increased clinical development expenses due to our Phase 3 OCEAN-1 trial, our Phase 2b LAKE trial, our Phase 3 OCEAN-2 trial and our Phase 1 NDA supportive studies, as well as increases in stock-based compensation and personnel-related expenses. These increases were partially offset by decreased costs for our Phase 2b CORAL trial.</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for the three months ended June 30, 2026 increased to $5.4 million from $4.3 million for the corresponding period in 2025, primarily due to an increase in stock-based compensation and personnel-related expenses, partially offset by decreased outside services and professional fees.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June 30, 2026 was $2.7 million compared to $1.4 million for the corresponding period in 2025. The change was primarily due to an increase in interest income from higher invested cash equivalent and marketable securities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6788"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736"/>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spacing w:before="120" w:after="283"/>
        <w:jc w:val="left"/>
        <w:rPr/>
      </w:pPr>
      <w:r>
        <w:rPr/>
        <w:t> </w:t>
      </w:r>
    </w:p>
    <w:tbl>
      <w:tblPr>
        <w:tblW w:w="7173"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211"/>
        <w:gridCol w:w="57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six months ended June 30, 2026 increased to $25.1 million from $17.2 million for the corresponding period in 2025, primarily due to increased clinical development expenses due to our Phase 3 OCEAN-1 trial, our Phase 2b LAKE trial, our Phase 3 OCEAN-2 trial and our Phase 1 NDA supportive studies, as well as increases in stock-based compensation and personnel-related expenses. These increases were partially offset by decreased costs for our Phase 2b CORAL trial and Phase 2a RIVER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six months ended June 30, 2026 increased to $10.3 million from $8.0 million for the corresponding period in 2025, primarily due to an increase in stock-based compensation and personnel-related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six months ended June 30, 2026 was $4.4 million compared to $2.5 million for the corresponding period in 2025. The change was primarily due to an increase in interest income from higher invested cash equivalent and marketable securities balances.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and have incurred significant operating losses and negative cash flows from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we issued and sold 11,600,000 shares of our common stock to the public in an underwritten offering, or the April 2026 Offering, at an offering price of $13.00 per share of common stock pursuant to an underwriting agreement with Morgan Stanley &amp; Co. LLC and Leerink Partners LLC, as representatives of the several underwriters. In connection with the offering, we also granted the underwriters a 30-day option to purchase up to an additional 1,740,000 shares of common stock at the price to the public, less underwriting discounts and commissions. The underwriters option was exercised in full and settled in cash, concurrent with the closing of the offering. The April 2026 Offering resulted in aggregate gross proceeds to us of $173.4 million or net proceeds to us of approximately $162.3 million, after deducting underwriting discounts and commissions and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we issued and sold 17,400,000 shares of our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we also granted the underwriters a 30-day option to purchase up to an additional 2,610,000 shares of common stock at the price to the public, less underwriting discounts and commissions. The underwriters' option was exercised in full and settled in cash, concurrent with the offering. The June 2025 Offering resulted in aggregate gross proceeds to us of approximately $115.1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2023 Shelf Registration Statement, which allowed us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Further, in June 2023, we entered into a sales agreement with Leerink Partners, LLC (formerly SVB Securities LLC), which we refer to as the ATM Sales Agreement, under which we may issue and sell shares of common stock, from time to time by any method that is deemed an “at-the-market” offering as defined in Rule 415(a)(4) under the Securities Act. We are not obligated to make any sales of our common stock under the ATM Sales Agreement. We filed a prospectus under the 2023 Shelf Registration Statement for the offer and sale of shares of our common stock having an aggregate offering price of up to $75.0 million pursuant to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2023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six months ended June 30, 2026.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7758" w:type="dxa"/>
        <w:jc w:val="left"/>
        <w:tblInd w:w="0" w:type="dxa"/>
        <w:tblLayout w:type="fixed"/>
        <w:tblCellMar>
          <w:top w:w="28" w:type="dxa"/>
          <w:left w:w="28" w:type="dxa"/>
          <w:bottom w:w="28" w:type="dxa"/>
          <w:right w:w="28" w:type="dxa"/>
        </w:tblCellMar>
      </w:tblPr>
      <w:tblGrid>
        <w:gridCol w:w="3666"/>
        <w:gridCol w:w="146"/>
        <w:gridCol w:w="211"/>
        <w:gridCol w:w="781"/>
        <w:gridCol w:w="166"/>
        <w:gridCol w:w="146"/>
        <w:gridCol w:w="211"/>
        <w:gridCol w:w="781"/>
        <w:gridCol w:w="166"/>
        <w:gridCol w:w="146"/>
        <w:gridCol w:w="211"/>
        <w:gridCol w:w="736"/>
        <w:gridCol w:w="3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operating activities used $34.1 million of net cash, resulting from our net loss of $31.0 million and net changes in our operating assets and liabilities of $7.9 million, partially offset by net non-cash charges of $4.8 million. Changes in our operating assets and liabilities consisted of a $5.8 million increase in prepaid expenses and other current assets, a $1.8 million decrease in accounts payable and a $0.4 million decrease in accrued expenses and other liabilities. The increase in prepaid expenses and other current assets was primarily due to an increase in deposits related to our clinical trial work performed by our CROs, prepayments related to our clinical trial work, an increase in prepayments on our corporate insurance policies, as well as an increase in accrued interest and dividends receivable from our higher invested cash equivalent and marketable securities balances. The decrease in accounts payable was primarily due to the timing of vendor invoices. The decrease in accrued expenses and other liabilities was primarily due to a decrease in accrued compensation and benefits. The non-cash charges consisted primarily of stock-based compensation expense of $5.5 million and a $0.2 million change in value of our operating lease right-of-use assets and liabilities, partially offset by $1.0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operating activities used $23.6 million of net cash, resulting from our net loss of $22.6 million and net changes in our operating assets and liabilities of $3.1 million, partially offset by net non-cash charges of $2.1 million. Changes in our operating assets and liabilities consisted of a $1.6 million increase in prepaid expenses and other current assets, a $1.0 million decrease in accrued expenses and other liabilities and a $0.4 million decrease in accounts payable. The increase in prepaid expenses and other current assets was primarily due to an increase in prepayments related to our clinical trial work performed by our CROs as well as an increase in prepayments of our corporate insurance policies. The decrease in accrued expenses and other liabilities was primarily due to a decrease in accrued compensation and benefits along with a decrease in accruals for clinical development and clinical trial work performed by our CROs. The decrease in accounts payable was primarily due to the timing of vendor invoices. The non-cash charges consisted primarily of stock-based compensation expense of $2.6 million and a $0.2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value of our operating lease right-of-use assets and liabilities, partially offset by $0.8 million of accretion of our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investing activities was $95.1 million, primarily related to $162.1 million of purchases of available-for-sale marketable securities partially offset by $67.2 million of proceeds from maturities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was $12.6 million, primarily related to $44.7 million of purchases of available-for-sale marketable securities partially offset by $32.1 million of proceeds from maturities of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$164.6 million, primarily consisting of cash proceeds of $163.0 million, net of commissions from sales of our common stock in our April 2026 Offering and $1.9 million of cash proceeds from the exercise of stock options partially offset by $0.4 million in payments of offering costs related to the April 2026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$119.1 million, primarily consisting of cash proceeds of $108.2 million, net of commissions from sales of our common stock in our June 2025 Offering, $10.8 million from the exercise of warrants and $0.7 million of cash proceeds from the exercise of stock options partially offset by $0.6 million in payments of offering costs related to the June 2025 and December 2024 Offerings.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Phase 3 OCEAN-1 trial and planned Phase 3 OCEAN-2 trial and any additional trials of Haduvio for the treatment of 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adaptive design Phase 2b clinical trial and any additional trials of Haduvio for the treatment of 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Phase 2b LAKE clinical trial and any additional trials of Haduvio for the treatment of patients with RCC;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and planned Phase 1 NDA supportive studies.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acquire or in-license rights to or develop other potential product candidates or technologies and seek regulatory and marketing approvals for Haduvio or any future product candidate that successfully completes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costs associated with operating as a public company, including significant legal, accounting, information technology, investor relations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ongoing Phase 3 OCEAN-1 trial and planned Phase 3 OCEAN-2 trial of Haduvio, each for the treatment of IPF-related chronic cough, our planned adaptive design Phase 2b clinical trial of Haduvio for the treatment of non-IPF ILD-related chronic cough, our ongoing Phase 2b LAKE clinical trial for the treatment of RCC, and our ongoing and planned Phase 1 NDA supportive studies, as well as trials for any future product candidates and the costs of seeking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IPF-related chronic cough,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2030. We expect these resources will enable us to fund our development program for Haduvio for the treatment of chronic cough in patients with IPF, including our ongoing Phase 3 OCEAN-1 trial and planned Phase 3 OCEAN-2 trial, through potential U.S. FDA approval. We also expect that these cash resources will enable us to fund the clinical development program through Phase 3 for the treatment of patients with non-IPF ILD-related chronic cough, and our ongoing Phase 2b LAKE trial for the treatment of patients with RCC. However, our planned spending of these resources does not include any commercial expenses related to the commercial launch of Haduvio or a Phase 3 clinical trial in RCC. In addition, these resources will not be sufficient for us to fund the clinical development of Haduvio through regulatory approval for non-IPF ILD-related chronic cough or RCC, or to fund any future product candidates through regulatory approval, and we will need to raise substantial additional capital to complete the development and commercialization of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and the timing and costs of our planned trials and regulatory process on assumptions that may prove to be wrong and we could use our available capital resources sooner than we currently expect, in which case we would be required to obtain additional financing, and our trials and regulatory activities may be delayed or take longer than we currently expect.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color w:val="000000"/>
          <w:sz w:val="20"/>
        </w:rPr>
        <w:t>We do not have any committed external source of funds.</w:t>
      </w:r>
      <w:r>
        <w:rPr>
          <w:rFonts w:ascii="Times New Roman" w:hAnsi="Times New Roman"/>
          <w:color w:val="FF0000"/>
          <w:sz w:val="20"/>
        </w:rPr>
        <w:t xml:space="preserve"> </w:t>
      </w:r>
      <w:r>
        <w:rPr>
          <w:rFonts w:ascii="Times New Roman" w:hAnsi="Times New Roman"/>
          <w:color w:val="000000"/>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non-IPF ILD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45 to 60 days’ prior written notice to the CRO, and therefore we believe that our non-cancelable obligations under these agreements are not material. For information related to our future commitments relating to our lease and licensing agreements, refer to our consolidated financial statements included in our Annual Report on Form 10-K for the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U.S. generally accepted accounting principles. The preparation of these Condensed Consolidated Financial Statements requires us to make estimates and assumptions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2025, is the most important to understanding and evaluating our reported financial results. During the six months ended June 30, 2026, there were no material changes to our critical accounting policies.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2026.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risk factors have not changed materially from those described in "Part I, Item 1A. Risk Factors" of our Annual Report on Form 10-K for the year ended December 31, 2025, except for the risk factors noted below.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competition, which may result in others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products is highly competitive. We expect that we will face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Haduvio is approved for the treatment of chronic cough in patients with IPF and non-IPF ILD, we expect that it may compete with product candidates that may be developed for the treatment of chronic cough in patients with IPF or ILD. Development of BI 1839100, a TRPA1 antagonist by Boehringer Ingelheim for the treatment of IPF-related chronic cough and progressive pulmonary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fibrosis, was terminated in September 2025. It is possible that product candidates currently in development for the treatment of fibrosis in patients with IPF and ILD could, if approved, reduce the need for therapies to treat chronic cough in patients with IPF and non-IPF ILD. We expect that Haduvio might also compete with other product candidates currently in development, for the treatment of patients with RCC that might be used off-label to treat IPF-related chronic cough.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patients with RCC, we expect that it may compete with product candidates in clinical development for the treatment of patients with RCC. Gefapixant, a P2X3 antagonist, which was developed by Merck &amp; Co., Inc., or Merck, is approved for refractory or unexplained chronic cough in Japan, the United Kingdom, Switzerland, and the E.U. The application filed with the FDA was withdrawn and Merck indicated it does not plan to refile. Camlipixant, a P2x3 antagonist, which was being developed by GSK plc., will not progress further with development in RCC as of July 2026. Other product candidates that are currently in development for the treatment of patients with RCC include taplucainium (formerly NTX-1175), a charged sodium channel blocker, which is being developed by Nocion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not specifically approved to treat chronic cough including benzonatate, opioids, corticosteroids,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currently eligible to use the scaled disclosure accommodations available to</w:t>
      </w:r>
      <w:r>
        <w:rPr>
          <w:rFonts w:ascii="Times New Roman" w:hAnsi="Times New Roman"/>
          <w:color w:val="000000"/>
          <w:sz w:val="20"/>
        </w:rPr>
        <w:t xml:space="preserve"> “</w:t>
      </w:r>
      <w:r>
        <w:rPr>
          <w:rFonts w:ascii="Times New Roman" w:hAnsi="Times New Roman"/>
          <w:b/>
          <w:i/>
          <w:color w:val="000000"/>
          <w:sz w:val="20"/>
        </w:rPr>
        <w:t>smaller reporting companies”, and our use of such scaled disclosure accommodations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eligible to use the scaled disclosure accommodations available to “smaller reporting companies.” These scaled disclosure accommodations include simplified executive compensation disclosure and certain other decreased disclosure obligations in SEC filings, including, among other things, only being required to provide two years of audited financial statements in annual reports. As of June 30, 2026, the last business day of our most recently completed second fiscal quarter, the market value of our common stock held by non-affiliates exceeded $700.0 million. As a result, we will no longer be able to use these scaled disclosure accommodations available to smaller reporting companies beginning with our Quarterly Report on Form 10-Q for the first quarter of fiscal year 2027, however we may, and we expect that we will, continue to take advantage of these scaled disclosure accommodations for the remainder of fiscal year 2026, including in our Annual Report on Form 10-K for the fiscal year ending December 31, 2026. Our use of such scaled disclosure accommodations in our SEC filings may make it harder for investors to analyze our results of operations and financial prospects and may make our common stock less attractive to investors.</w:t>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 Director and Officer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Jennifer Good, the Company's Chief Executive Officer, adopted a Rule 10b5-1 trading arrangement for the sale of common stock issuable upon the exercise of certain stock options held by Ms. Good. The trading agreement is intended to satisfy the affirmative defense conditions of Rule 10b5-1(c) of the Exchange Act. The stock options subject to this arrangement are scheduled to expire on December 20, 2027. This plan was adopted on June 11, 2026 and has an expiration date of December 31, 2026. Pursuant to the plan, the aggregate number of shares for which such options are to be exercised, and the aggregate number of shares of common stock to be sold upon exercise of those options, is not to exceed 173,684.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Michael Heffernan, a director of the Company, adopted a Rule 10b5-1 trading arrangement for the sale of common stock issuable upon the exercise of certain stock options held by Mr. Heffernan. The trading arrangement is intended to satisfy the affirmative defense conditions of Rule 10b5-1(c) of the Exchange Act. The stock options subject to this arrangement are scheduled to expire on February 27, 2027 and December 20, 2027, respectively. This plan was adopted on June 16, 2026 and has an expiration date of December 31, 2027. Pursuant to the plan, the aggregate number of shares for which such options are to be exercised, and the aggregate number of shares of common stock to be sold upon exercise of those options, is not to exceed 39,473.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other directors or officers adopted or terminated a Rule 10b5-1 trading arrangement or a non-Rule 10b5-1 trading arrangement (as defined in Item 408(c) of Regulation S-K) during the three months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8"/>
        <w:gridCol w:w="146"/>
        <w:gridCol w:w="9251"/>
      </w:tblGrid>
      <w:tr>
        <w:trPr/>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1" w:type="dxa"/>
            <w:tcBorders/>
            <w:vAlign w:val="center"/>
          </w:tcPr>
          <w:p>
            <w:pPr>
              <w:pStyle w:val="TableContents"/>
              <w:bidi w:val="0"/>
              <w:spacing w:before="0" w:after="283"/>
              <w:jc w:val="left"/>
              <w:rPr>
                <w:sz w:val="4"/>
                <w:szCs w:val="4"/>
              </w:rPr>
            </w:pPr>
            <w:r>
              <w:rPr>
                <w:sz w:val="4"/>
                <w:szCs w:val="4"/>
              </w:rPr>
            </w:r>
          </w:p>
        </w:tc>
      </w:tr>
      <w:tr>
        <w:trPr/>
        <w:tc>
          <w:tcPr>
            <w:tcW w:w="80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Amendment to the Restated Certificate of Incorporation, as amended, of Trevi Therapeutics, Inc. (incorporated by reference to Exhibit 3.1 to the Registrant’s Current Report on Form 8-K (File No. 001-38886) filed with the SEC on June 4, 2026)</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2019 Stock Incentive Plan (incorporated by reference to Exhibit 99.1 to the Registrant’s Current Report on Form 8-K (File No. 001-38886) filed with the SEC on June 4, 2026)</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Officer Pursuant to Rules 13a-14(a) or 15d-14(a) under the Securities Exchange Act of 1934, as Adopted Pursuant to Section 302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2.htm">
              <w:r>
                <w:rPr>
                  <w:rStyle w:val="InternetLink"/>
                  <w:rFonts w:ascii="Times New Roman" w:hAnsi="Times New Roman"/>
                  <w:color w:val="0000FF"/>
                  <w:sz w:val="20"/>
                  <w:u w:val="single"/>
                </w:rPr>
                <w:t>Certification of Principal Financial Officer Pursuant to Rules 13a-14(a) or 15d-14(a) under the Securities Exchange Act of 1934, as Adopted Pursuant to Section 302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David C. Hastings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David C. Hastings</w:t>
            </w:r>
          </w:p>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18" w:name="trvi-ex31_1.htm"/>
      <w:bookmarkStart w:id="19" w:name="kstrvi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901" w:type="dxa"/>
        <w:jc w:val="left"/>
        <w:tblInd w:w="0" w:type="dxa"/>
        <w:tblLayout w:type="fixed"/>
        <w:tblCellMar>
          <w:top w:w="28" w:type="dxa"/>
          <w:left w:w="28" w:type="dxa"/>
          <w:bottom w:w="28" w:type="dxa"/>
          <w:right w:w="28" w:type="dxa"/>
        </w:tblCellMar>
      </w:tblPr>
      <w:tblGrid>
        <w:gridCol w:w="1846"/>
        <w:gridCol w:w="146"/>
        <w:gridCol w:w="1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trvi-ex31_2.htm"/>
      <w:bookmarkStart w:id="21" w:name="kstrviex31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C.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106" w:type="dxa"/>
        <w:jc w:val="left"/>
        <w:tblInd w:w="0" w:type="dxa"/>
        <w:tblLayout w:type="fixed"/>
        <w:tblCellMar>
          <w:top w:w="28" w:type="dxa"/>
          <w:left w:w="28" w:type="dxa"/>
          <w:bottom w:w="28" w:type="dxa"/>
          <w:right w:w="28" w:type="dxa"/>
        </w:tblCellMar>
      </w:tblPr>
      <w:tblGrid>
        <w:gridCol w:w="1846"/>
        <w:gridCol w:w="1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rvi-ex32_1.htm"/>
      <w:bookmarkStart w:id="23" w:name="kstrviex32_1"/>
      <w:bookmarkEnd w:id="22"/>
      <w:bookmarkEnd w:id="2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June 30, 2026,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5" w:type="dxa"/>
        <w:jc w:val="left"/>
        <w:tblInd w:w="0" w:type="dxa"/>
        <w:tblLayout w:type="fixed"/>
        <w:tblCellMar>
          <w:top w:w="28" w:type="dxa"/>
          <w:left w:w="28" w:type="dxa"/>
          <w:bottom w:w="28" w:type="dxa"/>
          <w:right w:w="28" w:type="dxa"/>
        </w:tblCellMar>
      </w:tblPr>
      <w:tblGrid>
        <w:gridCol w:w="1846"/>
        <w:gridCol w:w="1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rvi-ex32_2.htm"/>
      <w:bookmarkStart w:id="25" w:name="kstrviex32_2"/>
      <w:bookmarkEnd w:id="24"/>
      <w:bookmarkEnd w:id="2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June 30, 2026, as filed with the Securities and Exchange Commission on the date hereof (the “Report”), the undersigned, David C. Hastings, Chief Financial Officer of the Company, hereby certifies, pursuant to 18 U.S.C. Section 1350, as adopted pursuant to Section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63880/000119312526257365/trvi-20260603.htm" TargetMode="External"/><Relationship Id="rId3" Type="http://schemas.openxmlformats.org/officeDocument/2006/relationships/hyperlink" Target="https://www.sec.gov/ix?doc=/Archives/edgar/data/0001563880/000119312526257365/trvi-2026060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20080</Words>
  <Characters>111090</Characters>
  <CharactersWithSpaces>131963</CharactersWithSpaces>
  <Paragraphs>4509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