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vi-20240630.htm"/>
      <w:bookmarkStart w:id="1" w:name="kstrvi20240630"/>
      <w:bookmarkEnd w:id="0"/>
      <w:bookmarkEnd w:id="1"/>
      <w:r>
        <w:rPr/>
        <w:t> </w:t>
      </w:r>
    </w:p>
    <w:p>
      <w:pPr>
        <w:pStyle w:val="TextBody"/>
        <w:pBdr>
          <w:bottom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222222"/>
          <w:sz w:val="20"/>
        </w:rPr>
        <w:t>001-38886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TREVI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45-0834299</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 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195 Church Street, 16</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New Haven, Connecticut</w:t>
            </w:r>
            <w:r>
              <w:rPr>
                <w:rFonts w:ascii="Times New Roman" w:hAnsi="Times New Roman"/>
                <w:color w:val="000000"/>
                <w:sz w:val="20"/>
              </w:rPr>
              <w:t xml:space="preserve">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(203) 304-2499</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TRVI</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July 31, 2024, the registrant had 72,591,917</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 AND INDUSTRY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Quarterly Report on Form 10-Q include, among other things,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including our Phase 2b CORAL clinical trial of Haduvio for the treatment of chronic cough in idiopathic pulmonary fibrosis, or IPF, our Phase 2a RIVER clinical trial of Haduvio for the treatment of refractory chronic cough, or RCC, and our Phase 1b TIDAL study to evaluate the effect of Haduvio on respiratory physiology in patients with IPF of varying disease severity as well as our human abuse potential, or HAP, study to compare the abuse potential of oral nalbuphine to intravenous, or IV, butorphanol;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develop and, if approved, subsequently commercialize Haduvio for the treatment of chronic cough in IPF and RCC and for the treatment of prurigo nodularis;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timing for the initiation of clinical trials and the reporting of data from such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our ability to submit applications for and to obtain and maintain regulatory approvals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fund our operating expenses, including our ongoing and planned clinical trials, with our cash, cash equivalents and marketable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timing of any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120" w:after="283"/>
        <w:jc w:val="left"/>
        <w:rPr>
          <w:rFonts w:ascii="Times New Roman" w:hAnsi="Times New Roman"/>
          <w:sz w:val="20"/>
        </w:rPr>
      </w:pPr>
      <w:r>
        <w:rPr>
          <w:rFonts w:ascii="Times New Roman" w:hAnsi="Times New Roman"/>
          <w:color w:val="000000"/>
          <w:sz w:val="20"/>
        </w:rPr>
        <w:t>We own or have rights to trademarks, service marks and trade names that we use in connection with the operation of our business, including our corporate name, logos and website names. We own the trademarks Trevi</w:t>
      </w:r>
      <w:r>
        <w:rPr>
          <w:rFonts w:ascii="Times New Roman" w:hAnsi="Times New Roman"/>
          <w:color w:val="000000"/>
          <w:sz w:val="13"/>
        </w:rPr>
        <w:t>®</w:t>
      </w:r>
      <w:r>
        <w:rPr>
          <w:rFonts w:ascii="Times New Roman" w:hAnsi="Times New Roman"/>
          <w:color w:val="000000"/>
          <w:sz w:val="20"/>
        </w:rPr>
        <w:t xml:space="preserve">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w:t>
      </w:r>
      <w:r>
        <w:rPr>
          <w:rFonts w:ascii="Times New Roman" w:hAnsi="Times New Roman"/>
          <w:color w:val="000000"/>
          <w:sz w:val="13"/>
        </w:rPr>
        <w:t>®</w:t>
      </w:r>
      <w:r>
        <w:rPr>
          <w:rFonts w:ascii="Times New Roman" w:hAnsi="Times New Roman"/>
          <w:color w:val="000000"/>
          <w:sz w:val="20"/>
        </w:rPr>
        <w:t xml:space="preserve"> and  symbols, but we will assert, to the fullest extent under applicable law, our rights to our trademarks, service marks and trade names. We intend to propose Haduvio as the trade name for our oral nalbuphine ER investigational product.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principal factors that make an investment in our company speculative or risky. This summary does not address all of the risks and uncertainties that we face. Additional risks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inception and expect to continue to incur significant and increasing losses for the foreseeable future. We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If we are unable to raise sufficient capital when needed on acceptable terms or at all, we could be forced to delay, reduce or abandon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delays may affect the timing and costs of our planned or ongoing clinical trials and may affect our ability to complete planned or ongoing trials with our existing cash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clinical trials may not be predictive of the success of later clinical trials. For instance, Haduvio may fail to show the desired safety and efficacy in clinical development despite demonstrating positive results in earlier clinical trials. The results of our Phase 2 clinical trial of Haduvio for the treatment of chronic cough in IPF, which we refer to as the Phase 2 CANAL trial, may not be predictive of the results of future trials of Haduvio for the treatment of chronic cough in IPF or other chronic cough indications such as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delays and difficulties in the enrollment of patients in our clinical trials in the past, including in our Phase 2 CANAL trial. If we experience delays or difficulties in the enrollment of patients in current or future clinical trials, our receipt of necessary regulatory approvals could be delayed or prevented. Other companies are conducting clinical trials or have announced plans for future clinical trials that are seeking or are likely to seek to enroll patients with chronic cough with IPF, IPF, and RCC, and patients are generally only able to enroll in a single trial at a time. In addition, many patients use various treatments off-label to treat chronic cough associated with IPF and RCC, and these patients and their physicians may be reluctant to forgo, discontinue or otherwise alter their use of such off-label therapeutic approaches to participate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drug development involves a lengthy and expensive process with an uncertain outcome. Even if we complete the necessary preclinical studies and clinical trials, the regulatory approval process is uncertain, which may prevent us from obtaining approvals for the commercialization of Haduvio or any future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or undesirable side effects caused by, or other unexpected properties of, Haduvio or any future project candidate may be identified during development and could delay or prevent the marketing approval or limit the use of Haduvio or any future product candidate.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drug label for nalbuphine, the active ingredient in Haduvio, carries an opioid class label warning for serious, life-threatening or fatal respiratory depression and Haduvio, if approved for marketing in any indication, will likely carry a similar opioid class label. We are conducting our Phase 1b TIDAL study to evaluate the effect of Haduvio on respiratory physiology in patients with IPF of varying disease severity. We cannot be certain that respiratory depression will not be observed or that the U.S. Food and Drug Administration, or FDA, will not require additional trials or impose more severe labeling restrictions related to respiratory depression. If there is a safety signal in the Phase 1b study, it could affect our ability to conduct a trial in this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currently approved μ-opioid products are subject to restrictive marketing and distribution regulations which, if applied to Haduvio, could potentially restrict its use and harm our ability to generate profits. We are conducting a HAP study to compare the abuse potential of oral nalbuphine to IV butorphanol. If the results of the HAP study suggest that Haduvio may carry risks of misuse, abuse or addiction or even if the trial indicates that Haduvio does not carry such risks, the FDA may require us to implement a Risk Evaluation and Mitigation Strategy in connection with any commercialization of Haduvio and the U.S. Drug Enforcement Agency could determine that Haduvio should be classified as a controlled substance.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others developing or commercializing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contract with third parties to conduct our clinical trials and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of_stockholders_e">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8"/>
        <w:gridCol w:w="146"/>
        <w:gridCol w:w="211"/>
        <w:gridCol w:w="841"/>
        <w:gridCol w:w="166"/>
        <w:gridCol w:w="146"/>
        <w:gridCol w:w="213"/>
        <w:gridCol w:w="851"/>
        <w:gridCol w:w="613"/>
      </w:tblGrid>
      <w:tr>
        <w:trPr/>
        <w:tc>
          <w:tcPr>
            <w:tcW w:w="7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8" w:type="dxa"/>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br/>
            </w:r>
            <w:r>
              <w:rPr>
                <w:rFonts w:ascii="Times New Roman" w:hAnsi="Times New Roman"/>
                <w:color w:val="000000"/>
                <w:sz w:val="16"/>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32,397</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56,532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50,574</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Prepaid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3,621</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72,129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87,547</w:t>
            </w:r>
          </w:p>
        </w:tc>
        <w:tc>
          <w:tcPr>
            <w:tcW w:w="613" w:type="dxa"/>
            <w:tcBorders/>
            <w:shd w:fill="CFF0FC" w:val="cle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1,137</w:t>
            </w:r>
          </w:p>
        </w:tc>
        <w:tc>
          <w:tcPr>
            <w:tcW w:w="613" w:type="dxa"/>
            <w:tcBorders/>
            <w:shd w:fill="FFFFFF" w:val="cle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Finance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w:t>
            </w:r>
          </w:p>
        </w:tc>
        <w:tc>
          <w:tcPr>
            <w:tcW w:w="613" w:type="dxa"/>
            <w:tcBorders/>
            <w:shd w:fill="CFF0FC" w:val="cle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equipment and leasehold improvements,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w:t>
            </w:r>
          </w:p>
        </w:tc>
        <w:tc>
          <w:tcPr>
            <w:tcW w:w="613" w:type="dxa"/>
            <w:tcBorders/>
            <w:shd w:fill="FFFFFF" w:val="cle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89,403</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Finance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701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6,752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5,824</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1,001</w:t>
            </w:r>
          </w:p>
        </w:tc>
        <w:tc>
          <w:tcPr>
            <w:tcW w:w="613" w:type="dxa"/>
            <w:tcBorders/>
            <w:shd w:fill="FFFFFF" w:val="cle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Finance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613" w:type="dxa"/>
            <w:tcBorders/>
            <w:shd w:fill="CFF0FC" w:val="clear"/>
            <w:vAlign w:val="center"/>
          </w:tcPr>
          <w:p>
            <w:pPr>
              <w:pStyle w:val="TableContents"/>
              <w:bidi w:val="0"/>
              <w:spacing w:before="0" w:after="283"/>
              <w:ind w:left="0" w:right="0" w:firstLine="400"/>
              <w:jc w:val="left"/>
              <w:rPr/>
            </w:pPr>
            <w:r>
              <w:rPr/>
              <w:t> </w:t>
            </w:r>
          </w:p>
        </w:tc>
      </w:tr>
      <w:tr>
        <w:trPr/>
        <w:tc>
          <w:tcPr>
            <w:tcW w:w="701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7,636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6,856</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12)</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9"/>
              </w:rPr>
              <w:t>Preferred stock: $0.001</w:t>
            </w:r>
            <w:r>
              <w:rPr>
                <w:rFonts w:ascii="Times New Roman" w:hAnsi="Times New Roman"/>
                <w:color w:val="000000"/>
                <w:sz w:val="20"/>
              </w:rPr>
              <w:t> </w:t>
            </w:r>
            <w:r>
              <w:rPr>
                <w:rFonts w:ascii="Times New Roman" w:hAnsi="Times New Roman"/>
                <w:color w:val="000000"/>
                <w:sz w:val="19"/>
              </w:rPr>
              <w:t>par value; 5,000,000</w:t>
            </w:r>
            <w:r>
              <w:rPr>
                <w:rFonts w:ascii="Times New Roman" w:hAnsi="Times New Roman"/>
                <w:color w:val="000000"/>
                <w:sz w:val="20"/>
              </w:rPr>
              <w:t> </w:t>
            </w:r>
            <w:r>
              <w:rPr>
                <w:rFonts w:ascii="Times New Roman" w:hAnsi="Times New Roman"/>
                <w:color w:val="000000"/>
                <w:sz w:val="19"/>
              </w:rPr>
              <w:t>shares authorized at June 30, 2024 and December 31, 2023; no</w:t>
            </w:r>
            <w:r>
              <w:rPr>
                <w:rFonts w:ascii="Times New Roman" w:hAnsi="Times New Roman"/>
                <w:color w:val="000000"/>
                <w:sz w:val="20"/>
              </w:rPr>
              <w:t> </w:t>
            </w:r>
            <w:r>
              <w:rPr>
                <w:rFonts w:ascii="Times New Roman" w:hAnsi="Times New Roman"/>
                <w:color w:val="000000"/>
                <w:sz w:val="19"/>
              </w:rPr>
              <w:t>shares issued or outstanding at June 30,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9"/>
              </w:rPr>
              <w:t>Common stock: $0.001</w:t>
            </w:r>
            <w:r>
              <w:rPr>
                <w:rFonts w:ascii="Times New Roman" w:hAnsi="Times New Roman"/>
                <w:color w:val="000000"/>
                <w:sz w:val="20"/>
              </w:rPr>
              <w:t> </w:t>
            </w:r>
            <w:r>
              <w:rPr>
                <w:rFonts w:ascii="Times New Roman" w:hAnsi="Times New Roman"/>
                <w:color w:val="000000"/>
                <w:sz w:val="19"/>
              </w:rPr>
              <w:t>par value; 200,000,000</w:t>
            </w:r>
            <w:r>
              <w:rPr>
                <w:rFonts w:ascii="Times New Roman" w:hAnsi="Times New Roman"/>
                <w:color w:val="000000"/>
                <w:sz w:val="20"/>
              </w:rPr>
              <w:t> </w:t>
            </w:r>
            <w:r>
              <w:rPr>
                <w:rFonts w:ascii="Times New Roman" w:hAnsi="Times New Roman"/>
                <w:color w:val="000000"/>
                <w:sz w:val="19"/>
              </w:rPr>
              <w:t>shares authorized at June 30, 2024 and December 31, 2023; and 72,591,917</w:t>
            </w:r>
            <w:r>
              <w:rPr>
                <w:rFonts w:ascii="Times New Roman" w:hAnsi="Times New Roman"/>
                <w:color w:val="000000"/>
                <w:sz w:val="20"/>
              </w:rPr>
              <w:t> </w:t>
            </w:r>
            <w:r>
              <w:rPr>
                <w:rFonts w:ascii="Times New Roman" w:hAnsi="Times New Roman"/>
                <w:color w:val="000000"/>
                <w:sz w:val="19"/>
              </w:rPr>
              <w:t>and 68,283,699</w:t>
            </w:r>
            <w:r>
              <w:rPr>
                <w:rFonts w:ascii="Times New Roman" w:hAnsi="Times New Roman"/>
                <w:color w:val="000000"/>
                <w:sz w:val="20"/>
              </w:rPr>
              <w:t> </w:t>
            </w:r>
            <w:r>
              <w:rPr>
                <w:rFonts w:ascii="Times New Roman" w:hAnsi="Times New Roman"/>
                <w:color w:val="000000"/>
                <w:sz w:val="19"/>
              </w:rPr>
              <w:t>shares issued and outstanding at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328,573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321,642</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(239,134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1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82,547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89,403</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4"/>
        <w:gridCol w:w="146"/>
        <w:gridCol w:w="211"/>
        <w:gridCol w:w="1141"/>
        <w:gridCol w:w="166"/>
        <w:gridCol w:w="146"/>
        <w:gridCol w:w="211"/>
        <w:gridCol w:w="1036"/>
        <w:gridCol w:w="166"/>
        <w:gridCol w:w="146"/>
        <w:gridCol w:w="211"/>
        <w:gridCol w:w="1141"/>
        <w:gridCol w:w="166"/>
        <w:gridCol w:w="146"/>
        <w:gridCol w:w="211"/>
        <w:gridCol w:w="1036"/>
        <w:gridCol w:w="611"/>
      </w:tblGrid>
      <w:tr>
        <w:trPr/>
        <w:tc>
          <w:tcPr>
            <w:tcW w:w="3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31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1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31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1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1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in net loss per share</w:t>
              <w:br/>
              <w:t>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101,041,573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98,698,579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100,279,393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98,654,868</w:t>
            </w:r>
          </w:p>
        </w:tc>
        <w:tc>
          <w:tcPr>
            <w:tcW w:w="611" w:type="dxa"/>
            <w:tcBorders/>
            <w:shd w:fill="FFFFFF" w:val="clear"/>
            <w:vAlign w:val="center"/>
          </w:tcPr>
          <w:p>
            <w:pPr>
              <w:pStyle w:val="TableContents"/>
              <w:bidi w:val="0"/>
              <w:spacing w:before="0" w:after="283"/>
              <w:jc w:val="left"/>
              <w:rPr/>
            </w:pPr>
            <w:r>
              <w:rPr/>
              <w:t> </w:t>
            </w:r>
          </w:p>
        </w:tc>
      </w:tr>
      <w:tr>
        <w:trPr/>
        <w:tc>
          <w:tcPr>
            <w:tcW w:w="3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(13,546</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331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unrealized losses on available-for-sale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solidated_statement_of_stockholders_e"/>
      <w:bookmarkEnd w:id="6"/>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1"/>
        <w:gridCol w:w="146"/>
        <w:gridCol w:w="146"/>
        <w:gridCol w:w="916"/>
        <w:gridCol w:w="146"/>
        <w:gridCol w:w="146"/>
        <w:gridCol w:w="271"/>
        <w:gridCol w:w="480"/>
        <w:gridCol w:w="146"/>
        <w:gridCol w:w="146"/>
        <w:gridCol w:w="205"/>
        <w:gridCol w:w="726"/>
        <w:gridCol w:w="166"/>
        <w:gridCol w:w="146"/>
        <w:gridCol w:w="502"/>
        <w:gridCol w:w="837"/>
        <w:gridCol w:w="166"/>
        <w:gridCol w:w="146"/>
        <w:gridCol w:w="233"/>
        <w:gridCol w:w="893"/>
        <w:gridCol w:w="166"/>
        <w:gridCol w:w="146"/>
        <w:gridCol w:w="246"/>
        <w:gridCol w:w="870"/>
        <w:gridCol w:w="213"/>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shd w:fill="FFFFFF" w:val="cle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2024</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68,960,167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322,368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(250,036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72,334</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at-the-market sales agreement, net of commissions and allocated fees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4,834</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Employee Stock Purchase Plan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pre-funded warrant 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losses on available-for-sale marketable securities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2024</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72,591,917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66,174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60,065,408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318,230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(216,470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101,732</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Employee Stock Purchase Plan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pre-funded warrant 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losses on available-for-sale marketable securities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2023</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63,098,455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95,073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1"/>
        <w:gridCol w:w="146"/>
        <w:gridCol w:w="146"/>
        <w:gridCol w:w="916"/>
        <w:gridCol w:w="146"/>
        <w:gridCol w:w="146"/>
        <w:gridCol w:w="271"/>
        <w:gridCol w:w="480"/>
        <w:gridCol w:w="146"/>
        <w:gridCol w:w="146"/>
        <w:gridCol w:w="205"/>
        <w:gridCol w:w="726"/>
        <w:gridCol w:w="166"/>
        <w:gridCol w:w="146"/>
        <w:gridCol w:w="502"/>
        <w:gridCol w:w="837"/>
        <w:gridCol w:w="166"/>
        <w:gridCol w:w="146"/>
        <w:gridCol w:w="233"/>
        <w:gridCol w:w="893"/>
        <w:gridCol w:w="166"/>
        <w:gridCol w:w="146"/>
        <w:gridCol w:w="246"/>
        <w:gridCol w:w="870"/>
        <w:gridCol w:w="213"/>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shd w:fill="FFFFFF" w:val="cle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68,283,699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(239,134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82,547</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1,850</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at-the-market sales agreement, net of commissions and allocated fees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4,834</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Employee Stock Purchase Plan</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pre-funded warrant exercise</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2,673,099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losses on available-for-sale marketable securities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72,591,917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66,174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3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59,943,430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(210,069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107,459</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Employee Stock Purchase Plan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pre-funded warrant exercise</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losses on available-for-sale marketable securities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2023</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63,098,455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95,073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left"/>
        <w:rPr/>
      </w:pPr>
      <w:r>
        <w:rPr/>
        <w:t> </w:t>
      </w:r>
    </w:p>
    <w:tbl>
      <w:tblPr>
        <w:tblW w:w="9194" w:type="dxa"/>
        <w:jc w:val="left"/>
        <w:tblInd w:w="0" w:type="dxa"/>
        <w:tblLayout w:type="fixed"/>
        <w:tblCellMar>
          <w:top w:w="28" w:type="dxa"/>
          <w:left w:w="28" w:type="dxa"/>
          <w:bottom w:w="28" w:type="dxa"/>
          <w:right w:w="28" w:type="dxa"/>
        </w:tblCellMar>
      </w:tblPr>
      <w:tblGrid>
        <w:gridCol w:w="6031"/>
        <w:gridCol w:w="146"/>
        <w:gridCol w:w="211"/>
        <w:gridCol w:w="736"/>
        <w:gridCol w:w="166"/>
        <w:gridCol w:w="146"/>
        <w:gridCol w:w="211"/>
        <w:gridCol w:w="736"/>
        <w:gridCol w:w="8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(23,254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(13,546</w:t>
            </w:r>
          </w:p>
        </w:tc>
        <w:tc>
          <w:tcPr>
            <w:tcW w:w="8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1,183</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Accretion of available-for-sale marketable securities,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(717</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(1,302</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Accretion/accrual of term loan discounts and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Loss on disposal of property, equipment and 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8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(2,489</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(1,506</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(18,072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of available-for-sale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34,927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37,679</w:t>
            </w:r>
          </w:p>
        </w:tc>
        <w:tc>
          <w:tcPr>
            <w:tcW w:w="8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available-for-sale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(40,222</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(8,981</w:t>
            </w:r>
          </w:p>
        </w:tc>
        <w:tc>
          <w:tcPr>
            <w:tcW w:w="8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equipment and 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Net cash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28,601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at-the-market sales, net of commissions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exercises of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w:t>
            </w:r>
          </w:p>
        </w:tc>
        <w:tc>
          <w:tcPr>
            <w:tcW w:w="8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employee stock purchase plan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8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of finance lease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8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Repayments of term loan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(9,409</w:t>
            </w:r>
          </w:p>
        </w:tc>
        <w:tc>
          <w:tcPr>
            <w:tcW w:w="8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of offering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Net 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5,039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(9,366</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(19,434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1,163</w:t>
            </w:r>
          </w:p>
        </w:tc>
        <w:tc>
          <w:tcPr>
            <w:tcW w:w="8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12,589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13,752</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Nature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Trevi Therapeutics, Inc. (“Trevi” or the “Company”) is a clinical-stage biopharmaceutical company focused on the development and commercialization of the investigational therapy Haduvio (oral nalbuphine ER) for the treatment of chronic cough in idiopathic pulmonary fibrosis (“IPF”) and refractory chronic cough. Haduvio is an oral extended-release formulation of nalbuphine. Nalbuphine is a mixed κ-opioid receptor agonist and μ-opioid receptor antagonist that has been approved and marketed as an injectable for pain indications for more than 30 years in the United States (“U.S.”) and Europe. The κ- and μ-opioid receptors are known to be critical mediators of cough. Nalbuphine’s mechanism of action also mitigates the risk of abuse associated with μ-opioid agonists because it antagonizes, or blocks, the μ-opioid receptor. Parenteral nalbuphine is not scheduled as a controlled substance in the U.S. and most of Europe.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for the three and six months ended June 30, 2024 and 2023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accounts of Trevi Therapeutics, Inc. and its wholly-owned subsidiary Trevi Therapeutics Limited. Intercompany balances and transactions have been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amounts presented are in thousands of dollars, except share and per share amounts, unless noted otherwise. The Company has evaluated events occurring subsequent to June 30, 2024 for potential recognition or disclosure in the Condensed Consolidated Financial Statements and concluded there were no subsequent events that required recognition or disclosure.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Consolidated Balance Sheet as of June 30, 2024 and the Condensed Consolidated Statements of Comprehensive Loss, the Condensed Consolidated Statements of Stockholders’ Equity and the Condensed Consolidated Statements of Cash Flows for the three and six months ended June 30, 2024 and 2023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June 30, 2024 and the results of its operations and its cash flows for the three and six months ended June 30, 2024 and 2023. The results for the three and six months ended June 30, 2024 and 2023 are not necessarily indicative of results to be expected for the year ending December 31, 2024 or any other interim period or any future year or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short-term, highly liquid investments with an original term of three months or less at the date of purchase as cash equivalents.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generally invests its excess cash in money market funds and investment grade short- to intermediate-term fixed income securities. Such investments are included in cash and cash equivalents or marketable securities on the Condensed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For securities with unrealized gains and losses, when the Company expects to receive cash flows sufficient to recover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amortized cost basis of a security, such gains and losses are included in accumulated other comprehensive income as a component of stockholders’ equity. Credit losses are identified when the Company does not expect to receive cash flows sufficient to recover the amortized cost basis of a security. In the event of a credit loss, only the amount associated with the credit loss is recognized in interest income, net on the Condensed Consolidated Statements of Comprehensive Loss. The amortized cost of debt securities is adjusted for amortization of premiums and accretion of discounts to maturity, which is included in interest income, net on the Condensed Consolidated Statements of Comprehensive Loss. Realized gains and losses, if any, on marketable securities are included in interest income, net on the Condensed Consolidated Statements of Comprehensive Loss. The cost of securities sold is determined using specific identification.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whether declines in the fair values of its marketable securities below their amortized cost are credit losses on a quarterly basis. This evaluation consists of several qualitative and quantitative factors regarding the severity and duration of the unrealized loss, as well as the Company’s ability and intent to hold the marketable security until a forecasted recovery occurs. Additionally,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instruments have consisted of cash and cash equivalents, available-for-sale marketable securities, other current assets, accounts payable, accrued expenses, term loans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warrants to acquire the Company’s common stock are not required to be accounted for at fair value.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Current accounting guidance defines fair value, establishes a framework for measuring fair value in accordance with Accounting Standards Codification (“ASC”) 820, </w:t>
      </w:r>
      <w:r>
        <w:rPr>
          <w:rFonts w:ascii="Times New Roman" w:hAnsi="Times New Roman"/>
          <w:i/>
          <w:color w:val="000000"/>
          <w:sz w:val="20"/>
        </w:rPr>
        <w:t>Fair Value Measurements and Disclosures,</w:t>
      </w:r>
      <w:r>
        <w:rPr>
          <w:rFonts w:ascii="Times New Roman" w:hAnsi="Times New Roman"/>
          <w:color w:val="000000"/>
          <w:sz w:val="20"/>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inputs—quoted prices in active markets for identical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inputs—includes amounts derived from valuation models where one or more significant inputs are unobservable and require the company to develop relevant assumptions.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Valuation Techniques - Level 2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values of its financial instruments categorized as level 2 in the fair value hierarchy, including U.S. treasury securities, U.S. government agency obligations, corporate bonds, commercial paper, asset-backed securities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Equipment and Leasehold Improvements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other income, net in the Condensed Consolidated Statements of Comprehensive Loss.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general and administrative expenses. The deferred offering costs are included in Other current and non-current assets on the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(“R&amp;D”)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R&amp;D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costs in connection with filing and prosecuting patent applications are expensed to general and administrative expense as incurred, as recoverability of such expenditures is uncertain.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determines the accounting classification of warrants that are issued, as either liability or equity, by first assessing whether the warrants meet liability classification in accordance with ASC 480, </w:t>
      </w:r>
      <w:r>
        <w:rPr>
          <w:rFonts w:ascii="Times New Roman" w:hAnsi="Times New Roman"/>
          <w:i/>
          <w:color w:val="000000"/>
          <w:sz w:val="20"/>
        </w:rPr>
        <w:t xml:space="preserve">Distinguishing Liabilities from Equity </w:t>
      </w:r>
      <w:r>
        <w:rPr>
          <w:rFonts w:ascii="Times New Roman" w:hAnsi="Times New Roman"/>
          <w:color w:val="000000"/>
          <w:sz w:val="20"/>
        </w:rPr>
        <w:t xml:space="preserve">(“ASC 480”), and then in accordance with ASC 815, </w:t>
      </w:r>
      <w:r>
        <w:rPr>
          <w:rFonts w:ascii="Times New Roman" w:hAnsi="Times New Roman"/>
          <w:i/>
          <w:color w:val="000000"/>
          <w:sz w:val="20"/>
        </w:rPr>
        <w:t>Derivatives and Hedging</w:t>
      </w:r>
      <w:r>
        <w:rPr>
          <w:rFonts w:ascii="Times New Roman" w:hAnsi="Times New Roman"/>
          <w:color w:val="000000"/>
          <w:sz w:val="20"/>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stock-based compensation arrangements with employees and non-employees for consultancy services in accordance with ASC 718, </w:t>
      </w:r>
      <w:r>
        <w:rPr>
          <w:rFonts w:ascii="Times New Roman" w:hAnsi="Times New Roman"/>
          <w:i/>
          <w:color w:val="000000"/>
          <w:sz w:val="20"/>
        </w:rPr>
        <w:t xml:space="preserve">Stock Compensation </w:t>
      </w:r>
      <w:r>
        <w:rPr>
          <w:rFonts w:ascii="Times New Roman" w:hAnsi="Times New Roman"/>
          <w:color w:val="000000"/>
          <w:sz w:val="20"/>
        </w:rPr>
        <w:t>(“ASC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variables can materially affect the fair value and ultimately how much stock-based compensation expense is recognized. These inputs are subjective and generally require analysis and judgment to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Dividend—The Black-Scholes valuation model calls for a single expected dividend yield as an input. The Company currently has no history or expectation of paying cash dividends on its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Risk-Free Interest Rate—The risk-free interest rate is based on the yield available on U.S. Treasury zero-coupon issues similar in duration to the expected term of the stock-based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applies the provisions of ASC 740, </w:t>
      </w:r>
      <w:r>
        <w:rPr>
          <w:rFonts w:ascii="Times New Roman" w:hAnsi="Times New Roman"/>
          <w:i/>
          <w:color w:val="000000"/>
          <w:sz w:val="20"/>
        </w:rPr>
        <w:t>Income Taxes</w:t>
      </w:r>
      <w:r>
        <w:rPr>
          <w:rFonts w:ascii="Times New Roman" w:hAnsi="Times New Roman"/>
          <w:color w:val="000000"/>
          <w:sz w:val="20"/>
        </w:rPr>
        <w:t>,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June 30, 2024 and December 31, 2023. The Company does not have any interest or penalties accrued related to tax positions as it does not have any unrecognized tax benefits.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ASC 842, </w:t>
      </w:r>
      <w:r>
        <w:rPr>
          <w:rFonts w:ascii="Times New Roman" w:hAnsi="Times New Roman"/>
          <w:i/>
          <w:color w:val="000000"/>
          <w:sz w:val="20"/>
        </w:rPr>
        <w:t>Leases</w:t>
      </w:r>
      <w:r>
        <w:rPr>
          <w:rFonts w:ascii="Times New Roman" w:hAnsi="Times New Roman"/>
          <w:color w:val="000000"/>
          <w:sz w:val="20"/>
        </w:rPr>
        <w:t>,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 of use to an underlying asset for the term of the lease and the lease liability represents the Company’s obligation to make lease payments arising from the lease. If the Company’s leases do not provide an implicit rate within the lease, the Company uses its incremental borrowing rate, based on information available at the commencement date of the lease to determine the present value of the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Basic and Diluted 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reporting segment which is also the Company’s only operating segment. Management uses one measurement of profitability and does not segregate its business for internal reporting. All long-lived assets are maintained in the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new pronouncements adopted during the six months ended June 30,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segment disclosures and reconciliation requirements in ASC 280, </w:t>
      </w:r>
      <w:r>
        <w:rPr>
          <w:rFonts w:ascii="Times New Roman" w:hAnsi="Times New Roman"/>
          <w:i/>
          <w:color w:val="000000"/>
          <w:sz w:val="20"/>
        </w:rPr>
        <w:t>Segment Reporting</w:t>
      </w:r>
      <w:r>
        <w:rPr>
          <w:rFonts w:ascii="Times New Roman" w:hAnsi="Times New Roman"/>
          <w:color w:val="000000"/>
          <w:sz w:val="20"/>
        </w:rPr>
        <w:t>,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w:t>
      </w:r>
      <w:r>
        <w:rPr>
          <w:rFonts w:ascii="Times New Roman" w:hAnsi="Times New Roman"/>
          <w:color w:val="000000"/>
          <w:sz w:val="20"/>
        </w:rPr>
        <w:t>, which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of adopting ASU 2023-09.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and amortized cost of available-for-sale marketable securities by major security type are presented in the following tables as of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4"/>
        <w:gridCol w:w="146"/>
        <w:gridCol w:w="307"/>
        <w:gridCol w:w="987"/>
        <w:gridCol w:w="146"/>
        <w:gridCol w:w="146"/>
        <w:gridCol w:w="673"/>
        <w:gridCol w:w="1106"/>
        <w:gridCol w:w="146"/>
        <w:gridCol w:w="146"/>
        <w:gridCol w:w="653"/>
        <w:gridCol w:w="1167"/>
        <w:gridCol w:w="166"/>
        <w:gridCol w:w="146"/>
        <w:gridCol w:w="384"/>
        <w:gridCol w:w="1237"/>
        <w:gridCol w:w="295"/>
      </w:tblGrid>
      <w:tr>
        <w:trPr/>
        <w:tc>
          <w:tcPr>
            <w:tcW w:w="2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30,221</w:t>
            </w:r>
          </w:p>
        </w:tc>
        <w:tc>
          <w:tcPr>
            <w:tcW w:w="295" w:type="dxa"/>
            <w:tcBorders/>
            <w:shd w:fill="CFF0FC" w:val="clear"/>
            <w:vAlign w:val="center"/>
          </w:tcPr>
          <w:p>
            <w:pPr>
              <w:pStyle w:val="TableContents"/>
              <w:bidi w:val="0"/>
              <w:spacing w:before="0" w:after="283"/>
              <w:jc w:val="left"/>
              <w:rPr/>
            </w:pPr>
            <w:r>
              <w:rPr/>
              <w:t> </w:t>
            </w:r>
          </w:p>
        </w:tc>
      </w:tr>
      <w:tr>
        <w:trPr/>
        <w:tc>
          <w:tcPr>
            <w:tcW w:w="2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295" w:type="dxa"/>
            <w:tcBorders/>
            <w:shd w:fill="FFFFFF" w:val="clear"/>
            <w:vAlign w:val="center"/>
          </w:tcPr>
          <w:p>
            <w:pPr>
              <w:pStyle w:val="TableContents"/>
              <w:bidi w:val="0"/>
              <w:spacing w:before="0" w:after="283"/>
              <w:jc w:val="left"/>
              <w:rPr/>
            </w:pPr>
            <w:r>
              <w:rPr/>
              <w:t> </w:t>
            </w:r>
          </w:p>
        </w:tc>
      </w:tr>
      <w:tr>
        <w:trPr/>
        <w:tc>
          <w:tcPr>
            <w:tcW w:w="2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11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295" w:type="dxa"/>
            <w:tcBorders/>
            <w:shd w:fill="CFF0FC" w:val="clear"/>
            <w:vAlign w:val="center"/>
          </w:tcPr>
          <w:p>
            <w:pPr>
              <w:pStyle w:val="TableContents"/>
              <w:bidi w:val="0"/>
              <w:spacing w:before="0" w:after="283"/>
              <w:jc w:val="left"/>
              <w:rPr/>
            </w:pPr>
            <w:r>
              <w:rPr/>
              <w:t> </w:t>
            </w:r>
          </w:p>
        </w:tc>
      </w:tr>
      <w:tr>
        <w:trPr/>
        <w:tc>
          <w:tcPr>
            <w:tcW w:w="2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w:t>
            </w:r>
          </w:p>
        </w:tc>
        <w:tc>
          <w:tcPr>
            <w:tcW w:w="295" w:type="dxa"/>
            <w:tcBorders/>
            <w:shd w:fill="FFFFFF" w:val="clear"/>
            <w:vAlign w:val="center"/>
          </w:tcPr>
          <w:p>
            <w:pPr>
              <w:pStyle w:val="TableContents"/>
              <w:bidi w:val="0"/>
              <w:spacing w:before="0" w:after="283"/>
              <w:jc w:val="left"/>
              <w:rPr/>
            </w:pPr>
            <w:r>
              <w:rPr/>
              <w:t> </w:t>
            </w:r>
          </w:p>
        </w:tc>
      </w:tr>
      <w:tr>
        <w:trPr/>
        <w:tc>
          <w:tcPr>
            <w:tcW w:w="2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56,532</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4"/>
        <w:gridCol w:w="146"/>
        <w:gridCol w:w="307"/>
        <w:gridCol w:w="987"/>
        <w:gridCol w:w="146"/>
        <w:gridCol w:w="146"/>
        <w:gridCol w:w="711"/>
        <w:gridCol w:w="1068"/>
        <w:gridCol w:w="146"/>
        <w:gridCol w:w="146"/>
        <w:gridCol w:w="653"/>
        <w:gridCol w:w="1167"/>
        <w:gridCol w:w="166"/>
        <w:gridCol w:w="146"/>
        <w:gridCol w:w="384"/>
        <w:gridCol w:w="1237"/>
        <w:gridCol w:w="295"/>
      </w:tblGrid>
      <w:tr>
        <w:trPr/>
        <w:tc>
          <w:tcPr>
            <w:tcW w:w="2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45,653</w:t>
            </w:r>
          </w:p>
        </w:tc>
        <w:tc>
          <w:tcPr>
            <w:tcW w:w="295" w:type="dxa"/>
            <w:tcBorders/>
            <w:shd w:fill="CFF0FC" w:val="clear"/>
            <w:vAlign w:val="center"/>
          </w:tcPr>
          <w:p>
            <w:pPr>
              <w:pStyle w:val="TableContents"/>
              <w:bidi w:val="0"/>
              <w:spacing w:before="0" w:after="283"/>
              <w:jc w:val="left"/>
              <w:rPr/>
            </w:pPr>
            <w:r>
              <w:rPr/>
              <w:t> </w:t>
            </w:r>
          </w:p>
        </w:tc>
      </w:tr>
      <w:tr>
        <w:trPr/>
        <w:tc>
          <w:tcPr>
            <w:tcW w:w="2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295" w:type="dxa"/>
            <w:tcBorders/>
            <w:shd w:fill="FFFFFF" w:val="clear"/>
            <w:vAlign w:val="center"/>
          </w:tcPr>
          <w:p>
            <w:pPr>
              <w:pStyle w:val="TableContents"/>
              <w:bidi w:val="0"/>
              <w:spacing w:before="0" w:after="283"/>
              <w:ind w:left="0" w:right="0" w:firstLine="100"/>
              <w:jc w:val="left"/>
              <w:rPr/>
            </w:pPr>
            <w:r>
              <w:rPr/>
              <w:t> </w:t>
            </w:r>
          </w:p>
        </w:tc>
      </w:tr>
      <w:tr>
        <w:trPr/>
        <w:tc>
          <w:tcPr>
            <w:tcW w:w="235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3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50,574</w:t>
            </w:r>
          </w:p>
        </w:tc>
        <w:tc>
          <w:tcPr>
            <w:tcW w:w="2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amortized cost and fair value of available-for-sale marketable securities are presented in the following table as of the periods presented by contractual maturity. Actual maturities may differ from contractual maturities because securities may be restructured, called or prepaid, or the Company may intend to sell a security prior to maturity.</w:t>
      </w:r>
    </w:p>
    <w:p>
      <w:pPr>
        <w:pStyle w:val="TextBody"/>
        <w:bidi w:val="0"/>
        <w:jc w:val="left"/>
        <w:rPr/>
      </w:pPr>
      <w:r>
        <w:rPr/>
        <w:t> </w:t>
      </w:r>
    </w:p>
    <w:tbl>
      <w:tblPr>
        <w:tblW w:w="5615" w:type="dxa"/>
        <w:jc w:val="left"/>
        <w:tblInd w:w="0" w:type="dxa"/>
        <w:tblLayout w:type="fixed"/>
        <w:tblCellMar>
          <w:top w:w="28" w:type="dxa"/>
          <w:left w:w="28" w:type="dxa"/>
          <w:bottom w:w="28" w:type="dxa"/>
          <w:right w:w="28" w:type="dxa"/>
        </w:tblCellMar>
      </w:tblPr>
      <w:tblGrid>
        <w:gridCol w:w="2441"/>
        <w:gridCol w:w="146"/>
        <w:gridCol w:w="338"/>
        <w:gridCol w:w="1087"/>
        <w:gridCol w:w="146"/>
        <w:gridCol w:w="146"/>
        <w:gridCol w:w="242"/>
        <w:gridCol w:w="778"/>
        <w:gridCol w:w="291"/>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4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51,265</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4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One year through two years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615" w:type="dxa"/>
        <w:jc w:val="left"/>
        <w:tblInd w:w="0" w:type="dxa"/>
        <w:tblLayout w:type="fixed"/>
        <w:tblCellMar>
          <w:top w:w="28" w:type="dxa"/>
          <w:left w:w="28" w:type="dxa"/>
          <w:bottom w:w="28" w:type="dxa"/>
          <w:right w:w="28" w:type="dxa"/>
        </w:tblCellMar>
      </w:tblPr>
      <w:tblGrid>
        <w:gridCol w:w="2441"/>
        <w:gridCol w:w="146"/>
        <w:gridCol w:w="338"/>
        <w:gridCol w:w="1087"/>
        <w:gridCol w:w="146"/>
        <w:gridCol w:w="146"/>
        <w:gridCol w:w="242"/>
        <w:gridCol w:w="778"/>
        <w:gridCol w:w="291"/>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4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4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One year through two years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2024 and 2023, there were no realized gains or losses on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the Company had six and zero securities, respectively, in a continuous unrealized loss position for more than 12 months and considered all such losses to be temporary in nature. The Company reviewed the securities in the tables above and considered the decline in market value for these securities to be primarily attributable to economic and market conditions. As of the periods noted in the tables above, the Company did not intend to sell these securities and did not believe it was more likely than not that it would be required to sell these securities before recovery of their amortized cost basis. Accordingly, the Company did not recognize any credit losses related to its marketable securities in an unrealized loss position during any of the periods noted in the table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accrued interest receivables on the Company’s available-for-sale marketable securities were $478 and $485, respectively, and were included within other current assets as presented on its Condensed Consolidated Balance Sheets.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financial assets and financial liabilities measured at fair value on a recurring basis and the basis for that measurement, by level within the fair value hierarchy,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5"/>
        <w:gridCol w:w="146"/>
        <w:gridCol w:w="2866"/>
        <w:gridCol w:w="146"/>
        <w:gridCol w:w="211"/>
        <w:gridCol w:w="676"/>
        <w:gridCol w:w="146"/>
        <w:gridCol w:w="146"/>
        <w:gridCol w:w="211"/>
        <w:gridCol w:w="676"/>
        <w:gridCol w:w="146"/>
        <w:gridCol w:w="146"/>
        <w:gridCol w:w="276"/>
        <w:gridCol w:w="456"/>
        <w:gridCol w:w="146"/>
        <w:gridCol w:w="146"/>
        <w:gridCol w:w="211"/>
        <w:gridCol w:w="676"/>
        <w:gridCol w:w="293"/>
      </w:tblGrid>
      <w:tr>
        <w:trPr/>
        <w:tc>
          <w:tcPr>
            <w:tcW w:w="2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2024</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r>
      <w:tr>
        <w:trPr/>
        <w:tc>
          <w:tcPr>
            <w:tcW w:w="24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ind w:left="0" w:right="0" w:firstLine="100"/>
              <w:jc w:val="right"/>
              <w:rPr/>
            </w:pPr>
            <w:r>
              <w:rPr/>
              <w:t> </w:t>
            </w:r>
          </w:p>
        </w:tc>
      </w:tr>
      <w:tr>
        <w:trPr/>
        <w:tc>
          <w:tcPr>
            <w:tcW w:w="248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w:t>
            </w:r>
          </w:p>
        </w:tc>
        <w:tc>
          <w:tcPr>
            <w:tcW w:w="293" w:type="dxa"/>
            <w:tcBorders/>
            <w:shd w:fill="CFF0FC" w:val="clear"/>
            <w:vAlign w:val="center"/>
          </w:tcPr>
          <w:p>
            <w:pPr>
              <w:pStyle w:val="TableContents"/>
              <w:bidi w:val="0"/>
              <w:spacing w:before="0" w:after="283"/>
              <w:ind w:left="0" w:right="0" w:firstLine="100"/>
              <w:jc w:val="left"/>
              <w:rPr/>
            </w:pPr>
            <w:r>
              <w:rPr/>
              <w:t> </w:t>
            </w:r>
          </w:p>
        </w:tc>
      </w:tr>
      <w:tr>
        <w:trPr/>
        <w:tc>
          <w:tcPr>
            <w:tcW w:w="248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30,221</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248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293" w:type="dxa"/>
            <w:tcBorders/>
            <w:shd w:fill="CFF0FC" w:val="clear"/>
            <w:vAlign w:val="center"/>
          </w:tcPr>
          <w:p>
            <w:pPr>
              <w:pStyle w:val="TableContents"/>
              <w:bidi w:val="0"/>
              <w:spacing w:before="0" w:after="283"/>
              <w:ind w:left="0" w:right="0" w:firstLine="100"/>
              <w:jc w:val="left"/>
              <w:rPr/>
            </w:pPr>
            <w:r>
              <w:rPr/>
              <w:t> </w:t>
            </w:r>
          </w:p>
        </w:tc>
      </w:tr>
      <w:tr>
        <w:trPr/>
        <w:tc>
          <w:tcPr>
            <w:tcW w:w="248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248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w:t>
            </w:r>
          </w:p>
        </w:tc>
        <w:tc>
          <w:tcPr>
            <w:tcW w:w="293" w:type="dxa"/>
            <w:tcBorders/>
            <w:shd w:fill="CFF0FC" w:val="clear"/>
            <w:vAlign w:val="center"/>
          </w:tcPr>
          <w:p>
            <w:pPr>
              <w:pStyle w:val="TableContents"/>
              <w:bidi w:val="0"/>
              <w:spacing w:before="0" w:after="283"/>
              <w:ind w:left="0" w:right="0" w:firstLine="100"/>
              <w:jc w:val="left"/>
              <w:rPr/>
            </w:pPr>
            <w:r>
              <w:rPr/>
              <w:t> </w:t>
            </w:r>
          </w:p>
        </w:tc>
      </w:tr>
      <w:tr>
        <w:trPr/>
        <w:tc>
          <w:tcPr>
            <w:tcW w:w="248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8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68,503</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5"/>
        <w:gridCol w:w="146"/>
        <w:gridCol w:w="2866"/>
        <w:gridCol w:w="146"/>
        <w:gridCol w:w="211"/>
        <w:gridCol w:w="676"/>
        <w:gridCol w:w="146"/>
        <w:gridCol w:w="146"/>
        <w:gridCol w:w="211"/>
        <w:gridCol w:w="676"/>
        <w:gridCol w:w="146"/>
        <w:gridCol w:w="146"/>
        <w:gridCol w:w="276"/>
        <w:gridCol w:w="456"/>
        <w:gridCol w:w="146"/>
        <w:gridCol w:w="146"/>
        <w:gridCol w:w="211"/>
        <w:gridCol w:w="676"/>
        <w:gridCol w:w="293"/>
      </w:tblGrid>
      <w:tr>
        <w:trPr/>
        <w:tc>
          <w:tcPr>
            <w:tcW w:w="2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r>
      <w:tr>
        <w:trPr/>
        <w:tc>
          <w:tcPr>
            <w:tcW w:w="24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ind w:left="0" w:right="0" w:firstLine="100"/>
              <w:jc w:val="right"/>
              <w:rPr/>
            </w:pPr>
            <w:r>
              <w:rPr/>
              <w:t> </w:t>
            </w:r>
          </w:p>
        </w:tc>
      </w:tr>
      <w:tr>
        <w:trPr/>
        <w:tc>
          <w:tcPr>
            <w:tcW w:w="248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30,404</w:t>
            </w:r>
          </w:p>
        </w:tc>
        <w:tc>
          <w:tcPr>
            <w:tcW w:w="293" w:type="dxa"/>
            <w:tcBorders/>
            <w:shd w:fill="CFF0FC" w:val="clear"/>
            <w:vAlign w:val="center"/>
          </w:tcPr>
          <w:p>
            <w:pPr>
              <w:pStyle w:val="TableContents"/>
              <w:bidi w:val="0"/>
              <w:spacing w:before="0" w:after="283"/>
              <w:ind w:left="0" w:right="0" w:firstLine="100"/>
              <w:jc w:val="left"/>
              <w:rPr/>
            </w:pPr>
            <w:r>
              <w:rPr/>
              <w:t> </w:t>
            </w:r>
          </w:p>
        </w:tc>
      </w:tr>
      <w:tr>
        <w:trPr/>
        <w:tc>
          <w:tcPr>
            <w:tcW w:w="248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45,653</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248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80,978</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a lease for office space in New Haven, Connecticut, effective March 1, 2013, and entered into a First Amendment (the “First Amendment”) to such lease on December 5, 2017 and a Second Amendment (the “Second Amendment”) to such lease on November 21, 2022 (collectively, the “Office Space Lease”). The leased space approximated 5,600 square feet and, prior to the Second Amendment, the Office Space Lease had a term of 60 months expiring on February 28, 2023. Under the First Amendment, the Company was required to make monthly payments ranging from approximately $10 to $12 through February 1, 2023 and received two designated months of free rent. As a result of the Company entering into the Second Amendment, the leased space increased to 12,500 square feet effective in March 2023 and the term for the Office Space Lease was extended for an additional 60 months from its prior termination date, until February 28, 2028. The Second Amendment requires monthly payments ranging from approximately $23 to $32 effective in March 2023 through February 2028. The first year of payments are based on 10,500 square feet of occupied space, the second year of payments are based on 11,500 square feet of occupied space and the remaining lease payments are based on 12,500 square feet of occupied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2022, the Company entered into a 24 month lease for the financing of the furniture installed in the Company’s new office space. The furniture lease requires monthly payments of approximately $11 starting in March 2023. The Company also entered into an immaterial office equipment lease during 2022 that has a term of 36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Company's lease-related assets and liabilities as presented on its 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5"/>
        <w:gridCol w:w="146"/>
        <w:gridCol w:w="4355"/>
        <w:gridCol w:w="146"/>
        <w:gridCol w:w="300"/>
        <w:gridCol w:w="815"/>
        <w:gridCol w:w="146"/>
        <w:gridCol w:w="146"/>
        <w:gridCol w:w="398"/>
        <w:gridCol w:w="1084"/>
        <w:gridCol w:w="394"/>
      </w:tblGrid>
      <w:tr>
        <w:trPr/>
        <w:tc>
          <w:tcPr>
            <w:tcW w:w="2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2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Classification on the Condensed Consolidated 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43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100"/>
              <w:jc w:val="right"/>
              <w:rPr/>
            </w:pPr>
            <w:r>
              <w:rPr/>
              <w:t> </w:t>
            </w:r>
          </w:p>
        </w:tc>
      </w:tr>
      <w:tr>
        <w:trPr/>
        <w:tc>
          <w:tcPr>
            <w:tcW w:w="227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vAlign w:val="center"/>
          </w:tcPr>
          <w:p>
            <w:pPr>
              <w:pStyle w:val="TableContents"/>
              <w:bidi w:val="0"/>
              <w:spacing w:before="0" w:after="283"/>
              <w:jc w:val="left"/>
              <w:rPr/>
            </w:pPr>
            <w:r>
              <w:rPr/>
              <w:t> </w:t>
            </w:r>
          </w:p>
        </w:tc>
        <w:tc>
          <w:tcPr>
            <w:tcW w:w="4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227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Finance lease assets</w:t>
            </w:r>
          </w:p>
        </w:tc>
        <w:tc>
          <w:tcPr>
            <w:tcW w:w="146" w:type="dxa"/>
            <w:tcBorders/>
            <w:shd w:fill="FFFFFF" w:val="clear"/>
            <w:vAlign w:val="center"/>
          </w:tcPr>
          <w:p>
            <w:pPr>
              <w:pStyle w:val="TableContents"/>
              <w:bidi w:val="0"/>
              <w:spacing w:before="0" w:after="283"/>
              <w:jc w:val="left"/>
              <w:rPr/>
            </w:pPr>
            <w:r>
              <w:rPr/>
              <w:t> </w:t>
            </w:r>
          </w:p>
        </w:tc>
        <w:tc>
          <w:tcPr>
            <w:tcW w:w="43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CFF0FC" w:val="clear"/>
            <w:vAlign w:val="center"/>
          </w:tcPr>
          <w:p>
            <w:pPr>
              <w:pStyle w:val="TableContents"/>
              <w:bidi w:val="0"/>
              <w:spacing w:before="0" w:after="283"/>
              <w:jc w:val="left"/>
              <w:rPr/>
            </w:pPr>
            <w:r>
              <w:rPr/>
              <w:t> </w:t>
            </w:r>
          </w:p>
        </w:tc>
        <w:tc>
          <w:tcPr>
            <w:tcW w:w="43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43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2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43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100"/>
              <w:jc w:val="right"/>
              <w:rPr/>
            </w:pPr>
            <w:r>
              <w:rPr/>
              <w:t> </w:t>
            </w:r>
          </w:p>
        </w:tc>
      </w:tr>
      <w:tr>
        <w:trPr/>
        <w:tc>
          <w:tcPr>
            <w:tcW w:w="227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43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94" w:type="dxa"/>
            <w:tcBorders/>
            <w:shd w:fill="FFFFFF" w:val="clear"/>
            <w:vAlign w:val="center"/>
          </w:tcPr>
          <w:p>
            <w:pPr>
              <w:pStyle w:val="TableContents"/>
              <w:bidi w:val="0"/>
              <w:spacing w:before="0" w:after="283"/>
              <w:ind w:left="0" w:right="0" w:firstLine="100"/>
              <w:jc w:val="left"/>
              <w:rPr/>
            </w:pPr>
            <w:r>
              <w:rPr/>
              <w:t> </w:t>
            </w:r>
          </w:p>
        </w:tc>
      </w:tr>
      <w:tr>
        <w:trPr/>
        <w:tc>
          <w:tcPr>
            <w:tcW w:w="227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vAlign w:val="center"/>
          </w:tcPr>
          <w:p>
            <w:pPr>
              <w:pStyle w:val="TableContents"/>
              <w:bidi w:val="0"/>
              <w:spacing w:before="0" w:after="283"/>
              <w:jc w:val="left"/>
              <w:rPr/>
            </w:pPr>
            <w:r>
              <w:rPr/>
              <w:t> </w:t>
            </w:r>
          </w:p>
        </w:tc>
        <w:tc>
          <w:tcPr>
            <w:tcW w:w="4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current portion</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0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94" w:type="dxa"/>
            <w:tcBorders/>
            <w:shd w:fill="CFF0FC"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vAlign w:val="center"/>
          </w:tcPr>
          <w:p>
            <w:pPr>
              <w:pStyle w:val="TableContents"/>
              <w:bidi w:val="0"/>
              <w:spacing w:before="0" w:after="283"/>
              <w:jc w:val="left"/>
              <w:rPr/>
            </w:pPr>
            <w:r>
              <w:rPr/>
              <w:t> </w:t>
            </w:r>
          </w:p>
        </w:tc>
        <w:tc>
          <w:tcPr>
            <w:tcW w:w="43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100"/>
              <w:jc w:val="right"/>
              <w:rPr/>
            </w:pPr>
            <w:r>
              <w:rPr/>
              <w:t> </w:t>
            </w:r>
          </w:p>
        </w:tc>
      </w:tr>
      <w:tr>
        <w:trPr/>
        <w:tc>
          <w:tcPr>
            <w:tcW w:w="227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4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 portion</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0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227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vAlign w:val="center"/>
          </w:tcPr>
          <w:p>
            <w:pPr>
              <w:pStyle w:val="TableContents"/>
              <w:bidi w:val="0"/>
              <w:spacing w:before="0" w:after="283"/>
              <w:jc w:val="left"/>
              <w:rPr/>
            </w:pPr>
            <w:r>
              <w:rPr/>
              <w:t> </w:t>
            </w:r>
          </w:p>
        </w:tc>
        <w:tc>
          <w:tcPr>
            <w:tcW w:w="43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non-current portion</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43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information related to the Company's lease expense for the periods shown:</w:t>
      </w:r>
    </w:p>
    <w:p>
      <w:pPr>
        <w:pStyle w:val="TextBody"/>
        <w:bidi w:val="0"/>
        <w:jc w:val="left"/>
        <w:rPr/>
      </w:pPr>
      <w:r>
        <w:rPr/>
        <w:t> </w:t>
      </w:r>
    </w:p>
    <w:tbl>
      <w:tblPr>
        <w:tblW w:w="5975" w:type="dxa"/>
        <w:jc w:val="left"/>
        <w:tblInd w:w="0" w:type="dxa"/>
        <w:tblLayout w:type="fixed"/>
        <w:tblCellMar>
          <w:top w:w="28" w:type="dxa"/>
          <w:left w:w="28" w:type="dxa"/>
          <w:bottom w:w="28" w:type="dxa"/>
          <w:right w:w="28" w:type="dxa"/>
        </w:tblCellMar>
      </w:tblPr>
      <w:tblGrid>
        <w:gridCol w:w="2086"/>
        <w:gridCol w:w="146"/>
        <w:gridCol w:w="251"/>
        <w:gridCol w:w="377"/>
        <w:gridCol w:w="174"/>
        <w:gridCol w:w="174"/>
        <w:gridCol w:w="251"/>
        <w:gridCol w:w="377"/>
        <w:gridCol w:w="146"/>
        <w:gridCol w:w="146"/>
        <w:gridCol w:w="211"/>
        <w:gridCol w:w="421"/>
        <w:gridCol w:w="146"/>
        <w:gridCol w:w="146"/>
        <w:gridCol w:w="211"/>
        <w:gridCol w:w="421"/>
        <w:gridCol w:w="2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lease payments from June 30, 2024 until the expiration of the leases are as follows:</w:t>
      </w:r>
    </w:p>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4526"/>
        <w:gridCol w:w="146"/>
        <w:gridCol w:w="367"/>
        <w:gridCol w:w="998"/>
        <w:gridCol w:w="166"/>
        <w:gridCol w:w="146"/>
        <w:gridCol w:w="449"/>
        <w:gridCol w:w="736"/>
        <w:gridCol w:w="291"/>
      </w:tblGrid>
      <w:tr>
        <w:trPr/>
        <w:tc>
          <w:tcPr>
            <w:tcW w:w="4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91" w:type="dxa"/>
            <w:tcBorders/>
            <w:shd w:fill="CFF0FC" w:val="clear"/>
            <w:vAlign w:val="center"/>
          </w:tcPr>
          <w:p>
            <w:pPr>
              <w:pStyle w:val="TableContents"/>
              <w:bidi w:val="0"/>
              <w:spacing w:before="0" w:after="283"/>
              <w:jc w:val="left"/>
              <w:rPr/>
            </w:pPr>
            <w:r>
              <w:rPr/>
              <w:t> </w:t>
            </w:r>
          </w:p>
        </w:tc>
      </w:tr>
      <w:tr>
        <w:trPr/>
        <w:tc>
          <w:tcPr>
            <w:tcW w:w="4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91" w:type="dxa"/>
            <w:tcBorders/>
            <w:shd w:fill="FFFFFF" w:val="clear"/>
            <w:vAlign w:val="center"/>
          </w:tcPr>
          <w:p>
            <w:pPr>
              <w:pStyle w:val="TableContents"/>
              <w:bidi w:val="0"/>
              <w:spacing w:before="0" w:after="283"/>
              <w:jc w:val="left"/>
              <w:rPr/>
            </w:pPr>
            <w:r>
              <w:rPr/>
              <w:t> </w:t>
            </w:r>
          </w:p>
        </w:tc>
      </w:tr>
      <w:tr>
        <w:trPr/>
        <w:tc>
          <w:tcPr>
            <w:tcW w:w="4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4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4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5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Amount of lease payments representing interest</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certain information related to the lease terms and discount rates for the Company's leases:</w:t>
      </w:r>
    </w:p>
    <w:p>
      <w:pPr>
        <w:pStyle w:val="TextBody"/>
        <w:bidi w:val="0"/>
        <w:jc w:val="left"/>
        <w:rPr/>
      </w:pPr>
      <w:r>
        <w:rPr/>
        <w:t> </w:t>
      </w:r>
    </w:p>
    <w:tbl>
      <w:tblPr>
        <w:tblW w:w="6340" w:type="dxa"/>
        <w:jc w:val="left"/>
        <w:tblInd w:w="0" w:type="dxa"/>
        <w:tblLayout w:type="fixed"/>
        <w:tblCellMar>
          <w:top w:w="28" w:type="dxa"/>
          <w:left w:w="28" w:type="dxa"/>
          <w:bottom w:w="28" w:type="dxa"/>
          <w:right w:w="28" w:type="dxa"/>
        </w:tblCellMar>
      </w:tblPr>
      <w:tblGrid>
        <w:gridCol w:w="3376"/>
        <w:gridCol w:w="146"/>
        <w:gridCol w:w="1126"/>
        <w:gridCol w:w="146"/>
        <w:gridCol w:w="15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ind w:left="0" w:right="0" w:firstLine="100"/>
              <w:jc w:val="right"/>
              <w:rPr/>
            </w:pPr>
            <w:r>
              <w:rPr/>
              <w:t> </w:t>
            </w:r>
          </w:p>
        </w:tc>
      </w:tr>
      <w:tr>
        <w:trPr/>
        <w:tc>
          <w:tcPr>
            <w:tcW w:w="33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years</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4.3 years</w:t>
            </w:r>
          </w:p>
        </w:tc>
      </w:tr>
      <w:tr>
        <w:trPr/>
        <w:tc>
          <w:tcPr>
            <w:tcW w:w="33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 years</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1.3 years</w:t>
            </w:r>
          </w:p>
        </w:tc>
      </w:tr>
      <w:tr>
        <w:trPr/>
        <w:tc>
          <w:tcPr>
            <w:tcW w:w="337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ind w:left="0" w:right="0" w:firstLine="100"/>
              <w:jc w:val="center"/>
              <w:rPr/>
            </w:pPr>
            <w:r>
              <w:rPr/>
              <w:t> </w:t>
            </w:r>
          </w:p>
        </w:tc>
      </w:tr>
      <w:tr>
        <w:trPr/>
        <w:tc>
          <w:tcPr>
            <w:tcW w:w="33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11.00%</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11.00%</w:t>
            </w:r>
          </w:p>
        </w:tc>
      </w:tr>
      <w:tr>
        <w:trPr/>
        <w:tc>
          <w:tcPr>
            <w:tcW w:w="33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4.37%</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supplemental cash flow information related to the Company's leases for the periods shown: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78"/>
        <w:gridCol w:w="146"/>
        <w:gridCol w:w="239"/>
        <w:gridCol w:w="391"/>
        <w:gridCol w:w="164"/>
        <w:gridCol w:w="164"/>
        <w:gridCol w:w="239"/>
        <w:gridCol w:w="391"/>
        <w:gridCol w:w="146"/>
        <w:gridCol w:w="146"/>
        <w:gridCol w:w="211"/>
        <w:gridCol w:w="421"/>
        <w:gridCol w:w="146"/>
        <w:gridCol w:w="146"/>
        <w:gridCol w:w="211"/>
        <w:gridCol w:w="571"/>
        <w:gridCol w:w="395"/>
      </w:tblGrid>
      <w:tr>
        <w:trPr/>
        <w:tc>
          <w:tcPr>
            <w:tcW w:w="6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0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center"/>
              <w:rPr/>
            </w:pPr>
            <w:r>
              <w:rPr/>
              <w:t> </w:t>
            </w:r>
          </w:p>
        </w:tc>
        <w:tc>
          <w:tcPr>
            <w:tcW w:w="63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ind w:left="0" w:right="0" w:firstLine="200"/>
              <w:jc w:val="center"/>
              <w:rPr/>
            </w:pPr>
            <w:r>
              <w:rPr/>
              <w:t> </w:t>
            </w:r>
          </w:p>
        </w:tc>
      </w:tr>
      <w:tr>
        <w:trPr/>
        <w:tc>
          <w:tcPr>
            <w:tcW w:w="607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outflows relating to operating leases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4"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607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payments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4"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5" w:type="dxa"/>
            <w:tcBorders/>
            <w:shd w:fill="FFFFFF" w:val="clear"/>
            <w:vAlign w:val="center"/>
          </w:tcPr>
          <w:p>
            <w:pPr>
              <w:pStyle w:val="TableContents"/>
              <w:bidi w:val="0"/>
              <w:spacing w:before="0" w:after="283"/>
              <w:jc w:val="left"/>
              <w:rPr/>
            </w:pPr>
            <w:r>
              <w:rPr/>
              <w:t> </w:t>
            </w:r>
          </w:p>
        </w:tc>
      </w:tr>
      <w:tr>
        <w:trPr/>
        <w:tc>
          <w:tcPr>
            <w:tcW w:w="60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information:</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607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64"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607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obtained in exchange for new finance lease liabilities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64"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3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consisted of the following:</w:t>
      </w:r>
    </w:p>
    <w:tbl>
      <w:tblPr>
        <w:tblW w:w="6805" w:type="dxa"/>
        <w:jc w:val="left"/>
        <w:tblInd w:w="0" w:type="dxa"/>
        <w:tblLayout w:type="fixed"/>
        <w:tblCellMar>
          <w:top w:w="28" w:type="dxa"/>
          <w:left w:w="28" w:type="dxa"/>
          <w:bottom w:w="28" w:type="dxa"/>
          <w:right w:w="28" w:type="dxa"/>
        </w:tblCellMar>
      </w:tblPr>
      <w:tblGrid>
        <w:gridCol w:w="3451"/>
        <w:gridCol w:w="146"/>
        <w:gridCol w:w="303"/>
        <w:gridCol w:w="822"/>
        <w:gridCol w:w="146"/>
        <w:gridCol w:w="146"/>
        <w:gridCol w:w="403"/>
        <w:gridCol w:w="1097"/>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R&amp;D projects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2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2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left"/>
        <w:rPr>
          <w:rFonts w:ascii="Times New Roman" w:hAnsi="Times New Roman"/>
          <w:sz w:val="20"/>
        </w:rPr>
      </w:pPr>
      <w:r>
        <w:rPr>
          <w:rFonts w:ascii="Times New Roman" w:hAnsi="Times New Roman"/>
          <w:b/>
          <w:i/>
          <w:color w:val="000000"/>
          <w:sz w:val="20"/>
        </w:rPr>
        <w:t>Silicon Valley Bank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9, 2023, the Company paid the remaining amount due under the SVB Loan Agreement, resulting in the full extinguishment of the SVB Term Loan (as defined below). As a result, after May 9, 2023, the Company had no outstanding debt. The total payoff amount was $6.5 million, consisting of the remaining principal amount due of $5.2 million, the final payment fee of $1.2 million, and $0.1 million of accrued interest and prepayment premium. During the year ended December 31, 2023, an immaterial effect from early extinguishment of debt was recorded in connection with the Company paying the remaining amounts due under the SVB Loan Agreement, which was included in other income, net on the Company’s Condensed Consolidated Statement of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13, 2020 (the “Effective Date”), the Company entered into a loan and security agreement (the “SVB Loan Agreement”) with Silicon Valley Bank (“SVB”), as lender, pursuant to which SVB provided a term loan to the Company in the original principal amount of $14.0 million (the “SVB Term Loan”). The SVB Term Loan bore interest at a floating rate per annum equal to the greater of (A) the prime rate plus 1.00% and (B) 4.25%. If SVB received evidence satisfactory to it that the Company had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would have been adjusted to a floating rate equal to the greater of (A) the prime rate plus 3.00% and (B) 6.25% (see term loan derivative liability discussion below). Commencing on March 1, 2022 and on the first business day of each month thereafter, the Company was required to make monthly interest payments and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Such prepayment premium would have been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was required to pay a final payment fee equal to $1.2 million. The SVB Term Loan and related obligations under the SVB Loan Agreement were secured by substantially all of the Company’s properties, rights and assets, except for its intellectual property (which was subject to a negative pledge under the SVB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6, 2021, the Company and SVB entered into a First Amendment (the “Loan Amendment”) to the SVB Loan Agreement. The Loan Amendment modified the conditions under which the Company was required to cash collateralize all outstanding amounts owed to SVB under the SVB Loan Agreement. Under the Loan Amendment, if the Company failed to receive 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would have been required to deposit unrestricted and unencumbered cash equal to 100% of all outstanding amounts owed to SVB in a cash collateral account with SVB, which could have been used by SVB to prepay the SVB Term Loan at any time. In addition, the Loan Amendment provided that if the Company failed to maintain at least $20.0 million in unrestricted and unencumbered cash in its accounts with SVB at any time prior to the satisfaction of all the Milestone Conditions (the “Minimum Required Cash”), the Company would have been required to cash collateralize all outstanding amounts owed to SVB under the SVB Loan Agreement. The Company would also have been required to cash collateralize all outstanding amounts owed to SVB under the SVB Loan Agreement if it did not raise at least $15.0 million in net proceeds from the sale of equity securities during the period from June 1, 2021 through October 31, 2021. The Company satisfied this equity funding condition through a combination of equity issuances under the Company’s at-the-market sales agreement entered into with SVB Securities LLC (formerly SVB Leerink LLC) (“SVB Securities”) in June 2020 (the “ATM Sales Agreement”) and two private placements, which took place in October 2021 (see Note 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6, 2022, the Company and SVB entered into a Third Amendment (the “Third Amendment”) to the SVB Loan Agreement. The Third Amendment principally modified the conditions under which the Company would have been required to cash collateralize all outstanding amounts owed to SVB under the SVB Loan Agreement. Under the terms of the Third Amendment, if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raised $45.0 million in net proceeds from the sale of equity securities (the “2022 Equity Event”), the Company’s obligations to achieve the Milestone Conditions and maintain the Minimum Required Cash would have terminated and the sole remaining trigger for cash collateralization would have been if the Company did not receive positive final data by December 31, 2022 from either its Phase 2b/3 PRISM trial of Haduvio for prurigo nodularis or its Phase 2 CANAL trial of Haduvio for the treatment of chronic cough in IPF. In addition, the Third Amendment modified the interest rate on the principal amount outstanding under the SVB Loan Agreement. As a result of the Third Amendment, amounts outstanding under the SVB Loan Agreement accrued interest at a floating per annum rate equal to (i) prior to the occurrence of the 2022 Equity Event, the greater of (A) the prime rate plus 1.00% and (B) 4.25%, and (ii) upon and after the occurrence of the 2022 Equity Event, the greater of (A) the prime rate plus 3.00% and (B) 6.25%. The closing of the April 2022 Private Placement, as discussed in Note 8 below, constituted the 2022 Equity Event and thereby terminated the Company’s obligations to achieve the Milestone Conditions and maintain the Minimum Required Cash. On August 3, 2022, SVB confirmed that the reported data from the Phase 2b/3 PRISM trial satisfied the requirement for positive final data and that the cash collateralization requirements of the SVB Loan Agreement were no longer in effect.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SVB Loan Agreement contained customary representations, warranties, events of default and covenants. The occurrence and continuation of an event of default could have caused interest to be charged at the rate that was otherwise applicable plus 5.00% (unless SVB elected to impose a smaller increase) and would have provided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 The SVB Loan Agreement also restricted the payment of dividends on the Company’s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on the SVB Term Loan, which was comprised of interest payments, accretion and amortization of term loan discounts and the accrual of the final payment fee, is shown below for the three and six months ended June 30, 2023. For the three and six months ended June 30, 2023, the weighted average interest rate applicable to borrowings under the SVB Term Loan was 9.45% and 10.25%, respectively. For the three and six months ended June 30, 2024, there was no interest expense on the SVB Term Loan as the loan was fully extinguished in May 2023.</w:t>
      </w:r>
    </w:p>
    <w:p>
      <w:pPr>
        <w:pStyle w:val="TextBody"/>
        <w:bidi w:val="0"/>
        <w:jc w:val="left"/>
        <w:rPr/>
      </w:pPr>
      <w:r>
        <w:rPr/>
        <w:t> </w:t>
      </w:r>
    </w:p>
    <w:tbl>
      <w:tblPr>
        <w:tblW w:w="7830" w:type="dxa"/>
        <w:jc w:val="left"/>
        <w:tblInd w:w="0" w:type="dxa"/>
        <w:tblLayout w:type="fixed"/>
        <w:tblCellMar>
          <w:top w:w="28" w:type="dxa"/>
          <w:left w:w="28" w:type="dxa"/>
          <w:bottom w:w="28" w:type="dxa"/>
          <w:right w:w="28" w:type="dxa"/>
        </w:tblCellMar>
      </w:tblPr>
      <w:tblGrid>
        <w:gridCol w:w="4186"/>
        <w:gridCol w:w="146"/>
        <w:gridCol w:w="534"/>
        <w:gridCol w:w="1071"/>
        <w:gridCol w:w="146"/>
        <w:gridCol w:w="146"/>
        <w:gridCol w:w="469"/>
        <w:gridCol w:w="94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 of the final payment fee</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and amortization of term loan discounts</w:t>
            </w:r>
          </w:p>
        </w:tc>
        <w:tc>
          <w:tcPr>
            <w:tcW w:w="146" w:type="dxa"/>
            <w:tcBorders/>
            <w:shd w:fill="CFF0FC" w:val="cle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reserved shares of common stock for future issuance as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2"/>
        <w:gridCol w:w="146"/>
        <w:gridCol w:w="146"/>
        <w:gridCol w:w="1036"/>
        <w:gridCol w:w="146"/>
        <w:gridCol w:w="146"/>
        <w:gridCol w:w="146"/>
        <w:gridCol w:w="1036"/>
        <w:gridCol w:w="191"/>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upon exercise of outstanding warrants and pre-funded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38,257,447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40,931,506</w:t>
            </w:r>
          </w:p>
        </w:tc>
        <w:tc>
          <w:tcPr>
            <w:tcW w:w="191" w:type="dxa"/>
            <w:tcBorders/>
            <w:shd w:fill="CFF0FC"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2019 Stock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8,684,716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6,549,183</w:t>
            </w:r>
          </w:p>
        </w:tc>
        <w:tc>
          <w:tcPr>
            <w:tcW w:w="191" w:type="dxa"/>
            <w:tcBorders/>
            <w:shd w:fill="FFFFFF" w:val="clear"/>
            <w:vAlign w:val="center"/>
          </w:tcPr>
          <w:p>
            <w:pPr>
              <w:pStyle w:val="TableContents"/>
              <w:bidi w:val="0"/>
              <w:spacing w:before="0" w:after="283"/>
              <w:jc w:val="left"/>
              <w:rPr/>
            </w:pPr>
            <w:r>
              <w:rPr/>
              <w:t> </w:t>
            </w:r>
          </w:p>
        </w:tc>
      </w:tr>
      <w:tr>
        <w:trPr/>
        <w:tc>
          <w:tcPr>
            <w:tcW w:w="7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2019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1,177,456</w:t>
            </w:r>
          </w:p>
        </w:tc>
        <w:tc>
          <w:tcPr>
            <w:tcW w:w="191" w:type="dxa"/>
            <w:tcBorders/>
            <w:shd w:fill="CFF0FC"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2012 Stock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48,495,308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49,223,937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2020, the Company entered into the ATM Sales Agreement with SVB Securities under which the Company was able to issue and sell shares of its common stock, from time to time, having an aggregate offering price of up to $12.0 million. In May 2022, the Company and SVB Securities amended the ATM Sales Agreement to increase the maximum aggregate offering price of common stock that it was able to issue and sell from time to time under the ATM Sales Agreement by $50.0 million, from $12.0 million to up to $62.0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common stock under the ATM Sales Agreement were able to be made by any method that was deemed an “at-the-market” offering as defined in Rule 415(a)(4) under the Securities Act of 1933, as amended (the "Securities Act"). The Company was not obligated to make any sales of its common stock under the ATM Sales Agreement. The Company began making sales pursuant to the ATM Sales Agreement in July 2020. As of August 15, 2023, the date of termination of the ATM Sales Agreement, the Company had issued and sold an aggregate of 4,333,394 shares of common stock for gross proceeds of $12.7 million pursuant to the ATM Sales Agreement, before deducting estimated commissions and allocated fees of $1.0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the Company filed with the SEC a universal shelf registration statement on Form S-3 (the “Shelf Registration Statement”), which allows the Company to offer and sell up to $200.0 million of common stock, preferred stock, debt securities, units and/or warrants from time to time pursuant to one or more offerings at prices and terms to be determined at the time of sale. The Shelf Registration Statement was filed to replace the Company’s prior universal shelf registration statement on Form S-3 and was declared effective on August 15, 2023. Further, in June 2023, the Company entered into a new at-the-market sales agreement with Leerink Partners, LLC (formerly SVB Securities) (the “2023 ATM Sales Agreement”), under which the Company may issue and sell shares of common stock, from time to time by any method that is deemed an “at-the-market” offering as defined in Rule 415(a)(4) under the Securities Act. The Company is not obligated to make any sales of its common stock under the 2023 ATM Sales Agreement. The Company filed a prospectus under the Shelf Registration Statement for the offer and sale of shares of the Company’s common stock having an aggregate offering price of up to $75.0 million pursuant to the 2023 ATM Sales Agreement. In accordance with the terms of the 2023 ATM Sales Agreement, the ATM Sales Agreement terminated upon effectiveness of the Shelf Registration Statement, at which point the Company was no longer able to issue and sell shares of its common stock under the ATM Sales Agreement. As of June 30, 2024, the Company had issued and sold 1,474,926 shares of common stock under the 2023 ATM Sales Agreement for gross proceeds of $5.0 million, before deducting estimated commissions and allocated fees of $0.2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had an exercise price of $0.001 per share, became exercisable immediately upon issuance and was exercisable until exercised in full. The accompanying common stock warrants have an exercise price of $1.37 per share and became exercisable immediately upon issuance. Of the accompanying common stock warrants, warrants to purchase an aggregate of 7,299,270 shares had an expiration date of April 5, 2025, and warrants to purchase an aggregate of 7,299,270 shares had an expiration date of October 5, 2028. All of the accompanying common stock warrants expiring on April 5, 2025 have been exercised and accompanying common stock warrants to purchase 1,299,270 shares expiring on October 5, 2028 have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The accompanying common stock warrants have an exercise price of $1.37 per share and became exercisable immediately upon issuance. Of the accompanying common stock warrants, warrants to purchase an aggregate of 1,851,852 shares of the Company’s common stock will expire on April 18, 2025, and warrants to purchase an aggregate of 1,851,852 shares of the Company’s common stock will expire on October 18, 2028. None of the accompanying common stock warrants issued to NEA in the private placement have been exercised.</w:t>
      </w:r>
    </w:p>
    <w:p>
      <w:pPr>
        <w:pStyle w:val="TextBody"/>
        <w:bidi w:val="0"/>
        <w:spacing w:before="120" w:after="283"/>
        <w:jc w:val="left"/>
        <w:rPr>
          <w:rFonts w:ascii="Times New Roman" w:hAnsi="Times New Roman"/>
          <w:sz w:val="20"/>
        </w:rPr>
      </w:pPr>
      <w:r>
        <w:rPr>
          <w:rFonts w:ascii="Times New Roman" w:hAnsi="Times New Roman"/>
          <w:color w:val="000000"/>
          <w:sz w:val="20"/>
        </w:rPr>
        <w:t>Total net proceeds from the two October 2021 private placements were $13.7 million, after deducting issuance costs of $1.1 million</w:t>
      </w:r>
      <w:r>
        <w:rPr>
          <w:rFonts w:ascii="Arial" w:hAnsi="Arial"/>
          <w:color w:val="000000"/>
          <w:sz w:val="18"/>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6, 2022, the Company entered into a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became exercisable immediately upon issuance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 per share, became exercisable immediately upon issuance and will be exercisable until the pre-funded warrant is exercised in full. Under the terms of the Underwriting Agreement, the Company granted the Underwriters an option (the “Option”), exercisable for 30 days, to purchase up to an additional 4,275,000 shares of common stock (the “Additional Shares”), at the public offering price of $1.93 per share. The Underwriters partially exercised the Option to purchase 1,600,428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which shares were issued and sold on October 25, 2022. The September 2022 Offering, including the initial closing on September 27, 2022 and the Option closing on October 25, 2022, resulted in aggregate gross proceeds to the Company of approximately $58.1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 activity, including activity related to pre-funded warrants, is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8"/>
        <w:gridCol w:w="146"/>
        <w:gridCol w:w="194"/>
        <w:gridCol w:w="1379"/>
        <w:gridCol w:w="166"/>
        <w:gridCol w:w="146"/>
        <w:gridCol w:w="249"/>
        <w:gridCol w:w="1593"/>
        <w:gridCol w:w="146"/>
        <w:gridCol w:w="146"/>
        <w:gridCol w:w="161"/>
        <w:gridCol w:w="1148"/>
        <w:gridCol w:w="166"/>
        <w:gridCol w:w="146"/>
        <w:gridCol w:w="214"/>
        <w:gridCol w:w="582"/>
        <w:gridCol w:w="595"/>
      </w:tblGrid>
      <w:tr>
        <w:trPr/>
        <w:tc>
          <w:tcPr>
            <w:tcW w:w="3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0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Pre-funded 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Common Stock Warrant</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31,227,802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40,931,506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302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595" w:type="dxa"/>
            <w:tcBorders/>
            <w:shd w:fill="FFFFFF" w:val="clear"/>
            <w:vAlign w:val="center"/>
          </w:tcPr>
          <w:p>
            <w:pPr>
              <w:pStyle w:val="TableContents"/>
              <w:bidi w:val="0"/>
              <w:spacing w:before="0" w:after="283"/>
              <w:jc w:val="left"/>
              <w:rPr/>
            </w:pPr>
            <w:r>
              <w:rPr/>
              <w:t> </w:t>
            </w:r>
          </w:p>
        </w:tc>
      </w:tr>
      <w:tr>
        <w:trPr/>
        <w:tc>
          <w:tcPr>
            <w:tcW w:w="30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2024</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28,553,743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38,257,447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5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 further equity-based awards may be granted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common stock that may be issued under the 2019 Plan and the 2012 Plan was 9,091,080 as of June 30, 2024, of which 1,129,376 shares remained available for grant under the 2019 Plan. Awards may be made under the 2019 Plan for up to such number of shares of the Company’s common stock as is equal to the sum of: i) 1,578,947 shares; plus ii) the number of shares (up to 1,157,894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Effective January 1, 2024 and January 1, 2023, the number of shares reserved for issuance under the 2019 Plan increased, pursuant to the terms of the 2019 Plan, by an additional 2,105,623 shares in each case, equal to the 2019 Plan determined maximum for each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The Company generally settles stock option exercises with newly issued shares of common stock. As of June 30, 2024 and December 31, 2023, respectively, options to purchase 7,555,340 shares and 4,746,508 shares of common stock were granted and outstanding, net of cancellations, under the 2019 Plan. As of June 30, 2024 and December 31, 2023, respectively, options to purchase 406,364 and 565,792 shares of common stock were granted and outstanding, net of cancellations,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granted options to purchase 832,250 shares of common stock subject to performance-based vesting (“PSOs”) to employees of the Company. The PSOs granted in February 2024 vest based on the timing and results of the Company’s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Company’s combined stock option activity for the 2019 Plan and the 2012 Plan is as follows:</w:t>
      </w:r>
    </w:p>
    <w:tbl>
      <w:tblPr>
        <w:tblW w:w="5953" w:type="dxa"/>
        <w:jc w:val="left"/>
        <w:tblInd w:w="0" w:type="dxa"/>
        <w:tblLayout w:type="fixed"/>
        <w:tblCellMar>
          <w:top w:w="28" w:type="dxa"/>
          <w:left w:w="28" w:type="dxa"/>
          <w:bottom w:w="28" w:type="dxa"/>
          <w:right w:w="28" w:type="dxa"/>
        </w:tblCellMar>
      </w:tblPr>
      <w:tblGrid>
        <w:gridCol w:w="3331"/>
        <w:gridCol w:w="146"/>
        <w:gridCol w:w="146"/>
        <w:gridCol w:w="931"/>
        <w:gridCol w:w="166"/>
        <w:gridCol w:w="146"/>
        <w:gridCol w:w="248"/>
        <w:gridCol w:w="548"/>
        <w:gridCol w:w="2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7,961,704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3,488,041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unvested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2019, the Company’s board of directors adopted the 2019 Employee Stock Purchase Plan (the “2019 ESPP”), which became effective on May 7, 2019. The 2019 ESPP is administered by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common stock that may be issued under the 2019 ESPP was 1,146,781 as of June 30, 2024, all of which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2023, the aggregate number of shares of the Company’s common stock that may be issued under the 2019 ESPP increased, pursuant to the terms of the 2019 ESPP, by an additional 526,315 shares, equal to the 2019 ESPP determined maximum for the year. No increase was made on January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classifications of stock-based compensation expenses for the 2012 Plan, the 2019 Plan and the 2019 ESPP recognized in the Condensed Consolidated Statements of Comprehensive Loss:</w:t>
      </w:r>
    </w:p>
    <w:p>
      <w:pPr>
        <w:pStyle w:val="TextBody"/>
        <w:bidi w:val="0"/>
        <w:jc w:val="left"/>
        <w:rPr/>
      </w:pPr>
      <w:r>
        <w:rPr/>
        <w:t> </w:t>
      </w:r>
    </w:p>
    <w:tbl>
      <w:tblPr>
        <w:tblW w:w="7917" w:type="dxa"/>
        <w:jc w:val="left"/>
        <w:tblInd w:w="0" w:type="dxa"/>
        <w:tblLayout w:type="fixed"/>
        <w:tblCellMar>
          <w:top w:w="28" w:type="dxa"/>
          <w:left w:w="28" w:type="dxa"/>
          <w:bottom w:w="28" w:type="dxa"/>
          <w:right w:w="28" w:type="dxa"/>
        </w:tblCellMar>
      </w:tblPr>
      <w:tblGrid>
        <w:gridCol w:w="3626"/>
        <w:gridCol w:w="146"/>
        <w:gridCol w:w="211"/>
        <w:gridCol w:w="571"/>
        <w:gridCol w:w="146"/>
        <w:gridCol w:w="146"/>
        <w:gridCol w:w="211"/>
        <w:gridCol w:w="421"/>
        <w:gridCol w:w="146"/>
        <w:gridCol w:w="146"/>
        <w:gridCol w:w="211"/>
        <w:gridCol w:w="571"/>
        <w:gridCol w:w="146"/>
        <w:gridCol w:w="146"/>
        <w:gridCol w:w="211"/>
        <w:gridCol w:w="571"/>
        <w:gridCol w:w="29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291" w:type="dxa"/>
            <w:tcBorders/>
            <w:shd w:fill="CFF0FC" w:val="clear"/>
            <w:vAlign w:val="center"/>
          </w:tcPr>
          <w:p>
            <w:pPr>
              <w:pStyle w:val="TableContents"/>
              <w:bidi w:val="0"/>
              <w:spacing w:before="0" w:after="283"/>
              <w:jc w:val="left"/>
              <w:rPr/>
            </w:pPr>
            <w:r>
              <w:rPr/>
              <w:t> </w:t>
            </w:r>
          </w:p>
        </w:tc>
      </w:tr>
      <w:tr>
        <w:trPr/>
        <w:tc>
          <w:tcPr>
            <w:tcW w:w="3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stock-based compensation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and December 31, 2023, the Company maintained a full valuation allowance on deferred tax assets. The income tax benefit recorded during the three and six months ended June 30, 2024 and 2023 was for the Company’s estimates for its state research and development tax credits in each given year.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3614"/>
        <w:gridCol w:w="146"/>
        <w:gridCol w:w="211"/>
        <w:gridCol w:w="1141"/>
        <w:gridCol w:w="166"/>
        <w:gridCol w:w="146"/>
        <w:gridCol w:w="211"/>
        <w:gridCol w:w="1036"/>
        <w:gridCol w:w="166"/>
        <w:gridCol w:w="146"/>
        <w:gridCol w:w="211"/>
        <w:gridCol w:w="1141"/>
        <w:gridCol w:w="166"/>
        <w:gridCol w:w="146"/>
        <w:gridCol w:w="211"/>
        <w:gridCol w:w="1036"/>
        <w:gridCol w:w="311"/>
      </w:tblGrid>
      <w:tr>
        <w:trPr/>
        <w:tc>
          <w:tcPr>
            <w:tcW w:w="3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(13,546</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common shares used in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101,041,573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98,698,579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100,279,393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98,654,868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shares outstanding includes the weighted average effect of the Company’s pre-funded warrants from the date of issuance, the exercise of which requires little or no consideration for the delivery of shares of common stock. As of June 30, 2024 and December 31, 2023, the Company had pre-funded warrants to purchase 28,553,743 and 31,227,802 shares of common stock outstanding, respectively, which were issued in the April 2022 Private Placement and the September 2022 Offering, which warrants are included in the weighted average common shares used in calculating the net loss per share attributable to common stockholders, basic and diluted, for the three and six months ended June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June 30, 2024 and 2023, respectively, were excluded from the calculation of diluted net loss per share attributable to common stockholders for the periods indicated because including them would have had an anti-dilutive effect:</w:t>
      </w:r>
    </w:p>
    <w:tbl>
      <w:tblPr>
        <w:tblW w:w="5819" w:type="dxa"/>
        <w:jc w:val="left"/>
        <w:tblInd w:w="0" w:type="dxa"/>
        <w:tblLayout w:type="fixed"/>
        <w:tblCellMar>
          <w:top w:w="28" w:type="dxa"/>
          <w:left w:w="28" w:type="dxa"/>
          <w:bottom w:w="28" w:type="dxa"/>
          <w:right w:w="28" w:type="dxa"/>
        </w:tblCellMar>
      </w:tblPr>
      <w:tblGrid>
        <w:gridCol w:w="2726"/>
        <w:gridCol w:w="146"/>
        <w:gridCol w:w="146"/>
        <w:gridCol w:w="1036"/>
        <w:gridCol w:w="146"/>
        <w:gridCol w:w="146"/>
        <w:gridCol w:w="146"/>
        <w:gridCol w:w="1036"/>
        <w:gridCol w:w="291"/>
      </w:tblGrid>
      <w:tr>
        <w:trPr/>
        <w:tc>
          <w:tcPr>
            <w:tcW w:w="2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as of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9,703,704</w:t>
            </w:r>
          </w:p>
        </w:tc>
        <w:tc>
          <w:tcPr>
            <w:tcW w:w="291" w:type="dxa"/>
            <w:tcBorders/>
            <w:shd w:fill="CFF0FC"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7,961,704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5,384,564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potential common shares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17,665,408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15,088,268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Collaborative and Licensing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collaborative and licensing agreements with pharmaceutical companies to in-license, develop, manufacture and/or market products that fit within its business strategy.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Endo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enforceability of any licensed patent rights covering a licensed product and that challenge is not terminated within a specified period, the agreement will immediately terminate and all licenses granted under the agreement shall be revoked.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commitments under lease and licensing agreements (Note 5 and Note 11).</w:t>
      </w:r>
    </w:p>
    <w:p>
      <w:pPr>
        <w:pStyle w:val="TextBody"/>
        <w:bidi w:val="0"/>
        <w:spacing w:before="240" w:after="283"/>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2023 included in our Annual Report on Form 10-K, filed with the Securities and Exchange Commission, or SEC, on March 20, 2024.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or the Securities Act,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caution readers not to place undue reliance on any forward-looking statements made by us, which speak only as of the date they are made.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focused on the development and commercialization of the investigational therapy Haduvio (oral nalbuphine ER) for the treatment of chronic cough in idiopathic pulmonary fibrosis, or IPF, and refractory chronic cough, or RCC. Cough is mediated through a component of the peripheral nervous system in the lungs as well as components of the central nervous system in the brain. These nervous system components contain opioid receptors. Given this neurobiology, we believe that Haduvio has the potential to be effective in treating cough that originates from a variety of medical conditions based on the possibility for Haduvio to modulate nervous system functioning in both the peripheral and central nervous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Haduvio is an oral extended-release formulation of nalbuphine. Nalbuphine is a mixed κ-opioid receptor agonist and μ-opioid receptor antagonist that has been approved and marketed as an injectable for pain indications for more than 30 years in the United States, or the U.S., and Europe. The κ- and μ-opioid receptors are known to be critical mediators of cough. Nalbuphine’s mechanism of action also mitigates the risk of abuse associated with μ-opioid agonists because it antagonizes, or blocks, the μ-opioid receptor. Parenteral nalbuphine is not scheduled as a controlled substance in the U.S. and most of Europe.</w:t>
      </w:r>
    </w:p>
    <w:p>
      <w:pPr>
        <w:pStyle w:val="TextBody"/>
        <w:bidi w:val="0"/>
        <w:spacing w:before="120" w:after="283"/>
        <w:jc w:val="left"/>
        <w:rPr>
          <w:rFonts w:ascii="Times New Roman" w:hAnsi="Times New Roman"/>
          <w:sz w:val="20"/>
        </w:rPr>
      </w:pPr>
      <w:r>
        <w:rPr>
          <w:rFonts w:ascii="Times New Roman" w:hAnsi="Times New Roman"/>
          <w:i/>
          <w:color w:val="000000"/>
          <w:sz w:val="20"/>
        </w:rPr>
        <w:t>IPF Program.</w:t>
      </w:r>
      <w:r>
        <w:rPr>
          <w:rFonts w:ascii="Times New Roman" w:hAnsi="Times New Roman"/>
          <w:color w:val="000000"/>
          <w:sz w:val="20"/>
        </w:rPr>
        <w:t xml:space="preserve"> In September 2022, we announced positive data from the full set of patients in our Phase 2 clinical trial of Haduvio for the treatment of chronic cough in IPF, which we refer to as the Phase 2 CANAL trial. The Phase 2 CANAL trial was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randomized, double-blind, placebo controlled, two-treatment, two-period, crossover study that was designed to evaluate the efficacy, safety, tolerability and dosing of Haduvio for chronic cough in IPF that we conducted at multiple sites in the United Kingdom. In total, 42 patients in the study received Haduvio. In the Phase 2 CANAL trial,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initiated our Phase 2b CORAL clinical trial, which is a dose-ranging study evaluating the efficacy, safety and tolerability of Haduvio for chronic cough in IPF. This trial is expected to be conducted at multiple sites in up to 11 countries and uses a randomized, double-blind, placebo-controlled, parallel-arm design, which evaluates three doses of Haduvio over six weeks as compared to placebo. The primary efficacy endpoint for the trial is the relative change in 24-hour cough frequency at the end of week six versus baseline for Haduvio compared to placebo, as measured via an objective cough monitor. We expect the trial to enroll approximately 160 patients. The protocol for the Phase 2b CORAL clinical trial provides for a sample size re-estimation, or SSRE, analysis once approximately 50% of the patients in the trial are evaluable for the primary endpoint. The SSRE is expected to occur in the fourth quarter of 2024, and topline data from the full trial are expected to be available in the first half of 2025 assuming there are no adjustments made to the sample size.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conducting our Phase 1b respiratory physiology study, which we refer to as TIDAL, in the United Kingdom and U.S. and we have initiated screening. The study will evaluate the effect of Haduvio on respiratory physiology in patients with IPF of varying disease severity. TIDAL is a randomized, single-blind, placebo-controlled study. We expect to enroll approximately 25 patients who will be in-patient for 10 days. The primary endpoint of the study is the effect of escalating doses of Haduvio on respiratory function, as measured by minute ventilation. Secondary endpoints of additional respiratory functions will also be measured. The goal of this study is to define the patient population for any Phase 3 studies that we may conduct in chronic cough in IPF.</w:t>
      </w:r>
    </w:p>
    <w:p>
      <w:pPr>
        <w:pStyle w:val="TextBody"/>
        <w:bidi w:val="0"/>
        <w:spacing w:before="120" w:after="283"/>
        <w:jc w:val="left"/>
        <w:rPr>
          <w:rFonts w:ascii="Times New Roman" w:hAnsi="Times New Roman"/>
          <w:sz w:val="20"/>
        </w:rPr>
      </w:pPr>
      <w:r>
        <w:rPr>
          <w:rFonts w:ascii="Times New Roman" w:hAnsi="Times New Roman"/>
          <w:i/>
          <w:color w:val="000000"/>
          <w:sz w:val="20"/>
        </w:rPr>
        <w:t>RCC Program.</w:t>
      </w:r>
      <w:r>
        <w:rPr>
          <w:rFonts w:ascii="Times New Roman" w:hAnsi="Times New Roman"/>
          <w:color w:val="000000"/>
          <w:sz w:val="20"/>
        </w:rPr>
        <w:t xml:space="preserve"> We are also developing Haduvio for the treatment of RCC. In November 2023, we initiated our Phase 2a clinical trial of Haduvio for RCC, which we refer to as the Phase 2a RIVER trial. The Phase 2a RIVER trial is a randomized, double-blind, placebo-controlled, two-treatment, two-period, crossover study that is designed to evaluate the efficacy, safety, tolerability and dosing of Haduvio for the treatment of RCC. We are conducting this trial at multiple sites in the United Kingdom and Canada. The trial was designed to enroll approximately 60 adult patients. The primary endpoint of the trial is a mean change in 24-hour cough frequency in the overall population as determined using an objective cough monitor. Patients are randomized with a 1:1 stratification between those with 10-19 coughs/hour (moderate 24-hour cough frequency) and those with at least 20 coughs/hour (high 24-hour cough frequency). The trial will also explore secondary endpoints, including patient reported outcome measures for cough frequency and severity. The study is now approximately 80% enrolled and we expect to report topline efficacy and safety data in the fourth quarter of 2024.</w:t>
      </w:r>
    </w:p>
    <w:p>
      <w:pPr>
        <w:pStyle w:val="TextBody"/>
        <w:bidi w:val="0"/>
        <w:spacing w:before="120" w:after="283"/>
        <w:jc w:val="left"/>
        <w:rPr>
          <w:rFonts w:ascii="Times New Roman" w:hAnsi="Times New Roman"/>
          <w:sz w:val="20"/>
        </w:rPr>
      </w:pPr>
      <w:r>
        <w:rPr>
          <w:rFonts w:ascii="Times New Roman" w:hAnsi="Times New Roman"/>
          <w:i/>
          <w:color w:val="000000"/>
          <w:sz w:val="20"/>
        </w:rPr>
        <w:t>Human Abuse Potential.</w:t>
      </w:r>
      <w:r>
        <w:rPr>
          <w:rFonts w:ascii="Times New Roman" w:hAnsi="Times New Roman"/>
          <w:color w:val="000000"/>
          <w:sz w:val="20"/>
        </w:rPr>
        <w:t xml:space="preserve"> We initiated a human abuse potential, or HAP, study in the fourth quarter of 2022 to compare the abuse potential of oral nalbuphine to intravenous, or IV, butorphanol. The parenteral version of nalbuphine is currently unscheduled in the U.S. by the Drug Enforcement Agency. The study is a randomized, double-blind, active and placebo-controlled five-way crossover study. The study is being conducted in two parts. The first part of the study characterized various IV butorphanol doses in order to select a dose to be studied and has been completed. The U.S. Food and Drug Administration, or FDA, requested that we submit the data from the first part of the study in support of our IV butorphanol dose selection for review and comment prior to commencing the second part of the study. We submitted the data to the FDA and the FDA agreed to the selected dose of IV butorphanol. In the second part of the study, we are comparing the likeability of oral nalbuphine with the selected dose of IV butorphanol using various drug-liking scales, including the primary endpoint, which measures the peak effect for drug liking assessed using a visual analog scale. We are also evaluating safety and physiological measures, pharmacokinetic data, and abuse-related adverse events. We initiated dosing in the second part of the study in January 2024 and the study is approximately 95% enrolled. We expect to complete enrollment in the third quarter of 2024 and report topline data from the study in the fourth quarter of 2024.</w:t>
      </w:r>
    </w:p>
    <w:p>
      <w:pPr>
        <w:pStyle w:val="TextBody"/>
        <w:bidi w:val="0"/>
        <w:spacing w:before="120" w:after="283"/>
        <w:jc w:val="left"/>
        <w:rPr>
          <w:rFonts w:ascii="Times New Roman" w:hAnsi="Times New Roman"/>
          <w:sz w:val="20"/>
        </w:rPr>
      </w:pPr>
      <w:r>
        <w:rPr>
          <w:rFonts w:ascii="Times New Roman" w:hAnsi="Times New Roman"/>
          <w:i/>
          <w:color w:val="000000"/>
          <w:sz w:val="20"/>
        </w:rPr>
        <w:t>Prurigo Nodularis Program</w:t>
      </w:r>
      <w:r>
        <w:rPr>
          <w:rFonts w:ascii="Times New Roman" w:hAnsi="Times New Roman"/>
          <w:color w:val="000000"/>
          <w:sz w:val="20"/>
        </w:rPr>
        <w:t>. We also have a development program for the use of Haduvio for the treatment of prurigo nodularis. In June 2022, we reported positive results in our Phase 2b/3 clinical trial of Haduvio in patients with prurigo nodularis, which we refer to as the Phase 2b/3 PRISM trial. The Phase 2b/3 PRISM trial was a randomized, double-blind, placebo controlled, two-arm treatment study that was designed to evaluate the safety and efficacy of Haduvio in patients with prurigo nodularis in the U.S. and Europe. In total we enrolled 353 patients in the study. In the Phase 2b/3 PRISM trial, Haduvio demonstrated statistically significant results on the primary and all three key secondary endpoints. The safety results of the trial were generally consistent with the known safety profile of Haduvio from previous trials in other patient populations.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reported the preliminary analysis of the 52-week data from the open-label extension portion of the Phase 2b/3 PRISM trial. Following the completion of the initial 14-week portion of the trial, patients were eligible to enroll into an additional 38-week open-label extension period during which all participants received Haduvio 162mg twice a day (BID). Post hoc analyses demonstrated continued reduction in mean Worst Itch Numerical Rating Scale for those participants who remained on Haduvio through 52 weeks. 151 patients completed the open-label extension portion of the trial, adding to the safety database for Haduvio. The safety data were generally consistent with the safety profile of Haduvio observed in the 14-week portion of the Phase 2b/3 PRISM trial and previous trials of Haduvio. Adverse events reported with a frequency greater than five percent in the 38-week open-label period included nausea, dizziness, vomiting, fatigue, and somnolence. Study discontinuation due to treatment-related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occurred in 13% of patients during the 38-week open-label period, and serious adverse events were reported for 13 patients, although only two of these events were considered potentially treatment related.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need to conduct an additional Phase 3 clinical trial to support the submission of a new drug application to the FDA, a marketing authorization application, or MAA, to the European Medicines Agency and an MAA to the Medicines and Healthcare Products Regulatory Agency in the United Kingdom for Haduvio for the treatment of prurigo nodularis, and we plan to request an end of Phase 2 meeting with the FDA. Following discussions with the FDA and other regulatory authorities, we plan to determine next steps with respect to our prurigo nodularis program, including with respect to the conduct of any future Phase 3 clinical trial. We do not intend to complete the development of Haduvio for this indication ourselves, and may seek to enter into a strategic collaboration for the continued development of this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June 30, 2024, we had an accumulated deficit of $262.4 million, primarily as a result of research and development and general and administrative expenses. We do not expect to generate product revenue unless and until we obtain marketing approval for and commercialize Haduvio for the treatment of chronic cough in IPF and RCC or for the treatment of prurigo nodularis and we can provide no assurance that we will ever generate significant revenue or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2019, we issued and sold 5,500,000 shares of common stock in our initial public offering, or the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2020, we entered into a sales agreement with SVB Securities LLC (formerly SVB Leerink LLC), or SVB Securities, which we refer to as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were able to issue and sell from time to time under the ATM Sales Agreement by $50.0 million, from $12.0 million to up to $62.0 million. Sales of common stock under the ATM Sales Agreement were able to be made by any method that was deemed an “at-the-market” offering as defined in Rule 415(a)(4) under the Securities Act. We were not obligated to make any sales of our common stock under the ATM Sales Agreement. We began making sales pursuant to the ATM Sales Agreement in July 2020, and as of August 15, 2023, the date of termination of the ATM Sales Agreement, we had issued and sold an aggregate of 4,333,394 shares of common stock for gross proceeds of $12.7 million pursuant to the ATM Sales Agreement, before deducting estimated commissions and allocated fees of $1.0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a new sales agreement with Leerink Partners, LLC (formerly SVB Securities), or Leerink Partners, which we refer to as the 2023 ATM Sales Agreement, under which we may issue and sell shares of common stock, from time to time by any method that is deemed an “at-the-market” offering as defined in Rule 415(a)(4) under the Securities Act. We are not obligated to make any sales of our common stock under the 2023 ATM Sales Agreement. We filed a prospectus under the Shelf Registration Statement for the offer and sale of shares of our common stock having an aggregate offering price of up to $75.0 million pursuant to the 2023 ATM Sales Agreement. In accordance with the terms of the 2023 ATM Sales Agreement, the ATM Sales Agreement terminated upon effectiveness of the Shelf Registration Statement, at which point we were no longer able to issue and sell shares of our common stock under the ATM Sales Agreement. As of June 30, 2024, we had issued and sold 1,474,926 shares of common stock for gross proceeds of $5.0 million, before deducting estimated commissions and allocated fees of $0.2 million under the 2023 ATM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5, 2021 and October 18, 2021, we issued and sold in two private placements, or the October 2021 Private Placements, in the aggregate (i) 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The accompanying common stock warrants have an exercise price of $1.37 per share and became exercisable immediately upon issuance. Of the accompanying common stock warrants, warrants to purchase an aggregate of 7,299,270 shares had an expiration date of April 5, 2025, warrants to purchase an aggregate of 1,851,852 shares had an expiration date of April 18, 2025, warrants to purchase an aggregate of 7,299,270 shares had an expiration date of October 5, 2028, and warrants to purchase an aggregate of 1,851,852 shares had an expiration date of October 18, 2028. As of July 31, 2024, all of the pre-funded warrants have been exercised, all of the accompanying common stock warrants expiring on April 5, 2025 have been exercised, and accompanying common stock warrants to purchase 1,299,270 shares expiring on October 5, 2028 have been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exercised. Warrants to purchase 1,851,852 shares of common stock that are to expire on April 18, 2025, warrants to purchase 6,000,000 shares of common stock that are to expire on October 5, 2028 and warrants to purchase 1,851,852 shares of common stock that are to expire on October 18, 2028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became exercisable immediately upon issuance and will be exercisable until the pre-funded warrant is exercised in full. As of July 31, 2024 pre-funded warrants to purchase 15,282,760 shares of common stock that we issued and sold in the April 2022 Private Placement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2022, we issued and sold 14,252,670 shares of our common stock and, in lieu of common stock to certain investors, pre-funded warrants to purchase 14,247,330 shares of common stock in a public offering, or the September 2022 Offering, at a public offering price of $1.93 per share of common stock and $1.929 per pre-funded warrant pursuant to an underwriting agreement, or the Underwriting Agreement, with SVB Securities, Stifel, Nicolaus &amp; Company, Incorporated and Oppenheimer &amp; Co. Inc., as representatives of the several underwriters, or the Underwriters. Each pre-funded warrant has an exercise price of $0.001 per share, became exercisable immediately upon issuance and will be exercisable until the pre-funded warrant is exercised in full. Under the terms of the Underwriting Agreement, we granted the Underwriters an option, or the Option, exercisable for 30 days, to purchase up to an additional 4,275,000 shares of common stock, or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us of approximately $58.1 million. As of July 31, 2024, pre-funded warrants to purchase 13,270,983 shares of common stock that we issued and sold in the September 2022 Offering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9, 2023, we paid the remaining amount due under the loan and security agreement, or the SVB Loan Agreement, that we originally entered into with Silicon Valley Bank, or SVB, in August 2020, resulting in the full extinguishment of the term loan thereunder, or the SVB Term Loan. The total payoff amount was $6.5 million, consisting of the remaining principal amount due of $5.2 million, the final payment fee of $1.2 million, and $0.1 million of accrued interest and prepayment premium. In August 2020, we entered into the SVB Loan Agreement with SVB, pursuant to which SVB provided the SVB Term Loan to us in the original principal amount of $14.0 million. On the first business day of each month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For further discussion of the SVB Term Loan, see “—Liquidity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cash, cash equivalents and marketable securities of $69.5 million. We believe that our existing cash, cash equivalents and marketable securities will enable us to fund our operating expenses and capital expenditure requirements for at least 12 months from the date of issuance of the Condensed Consolidated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trials we are conducting and plan to conduct for Haduvio including our Phase 2b CORAL clinical trial for the treatment of chronic cough in IPF, our Phase 2a RIVER clinical trial of Haduvio for the treatment of RCC, our Phase 1b TIDAL respiratory physiology study in patients with IPF of varying disease severity and our HAP study to compare the abuse potential of oral nalbuphine to IV butorphanol.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periods presented, all of our research and development expenses consist of expenses incurred in connection with the development of Haduvio. These expenses include personnel-related costs, including stock-based compensation, consulting costs, contract manufacturing costs and fees paid to contract research organizations, or CROs, to conduct certain research and development activities on our behalf. We do not allocate all of our costs by each indication for which we are developing Haduvio, as a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of our development activities broadly support all indications. In addition, several of our departments support our Haduvio drug candidate development program and we do not identify internal costs for each potential indication.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as a result of increased personnel costs, including stock-based compensation and expanded infrastructure.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consists of interest earned primarily on our cash, cash equivalents and marketable securities as well as accretion of discounts/amortization of premiums on purchases of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of income consists of foreign currency transaction gains and losses as well as employee retention tax credit under the Coronavirus Aid, Relief, and Economic Security Act, or the CARES Act.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the interest expense associated with our finance lease. In 2023, interest expense also included interest under the SVB Loan Agreement pursuant to which we borrowed $14.0 million under the SVB Term Loan. In connection with the SVB Term Loan, we recognized interest expense which included amortization of deferred financing charges, accretion of loan discount-financing costs, accrual of the final payment fee, amortization of the term loan discount-interest and the stated interest on the SVB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SVB Term Loan required interest-only payments until March 2022. Commencing on March 1, 2022, we were required to repay the SVB Term Loan in 24 consecutive installments of principal plus monthly payments of accrued interest. 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jc w:val="left"/>
        <w:rPr/>
      </w:pPr>
      <w:r>
        <w:rPr/>
        <w:t> </w:t>
      </w:r>
    </w:p>
    <w:tbl>
      <w:tblPr>
        <w:tblW w:w="6578"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631"/>
        <w:gridCol w:w="166"/>
        <w:gridCol w:w="146"/>
        <w:gridCol w:w="211"/>
        <w:gridCol w:w="631"/>
        <w:gridCol w:w="5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3596"/>
        <w:gridCol w:w="146"/>
        <w:gridCol w:w="211"/>
        <w:gridCol w:w="676"/>
        <w:gridCol w:w="146"/>
        <w:gridCol w:w="146"/>
        <w:gridCol w:w="211"/>
        <w:gridCol w:w="571"/>
        <w:gridCol w:w="146"/>
        <w:gridCol w:w="146"/>
        <w:gridCol w:w="211"/>
        <w:gridCol w:w="571"/>
        <w:gridCol w:w="2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0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291" w:type="dxa"/>
            <w:tcBorders/>
            <w:shd w:fill="CFF0FC" w:val="clear"/>
            <w:vAlign w:val="center"/>
          </w:tcPr>
          <w:p>
            <w:pPr>
              <w:pStyle w:val="TableContents"/>
              <w:bidi w:val="0"/>
              <w:spacing w:before="0" w:after="283"/>
              <w:jc w:val="left"/>
              <w:rPr/>
            </w:pPr>
            <w:r>
              <w:rPr/>
              <w:t> </w:t>
            </w:r>
          </w:p>
        </w:tc>
      </w:tr>
      <w:tr>
        <w:trPr/>
        <w:tc>
          <w:tcPr>
            <w:tcW w:w="3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91" w:type="dxa"/>
            <w:tcBorders/>
            <w:shd w:fill="FFFFFF" w:val="clear"/>
            <w:vAlign w:val="center"/>
          </w:tcPr>
          <w:p>
            <w:pPr>
              <w:pStyle w:val="TableContents"/>
              <w:bidi w:val="0"/>
              <w:spacing w:before="0" w:after="283"/>
              <w:jc w:val="left"/>
              <w:rPr/>
            </w:pPr>
            <w:r>
              <w:rPr/>
              <w:t> </w:t>
            </w:r>
          </w:p>
        </w:tc>
      </w:tr>
      <w:tr>
        <w:trPr/>
        <w:tc>
          <w:tcPr>
            <w:tcW w:w="3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91" w:type="dxa"/>
            <w:tcBorders/>
            <w:shd w:fill="CFF0FC" w:val="clear"/>
            <w:vAlign w:val="center"/>
          </w:tcPr>
          <w:p>
            <w:pPr>
              <w:pStyle w:val="TableContents"/>
              <w:bidi w:val="0"/>
              <w:spacing w:before="0" w:after="283"/>
              <w:jc w:val="left"/>
              <w:rPr/>
            </w:pPr>
            <w:r>
              <w:rPr/>
              <w:t> </w:t>
            </w:r>
          </w:p>
        </w:tc>
      </w:tr>
      <w:tr>
        <w:trPr/>
        <w:tc>
          <w:tcPr>
            <w:tcW w:w="3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three months ended June 30, 2024 increased to $10.0 million from $5.8 million for the corresponding period in 2023, primarily due to increased clinical development expenses for our Phase 2b CORAL trial, our Phase 2a RIVER trial, our HAP study and our recently initiated Phase 1b TIDAL study, as well as increases in personnel and related expenses and stock-based compensation expense. These increases were partially offset by decreased clinical development expenses for our Phase 2b/3 PRISM trial.</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three months ended June 30, 2024 increased to $3.3 million from $2.5 million for the corresponding period in 2023, primarily due to increases in personnel and related expenses, stock-based compensation expense, market research costs as well as information technology services.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three months ended June 30, 2024 was $0.9 million compared to other income, net of $1.2 million for the corresponding period in 2023. The change was primarily due to a decrease in interest income due to lower cash equivalent and marketable securities balances.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spacing w:before="120" w:after="283"/>
        <w:jc w:val="left"/>
        <w:rPr/>
      </w:pPr>
      <w:r>
        <w:rPr/>
        <w:t> </w:t>
      </w:r>
    </w:p>
    <w:tbl>
      <w:tblPr>
        <w:tblW w:w="6683"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736"/>
        <w:gridCol w:w="166"/>
        <w:gridCol w:w="146"/>
        <w:gridCol w:w="211"/>
        <w:gridCol w:w="631"/>
        <w:gridCol w:w="5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spacing w:before="120" w:after="283"/>
        <w:jc w:val="left"/>
        <w:rPr/>
      </w:pPr>
      <w:r>
        <w:rPr/>
        <w:t> </w:t>
      </w:r>
    </w:p>
    <w:tbl>
      <w:tblPr>
        <w:tblW w:w="7173" w:type="dxa"/>
        <w:jc w:val="left"/>
        <w:tblInd w:w="0" w:type="dxa"/>
        <w:tblLayout w:type="fixed"/>
        <w:tblCellMar>
          <w:top w:w="28" w:type="dxa"/>
          <w:left w:w="28" w:type="dxa"/>
          <w:bottom w:w="28" w:type="dxa"/>
          <w:right w:w="28" w:type="dxa"/>
        </w:tblCellMar>
      </w:tblPr>
      <w:tblGrid>
        <w:gridCol w:w="3596"/>
        <w:gridCol w:w="146"/>
        <w:gridCol w:w="211"/>
        <w:gridCol w:w="676"/>
        <w:gridCol w:w="146"/>
        <w:gridCol w:w="146"/>
        <w:gridCol w:w="211"/>
        <w:gridCol w:w="676"/>
        <w:gridCol w:w="146"/>
        <w:gridCol w:w="146"/>
        <w:gridCol w:w="211"/>
        <w:gridCol w:w="571"/>
        <w:gridCol w:w="2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w:t>
            </w:r>
          </w:p>
        </w:tc>
        <w:tc>
          <w:tcPr>
            <w:tcW w:w="291" w:type="dxa"/>
            <w:tcBorders/>
            <w:shd w:fill="CFF0FC" w:val="clear"/>
            <w:vAlign w:val="center"/>
          </w:tcPr>
          <w:p>
            <w:pPr>
              <w:pStyle w:val="TableContents"/>
              <w:bidi w:val="0"/>
              <w:spacing w:before="0" w:after="283"/>
              <w:jc w:val="left"/>
              <w:rPr/>
            </w:pPr>
            <w:r>
              <w:rPr/>
              <w:t> </w:t>
            </w:r>
          </w:p>
        </w:tc>
      </w:tr>
      <w:tr>
        <w:trPr/>
        <w:tc>
          <w:tcPr>
            <w:tcW w:w="3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91" w:type="dxa"/>
            <w:tcBorders/>
            <w:shd w:fill="FFFFFF" w:val="clear"/>
            <w:vAlign w:val="center"/>
          </w:tcPr>
          <w:p>
            <w:pPr>
              <w:pStyle w:val="TableContents"/>
              <w:bidi w:val="0"/>
              <w:spacing w:before="0" w:after="283"/>
              <w:jc w:val="left"/>
              <w:rPr/>
            </w:pPr>
            <w:r>
              <w:rPr/>
              <w:t> </w:t>
            </w:r>
          </w:p>
        </w:tc>
      </w:tr>
      <w:tr>
        <w:trPr/>
        <w:tc>
          <w:tcPr>
            <w:tcW w:w="3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91" w:type="dxa"/>
            <w:tcBorders/>
            <w:shd w:fill="CFF0FC" w:val="clear"/>
            <w:vAlign w:val="center"/>
          </w:tcPr>
          <w:p>
            <w:pPr>
              <w:pStyle w:val="TableContents"/>
              <w:bidi w:val="0"/>
              <w:spacing w:before="0" w:after="283"/>
              <w:jc w:val="left"/>
              <w:rPr/>
            </w:pPr>
            <w:r>
              <w:rPr/>
              <w:t> </w:t>
            </w:r>
          </w:p>
        </w:tc>
      </w:tr>
      <w:tr>
        <w:trPr/>
        <w:tc>
          <w:tcPr>
            <w:tcW w:w="3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for the six months ended June 30, 2024 increased to $18.8 million from $10.8 million for the corresponding period in 2023, primarily due to increased clinical development expenses for our Phase 2b CORAL trial, our Phase 2a RIVER trial, our HAP study and our recently initiated Phase 1b TIDAL study. These increases were partially offset by decreased clinical development expenses for our Phase 2b/3 PRISM trial.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six months ended June 30, 2024 increased to $6.4 million from $5.1 million for the corresponding period in 2023, primarily due to increases in personnel and related expenses, stock-based compensation expense, information technology services, market research costs and professional fees.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six months ended June 30, 2024 was $1.9 million compared to other income, net of $2.4 million for the corresponding period in 2023. The change was primarily due to a decrease in interest income of $0.5 million due to lower cash equivalent and marketable securities balances.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our prior term loan. From inception to our IPO, we raised an aggregate of $102.2 million in gross proceeds from sales of our preferred stock and convertible notes and borrowed $15.0 million under a prior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2020, we entered into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were able to issue and sell from time to time under the ATM Sales Agreement by $50.0 million, from $12.0 million to up to $62.0 million. Sales of common stock under the ATM Sales Agreement were able to be made by any method that was deemed an “at-the-market” offering as defined in Rule 415(a)(4) under the Securities Act. We were not obligated to make any sales of our common stock under the ATM Sales Agreement. We began making sales pursuant to the ATM Sales Agreement in July 2020 and through August 15, 2023, the date of termination of the ATM Sales Agreement, we had issued and sold an aggregate of 4,333,394 shares of common stock for gross proceeds of $12.7 million, before deducting estimated commissions and allocated fees of $1.0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we filed with the SEC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the 2023 ATM Sales Agreement with Leerink Partners, under which we may issue and sell shares of common stock, from time to time by any method that is deemed an “at-the-market” offering as defined in Rule 415(a)(4) under the Securities Act. We are not obligated to make any sales of our common stock under the 2023 ATM Sales Agreement. We filed a prospectus under the Shelf Registration Statement for the offer and sale of shares of our common stock having an aggregate offering price of up to $75.0 million pursuant to the 2023 ATM Sales Agreement. In accordance with the terms of the 2023 ATM Sales Agreement, the ATM Sales Agreement terminated upon effectiveness of the Shelf Registration Statement, at which point we were no longer able to issue and sell shares of our common stock under the ATM Sales Agreement. As of June 30, 2024, we had issued and sold 1,474,926 shares of common stock for gross proceeds of $5.0 million, before deducting estimated commissions and allocated fees of $0.2 million under the 2023 ATM Sales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 below (in thousands):</w:t>
      </w:r>
    </w:p>
    <w:tbl>
      <w:tblPr>
        <w:tblW w:w="8523" w:type="dxa"/>
        <w:jc w:val="left"/>
        <w:tblInd w:w="0" w:type="dxa"/>
        <w:tblLayout w:type="fixed"/>
        <w:tblCellMar>
          <w:top w:w="28" w:type="dxa"/>
          <w:left w:w="28" w:type="dxa"/>
          <w:bottom w:w="28" w:type="dxa"/>
          <w:right w:w="28" w:type="dxa"/>
        </w:tblCellMar>
      </w:tblPr>
      <w:tblGrid>
        <w:gridCol w:w="4521"/>
        <w:gridCol w:w="146"/>
        <w:gridCol w:w="211"/>
        <w:gridCol w:w="736"/>
        <w:gridCol w:w="166"/>
        <w:gridCol w:w="146"/>
        <w:gridCol w:w="211"/>
        <w:gridCol w:w="736"/>
        <w:gridCol w:w="166"/>
        <w:gridCol w:w="146"/>
        <w:gridCol w:w="211"/>
        <w:gridCol w:w="73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(33,924</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2024, operating activities used $19.2 million of net cash, resulting from our net loss of $23.3 million partially offset by net changes in our operating assets and liabilities of $2.7 million and net non-cash charges of $1.4 million. Changes in our operating assets and liabilities consisted of a $1.9 million decrease in prepaid expenses and other current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a $1.1 million increase in accrued expenses and other liabilities partially offset by a $0.3 million decrease in accounts payable. The decrease in prepaid expenses and other current assets was primarily due to a decrease in prepayments related to our clinical trial work performed by our CROs. The increase in accrued expenses and other liabilities was primarily due to an increase in accruals for clinical development and clinical trial work performed by our CROs. The decrease in accounts payable was primarily due to the timing of vendor invoices. The non-cash charges consisted primarily of stock-based compensation expense of $1.9 million, $0.2 million change in value of our operating lease right-of-use assets and liabilities and $0.1 million of depreciation and amortization, partially offset by $0.7 million of accretion of our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2023, operating activities used $18.1 million of net cash, principally resulting from our net loss of $13.5 million and net changes in our operating assets and liabilities of $4.8 million. Changes in our operating assets and liabilities consisted of a $2.5 million increase in prepaid expenses and other current assets, a $1.5 million decrease in accounts payable and a $0.8 million decrease in accrued expenses and other liabilities. The increase in prepaid expenses and other current assets was primarily due to an increase in prepayments related to our clinical trial work performed by our CROs as well as an increase in prepayments of our corporate insurance policies. The decrease in accounts payable was primarily due to the timing of vendor invoices. The decrease in accrued expenses and other liabilities was primarily due to a decrease in accrued compensation and benefits and interest payable partially offset by an increase in accruals for research, development and clinical trial work performed by our CROs and consultants. Net cash used in operating activities for the six months ended June 30, 2023 also included non-cash charges that consisted primarily of stock-based compensation expense of $1.2 million and $0.2 million of accretion/accrual of term loan discounts and debt issuance costs, which were partially offset by $1.3 million of accretion of our available-for-sale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2024, net cash used in investing activities was $5.3 million, primarily related to $40.2 million of purchases of available-for-sale marketable securities, partially offset by $34.9 million of proceeds from maturities of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2023, net cash provided by investing activities was $28.6 million, consisting primarily of $37.7 million of proceeds from maturities of available-for-sale marketable securities partially offset by $9.0 million of purchases of available-for-sale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2024, net cash provided by financing activities was $5.0 million, primarily consisting of gross cash proceeds of $5.0 million, net of commissions from sales of our common stock under the 2023 ATM Sales Agreement, and $0.2 million of cash proceeds from the exercise of stock options, partially offset by $0.1 million of payments on our finance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2023, net cash used in financing activities was $9.4 million, consisting of repayments of $9.4 million on the SVB Term Loan including payment of the final payment fee and prepayment premium, both associated with the payoff of the SVB 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Phase 2b CORAL clinical trial of Haduvio for the treatment of chronic cough in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Phase 2a RIVER clinical trial of Haduvio for the treatment of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Phase 1b TIDAL study to evaluate the effect of Haduvio on respiratory physiology in patients with IPF of varying disease severity;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HAP study comparing the abuse potential of oral nalbuphine to IV butorphanol.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costs associated with operating as a public company, including significant legal, accounting, investor relations and other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timing, costs and results of clinical trials of Haduvio, including our Phase 2b CORAL clinical trial of Haduvio for the treatment of chronic cough in IPF, our Phase 2a RIVER clinical trial in RCC, our HAP study, and our Phase 1b TIDAL study to evaluate the effect of Haduvio on respiratory physiology in patients with IPF of varying disease severity, as well as trials for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indications for which we seek to develop Haduvio or any future product candidates and their respective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costs of clinical and nonclinical trials and of seeking regulatory approvals, including the costs of supportive clinical studies such as a potential Thorough QT study;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the manufacture of necessary quantities of Haduvio or any future product candidate for clinical development in connection with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Haduvio for the treatment of chronic cough in IPF and RCC or for any future product candidates that receive marketing approval, if any,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approvals, revenue, if any, received from commercial sales of Haduvio for the treatment of chronic cough in IPF or RCC or for the treatment of prurigo nodularis, or from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potential collaborators for Haduvio for the treatment of prurigo nodularis or for the treatment of chronic cough in IPF or RCC or for any future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rights to other potential product candidates or technologies and the terms and timing of any such acquisition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obligation to make milestone payments to Endo Pharmaceuticals Inc., or Endo, which would become due upon the successful completion of the first Phase 3 clinical trial of a licensed product candidate and the marketing approval of a licensed product in the U.S., as well as our potential obligations to pay Endo royalties on the net sales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activities and medical affairs activities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healthcare coverage and adequate reimbursement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sz w:val="20"/>
        </w:rPr>
      </w:pPr>
      <w:r>
        <w:rPr>
          <w:rFonts w:ascii="Times New Roman" w:hAnsi="Times New Roman"/>
          <w:color w:val="000000"/>
          <w:sz w:val="20"/>
        </w:rPr>
        <w:t>We do not have any committed external source of funds.</w:t>
      </w:r>
      <w:r>
        <w:rPr>
          <w:rFonts w:ascii="Times New Roman" w:hAnsi="Times New Roman"/>
          <w:color w:val="FF0000"/>
          <w:sz w:val="20"/>
        </w:rPr>
        <w:t xml:space="preserve"> </w:t>
      </w:r>
      <w:r>
        <w:rPr>
          <w:rFonts w:ascii="Times New Roman" w:hAnsi="Times New Roman"/>
          <w:color w:val="000000"/>
          <w:sz w:val="20"/>
        </w:rPr>
        <w:t>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IPF or RCC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development activities are outsourced to third parties under agreements, including with CROs and contract manufacturers in connection with the production of clinical trial materials. The contracts are cancelable at any time by us, generally upon 60 days' prior written notice to the CRO, and therefore we believe that our non-cancelable obligations under these agreements are not material. For information related to our future commitments relating to our lease and licensing agreements, see Note 5, “Leases” and Note 11, “Collaborative and Licensing Agreements” of our Condensed Consolidated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financial statements, we believe that the critical accounting policy related to research and development expenses that is described under the heading “Management’s Discussion and Analysis of Financial Condition and Results of Operations—Critical Accounting Policies and Use of Estimates” in our Annual Report on Form 10-K for the year ended December 31, 2023, is the most important to understanding and evaluating our reported financial results. During the six months ended June 30, 2024, there were no material changes to our critical accounting policies.</w:t>
      </w:r>
    </w:p>
    <w:p>
      <w:pPr>
        <w:pStyle w:val="TextBody"/>
        <w:bidi w:val="0"/>
        <w:spacing w:before="12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June 30, 2024.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June 30, 2024, our Chief Executive Officer and Chief Financial Officer concluded that, as of such date, our disclosure controls and procedures were effective at the reasonable assurance level.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three months ended June 30, 2024 that has materially affected, or is reasonably likely to materially affect, our internal control over financial reporting.</w:t>
      </w:r>
    </w:p>
    <w:p>
      <w:pPr>
        <w:pStyle w:val="TextBody"/>
        <w:bidi w:val="0"/>
        <w:jc w:val="left"/>
        <w:rPr/>
      </w:pPr>
      <w:r>
        <w:rPr/>
        <w:t> </w:t>
      </w:r>
    </w:p>
    <w:p>
      <w:pPr>
        <w:pStyle w:val="TextBody"/>
        <w:bidi w:val="0"/>
        <w:jc w:val="left"/>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subject to any material legal proceedings.</w:t>
      </w:r>
    </w:p>
    <w:p>
      <w:pPr>
        <w:pStyle w:val="TextBody"/>
        <w:bidi w:val="0"/>
        <w:spacing w:before="12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inception, expect to incur significant and increasing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annual net losses every year since our inception. We expect to continue to incur significant and increasing net losses for at least the next several years. Our net losses were $23.3 million and $29.1 million for the six months ended June 30, 2024 and for the year ended December 31, 2023, respectively. As of June 30, 2024, we had an accumulated deficit of $262.4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proceeds from our IPO, sales of our common stock and warrants to purchase our common stock, and borrowings from term loans. We have devoted substantially all our financial resources and efforts to the clinical development of our product candidate Haduvio and related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losses may fluctuate significantly from quarter to quarter and year to year. Net losses and negative cash flows have had, and will continue to have, an adverse effect on our stockholders’ equity and working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and conduct clinical trials of Haduvio, including our Phase 2b CORAL clinical trial of Haduvio for the treatment of chronic cough in idiopathic pulmonary fibrosis, or IPF, our Phase 2a RIVER clinical trial of Haduvio for the treatment of refractory chronic cough, or RCC, and our human abuse potential, or HAP, study, and our Phase 1b TIDAL study to evaluate the effect of Haduvio on respiratory physiology in patients with IPF of varying disease severity;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Haduvio for the treatment of chronic cough in IPF, or RCC or for any future product candidate that successfully completes clinical trials,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 and execute pediatric development plans and complete any post-approval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sales, marketing, distribution and other commercial infrastructure to commercialize any products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Haduvio or any future product candidate for clinical development and, potentially,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rights to other potential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conduct research, preclinical and clinical development efforts for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and retain additional personnel, such as clinical, regulatory and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commercialization efforts and to help us comply with our obligations as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equipment and physical infrastructure to support our development program for Haduvio and for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chronic cough in IPF, we may be required, at a minimum, to successfully complete two additional Phase 3 clinical trials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and no products approved for commercial sale, which may make it difficult to evaluate the prospects for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funding and if we are unable to raise sufficient capital when needed on acceptable terms or at all, we could be forced to delay, reduce or abandon our product development programs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six months ended June 30, 2024 and the year ended December 31, 2023, we used net cash of $19.2 million and $31.7 million, respectively, in our operating activities, substantially all of which related to development activities for Haduvio. As of June 30, 2024, our cash, cash equivalents and marketable securities were $69.5 million. We expect our expenses to increase substantially in connection with our ongoing activities, particularly as we continue to develop Haduvio, including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Phase 2b CORAL clinical trial of Haduvio for the treatment of chronic cough in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Phase 2a RIVER clinical trial of Haduvio for the treatment of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Phase 1b TIDAL study to evaluate the effect of Haduvio on respiratory physiology in patients with IPF of varying disease severity;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HAP study to compare the abuse potential of oral nalbuphine to intravenous, or IV, butorphanol.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additional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determine to conduct an additional clinical trial of Haduvio for other indications;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acquire or in-license rights to other potential product candidates or technologies and seek regulatory and marketing approvals for Haduvio or any future product candidate that successfully completes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United States, or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IPF or RCC,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timing, costs and results of clinical trials of Haduvio, including our Phase 2b CORAL clinical trial of Haduvio for the treatment of chronic cough in IPF, our Phase 2a RIVER clinical trial in RCC, our HAP study,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1b TIDAL study to evaluate the effect of Haduvio on respiratory physiology in patients with IPF of varying disease severity, as well as trials for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indications for which we seek to develop Haduvio or any future product candidates and their respective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costs of clinical and nonclinical trials and of seeking regulatory approvals, including the costs of supportive clinical studies such as a potential Thorough QT, or TQT,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the manufacture of necessary quantities of Haduvio or any future product candidate for clinical development in connection with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Haduvio for the treatment of chronic cough in IPF and RCC or for any future product candidates that receive marketing approval, if any,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approvals, revenue, if any, received from commercial sales of Haduvio for the treatment of chronic cough in IPF or RCC or for the treatment of prurigo nodularis, or from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potential collaborators for Haduvio for the treatment of chronic cough in IPF or RCC or for the treatment of prurigo nodularis or for any future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rights to other potential product candidates or technologies and the terms and timing of any such acquisition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obligation to make milestone payments to Endo Pharmaceuticals Inc., or Endo, which would become due upon the successful completion of the first Phase 3 clinical trial of a licensed product candidate and the marketing approval of a licensed product in the U.S., as well as our potential obligations to pay Endo royalties on the net sales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activities and medical affairs activities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healthcare coverage and adequate reimbursement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substantially in connection with our planned operations, particularly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Phase 2b CORAL clinical trial of Haduvio for the treatment of chronic cough in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Phase 2a RIVER clinical trial of Haduvio for the treatment of RCC;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Phase 1b TIDAL study to evaluate the effect of Haduvio on respiratory physiology in patients with IPF of varying disease severity;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HAP study to compare the abuse potential of oral nalbuphine to IV butorphanol.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licensing arrangements with third parties, we may have to relinquish valuable rights to future revenue streams or product candidates or grant licenses on terms that may not be favorable to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Haduvio and Any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products approved for sale and are investing substantially all our efforts and financial resources to fund the development and commercialization of Haduvio for the treatment of chronic cough in IPF and RCC.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the development of Haduvio for the treatment of chronic cough in IPF and RCC. As a result, if our efforts to develop and commercialize Haduvio for the treatment of chronic cough in IPF or RCC are unsuccessful or we experience significant delays in doing so, our business could also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Haduvio for the treatment of chronic cough in IPF and RCC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initiating and successfully recruiting, enrolling and retaining patients in and completing additional clinical and nonclinical trials of Haduvio, including the additional clinical trials we are conducting and plan to conduct for the treatment of chronic cough in IPF and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completing our HAP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completing other supportive clinical studies such as potential studies of physical dependence and TQT;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safety, tolerability and efficacy profiles that are satisfactory to the FDA, EMA, MHRA and other comparable regulatory authorities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receiving timely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any required post-marketing approval commitments to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arrangements with our third-party supplier of drug substance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arrangements with third-party manufacturers of Haduvio, including developing, validating and maintaining a commercially viable manufacturing process that is compliant with current good manufacturing practices, or cGMPs;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and protecting our patents, trade secrets and regulatory exclusivity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 focused, specialty sales organization in the U.S. and successfully launching commercial sales following any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commercial acceptance of our products, if approved, by patients, the medical community and third-party payors and obtaining and maintaining healthcare coverage and adequate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following any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with other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approach to the development and commercialization of Haduvio to treat chronic cough is unproven.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focused on the development and commercialization of Haduvio for the treatment of chronic cough in IPF and RCC. Haduvio is an oral extended-release formulation of nalbuphine, the active drug ingredient in Haduvio, which is a mixed κ-opioid receptor agonist and μ-opioid receptor antagonist that has been approved and marketed as an injectable for pain indications for more than 30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and balanced anesthesia. Additionally, Haduvio has not been approved in any indication. No therapies have been approved for the treatment of chronic cough in IPF and no therapies have been approved in the U.S. for the treatment of RCC. Gefapixant has been approved in Europe, Switzerland, and Japan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treatment of RCC. We can provide no assurance that Haduvio or any other future product candidate that we may seek to develop for chronic cough indications will be effective or safe, obtain regulatory approval or be commercially successful.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drug development involves a lengthy and expensive process with an uncertain outcome.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produce unfavorable or inconclusive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decide, or regulators may require us, to restructure clinical trials, conduct additional clinical and nonclinical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obtaining authorization to commence a clinical trial from regulators, clinical sites and institutional review boards;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may be larger than we anticipate, as we experienced with the increase of the target number of enrolled patients for our Phase 2b/3 PRISM trial from 240 to 360 patients as a result of the sample size re-estimation analysis;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in clinical trials may be slower than we anticipate or participants may discontinue their participation in these clinical trials at a higher rate than we anticipate, as we experienced in our Phase 2b/3 PRISM trial of Haduvio for the treatment of prurigo nodularis;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planned clinical trials may be greater than we anticipate, such as if we are required to add additional sites, increase the target number of enrolled patients or use additional incentive strategies to address site activation and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 sites may not have adequate staff and resources to support our trials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clinical trial contracts or clinical trial protocols with prospective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delay, suspend or terminate clinical trials for various reasons, including a finding that the participants are being exposed to unacceptable health risks, undesirable side effects or other unexpected characteristics of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clinical trial designs or our interpretation of data from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or subsequently find fault with the manufacturing processes or facilities of third-party manufacturers with which we enter into agreements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drug substance for our product candidates or the manufactured product candidate or other materials or drug substances necessary to conduct clinical trials of the product candidate may be insufficient, inadequate or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available at an acceptable cost or we may experience interruptions in supply, such as the difficulties we had in obtaining supply of IV butorphanol, the comparator drug in our HAP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 of the importation or handling of drug substance and study equipment necessary to conduct clinical trials of the product candidate may significantly differ between jurisdictions, which could cause delays or prohibit us in delivering drug substance or study equipment to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refuse to accept for review any NDA, MAA or other comparable foreign regulatory application that we submit for a product candidate or may conclude after review of our data that our application is insufficient to obtain marketing approval of a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above, the COVID-19 pandemic previously adversely affected our clinical trial operations worldwide, and other outbreaks of infectious disease could in the future adversely affect our clinical trial operations worldwide, including our ability to recruit and retain principal investigators and site staff who, as healthcare providers, may have heightened exposure to infectious diseases. In the future, we may experience adverse impacts on our clinical trial activities, business operations, financial condition, and prospects as a result of outbreaks of infectious disease, among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unplanned costs, which may exceed the resources that we have available or are able to obtain on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 to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for indications or patient populations that are not as broad as we originally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with labeling that includes significant use or distribution restrictions or significant safety warnings, including boxed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or other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remove the product from the market after obtaining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the Food and Drug Omnibus Reform Act, or FDORA, Congress required that the FDA update or issue guidance relating to the format and content of Diversity Action Plans, or DAPs, required by sections of the Federal Food, Drug, and Cosmetic Act, or FDCA. Sponsors are required to develop and submit these plans for each Phase 3 clinical trial or any other “pivotal study” of a new drug or biological product. The FDA issued its draft guidance in June 2024, which will apply to any applicable trial for which enrollment commences after 180 days from the publication of the final guidance. These plans are meant to encourage the enrollment of more diverse patient populations in late-stage clinical trials of FDA-regulated products. Specifically, DAPs must include, among other things, the sponsor’s goals for enrollment, the underlying rationale for those goals, and an explanation of how the sponsor intends to meet them. Unlike most guidance documents issued by the FDA, the DAP guidance when finalized will have the force of law because FDORA specifically dictates that the form and manner for submission of DAPs are specified in FDA guidance.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the regulatory landscape related to clinical trials in the European Union, or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of the E.U., or E.U.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successfully and timely complete clinical trials of Haduvio for the treatment of chronic cough in IPF or RCC or for the treatment of prurigo nodularis or of any future product candidate and to demonstrate the efficacy and safety necessary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approval to market any such product candidates would significantly harm our business and could result in the loss or impairment of our ability to generate revenues and effectuate our business strategy.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demonstrate adequately the safety and efficacy of Haduvio or any future product candidates, which would likely prevent or delay regulatory approval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patient-reported outcome assessments, or PROs, in our clinical trials and high placebo response rates may delay or impair the development of Haduvio or adversely impact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primary endpoint in our future clinical trials of Haduvio for the treatment of chronic cough in IPF and RCC will be measured using an objective cough monitor, we have PRO instruments as secondary endpoints. There is not currently a validated PRO instrument that has been accepted for chronic cough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 have an important role in the development and regulatory approval of treatments for cough. However, PROs involve patients’ subjective assessments of efficacy, and this subjectivity can increase the uncertainty of clinical trial outcomes assessing cough. Such assessments can be influenced by a number of factors and can vary widely from day to day for any particular patient and from patient to patient and site to site within a clinical trial, leading to high variability in PRO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eligible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eligible patients to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criteria for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facilitate timely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competing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and risks of the product candidate being studied in relation to other available therapies, including any new drugs that may be approved for the indications under investigation.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 successful completion of our clinical development program for Haduvio for the treatment of chronic cough in IPF and RCC is dependent upon our ability to enroll a sufficient number of patients with these severe conditions. We experienced delays and difficulties in the enrollment of patients in our clinical trials, including our Phase 2 CANAL trial, which delayed the completion of our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are conducting clinical trials or have announced plans for future clinical trials that are seeking or are likely to seek to enroll patients with IPF and RCC, and patients are generally only able to enroll in a single trial at a time. No therapies have been approved for the treatment of chronic cough in IPF and no therapies have been approved in the U.S. for the treatment of RCC. However, patients with these conditions, as well as their physicians, may be reluctant to forgo, discontinue or otherwise alter their use of the therapeutic approaches they currently use in order to participate in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To support our planned submission of an NDA to the FDA for Haduvio, due to the association of opioids with endocrine dysfunction, we may be required to conduct a clinical trial of Haduvio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clinical trials of Haduvio for the treatment of prurigo nodularis, the most frequently reported treatment emergent adverse events associated with Haduvio were nausea, fatigue, dizziness, vomiting, headache, anxiety, depression, constipation and somnolence. In our Phase 2 CANAL trial of Haduvio for the treatment of chronic cough in IPF, the most frequently reported treatment emergent adverse events associated with Haduvio were nausea, fatigue, dizziness, vomiting, headache, constipation and somnolence.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drug label for nalbuphine, the active ingredient in Haduvio, carries an opioid class label warning for serious, life-threatening or fatal respiratory depression.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Opioids as a class are associated with respiratory depression. The drug label for nalbuphine, the active ingredient in Haduvio, carries an opioid class label warning for serious, life-threatening or fatal respiratory depression and Haduvio, if approved for marketing in any indication, will likely carry a similar opioid class label. We have initiated our Phase 1b TIDAL study to evaluate the effect of Haduvio on respiratory physiology in patients with IPF of varying disease severity. We cannot be certain that respiratory depression will not be observed or that the FDA will not require additional trials or impose more severe labeling restrictions related to respiratory depression. If there is a safety signal in the Phase 1b study, it could affect our ability to conduct a trial in this patient population.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Many currently approved µ-opioid products are subject to restrictive marketing and distribution regulations which, if applied to Haduvio, could potentially restrict its use and harm our ability to generate profits.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are conducting a HAP study to compare the abuse potential of oral nalbuphine to IV butorphanol. If the results of the HAP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parenteral formulation of nalbuphine is currently not scheduled as a controlled substance under the federal Controlled Substances Act of 1970 or the regulations of the U.S. Drug Enforcement Agency, or the DEA, in the U.S. It is possible that, based on the results of our HAP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preclinical studies and clinical trials may not be predictive of results of later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future clinical trials despite demonstrating positive results in preclinical studies or earlier clinical trials. The results of our Phase 2 CANAL trial for the treatment of chronic cough in IPF may not be predictive of the results of future trials of Haduvio for the treatment of chronic cough in IPF or RCC, and the results of our Phase 2b/3 PRISM trial of Haduvio for the treatment of prurigo nodularis may not be predictive of the results of any future clinical trial in prurigo nodularis.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some of our data for Haduvio for the treatment of cough and prurigo nodularis is drawn from </w:t>
      </w:r>
      <w:r>
        <w:rPr>
          <w:rFonts w:ascii="Times New Roman" w:hAnsi="Times New Roman"/>
          <w:i/>
          <w:color w:val="000000"/>
          <w:sz w:val="20"/>
        </w:rPr>
        <w:t>post hoc</w:t>
      </w:r>
      <w:r>
        <w:rPr>
          <w:rFonts w:ascii="Times New Roman" w:hAnsi="Times New Roman"/>
          <w:color w:val="000000"/>
          <w:sz w:val="20"/>
        </w:rPr>
        <w:t xml:space="preserve"> analyses of data subsets from the Phase 2 CANAL trial and a Phase 2 trial in prurigo nodularis. While we believe these data may be useful in informing the design of future Phase 3 clinical trials for Haduvio, </w:t>
      </w:r>
      <w:r>
        <w:rPr>
          <w:rFonts w:ascii="Times New Roman" w:hAnsi="Times New Roman"/>
          <w:i/>
          <w:color w:val="000000"/>
          <w:sz w:val="20"/>
        </w:rPr>
        <w:t>post hoc</w:t>
      </w:r>
      <w:r>
        <w:rPr>
          <w:rFonts w:ascii="Times New Roman" w:hAnsi="Times New Roman"/>
          <w:color w:val="000000"/>
          <w:sz w:val="20"/>
        </w:rPr>
        <w:t xml:space="preserve"> analyses performed after unmasking trial results can result in the introduction of bias and may not be predictive of success in Phase 3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the product or seize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recall the product, change the way the product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or the manufacturing processes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the previously unidentified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harm our business and operations and could negatively impact our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compared to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that the DEA could determine that Haduvio should be classified as a controlled substance;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product is designated under physician treatment guidelines as a first-, second- or third-line 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the product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and of physicians to prescribe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including distribution or use restrictions contained in the product’s 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sales, marketing and distribution support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products for the same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about the product or favorable publicity about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the product;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amount of coverage and reimbursement from government payors, managed care plans and other third-party payors.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certain indications. However, the development of Haduvio for these indications may ultimately prove to be unsuccessful or less successful than another product candidate or other indications that we might have chosen to pursue with our limited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for chronic cough in IPF, we plan to market and commercialize Haduvio in the U.S. with our own focused, specialty sales organization targeting pulmonologists who specialize in IPF. If Haduvio receives marketing approval from the FDA for other larger chronic conditions, such as RCC or prurigo nodularis, we may plan to market and commercialize Haduvio in the U.S. with our own focused, specialty sales organization, or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establish sales, marketing and distribution capabilities, either on our own or in collaboration with third parties, we will not be successful in commercializing any product candidate that receives marketing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others developing or commercializing products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approved for the treatment of chronic cough in IPF, we expect that it may compete with product candidates currently in clinical development for the treatment of chronic cough in IPF, such as orvepitant, a NK1 receptor antagonist, which is being developed by Nerre Therapeutics, ME-015, a reactive oxygen species scavenger, which is being developed by Melius Pharma, BI 1839100, which is being developed by Boehringer Ingelheim, and ifenprodil, a NMDA receptor antagonist, which is being developed by Seyltx, Inc.. In addition, it is possible that product candidates currently in development for the treatment of IPF could, if approved, reduce the need for therapies to treat chronic cough in IPF. We expect that Haduvio might also compete with other product candidates currently in development, or submitted for approval to the FDA, for the treatment of RCC and unexplained chronic cough that might be used off-label to treat chronic cough in IPF.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approved for the treatment of RCC, we expect that it may compete with product candidates currently in clinical development for the treatment of RCC such as gefapixant, a P2X3 antagonist, which is being developed by Merck. However, in December 2023, Merck received a Complete Response Letter from the FDA, which concluded that Merck’s application did not meet substantial evidence of effectiveness for treating RCC and unexplained chronic cough. Other product candidates that are currently in development for the treatment of RCC include camlipixant, a P2X3 antagonist, which is being developed by GSK plc, NTX-1175, a charged sodium channel blocker, which is being developed by Nocion, GDC-6599, a TRPA1 antagonist, which is being developed by Genentech, AX-8, a TRPM8 antagonist, which is being developed by Axalbion, and GABAB PAM, a GABA agonist, which is being developed by Addex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expect that Haduvio would compete with a number of therapeutics that are used off-label to treat chronic cough, including opioids, proton-pump inhibitors, and neuromodulators.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are able to commercialize a product candidate, the product may become subject to unfavorable pricing regulations, third-party payor reimbursement practices or healthcare reform initiatives, any of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liability lawsuits could divert our resources, cause us to incur substantial liabilities and limit commercialization of any products that we may develop or in-license.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products that we may develop or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resulting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resources of our management to pursue our business strategy;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maintain product and clinical trial liability insurance of at least $7.0 million in the aggregate, our insurance coverage may not fully cover potential liabilities that we may incur. The cost of any product or clinical trial liability litigation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they do not perform satisfactorily,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independently conduct clinical trials of our product candidate. We rely on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although our reliance on these third parties for clinical development activities limits our control over these activities, we remain responsible for ensuring that each of our clinical trials is conducted in accordance with the approved protocol, as well as 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our clinical trials and post the results of our completed clinical trials on a government-sponsored database, ClinicalTrials.gov, and other registries within certain timeframes. Failure to do so can result in fines, adverse publicity and civil and criminal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contract with third parties for the manufacture, storage, packaging and distribution of Haduvio and other drug product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delays if our third-party contractors experience supply chain-related delays, prioritize the supply of other companies’ products over Haduvio or any other drug product needed for our clinical trials or any future product candidates, such as IV butorphanol for our HAP study, or otherwise fail to satisfactorily perform according to the terms of the agreements between us and them or if unforeseen events in the manufacturing process arise;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by third-party contractors of our agreements with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mislabeling of clinical supplies, potentially resulting in the wrong dose amounts being supplied or active drug or placebo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of 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long-term supply agreements with any of our contract manufacturers. If any of our existing manufacturers should become unavailable to us for any reason or fail to supply us with the ordered quantities,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or the Bankruptcy Court. In February 2022, the Bankruptcy Court approved a settlement of Mallinckrodt’s opioid litigation and broader chapter 11 reorganization plan, which was also subject to approval by Irish authorities. On April 27, 2022, the High Court of Ireland confirmed the scheme of arrangement between Mallinckrodt, its creditors and its members under Irish law and ordered that the scheme of arrangement would become effective on the same date that the chapter 11 reorganization plan becomes effective. On June 16, 2022, Mallinckrodt announced that it had completed its reorganization process, emerged from chapter 11 bankruptcy proceedings and completed the Irish examinership proceedings. In August 2023, Mallinckrodt again filed for bankruptcy protection in the Bankruptcy Court and sought that court’s approval of a second chapter 11 reorganization plan. On October 10, 2023, the Bankruptcy Court confirmed Mallinckrodt’s plan of reorganization. On November 14, 2023, Mallinckrodt emerged from bankruptcy. On December 7, 2023, and June 10, 2024, the Bankruptcy Court entered orders closing certain of the bankruptcy cases filed by Mallinckrodt and its subsidiaries. It is currently uncertain what impact, if any, Mallinckrodt’s bankruptcy filings and the associated reorganization plans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Haduvio, any other drug product needed for our clinical trials or any future product candidate may harm our future profit margins and our ability to commercialize any products that receive marketing approval on a timely and competitive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to establish collaborations and, if we are not able to establish them on commercially reasonable terms, we may have to alter our development and commercialization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If Haduvio receives marketing approval from the FDA for chronic cough in IPF, we plan to market and commercialize Haduvio in the U.S. with our own focused, specialty sales organization targeting pulmonologists who specialize in IPF. If Haduvio receives marketing approval from the FDA for other larger chronic conditions, such as RCC or prurigo nodularis, we may plan to market and commercialize Haduvio in the U.S. with our own focused, specialty sales organization, or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establish one or more collaborations, all the risks relating to product development, regulatory approval and commercialization described in this Quarterly Report on Form 10-Q would also apply to the activities of any such future collaborators.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involving a product candidate would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be involved in a business combination and could decide to delay, diminish or terminate the development or commercialization of any product candidate licensed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the product candidates under the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and distribution rights to one or more products may not commit sufficient resources to the marketing and distribution of such product or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 or misappropriate our intellectual property or other proprietary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engage in misconduct or other improper activities, including non-compliance with regulatory standards and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regarding ownership of or other rights in the intellectual property generated in the course of the collaborations;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under our existing and any future intellectual property licenses with third parties, we could lose license rights that are critical to our business or owe damages to the licensor of such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party to an exclusive license agreement with Endo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also arise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activities or product candidates may infringe the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sublicensing of patent and other rights under any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or ownership of inventions and know-how resulting from joint creation or use of intellectual property by licensors and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any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disputes over intellectual property that we license prevent or impair our ability to maintain those license arrangements on acceptable terms or at all, we may be unable to successfully develop and commercialize any affected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or PTA.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our products could be negatively impacted and our business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such litigation could be costly and time-consuming, its outcome would be uncertain and it could prevent or delay us from developing or commercializing Haduvio or any future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to the patent law in the U.S. and other jurisdictions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recent decisions, including by the U.S. Court of Appeals for the Federal Circuit, raise questions regarding the award of PTA for patents in families where related patents have issued without PTA. Thus, it cannot be said with certainty how PTA will/will not be viewed in the future and whether patent expiration dates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enforce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geopolitical actions in the U.S. and in foreign countries could increase the uncertainties and costs surrounding the prosecution or maintenance of our patent applications and the maintenance, enforcement or defense of our issued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licenses from third parties on commercially reasonable terms,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Regulatory Approval and Other Legal Compliance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FDA does not conclude that Haduvio for the treatment of chronic cough in IPF or RCC or for the treatment of prurigo nodularis,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pursue FDA approval of Haduvio for the treatment of chronic cough in IPF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chronic cough in IPF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complete the necessary preclinical studies and clinical trials, the regulatory approval process is expensive, time-consuming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also require that NDA submissions for our product candidates include pediatric data. Under the Pediatric Research Equity Act, an NDA,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The applicable legislation in the E.U. also requires sponsors to either conduct clinical trials in a pediatric population in accordance with a Pediatric Investigation Plan approved by the Pediatric Committee of the European Medicines Agency, or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will not accept foreign study data as support for an application for marketing approval unless the study satisfies certain conditions.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conduct of clinical trials outside the U.S. could have a significant adverse impact on us. Risks inherent in conducting international clinical trials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practice patterns and standards of care that vary widely among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non-U.S. regulatory authority requirements that could restrict or limit our ability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administrative burdens of conducting clinical trials under multiple non-U.S. regulatory authority schema;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rate fluctuations;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could face heightened risks with respect to obtaining marketing authorization in the United Kingdom as it is no longer part of the European Single Market and E.U. Customs Union. As of January 1, 2021, the MHRA became responsible for supervising medicines and medical devices in Great Britain, comprising England, Scotland and Wales under domestic law, whereas under the terms of the Northern Ireland Protocol, Northern Ireland is currently subject to E.U. rules. The United Kingdom. and E.U. have however agreed to the Windsor Framework which fundamentally changes the existing system under the Northern Ireland Protocol, including with respect to the regulation of medicinal products in the United Kingdom. Once implemented, the changes introduced by the Windsor Framework will see the MHRA be responsible for approving all medicinal products destined for the United Kingdom. market (i.e., Great Britain and Northern Ireland), and the EMA will no longer have any role in approving medicinal products destined for Northern Ireland.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eligible for Fast Track designation, Priority Review or Breakthrough Therapy status for specific indications for the product candidates we may develop. If a product candidate is intended for the treatment of a serious or life-threatening disease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PRIME Designation in the E.U. for Haduvio but we might not receive such designations and, even if we do, such designations may not lead to a faster development or regulatory review or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120" w:after="283"/>
        <w:jc w:val="left"/>
        <w:rPr>
          <w:rFonts w:ascii="Times New Roman" w:hAnsi="Times New Roman"/>
          <w:sz w:val="20"/>
        </w:rPr>
      </w:pPr>
      <w:r>
        <w:rPr>
          <w:rFonts w:ascii="Times New Roman" w:hAnsi="Times New Roman"/>
          <w:b/>
          <w:i/>
          <w:color w:val="000000"/>
          <w:sz w:val="20"/>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clinical trials are successful, we intend to seek approval to market Haduvio for the treatment of chronic cough in IPF or RCC or for the treatment of prurigo nodularis. If we obtain regulatory approval to market Haduvio with an indication statement for the treatment of chronic cough in IPF or RCC, we expect to be prohibited from marketing Haduvio using any promotional claims relating to treatment of cough generally. If we obtain regulatory approval to market Haduvio with an indication statement for the treatment of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 conditions other than chronic cough in IPF and pruritic conditions other than prurigo nodularis,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Notwithstanding the regulatory restrictions on off-label promotion, the FDA and other regulatory authorities allow companies to engage in truthful, non-misleading, and non-promotional scientific communications concerning their products in certain circumstances. For example,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pStyle w:val="TextBody"/>
        <w:bidi w:val="0"/>
        <w:spacing w:before="120" w:after="283"/>
        <w:jc w:val="left"/>
        <w:rPr>
          <w:rFonts w:ascii="Times New Roman" w:hAnsi="Times New Roman"/>
          <w:sz w:val="20"/>
        </w:rPr>
      </w:pPr>
      <w:r>
        <w:rPr>
          <w:rFonts w:ascii="Times New Roman" w:hAnsi="Times New Roman"/>
          <w:color w:val="000000"/>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or the HHS,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hAnsi="Times New Roman"/>
          <w:i/>
          <w:color w:val="000000"/>
          <w:sz w:val="20"/>
        </w:rPr>
        <w:t>qui tam</w:t>
      </w:r>
      <w:r>
        <w:rPr>
          <w:rFonts w:ascii="Times New Roman" w:hAnsi="Times New Roman"/>
          <w:color w:val="000000"/>
          <w:sz w:val="20"/>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hAnsi="Times New Roman"/>
          <w:i/>
          <w:color w:val="000000"/>
          <w:sz w:val="20"/>
        </w:rPr>
        <w:t>qui tam</w:t>
      </w:r>
      <w:r>
        <w:rPr>
          <w:rFonts w:ascii="Times New Roman" w:hAnsi="Times New Roman"/>
          <w:color w:val="000000"/>
          <w:sz w:val="20"/>
        </w:rPr>
        <w:t xml:space="preserve"> suit is entitled to a share of any recovery or settlement. </w:t>
      </w:r>
      <w:r>
        <w:rPr>
          <w:rFonts w:ascii="Times New Roman" w:hAnsi="Times New Roman"/>
          <w:i/>
          <w:color w:val="000000"/>
          <w:sz w:val="20"/>
        </w:rPr>
        <w:t>Qui tam</w:t>
      </w:r>
      <w:r>
        <w:rPr>
          <w:rFonts w:ascii="Times New Roman" w:hAnsi="Times New Roman"/>
          <w:color w:val="000000"/>
          <w:sz w:val="20"/>
        </w:rPr>
        <w:t xml:space="preserve"> suits, also commonly referred to as “whistleblower suits,” are often brought by current or former employees. In a </w:t>
      </w:r>
      <w:r>
        <w:rPr>
          <w:rFonts w:ascii="Times New Roman" w:hAnsi="Times New Roman"/>
          <w:i/>
          <w:color w:val="000000"/>
          <w:sz w:val="20"/>
        </w:rPr>
        <w:t>qui tam</w:t>
      </w:r>
      <w:r>
        <w:rPr>
          <w:rFonts w:ascii="Times New Roman" w:hAnsi="Times New Roman"/>
          <w:color w:val="000000"/>
          <w:sz w:val="20"/>
        </w:rPr>
        <w:t xml:space="preserve"> suit, the government must decide whether to intervene and prosecute the case. If it declines, the individual may pursue the case alone.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the FDA or any other governmental agency initiates an enforcement action against us or if we are the subject of a </w:t>
      </w:r>
      <w:r>
        <w:rPr>
          <w:rFonts w:ascii="Times New Roman" w:hAnsi="Times New Roman"/>
          <w:i/>
          <w:color w:val="000000"/>
          <w:sz w:val="20"/>
        </w:rPr>
        <w:t>qui tam</w:t>
      </w:r>
      <w:r>
        <w:rPr>
          <w:rFonts w:ascii="Times New Roman" w:hAnsi="Times New Roman"/>
          <w:color w:val="000000"/>
          <w:sz w:val="20"/>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such product, manufacturers or manufacturing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labeling or marketing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the product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coverage by third-party payors;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permit the import or export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Finally, our ability to develop and market new drug products may be impacted by ongoing litigation challenging the FDA’s approval of mifepristone. Specifically, on April 7, 2023, the U.S. District Court for the Northern District of Texas stayed the approval by the FDA of mifepristone, a drug product which was originally approved in 2000 and whose distribution is governed by various conditions adopted under a REMS. In reaching that decision, the district court made a number of findings that may negatively impact the development, approval and distribution of drug products in the U.S. Among other determinations, the district court held that plaintiffs were likely to prevail in their claim that the FDA had acted arbitrarily and capriciously in approving mifepristone without sufficiently considering evidence bearing on whether the drug was safe to use under the conditions identified in its labeling. Further, the district court read the standing requirements governing litigation in federal court as permitting a plaintiff to bring a lawsuit against the FDA in connection with its decision to approve an NDA or establish requirements under a REMS based on a showing that the plaintiff or its members would be harmed to the extent that the FDA’s drug approval decision effectively compelled the plaintiffs to provide care for patients suffering adverse events caused by a given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12, 2023, the district court decision was stayed, in part, by the U.S. Court of Appeals for the Fifth Circuit. Thereafter, on April 21, 2023, the U.S. Supreme Court entered a stay of the district court’s decision, in its entirety, pending disposition of the appeal of the district court decision in the Court of Appeals for the Fifth Circuit and the disposition of any petition for a writ of certiorari to the Supreme Court. The Court of Appeals for the Fifth Circuit held oral argument in the case on May 17, 2023 and, on August 16, 2023, issued its decision. The court declined to order the removal of mifepristone from the market, finding that a challenge to the FDA’s initial approval in 2000 is barred by the statute of limitations. But the Court of Appeals did hold that plaintiffs were likely to prevail in their claim that changes allowing for expanded access of mifepristone that FDA authorized in 2016 and 2021 were arbitrary and capricious and in violation of federal law. In June 2024, the U.S. Supreme Court reversed and remanded that decision after unanimously finding that the plaintiffs did not have standing to bring this legal action against the FDA. Depending on the outcome of this litigation, and if it continues, and the regulatory uncertainty it has engendered, our ability to develop new drug product candidates and to maintain approval of existing drug products and measures adopted under a REMS is at risk and could be delayed, undermined or subject to protracted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could be adversely affected by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Supreme Court stripped federal agencies of this presumptive deference and held that courts must exercise their independent judgment when deciding whether an agency such as FDA acted within its statutory authority under the Administrative Procedure Act, or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Inadequate funding for the FDA, the SEC and other national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operations may rely, including those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EMA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disruptions may result that are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U.S. facing similar circumstances may adopt similar restrictions or other policy measures in response to a similar public health emergency and may also experience delays in their regulatory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legislation may increase the difficulty and cost for us to obtain marketing approval of and commercialize Haduvio or any future product candidate and may affect the prices we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 ACA after finding that the plaintiffs do not have standing to bring the litigation. Litigation and legislation over the ACA are likely to continue, with unpredictable and uncertain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these healthcare reforms, as well as other healthcare reform measures that may be adopted in the future, may result in additional reductions in Medicare and other healthcare funding, more rigorous coverage criteria, new payment methodologies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legislative efforts may limit the prices for our products, if and when they are licensed for marketing and that could materially impact our ability to generate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prices of prescription pharmaceuticals have also been the subject of considerable discussion in the U.S.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Centers for Medicare &amp; Medicaid Services, or CMS, issued a final rule to rescind it. With issuance of this rule, CMS stated that it will explore all options to incorporate value into payments for Medicare Part B pharmaceuticals and improve beneficiaries’ access to evidence-based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October 2020,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HHS. Nine states (Colorado, Florida, Maine, New Hampshire, New Mexico, North Dakota, Texas, Vermont and Wisconsin) have passed laws allowing for the importation of drugs from Canada. Certain of these states have submitted Section 804 Importation Program proposals and are awaiting FDA approval. On January 5, 2023, the FDA approved Florida’s plan for Canadian drug importation.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the IRA, further delayed implementation of this rule to January 1, 2032.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9, 2021, President Biden signed Executive Order 14063, which focuses on, among other things, the price of pharmaceuticals. To address these costs, the Order directs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and Boehringer Ingelheim, also filed lawsuits in various courts with similar constitutional claims against the HHS and CMS. We expect that litigation involving these and other provisions of the IRA will continue, with unpredictable and uncertain results. 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pStyle w:val="TextBody"/>
        <w:bidi w:val="0"/>
        <w:spacing w:before="120" w:after="283"/>
        <w:jc w:val="left"/>
        <w:rPr>
          <w:rFonts w:ascii="Times New Roman" w:hAnsi="Times New Roman"/>
          <w:sz w:val="20"/>
        </w:rPr>
      </w:pPr>
      <w:r>
        <w:rPr>
          <w:rFonts w:ascii="Times New Roman" w:hAnsi="Times New Roman"/>
          <w:i/>
          <w:color w:val="000000"/>
          <w:sz w:val="20"/>
        </w:rPr>
        <w:t>Anti-Kickback Statute</w:t>
      </w:r>
      <w:r>
        <w:rPr>
          <w:rFonts w:ascii="Times New Roman" w:hAnsi="Times New Roman"/>
          <w:color w:val="000000"/>
          <w:sz w:val="20"/>
        </w:rPr>
        <w:t>. The federal Anti-Kickback Statute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False Claims Laws. </w:t>
      </w:r>
      <w:r>
        <w:rPr>
          <w:rFonts w:ascii="Times New Roman" w:hAnsi="Times New Roman"/>
          <w:color w:val="000000"/>
          <w:sz w:val="20"/>
        </w:rPr>
        <w:t xml:space="preserve">The federal false claims and civil monetary penalties laws, including the federal civil False Claims Act, impose criminal and civil penalties, including through civil whistleblower or </w:t>
      </w:r>
      <w:r>
        <w:rPr>
          <w:rFonts w:ascii="Times New Roman" w:hAnsi="Times New Roman"/>
          <w:i/>
          <w:color w:val="000000"/>
          <w:sz w:val="20"/>
        </w:rPr>
        <w:t>qui tam</w:t>
      </w:r>
      <w:r>
        <w:rPr>
          <w:rFonts w:ascii="Times New Roman" w:hAnsi="Times New Roman"/>
          <w:color w:val="000000"/>
          <w:sz w:val="20"/>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HIPAA. </w:t>
      </w:r>
      <w:r>
        <w:rPr>
          <w:rFonts w:ascii="Times New Roman" w:hAnsi="Times New Roman"/>
          <w:color w:val="000000"/>
          <w:sz w:val="20"/>
        </w:rPr>
        <w:t>The federal Health Insurance Portability and Accountability Act of 1996, or HIPAA, imposes criminal and civil liability for, among other 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Transparency Requirements. </w:t>
      </w: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Analogous State and Foreign Laws. </w:t>
      </w:r>
      <w:r>
        <w:rPr>
          <w:rFonts w:ascii="Times New Roman" w:hAnsi="Times New Roman"/>
          <w:color w:val="000000"/>
          <w:sz w:val="20"/>
        </w:rPr>
        <w:t>Analogous state and foreign fraud and abuse laws and regulations, such as state 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sz w:val="20"/>
        </w:rPr>
      </w:pPr>
      <w:r>
        <w:rPr>
          <w:rFonts w:ascii="Times New Roman" w:hAnsi="Times New Roman"/>
          <w:b/>
          <w:i/>
          <w:color w:val="000000"/>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President Biden signed an executive order to implement the E.U.-U.S. Data Privacy Framework, which would serve as a replacement to the E.U.-U.S. Privacy Shield. The E.U.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any future business we may have at the international level.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FTC and state Attorneys General all are aggressive in reviewing privacy and data security protections for consumers. New laws also are being 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also are being considered at the state level. Most prominently, in California, the California Consumer Protection Act, or the CCPA, as amended by the California Privacy Rights Act, or the CPRA, which went into effect on January 1, 2023, establishes a privacy framework for covered businesses by creating an expansive definition of personal information, establishing data privacy rights for consumers and employees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The CPRA created a new state agency that is vested with authority to implement and enforce the CCPA and the CPRA. While clinical trial data is currently exempt from the current version of the CCPA, other personal information may be applicable and possible changes to the CCPA may broaden its scope.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California, at least eleven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2023 legislative sessions that will go into effect in 2024 and beyond, including New Hampshire and New Jersey. Other states will be considering these laws in the future, and Congress has also been debating passing a federal privacy law. There are also states that are specifically regulating health information that may affect our business. For example, Washington state passed a health privacy law in 2023 that will regulate the collection and sharing of health information, and the law also has a private right of action, which further increases the relevant compliance risk. Connecticut and Nevada have also passed similar laws regulating consumer health data and additional states (including Vermont) are considering such legislation for 2024. These laws may impact our business activities, including our identification of research patients, relationships with business partners and ultimately the marketing and distribution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any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products outside of the U.S. and require us to develop and implement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such as the United Kingdom.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computer systems, as well as those of our CROs and other third-party contractors and consultants, are vulnerable to damage from cyber-attacks, computer viruses, unauthorized access, sabotage, natural disasters (including hurricanes), terrorism, war and telecommunication and electrical failures. If such an event were to occur and cause interruptions in our operations, it could result in a material disruption of our business and development programs, in addition to possibly requiring substantial expenditures of resources to remedy.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our competitive position could be harmed and the development of Haduvio or any future product candidate could be significantly delayed. In addition, we may not have adequate insurance coverage to provide compensation for any losses associated with such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Additionally, the risk of a security breach or disruption through cyber-attacks has generally increased as the number, intensity and sophistication of attempted attacks from around the world have increased.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FDA or comparable foreign regulatory authorities approve generic versions of any of our future products that receive marketing approval through the NDA pathway, or such authorities do not grant such future products appropriate periods of data exclusivity before approving generic versions of our products, our sales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not approve an ANDA for a generic product until any applicable period of non-patent exclusivity for the reference-listed drug has expired. The FDCA provides a period of five years of non-patent exclusivity for a new drug containing a new chemical entity, or NCE. For the purposes of this provision, an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Artificial intelligence presents risks and challenges that can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experiences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Employee Matters and Managing our Growth</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our executive team and to attract, retain and motivate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Jennifer Good, our President and Chief Executive Officer; Thomas Sciascia, M.D., our Chief Scientific Officer; and David Clark, M.D., MRCP, our Chief Medical Officer; as well as the other principal members of our management and scientific teams. Although we have a formal employment agreement with Ms. Good and offer letter agreements with Dr. Sciascia and Dr. Clark,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attract and retain highly qualified personnel, our ability to develop and commercialize Haduvio or any future product candidate will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expand our organization,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26 employees. We may experience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and consultants may engage in misconduct or other improper activities, including non-compliance with regulatory standards and requirements, which could cause significant liability for us and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active trading market for our common stock may not be sustainable.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is highly volatile, which could result in substantial losses for purchasers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clinical trials of Haduvio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existing or new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Haduvio or any future product candidates or competitors’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commencement or termination of collaborations for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discontinuation of any of our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product candidates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any of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our efforts to discover, develop, acquire or in-license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estimated financial results or development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expectations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recommendations and changes in estimates or recommendations by securities analysts, if any, that cover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recent adverse changes in the domestic and international financial markets and the impacts of inflation and government action in response thereto;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listing on the Nasdaq Global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and considerations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inflation and interest rate increases and other factors have negatively affected, and may in the future negatively affect, the stock market and investor sentiment. The price and volatility of our common stock may be disproportionately affected as investors may favor traditional profit-making industries and companies during such times of market uncertainty and instability.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the trading price and volume of our shares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of shares of our common stock, including by us, employees and significant stockholders, could negatively affect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or the Prior Shelf Registration Statement. The Shelf Registration Statement was declared effective on August 15, 2023. In June 2023, we entered into a new sales agreement, or the 2023 ATM Sales Agreement, with Leerink Partners and filed a prospectus under our Shelf Registration Statement for the offer and sale of shares of our common stock having an aggregate offering price of up to $75.0 million pursuant to the 2023 ATM Sales Agreement. In accordance with the terms of the 2023 ATM Sales Agreement, our prior ATM sales agreement terminated upon effectiveness of the Shelf Registration Statement, at which point we were no longer able to issue and sell shares of our common stock under our prior ATM sales agreement. From time to time, we may offer and sell under the 2023 ATM Sales Agreement common stock registered under the Shelf Registration Statement pursuant to one or more “at-the-market” offerings. The extent to which we utilize the 2023 ATM Sales Agreement as a source of funding will depend on a number of factors, including the prevailing market price of our common stock, general market conditions and the extent to which we are able to secure funds from other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July 31, 2024, warrants issued to the Initial Private Placement Investor to purchase 6,000,000 shares of common stock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 As of July 31, 2024, all of the warrants issued to NEA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on April 11, 2022, we issued to several purchasers in a private placement, or the April 2022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Securities Exchange Act of 1934, as amended, or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July 31, 2024, pre-funded warrants that we issued and sold in the April 2022 Private Placement to purchase 15,282,760 shares of common stock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Finally, on September 27, 2022, we issued and sold an aggregate of 14,252,670 shares of our common stock, and, in lieu of common stock to certain investors, pre-funded warrants to purchase 14,247,330 shares of common stock, in a public offering, 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September 2022 Offering.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and the pre-funded warrants were issued pursuant to a prospectus supplement dated September 22, 2022 to the Prior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Prior Shelf Registration Statement at any time or in their discretion, subject to the September 2022 Offering Beneficial Ownership Limitations. As of July 31, 2024, pre-funded warrants that we issued and sold in the September 2022 Offering to purchase 13,270,983 shares of common stock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substantial amounts of shares of our common stock or other securities by our stockholders, by us under the Shelf Registration Statement, whether pursuant to the 2023 ATM Sales Agreement or otherwise,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had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We issued pre-funded warrants to purchase up to an aggregate of 24,379,673 shares of our common stock to the purchasers in the April 2022 Private Placement, of which pre-funded warrants to purchase 15,282,760 shares of common stock remained outstanding of as July 31, 2024. Finally, we issued pre-funded warrants to purchase up to an aggregate of 14,247,330 shares of our common stock at an exercise price of $0.001 per share to certain purchasers in the September 2022 Offering, of which pre-funded warrants to purchase 13,270,983 shares of common stock remained outstanding as of July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above, the common stock warrants issued to the Initial Private Placement Investor are subject to the Initial Investor Beneficial Ownership Limitations,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Initial Private Placement Investor’s warrants are subject to the Initial Investor Beneficial Ownership Limitations,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the Initial Private Placement Investor,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been converted into or exercised for shares of our common stock immediately prior to such sale of our company. Although the Initial Private Placement Investor’s beneficial ownership of our common stock 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amount and terms of these warrants, we may find it more difficult to raise additional equity capital on favorable terms or at all while these warrants are outstanding.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Ownership of our common stock is concentrated among our executive officers and directors and their affiliates, who have significant influence over our business, which may prevent new investors from influencing significant corporate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and directors and their respective affiliates, beneficially own, in the aggregate, shares representing approximately 24.0% of our common stock as of July 31, 2024. As a result, our executive officers and directors and their affiliates acting together may be able to significantly influence all matters submitted to our stockholders for approval, as well as our management and affairs. This concentration of ownership control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defer or prevent a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entrench our management or the board of directors;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impede a merger, consolidation, takeover, sale, other business combination or other significant corporate transaction involving us that other stockholders may desire.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anticipate paying any cash dividends on our capital stock in the foreseeable future. Accordingly, stockholders must rely on appreciation in the price of our common stock, if any, for any return on their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and we do not intend to do so in the foreseeable future. We currently plan to retain all of our future earnings, if any, to finance the operation, development and growth of our product pipeline and business.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disclosure requirements applicable to us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or the JOBS Act, and may remain an emerging growth company for up to five years, or until December 31, 2024.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might not be able to utilize a significant portion of our net operating loss carryforwards and research and development tax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federal and state net operating loss carryforwards of $186.9 million and federal research and development tax credit carryforwards of $6.2 million, which if not utilized generally will begin to expire in 2031 and 2032, respectively. These net operating loss and research and development tax credit carryforwards could expire unused and be unavailable to offset future income tax liabilities. In general, under Sections 382 and 383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 and research and development tax credit carryforwards to offset future taxable income. We previously completed a Section 382 analysis, and due to multiple historical ownership changes, all of our net operating loss carryforwards as of December 31, 2022, and research and development tax credits were subject to limitation. If a further ownership change occurs, our ability to use our tax attributes might be further limited. In addition to potential Section 382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our business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changes in tax law may adversely affect our business or financial condition. On December 22, 2017, the U.S. government enacted the Tax Act, which significantly reformed the IRC. The Tax Act, as amended by the CARES Act, contained significant changes to corporate taxation, including a reduction of the corporate tax rate from a top marginal rate of 35% to a flat rate of 21% and the limitation of the deduction for net operating losses arising in taxable years beginning after December 31, 2017 to 80% of current year taxable income and elimination of net operating loss carrybacks for such losses (though any such NOLs may be carried forward indefinitely). In addition, beginning in 2022, the Tax Act eliminated the option to deduct research and development expenditures currently and generally requires corporations to capitalize and amortize them over five years or 15 years in the case of expenditures attributable to foreign research.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CARES Act, as part of Congress’s response to the COVID-19 pandemic, economic relief legislation was enacted in 2020 and 2021 containing tax provisions. The IRA was also signed into law in August 2022. The IRA introduced new tax provisions, including a 1% excise tax imposed on certain stock repurchases by publicly traded companies. The 1% excise tax generally applies to any acquisition of stock by a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guidance under the Tax Act, the IRA, and such additional legislation is and continues to be forthcoming and such guidance could ultimately increase or lessen impact of these laws on our business and financial condition. In addition, it is uncertain if and to what extent various states will conform to the Tax Act, the IRA, and such additional legislation.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Provisions in our organizational documents and under Delaware law may prevent or frustrate attempts by our stockholders to change our management or hinder efforts to acquire a controlling interest in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such that all members of the board are not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the board of directors or for proposing matters that can be acted 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who may call a special meeting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the holders of at least 75% of the votes that all our stockholders would be entitled to cast to amend or repeal certain provisions of our certificate of incorporation or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currently listed for trading on Nasdaq. We must satisfy Nasdaq’s continued listing requirements, including, among other things, a minimum closing bid price of $1.00 per share, Bid Price Requirement,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pStyle w:val="TextBody"/>
        <w:bidi w:val="0"/>
        <w:jc w:val="left"/>
        <w:rPr/>
      </w:pPr>
      <w:r>
        <w:rPr/>
        <w:t> </w:t>
      </w:r>
    </w:p>
    <w:p>
      <w:pPr>
        <w:pStyle w:val="TextBody"/>
        <w:bidi w:val="0"/>
        <w:jc w:val="left"/>
        <w:rPr>
          <w:rFonts w:ascii="Times New Roman" w:hAnsi="Times New Roman"/>
          <w:b/>
          <w:color w:val="000000"/>
          <w:sz w:val="20"/>
        </w:rPr>
      </w:pPr>
      <w:bookmarkStart w:id="15" w:name="item_5_other_information"/>
      <w:bookmarkEnd w:id="15"/>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 Director and Officer 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2024, Farrell Simon, the Company’s Chief Commercial Officer, adopted a Rule 10b5-1 trading arrangement for the sale of the Company's common stock that is intended to satisfy the affirmative defense conditions of Rule 10b5-1(c) of the Securities Exchange Act of 1934, as amended. This plan has an effective date of April 9, 2024 and an expiration date of July 9, 2025. Pursuant to the plan, the aggregate number of options to be exercised, and the aggregate number of shares of common stock to be sold upon exercise of those options, is not to exceed 131,900.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other directors or officers adopted or terminated a Rule 10b5-1 trading arrangement or a non-Rule 10b5-1 trading arrangement (as defined in Item 408(c) of Regulation S-K) during the three months ended June 30, 2024.</w:t>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w:anchor="trvi-ex31_1.htm">
              <w:r>
                <w:rPr>
                  <w:rStyle w:val="InternetLink"/>
                  <w:rFonts w:ascii="Times New Roman" w:hAnsi="Times New Roman"/>
                  <w:color w:val="0000FF"/>
                  <w:sz w:val="20"/>
                  <w:u w:val="single"/>
                </w:rPr>
                <w:t>Certification of Principal Executive Officer Pursuant to Rules 13a-14(a) or 15d-14(a) under the Securities Exchange Act of 1934, as Adopted Pursuant to Section 302 of the Sarbanes-Oxley Act of 2002</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w:anchor="trvi-ex31_2.htm">
              <w:r>
                <w:rPr>
                  <w:rStyle w:val="InternetLink"/>
                  <w:rFonts w:ascii="Times New Roman" w:hAnsi="Times New Roman"/>
                  <w:color w:val="0000FF"/>
                  <w:sz w:val="20"/>
                  <w:u w:val="single"/>
                </w:rPr>
                <w:t>Certification of Principal Financial Officer Pursuant to Rules 13a-14(a) or 15d-14(a) under the Securities Exchange Act of 1934, as Adopted Pursuant to Section 302 of the Sarbanes-Oxley Act of 2002</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0"/>
        <w:gridCol w:w="146"/>
        <w:gridCol w:w="9279"/>
      </w:tblGrid>
      <w:tr>
        <w:trPr/>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9" w:type="dxa"/>
            <w:tcBorders/>
            <w:vAlign w:val="center"/>
          </w:tcPr>
          <w:p>
            <w:pPr>
              <w:pStyle w:val="TableContents"/>
              <w:bidi w:val="0"/>
              <w:spacing w:before="0" w:after="283"/>
              <w:jc w:val="left"/>
              <w:rPr>
                <w:sz w:val="4"/>
                <w:szCs w:val="4"/>
              </w:rPr>
            </w:pPr>
            <w:r>
              <w:rPr>
                <w:sz w:val="4"/>
                <w:szCs w:val="4"/>
              </w:rPr>
            </w:r>
          </w:p>
        </w:tc>
      </w:tr>
      <w:tr>
        <w:trPr/>
        <w:tc>
          <w:tcPr>
            <w:tcW w:w="7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vAlign w:val="center"/>
          </w:tcPr>
          <w:p>
            <w:pPr>
              <w:pStyle w:val="TableContents"/>
              <w:bidi w:val="0"/>
              <w:spacing w:before="0" w:after="283"/>
              <w:jc w:val="left"/>
              <w:rPr/>
            </w:pPr>
            <w:r>
              <w:rPr/>
              <w:t> </w:t>
            </w:r>
          </w:p>
        </w:tc>
        <w:tc>
          <w:tcPr>
            <w:tcW w:w="9279" w:type="dxa"/>
            <w:tcBorders/>
            <w:shd w:fill="FFFFFF" w:val="clear"/>
            <w:vAlign w:val="center"/>
          </w:tcPr>
          <w:p>
            <w:pPr>
              <w:pStyle w:val="TableContents"/>
              <w:bidi w:val="0"/>
              <w:spacing w:before="0" w:after="283"/>
              <w:jc w:val="left"/>
              <w:rPr/>
            </w:pPr>
            <w:hyperlink w:anchor="trv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9" w:type="dxa"/>
            <w:tcBorders/>
            <w:shd w:fill="FFFFFF" w:val="clear"/>
            <w:vAlign w:val="center"/>
          </w:tcPr>
          <w:p>
            <w:pPr>
              <w:pStyle w:val="TableContents"/>
              <w:bidi w:val="0"/>
              <w:spacing w:before="0" w:after="283"/>
              <w:jc w:val="left"/>
              <w:rPr/>
            </w:pPr>
            <w:r>
              <w:rPr/>
              <w:t> </w:t>
            </w:r>
          </w:p>
        </w:tc>
      </w:tr>
      <w:tr>
        <w:trPr/>
        <w:tc>
          <w:tcPr>
            <w:tcW w:w="7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vAlign w:val="center"/>
          </w:tcPr>
          <w:p>
            <w:pPr>
              <w:pStyle w:val="TableContents"/>
              <w:bidi w:val="0"/>
              <w:spacing w:before="0" w:after="283"/>
              <w:jc w:val="left"/>
              <w:rPr/>
            </w:pPr>
            <w:r>
              <w:rPr/>
              <w:t> </w:t>
            </w:r>
          </w:p>
        </w:tc>
        <w:tc>
          <w:tcPr>
            <w:tcW w:w="9279" w:type="dxa"/>
            <w:tcBorders/>
            <w:shd w:fill="FFFFFF" w:val="clear"/>
            <w:vAlign w:val="center"/>
          </w:tcPr>
          <w:p>
            <w:pPr>
              <w:pStyle w:val="TableContents"/>
              <w:bidi w:val="0"/>
              <w:spacing w:before="0" w:after="283"/>
              <w:jc w:val="left"/>
              <w:rPr/>
            </w:pPr>
            <w:hyperlink w:anchor="trv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9" w:type="dxa"/>
            <w:tcBorders/>
            <w:shd w:fill="FFFFFF" w:val="clear"/>
            <w:vAlign w:val="center"/>
          </w:tcPr>
          <w:p>
            <w:pPr>
              <w:pStyle w:val="TableContents"/>
              <w:bidi w:val="0"/>
              <w:spacing w:before="0" w:after="283"/>
              <w:jc w:val="left"/>
              <w:rPr/>
            </w:pPr>
            <w:r>
              <w:rPr/>
              <w:t> </w:t>
            </w:r>
          </w:p>
        </w:tc>
      </w:tr>
      <w:tr>
        <w:trPr/>
        <w:tc>
          <w:tcPr>
            <w:tcW w:w="7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vAlign w:val="center"/>
          </w:tcPr>
          <w:p>
            <w:pPr>
              <w:pStyle w:val="TableContents"/>
              <w:bidi w:val="0"/>
              <w:spacing w:before="0" w:after="283"/>
              <w:jc w:val="left"/>
              <w:rPr/>
            </w:pPr>
            <w:r>
              <w:rPr/>
              <w:t> </w:t>
            </w:r>
          </w:p>
        </w:tc>
        <w:tc>
          <w:tcPr>
            <w:tcW w:w="9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9" w:type="dxa"/>
            <w:tcBorders/>
            <w:shd w:fill="FFFFFF" w:val="clear"/>
            <w:vAlign w:val="center"/>
          </w:tcPr>
          <w:p>
            <w:pPr>
              <w:pStyle w:val="TableContents"/>
              <w:bidi w:val="0"/>
              <w:spacing w:before="0" w:after="283"/>
              <w:jc w:val="left"/>
              <w:rPr/>
            </w:pPr>
            <w:r>
              <w:rPr/>
              <w:t> </w:t>
            </w:r>
          </w:p>
        </w:tc>
      </w:tr>
      <w:tr>
        <w:trPr/>
        <w:tc>
          <w:tcPr>
            <w:tcW w:w="7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vAlign w:val="center"/>
          </w:tcPr>
          <w:p>
            <w:pPr>
              <w:pStyle w:val="TableContents"/>
              <w:bidi w:val="0"/>
              <w:spacing w:before="0" w:after="283"/>
              <w:jc w:val="left"/>
              <w:rPr/>
            </w:pPr>
            <w:r>
              <w:rPr/>
              <w:t> </w:t>
            </w:r>
          </w:p>
        </w:tc>
        <w:tc>
          <w:tcPr>
            <w:tcW w:w="9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9" w:type="dxa"/>
            <w:tcBorders/>
            <w:shd w:fill="FFFFFF" w:val="clear"/>
            <w:vAlign w:val="center"/>
          </w:tcPr>
          <w:p>
            <w:pPr>
              <w:pStyle w:val="TableContents"/>
              <w:bidi w:val="0"/>
              <w:spacing w:before="0" w:after="283"/>
              <w:jc w:val="left"/>
              <w:rPr/>
            </w:pPr>
            <w:r>
              <w:rPr/>
              <w:t> </w:t>
            </w:r>
          </w:p>
        </w:tc>
      </w:tr>
      <w:tr>
        <w:trPr/>
        <w:tc>
          <w:tcPr>
            <w:tcW w:w="7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9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1846"/>
        <w:gridCol w:w="146"/>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TREVI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L. Good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Jennifer L. Good</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Lisa Delfini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Lisa Delfini</w:t>
            </w:r>
          </w:p>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bookmarkStart w:id="18" w:name="trvi-ex31_1.htm"/>
      <w:bookmarkStart w:id="19" w:name="kstrviex31_1"/>
      <w:bookmarkEnd w:id="18"/>
      <w:bookmarkEnd w:id="1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OR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Jennifer L. Good,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Trevi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901" w:type="dxa"/>
        <w:jc w:val="left"/>
        <w:tblInd w:w="0" w:type="dxa"/>
        <w:tblLayout w:type="fixed"/>
        <w:tblCellMar>
          <w:top w:w="28" w:type="dxa"/>
          <w:left w:w="28" w:type="dxa"/>
          <w:bottom w:w="28" w:type="dxa"/>
          <w:right w:w="28" w:type="dxa"/>
        </w:tblCellMar>
      </w:tblPr>
      <w:tblGrid>
        <w:gridCol w:w="1846"/>
        <w:gridCol w:w="146"/>
        <w:gridCol w:w="146"/>
        <w:gridCol w:w="40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trvi-ex31_2.htm"/>
      <w:bookmarkStart w:id="21" w:name="kstrviex31_2"/>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OR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Lisa Delfini,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Trevi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106" w:type="dxa"/>
        <w:jc w:val="left"/>
        <w:tblInd w:w="0" w:type="dxa"/>
        <w:tblLayout w:type="fixed"/>
        <w:tblCellMar>
          <w:top w:w="28" w:type="dxa"/>
          <w:left w:w="28" w:type="dxa"/>
          <w:bottom w:w="28" w:type="dxa"/>
          <w:right w:w="28" w:type="dxa"/>
        </w:tblCellMar>
      </w:tblPr>
      <w:tblGrid>
        <w:gridCol w:w="1846"/>
        <w:gridCol w:w="1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Lisa Delfini</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Delfini</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trvi-ex32_1.htm"/>
      <w:bookmarkStart w:id="23" w:name="kstrviex32_1"/>
      <w:bookmarkEnd w:id="22"/>
      <w:bookmarkEnd w:id="2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Trevi Therapeutics, Inc. (the “Company”) for the period ended June 30, 2024,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755" w:type="dxa"/>
        <w:jc w:val="left"/>
        <w:tblInd w:w="0" w:type="dxa"/>
        <w:tblLayout w:type="fixed"/>
        <w:tblCellMar>
          <w:top w:w="28" w:type="dxa"/>
          <w:left w:w="28" w:type="dxa"/>
          <w:bottom w:w="28" w:type="dxa"/>
          <w:right w:w="28" w:type="dxa"/>
        </w:tblCellMar>
      </w:tblPr>
      <w:tblGrid>
        <w:gridCol w:w="1846"/>
        <w:gridCol w:w="146"/>
        <w:gridCol w:w="40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rvi-ex32_2.htm"/>
      <w:bookmarkStart w:id="25" w:name="kstrviex32_2"/>
      <w:bookmarkEnd w:id="24"/>
      <w:bookmarkEnd w:id="25"/>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Trevi Therapeutics, Inc. (the “Company”) for the period ended June 30, 2024,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Lisa Delfini</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Delfini</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66116</Words>
  <Characters>362118</Characters>
  <CharactersWithSpaces>428273</CharactersWithSpaces>
  <Paragraphs>5631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