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vi-20250331.htm"/>
      <w:bookmarkStart w:id="1" w:name="kstrvi20250331"/>
      <w:bookmarkEnd w:id="0"/>
      <w:bookmarkEnd w:id="1"/>
      <w:r>
        <w:rPr/>
        <w:t> </w:t>
      </w:r>
    </w:p>
    <w:p>
      <w:pPr>
        <w:pStyle w:val="TextBody"/>
        <w:pBdr>
          <w:bottom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001-38886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TREVI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195 Church Street, 16</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New Haven, Connecticut</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(203) 304-2499</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TRVI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April 30, 2025, the registrant had 101,744,767</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 AND INDUSTRY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Quarterly Report on Form 10-Q include, among other things,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including our ongoing Phase 2b CORAL clinical trial and our planned Phase 3 program of Haduvio for the treatment of chronic cough in patients with idiopathic pulmonary fibrosis, or IPF, our ongoing Phase 1 TIDAL study to evaluate the effect of Haduvio on respiratory function and safety in patients with IPF of varying disease severity, our planned Phase 2a clinical trial of Haduvio for the treatment of chronic cough in patients with non-IPF interstitial lung disease or non-IPF ILD, and our next clinical trial of Haduvio for the treatment of patients with refractory chronic cough, or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and, if approved, subsequently commercialize Haduvio for the treatment of chronic cough in patients with IPF, chronic cough in patients with non-IPF ILD, and in patients with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for the initiation of clinical trials and the reporting of data from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submit applications for and to obtain and maintain regulatory approvals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fund our operating expenses, including our ongoing and planned clinical trials, with our cash,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timing of any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competitive position;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283"/>
        <w:jc w:val="left"/>
        <w:rPr>
          <w:rFonts w:ascii="Times New Roman" w:hAnsi="Times New Roman"/>
          <w:sz w:val="20"/>
        </w:rPr>
      </w:pPr>
      <w:r>
        <w:rPr>
          <w:rFonts w:ascii="Times New Roman" w:hAnsi="Times New Roman"/>
          <w:color w:val="000000"/>
          <w:sz w:val="20"/>
        </w:rPr>
        <w:t>We own or have rights to trademarks, service marks and trade names that we use in connection with the operation of our business, including our corporate name, logos and website names. We own the trademarks Trevi</w:t>
      </w:r>
      <w:r>
        <w:rPr>
          <w:rFonts w:ascii="Times New Roman" w:hAnsi="Times New Roman"/>
          <w:color w:val="000000"/>
          <w:sz w:val="13"/>
        </w:rPr>
        <w:t>®</w:t>
      </w:r>
      <w:r>
        <w:rPr>
          <w:rFonts w:ascii="Times New Roman" w:hAnsi="Times New Roman"/>
          <w:color w:val="000000"/>
          <w:sz w:val="20"/>
        </w:rPr>
        <w:t xml:space="preserve">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 w:hAnsi="Times New Roman"/>
          <w:color w:val="000000"/>
          <w:sz w:val="13"/>
        </w:rPr>
        <w:t>®</w:t>
      </w:r>
      <w:r>
        <w:rPr>
          <w:rFonts w:ascii="Times New Roman" w:hAnsi="Times New Roman"/>
          <w:color w:val="000000"/>
          <w:sz w:val="20"/>
        </w:rPr>
        <w:t xml:space="preserve"> and  symbols, but we will assert, to the fullest extent under applicable law, our rights to our trademarks, service marks and trade names. We intend to propose Haduvio as the trade name for our oral nalbuphine ER investigational product.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principal factors that make an investment in our company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inception and expect to continue to incur significant and increasing losses for the foreseeable future. We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designing future clinical trials of Haduvio for the treatment of chronic cough in patients with IPF, chronic cough in patients with non-IPF ILD, and in patients with RCC. Before commencing the trials, we plan to submit the protocols to regulatory authorities to obtain any feedback they may have. Changes in the design of the planned trials or regulatory delays may affect the timing and costs of our planned or ongoing trials and may affect our ability to complete the trials with our existing cash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clinical trials of a product candidate may not be predictive of the success of later clinical trials of such product candidate or of clinical trials of such product candidate for different indications. For instance, Haduvio may fail to show the desired safety and efficacy in clinical development despite demonstrating positive results in earlier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delays and difficulties in the enrollment of patients in our clinical trials in the past. If we experience delays or difficulties in the enrollment of patients in current or future clinical trials, our receipt of necessary regulatory approvals could be delayed or prevented. Other companies are conducting clinical trials or have announced plans for future clinical trials that are seeking or are likely to seek to enroll patients with chronic cough with IPF, IPF, chronic cough in non-IPF ILD, and RCC, and patients are generally only able to enroll in a single trial at a time. In addition, many patients use various treatments not specifically approved to treat chronic cough and these patients and their physicians may be reluctant to forgo, discontinue or otherwise alter their use of such treatments to participate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involves a lengthy and expensive process with an uncertain outcome. Even if we complete the necessary preclinical studies and clinical trials, the regulatory approval process is uncertain, which may prevent us from obtaining approvals for the commercialization of Haduvio or any future product candidate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Haduvio or any future project candidate may be identified during development and could delay or prevent the marketing approval or limit the use of Haduvio or any future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currently approved mu-opioid products are subject to restrictive marketing and distribution regulations which, if applied to Haduvio, could potentially restrict its use and harm our ability to generate profits.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which may result in others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stockholders_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8"/>
        <w:gridCol w:w="146"/>
        <w:gridCol w:w="211"/>
        <w:gridCol w:w="841"/>
        <w:gridCol w:w="166"/>
        <w:gridCol w:w="146"/>
        <w:gridCol w:w="213"/>
        <w:gridCol w:w="851"/>
        <w:gridCol w:w="613"/>
      </w:tblGrid>
      <w:tr>
        <w:trPr/>
        <w:tc>
          <w:tcPr>
            <w:tcW w:w="7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34,097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73,525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109,428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equipment and leasehold improvements,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110,900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10,509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11,256</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at March 31, 2025 and December 31, 2024; no</w:t>
            </w:r>
            <w:r>
              <w:rPr>
                <w:rFonts w:ascii="Times New Roman" w:hAnsi="Times New Roman"/>
                <w:color w:val="000000"/>
                <w:sz w:val="20"/>
              </w:rPr>
              <w:t> </w:t>
            </w:r>
            <w:r>
              <w:rPr>
                <w:rFonts w:ascii="Times New Roman" w:hAnsi="Times New Roman"/>
                <w:color w:val="000000"/>
                <w:sz w:val="19"/>
              </w:rPr>
              <w:t>shares issued or outstanding at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$0.001</w:t>
            </w:r>
            <w:r>
              <w:rPr>
                <w:rFonts w:ascii="Times New Roman" w:hAnsi="Times New Roman"/>
                <w:color w:val="000000"/>
                <w:sz w:val="20"/>
              </w:rPr>
              <w:t> </w:t>
            </w:r>
            <w:r>
              <w:rPr>
                <w:rFonts w:ascii="Times New Roman" w:hAnsi="Times New Roman"/>
                <w:color w:val="000000"/>
                <w:sz w:val="19"/>
              </w:rPr>
              <w:t>par value; 200,000,000</w:t>
            </w:r>
            <w:r>
              <w:rPr>
                <w:rFonts w:ascii="Times New Roman" w:hAnsi="Times New Roman"/>
                <w:color w:val="000000"/>
                <w:sz w:val="20"/>
              </w:rPr>
              <w:t> </w:t>
            </w:r>
            <w:r>
              <w:rPr>
                <w:rFonts w:ascii="Times New Roman" w:hAnsi="Times New Roman"/>
                <w:color w:val="000000"/>
                <w:sz w:val="19"/>
              </w:rPr>
              <w:t>shares authorized at March 31, 2025 and December 31, 2024; and 99,892,915</w:t>
            </w:r>
            <w:r>
              <w:rPr>
                <w:rFonts w:ascii="Times New Roman" w:hAnsi="Times New Roman"/>
                <w:color w:val="000000"/>
                <w:sz w:val="20"/>
              </w:rPr>
              <w:t> </w:t>
            </w:r>
            <w:r>
              <w:rPr>
                <w:rFonts w:ascii="Times New Roman" w:hAnsi="Times New Roman"/>
                <w:color w:val="000000"/>
                <w:sz w:val="19"/>
              </w:rPr>
              <w:t>and 93,602,631</w:t>
            </w:r>
            <w:r>
              <w:rPr>
                <w:rFonts w:ascii="Times New Roman" w:hAnsi="Times New Roman"/>
                <w:color w:val="000000"/>
                <w:sz w:val="20"/>
              </w:rPr>
              <w:t> </w:t>
            </w:r>
            <w:r>
              <w:rPr>
                <w:rFonts w:ascii="Times New Roman" w:hAnsi="Times New Roman"/>
                <w:color w:val="000000"/>
                <w:sz w:val="19"/>
              </w:rPr>
              <w:t>shares issued and outstanding 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386,534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(287,045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99,644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110,900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left"/>
        <w:rPr/>
      </w:pPr>
      <w:r>
        <w:rPr/>
        <w:t> </w:t>
      </w:r>
    </w:p>
    <w:tbl>
      <w:tblPr>
        <w:tblW w:w="9664" w:type="dxa"/>
        <w:jc w:val="left"/>
        <w:tblInd w:w="0" w:type="dxa"/>
        <w:tblLayout w:type="fixed"/>
        <w:tblCellMar>
          <w:top w:w="28" w:type="dxa"/>
          <w:left w:w="28" w:type="dxa"/>
          <w:bottom w:w="28" w:type="dxa"/>
          <w:right w:w="28" w:type="dxa"/>
        </w:tblCellMar>
      </w:tblPr>
      <w:tblGrid>
        <w:gridCol w:w="5996"/>
        <w:gridCol w:w="146"/>
        <w:gridCol w:w="211"/>
        <w:gridCol w:w="1141"/>
        <w:gridCol w:w="166"/>
        <w:gridCol w:w="146"/>
        <w:gridCol w:w="211"/>
        <w:gridCol w:w="1036"/>
        <w:gridCol w:w="611"/>
      </w:tblGrid>
      <w:tr>
        <w:trPr/>
        <w:tc>
          <w:tcPr>
            <w:tcW w:w="5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net loss per share</w:t>
              <w:br/>
              <w:t>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117,610,750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99,517,212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gains (losses)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tatement_of_stockholders_e"/>
      <w:bookmarkEnd w:id="6"/>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6"/>
        <w:gridCol w:w="146"/>
        <w:gridCol w:w="146"/>
        <w:gridCol w:w="916"/>
        <w:gridCol w:w="146"/>
        <w:gridCol w:w="146"/>
        <w:gridCol w:w="257"/>
        <w:gridCol w:w="494"/>
        <w:gridCol w:w="146"/>
        <w:gridCol w:w="146"/>
        <w:gridCol w:w="205"/>
        <w:gridCol w:w="726"/>
        <w:gridCol w:w="166"/>
        <w:gridCol w:w="146"/>
        <w:gridCol w:w="585"/>
        <w:gridCol w:w="783"/>
        <w:gridCol w:w="166"/>
        <w:gridCol w:w="146"/>
        <w:gridCol w:w="233"/>
        <w:gridCol w:w="893"/>
        <w:gridCol w:w="166"/>
        <w:gridCol w:w="146"/>
        <w:gridCol w:w="256"/>
        <w:gridCol w:w="866"/>
        <w:gridCol w:w="213"/>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93,602,631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offering, less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99,892,915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99,457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68,283,699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pre-funded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68,960,167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322,368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72,334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left"/>
        <w:rPr/>
      </w:pPr>
      <w:r>
        <w:rPr/>
        <w:t> </w:t>
      </w:r>
    </w:p>
    <w:tbl>
      <w:tblPr>
        <w:tblW w:w="9386" w:type="dxa"/>
        <w:jc w:val="left"/>
        <w:tblInd w:w="0" w:type="dxa"/>
        <w:tblLayout w:type="fixed"/>
        <w:tblCellMar>
          <w:top w:w="28" w:type="dxa"/>
          <w:left w:w="28" w:type="dxa"/>
          <w:bottom w:w="28" w:type="dxa"/>
          <w:right w:w="28" w:type="dxa"/>
        </w:tblCellMar>
      </w:tblPr>
      <w:tblGrid>
        <w:gridCol w:w="6031"/>
        <w:gridCol w:w="146"/>
        <w:gridCol w:w="229"/>
        <w:gridCol w:w="801"/>
        <w:gridCol w:w="180"/>
        <w:gridCol w:w="158"/>
        <w:gridCol w:w="229"/>
        <w:gridCol w:w="801"/>
        <w:gridCol w:w="8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(10,340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(10,902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(13,477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17,595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22,173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(9,951</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(8,091</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8,220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8,705</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34,097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32,397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19,374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13,811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Trevi Therapeutics, Inc. (“Trevi” or the “Company”) is a clinical-stage biopharmaceutical company focused on the development and commercialization of the investigational therapy Haduvio (oral nalbuphine ER) for the treatment of chronic cough in patients with idiopathic pulmonary fibrosis (“IPF”), chronic cough in patients with non-IPF interstitial lung disease ("ILD"), and in patients with refractory chronic cough ("RCC").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is an oral extended-release formulation of nalbuphine. Haduvio acts on the cough reflex arc both centrally and peripherally as a kappa agonist and a mu antagonist (KAMA), targeting opioid receptors that play a key role in controlling chronic cough. Nalbuphine has been approved and marketed as an injectable for pain indications for more than 30 years in the United States (“U.S.”) and Europe. Nalbuphine’s mechanism of action also potentially mitigates the risk of abuse associated with mu-opioid agonists because it antagonizes, or blocks, the mu-opioid receptor. Parenteral nalbuphine is not scheduled as a controlled substance in the U.S. and most of Europe.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for the three months ended March 31, 2025 and 2024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Trevi Therapeutics, Inc. and its wholly-owned subsidiary Trevi Therapeutics Limited.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presented are in thousands of dollars, except share and per share amounts, unless noted otherwise. The Company has evaluated events occurring subsequent to March 31, 2025 for potential recognition or disclosure in the Condensed Consolidated Financial Statements and concluded there were no subsequent events that required recognition or disclosure other than those provided in Note 13.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for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Balance Sheet as of March 31, 2025 and the Condensed Consolidated Statements of Comprehensive Loss, the Condensed Consolidated Statements of Stockholders’ Equity and the Condensed Consolidated Statements of Cash Flows for the three months ended March 31, 2025 and 2024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March 31, 2025 and the results of its operations and its cash flows for the three months ended March 31, 2025 and 2024. The results for the three months ended March 31, 2025 and 2024 are not necessarily indicative of results to be expected for the year ending December 31, 2025 or any other interim period or any future year or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Concentrations of Credit Risk and Off-Balance Sheet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 of credit risk consist primarily of cash, cash equivalents and marketable securities.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The Company’s marketable securities potentially subject the Company to concentrations of credit risk. The Company's cash management and investment policy limits investment instruments to investment-grade securities with the objective to preserve capital and to maintain liquidity until the funds can be used in business operations.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 off-balance sheet risk, such as foreign exchange contracts, option contracts, or other foreign-hedging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short-term, highly liquid investments with an original term of three months or less at the date of purchase as cash equivalents.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Condensed Consolidated Statements of Comprehensive Loss. The amortized cost of debt securities is adjusted for amortization of premiums and accretion of discounts to maturity, which is included in interest income, net on the Condensed Consolidated Statements of Comprehensive Loss. Realized gains and losses, if any, on marketable securities are included in interest income, net on the Condensed Consolidated Statements of Comprehensive Loss. The cost of securities sold is determined using specific identification.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whether declines in the fair values of its marketable securities below their amortized cost are credit losses on a quarterly basis. This evaluation consists of several qualitative and quantitative factors such as the extent to which the fair value is less than the amortized cost basis and the issuer’s financial condition. Additionally, declines in value are evaluated in order to assess whether the decline is other than temporary. In order to perform this evaluation,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accounting guidance defines fair value, establishes a framework for measuring fair value in accordance with Accounting Standards Codification (“ASC”) 820, </w:t>
      </w:r>
      <w:r>
        <w:rPr>
          <w:rFonts w:ascii="Times New Roman" w:hAnsi="Times New Roman"/>
          <w:i/>
          <w:color w:val="000000"/>
          <w:sz w:val="20"/>
        </w:rPr>
        <w:t>Fair Value Measurements and Disclosures,</w:t>
      </w:r>
      <w:r>
        <w:rPr>
          <w:rFonts w:ascii="Times New Roman" w:hAnsi="Times New Roman"/>
          <w:color w:val="000000"/>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inputs—quoted prices in active markets for identical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inputs—includes amounts derived from valuation models where one or more significant inputs are unobservable and require the company to develop relevant assumptions.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Techniques - Level 2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securities, benchmark yields, issuer credit spreads, benchmark securities, and other observable inputs. The Company obtains a single price for each financial instrument and does not adjust the prices obtained from the pricing service.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Equipment and Leasehold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significant impairment charges from inception through March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Condensed Consolidated Statements of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non-current assets on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(“R&amp;D”)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agreements with CROs, contract manufacturing organizations (“CMOs”) and other companies that provide services in connection with the Company’s R&amp;D activities. The value of goods and services received from CROs and CMOs in the reporting period are estimated based on the level of services performed, progress of the studies, including the phase or completion of events, timing of payments made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current assets on the Condensed Consolidated Balance Sheets, as applicable, and are recognized as expenses as the goods are delivered or the related services are performed.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 connection with filing and prosecuting patent applications are expensed to general and administrative expense as incurred, as recoverability of such expenditures is uncertain.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i/>
          <w:color w:val="000000"/>
          <w:sz w:val="20"/>
        </w:rPr>
        <w:t xml:space="preserve">Distinguishing Liabilities from Equity </w:t>
      </w:r>
      <w:r>
        <w:rPr>
          <w:rFonts w:ascii="Times New Roman" w:hAnsi="Times New Roman"/>
          <w:color w:val="000000"/>
          <w:sz w:val="20"/>
        </w:rPr>
        <w:t xml:space="preserve">(“ASC 480”), and then in accordance with ASC 815, </w:t>
      </w:r>
      <w:r>
        <w:rPr>
          <w:rFonts w:ascii="Times New Roman" w:hAnsi="Times New Roman"/>
          <w:i/>
          <w:color w:val="000000"/>
          <w:sz w:val="20"/>
        </w:rPr>
        <w:t>Derivatives and Hedging</w:t>
      </w:r>
      <w:r>
        <w:rPr>
          <w:rFonts w:ascii="Times New Roman" w:hAnsi="Times New Roman"/>
          <w:color w:val="000000"/>
          <w:sz w:val="20"/>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compensation arrangements with employees and non-employees for consultancy services in accordance with ASC 718, </w:t>
      </w:r>
      <w:r>
        <w:rPr>
          <w:rFonts w:ascii="Times New Roman" w:hAnsi="Times New Roman"/>
          <w:i/>
          <w:color w:val="000000"/>
          <w:sz w:val="20"/>
        </w:rPr>
        <w:t xml:space="preserve">Stock Compensation </w:t>
      </w:r>
      <w:r>
        <w:rPr>
          <w:rFonts w:ascii="Times New Roman" w:hAnsi="Times New Roman"/>
          <w:color w:val="000000"/>
          <w:sz w:val="20"/>
        </w:rPr>
        <w:t>(“ASC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Dividend—The Black-Scholes valuation model calls for a single expected dividend yield as an input. The Company currently has no history or expectation of paying cash dividends on its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Rate—The risk-free interest rate is based on the yield available on U.S. Treasury zero-coupon issues similar in duration to the expected term of the stock-based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applies the provisions of ASC 740, </w:t>
      </w:r>
      <w:r>
        <w:rPr>
          <w:rFonts w:ascii="Times New Roman" w:hAnsi="Times New Roman"/>
          <w:i/>
          <w:color w:val="000000"/>
          <w:sz w:val="20"/>
        </w:rPr>
        <w:t>Income Taxes</w:t>
      </w:r>
      <w:r>
        <w:rPr>
          <w:rFonts w:ascii="Times New Roman" w:hAnsi="Times New Roman"/>
          <w:color w:val="000000"/>
          <w:sz w:val="20"/>
        </w:rPr>
        <w:t>,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March 31, 2025 and December 31, 2024. The Company does not have any interest or penalties accrued related to tax positions as it does not have any unrecognized tax benefits.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ASC 842, </w:t>
      </w:r>
      <w:r>
        <w:rPr>
          <w:rFonts w:ascii="Times New Roman" w:hAnsi="Times New Roman"/>
          <w:i/>
          <w:color w:val="000000"/>
          <w:sz w:val="20"/>
        </w:rPr>
        <w:t>Leases</w:t>
      </w:r>
      <w:r>
        <w:rPr>
          <w:rFonts w:ascii="Times New Roman" w:hAnsi="Times New Roman"/>
          <w:color w:val="000000"/>
          <w:sz w:val="20"/>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right-of-use to an underlying asset for the term of the lease and the lease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Basic and Diluted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reportable segment which is also the Company’s only operating segment. Management uses one measurement of profitability and does not segregate its business for internal reporting.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represents the net change in stockholders’ equity during a period from sources other than transactions with stockholders. As reflected in the accompanying Condensed Consolidated Statements of Comprehensive Loss, our comprehensive loss is comprised of net losses and unrealized gains and losses on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Segment Reporting (Topic 280): </w:t>
      </w:r>
      <w:r>
        <w:rPr>
          <w:rFonts w:ascii="Times New Roman" w:hAnsi="Times New Roman"/>
          <w:i/>
          <w:color w:val="000000"/>
          <w:sz w:val="20"/>
        </w:rPr>
        <w:t>Improvements to Reportable Segment Disclosures</w:t>
      </w:r>
      <w:r>
        <w:rPr>
          <w:rFonts w:ascii="Times New Roman" w:hAnsi="Times New Roman"/>
          <w:color w:val="000000"/>
          <w:sz w:val="20"/>
        </w:rPr>
        <w:t xml:space="preserve">, which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The Company adopted this accounting standard for the fiscal year beginning on January 1, 2024 and for the quarter ended March 31, 2025, and it has resulted in incremental disclosures within the footnotes to the Company’s Consolidated Financial Statements.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requires disaggregation and disclosure of specified information about certain costs and expenses in the notes to the financial statements. The standard is effective for fiscal years beginning after December 15, 2026, and interim reporting periods beginning after December 15, 2027, with early adoption permitted. The Company is currently evaluating the impact of adopting ASU 2024-03.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w:t>
      </w:r>
      <w:r>
        <w:rPr>
          <w:rFonts w:ascii="Times New Roman" w:hAnsi="Times New Roman"/>
          <w:color w:val="000000"/>
          <w:sz w:val="20"/>
        </w:rPr>
        <w:t>,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of adopting ASU 2023-09.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and amortized cost of available-for-sale marketable securities by major security type are presented in the following tables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307"/>
        <w:gridCol w:w="987"/>
        <w:gridCol w:w="146"/>
        <w:gridCol w:w="146"/>
        <w:gridCol w:w="673"/>
        <w:gridCol w:w="1106"/>
        <w:gridCol w:w="146"/>
        <w:gridCol w:w="146"/>
        <w:gridCol w:w="653"/>
        <w:gridCol w:w="1167"/>
        <w:gridCol w:w="166"/>
        <w:gridCol w:w="146"/>
        <w:gridCol w:w="384"/>
        <w:gridCol w:w="1237"/>
        <w:gridCol w:w="295"/>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83,883</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307"/>
        <w:gridCol w:w="987"/>
        <w:gridCol w:w="146"/>
        <w:gridCol w:w="146"/>
        <w:gridCol w:w="711"/>
        <w:gridCol w:w="1068"/>
        <w:gridCol w:w="146"/>
        <w:gridCol w:w="146"/>
        <w:gridCol w:w="653"/>
        <w:gridCol w:w="1167"/>
        <w:gridCol w:w="166"/>
        <w:gridCol w:w="146"/>
        <w:gridCol w:w="384"/>
        <w:gridCol w:w="1237"/>
        <w:gridCol w:w="295"/>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73,525</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38"/>
        <w:gridCol w:w="1087"/>
        <w:gridCol w:w="146"/>
        <w:gridCol w:w="146"/>
        <w:gridCol w:w="242"/>
        <w:gridCol w:w="778"/>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38"/>
        <w:gridCol w:w="1087"/>
        <w:gridCol w:w="146"/>
        <w:gridCol w:w="146"/>
        <w:gridCol w:w="242"/>
        <w:gridCol w:w="778"/>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and 2024, there were no realized gains or losses on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no marketable securities had been in a continuous unrealized loss position for more than 12 months and the Company considered any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 Additionally, the Company did not recognize any credit losses related to its marketable securities in an unrealized loss position during any of the periods noted in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accrued interest receivables on the Company’s available-for-sale marketable securities were $460 and $532, respectively, and were included within other current assets as presented on its Condensed Consolidated Balance Sheets.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financial liabilities measured at fair value on a recurring basis and the basis for that measurement, by level within the fair value hierarchy, as follows:</w:t>
      </w:r>
    </w:p>
    <w:p>
      <w:pPr>
        <w:pStyle w:val="TextBody"/>
        <w:bidi w:val="0"/>
        <w:jc w:val="left"/>
        <w:rPr/>
      </w:pPr>
      <w:r>
        <w:rPr/>
        <w:t> </w:t>
      </w:r>
    </w:p>
    <w:tbl>
      <w:tblPr>
        <w:tblW w:w="10152" w:type="dxa"/>
        <w:jc w:val="left"/>
        <w:tblInd w:w="0" w:type="dxa"/>
        <w:tblLayout w:type="fixed"/>
        <w:tblCellMar>
          <w:top w:w="28" w:type="dxa"/>
          <w:left w:w="28" w:type="dxa"/>
          <w:bottom w:w="28" w:type="dxa"/>
          <w:right w:w="28" w:type="dxa"/>
        </w:tblCellMar>
      </w:tblPr>
      <w:tblGrid>
        <w:gridCol w:w="2506"/>
        <w:gridCol w:w="146"/>
        <w:gridCol w:w="2896"/>
        <w:gridCol w:w="146"/>
        <w:gridCol w:w="211"/>
        <w:gridCol w:w="571"/>
        <w:gridCol w:w="146"/>
        <w:gridCol w:w="146"/>
        <w:gridCol w:w="211"/>
        <w:gridCol w:w="676"/>
        <w:gridCol w:w="146"/>
        <w:gridCol w:w="146"/>
        <w:gridCol w:w="277"/>
        <w:gridCol w:w="458"/>
        <w:gridCol w:w="146"/>
        <w:gridCol w:w="146"/>
        <w:gridCol w:w="211"/>
        <w:gridCol w:w="676"/>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5"/>
        <w:gridCol w:w="146"/>
        <w:gridCol w:w="2807"/>
        <w:gridCol w:w="146"/>
        <w:gridCol w:w="211"/>
        <w:gridCol w:w="676"/>
        <w:gridCol w:w="146"/>
        <w:gridCol w:w="146"/>
        <w:gridCol w:w="211"/>
        <w:gridCol w:w="676"/>
        <w:gridCol w:w="146"/>
        <w:gridCol w:w="146"/>
        <w:gridCol w:w="274"/>
        <w:gridCol w:w="453"/>
        <w:gridCol w:w="146"/>
        <w:gridCol w:w="146"/>
        <w:gridCol w:w="211"/>
        <w:gridCol w:w="781"/>
        <w:gridCol w:w="292"/>
      </w:tblGrid>
      <w:tr>
        <w:trPr/>
        <w:tc>
          <w:tcPr>
            <w:tcW w:w="2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106,609</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the Company entered into a 24-month lease for the financing of the furniture installed in the Company’s new office space. The furniture lease requires monthly payments of approximately $11 starting in March 2023. The Company also entered into an immaterial office equipment lease during the three months ended March 31, 2025, that has a term of 36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lease-related assets and liabilities as presented on its 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9"/>
        <w:gridCol w:w="146"/>
        <w:gridCol w:w="4282"/>
        <w:gridCol w:w="146"/>
        <w:gridCol w:w="410"/>
        <w:gridCol w:w="820"/>
        <w:gridCol w:w="146"/>
        <w:gridCol w:w="146"/>
        <w:gridCol w:w="394"/>
        <w:gridCol w:w="1073"/>
        <w:gridCol w:w="393"/>
      </w:tblGrid>
      <w:tr>
        <w:trPr/>
        <w:tc>
          <w:tcPr>
            <w:tcW w:w="2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Classification on the Condensed Consolidated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related to the Company's lease expense for the periods shown:</w:t>
      </w:r>
    </w:p>
    <w:p>
      <w:pPr>
        <w:pStyle w:val="TextBody"/>
        <w:bidi w:val="0"/>
        <w:jc w:val="left"/>
        <w:rPr/>
      </w:pPr>
      <w:r>
        <w:rPr/>
        <w:t> </w:t>
      </w:r>
    </w:p>
    <w:tbl>
      <w:tblPr>
        <w:tblW w:w="4127" w:type="dxa"/>
        <w:jc w:val="left"/>
        <w:tblInd w:w="0" w:type="dxa"/>
        <w:tblLayout w:type="fixed"/>
        <w:tblCellMar>
          <w:top w:w="28" w:type="dxa"/>
          <w:left w:w="28" w:type="dxa"/>
          <w:bottom w:w="28" w:type="dxa"/>
          <w:right w:w="28" w:type="dxa"/>
        </w:tblCellMar>
      </w:tblPr>
      <w:tblGrid>
        <w:gridCol w:w="2086"/>
        <w:gridCol w:w="146"/>
        <w:gridCol w:w="251"/>
        <w:gridCol w:w="377"/>
        <w:gridCol w:w="174"/>
        <w:gridCol w:w="174"/>
        <w:gridCol w:w="251"/>
        <w:gridCol w:w="377"/>
        <w:gridCol w:w="2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from March 31, 2025 until the expiration of the leases are as follows:</w:t>
      </w:r>
    </w:p>
    <w:p>
      <w:pPr>
        <w:pStyle w:val="TextBody"/>
        <w:bidi w:val="0"/>
        <w:jc w:val="left"/>
        <w:rPr/>
      </w:pPr>
      <w:r>
        <w:rPr/>
        <w:t> </w:t>
      </w:r>
    </w:p>
    <w:tbl>
      <w:tblPr>
        <w:tblW w:w="6328" w:type="dxa"/>
        <w:jc w:val="left"/>
        <w:tblInd w:w="0" w:type="dxa"/>
        <w:tblLayout w:type="fixed"/>
        <w:tblCellMar>
          <w:top w:w="28" w:type="dxa"/>
          <w:left w:w="28" w:type="dxa"/>
          <w:bottom w:w="28" w:type="dxa"/>
          <w:right w:w="28" w:type="dxa"/>
        </w:tblCellMar>
      </w:tblPr>
      <w:tblGrid>
        <w:gridCol w:w="4526"/>
        <w:gridCol w:w="146"/>
        <w:gridCol w:w="367"/>
        <w:gridCol w:w="998"/>
        <w:gridCol w:w="291"/>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of lease payments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certain information related to the lease terms and discount rates for the Company's leases:</w:t>
      </w:r>
    </w:p>
    <w:p>
      <w:pPr>
        <w:pStyle w:val="TextBody"/>
        <w:bidi w:val="0"/>
        <w:jc w:val="left"/>
        <w:rPr/>
      </w:pPr>
      <w:r>
        <w:rPr/>
        <w:t> </w:t>
      </w:r>
    </w:p>
    <w:tbl>
      <w:tblPr>
        <w:tblW w:w="7115" w:type="dxa"/>
        <w:jc w:val="left"/>
        <w:tblInd w:w="0" w:type="dxa"/>
        <w:tblLayout w:type="fixed"/>
        <w:tblCellMar>
          <w:top w:w="28" w:type="dxa"/>
          <w:left w:w="28" w:type="dxa"/>
          <w:bottom w:w="28" w:type="dxa"/>
          <w:right w:w="28" w:type="dxa"/>
        </w:tblCellMar>
      </w:tblPr>
      <w:tblGrid>
        <w:gridCol w:w="3376"/>
        <w:gridCol w:w="146"/>
        <w:gridCol w:w="256"/>
        <w:gridCol w:w="1004"/>
        <w:gridCol w:w="271"/>
        <w:gridCol w:w="146"/>
        <w:gridCol w:w="305"/>
        <w:gridCol w:w="1195"/>
        <w:gridCol w:w="4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 years</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 years</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supplemental cash flow information related to the Company's leases for the periods shown:</w:t>
      </w:r>
    </w:p>
    <w:p>
      <w:pPr>
        <w:pStyle w:val="TextBody"/>
        <w:bidi w:val="0"/>
        <w:jc w:val="left"/>
        <w:rPr/>
      </w:pPr>
      <w:r>
        <w:rPr/>
        <w:t> </w:t>
      </w:r>
    </w:p>
    <w:tbl>
      <w:tblPr>
        <w:tblW w:w="8536" w:type="dxa"/>
        <w:jc w:val="left"/>
        <w:tblInd w:w="0" w:type="dxa"/>
        <w:tblLayout w:type="fixed"/>
        <w:tblCellMar>
          <w:top w:w="28" w:type="dxa"/>
          <w:left w:w="28" w:type="dxa"/>
          <w:bottom w:w="28" w:type="dxa"/>
          <w:right w:w="28" w:type="dxa"/>
        </w:tblCellMar>
      </w:tblPr>
      <w:tblGrid>
        <w:gridCol w:w="6396"/>
        <w:gridCol w:w="146"/>
        <w:gridCol w:w="246"/>
        <w:gridCol w:w="368"/>
        <w:gridCol w:w="170"/>
        <w:gridCol w:w="170"/>
        <w:gridCol w:w="246"/>
        <w:gridCol w:w="403"/>
        <w:gridCol w:w="391"/>
      </w:tblGrid>
      <w:tr>
        <w:trPr/>
        <w:tc>
          <w:tcPr>
            <w:tcW w:w="6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outflows relating to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consisted of the following:</w:t>
      </w:r>
    </w:p>
    <w:tbl>
      <w:tblPr>
        <w:tblW w:w="6940" w:type="dxa"/>
        <w:jc w:val="left"/>
        <w:tblInd w:w="0" w:type="dxa"/>
        <w:tblLayout w:type="fixed"/>
        <w:tblCellMar>
          <w:top w:w="28" w:type="dxa"/>
          <w:left w:w="28" w:type="dxa"/>
          <w:bottom w:w="28" w:type="dxa"/>
          <w:right w:w="28" w:type="dxa"/>
        </w:tblCellMar>
      </w:tblPr>
      <w:tblGrid>
        <w:gridCol w:w="3451"/>
        <w:gridCol w:w="146"/>
        <w:gridCol w:w="340"/>
        <w:gridCol w:w="920"/>
        <w:gridCol w:w="146"/>
        <w:gridCol w:w="146"/>
        <w:gridCol w:w="403"/>
        <w:gridCol w:w="10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reserved shares of common stock for future issuance as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of outstanding warrants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26,915,346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32,915,346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2012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38,030,931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41,891,573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entered into a sales agreement (the "2020 ATM Sales Agreement") with SVB Securities LLC ("SVB Securities") under which the Company was able to issue and sell shares of its common stock, from time to time, having an aggregate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offering price of up to $12.0 million. In May 2022, the Company and SVB Securities amended the 2020 ATM Sales Agreement to increase the maximum aggregate offering price of common stock that it was able to issue and sell from time to time under the 2020 ATM Sales Agreement by $50.0 million, from $12.0 million to up to $62.0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common stock under the 2020 ATM Sales Agreement were able to be made by any method that was deemed an “at-the-market” offering as defined in Rule 415(a)(4) under the Securities Act of 1933, as amended (the "Securities Act"). The Company was not obligated to make any sales of its common stock under the 2020 ATM Sales Agreement. The Company began making sales pursuant to the 2020 ATM Sales Agreement in July 2020. As of August 15, 2023, the date of termination of the 2020 ATM Sales Agreement, the Company had issued and sold an aggregate of 4,333,394 shares of common stock for gross proceeds of $12.7 million pursuant to the 2020 ATM Sales Agreement, before deducting estimated commissions and allocated fees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the Company filed with the SEC a universal shelf registration statement on Form S-3 (the “Shelf Registration Statement”), which allows the Company to offer and sell up to $200.0 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and was declared effective on August 15, 2023. Further, in June 2023, the Company entered into a new at-the-market sales agreement with Leerink Partners, LLC (formerly SVB Securities) (the “2023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2023 ATM Sales Agreement. The Company filed a prospectus under the Shelf Registration Statement for the offer and sale of shares of the Company’s common stock having an aggregate offering price of up to $75.0 million pursuant to the 2023 ATM Sales Agreement. In accordance with the terms of the 2023 ATM Sales Agreement, the 2020 ATM Sales Agreement terminated upon effectiveness of the Shelf Registration Statement, at which point the Company was no longer able to issue and sell shares of its common stock under the 2020 ATM Sales Agreement. As of December 31, 2024, the Company had issued and sold 4,498,065 shares of common stock under the 2023 ATM Sales Agreement for gross proceeds of $14.6 million, before deducting estimated commissions and allocated fees of $0.5 million. No shares have been sold under the 2023 ATM Sales Agreement for the three months ended March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The accompanying common stock warrants had an exercise price of $1.37 per share and became exercisable immediately upon issuance. Of the accompanying common stock warrants, warrants to purchase an aggregate of 7,299,270 shares had an expiration date of April 5, 2025, and warrants to purchase an aggregate of 7,299,270 shares had an expiration date of October 5, 2028. All of the warrants with an expiration date of April 5, 2025 were exercised in 2022 and all of the warrants with an expiration date of October 5, 2028 were exercised prior to March 31, 2025. Therefore, all of the accompanying common stock warrants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were scheduled to expire on April 18, 2025, and warrants to purchase an aggregate of 1,851,852 shares of the Company’s common stock will expire on October 18, 2028. Subsequent to March 31, 2025, NEA exercised all of the warrants that would have expired on April 18, 2025. None of the accompanying common stock warrants issued to NEA in the private placement that expire on October 18, 2028 have been exercised.</w:t>
      </w:r>
    </w:p>
    <w:p>
      <w:pPr>
        <w:pStyle w:val="TextBody"/>
        <w:bidi w:val="0"/>
        <w:spacing w:before="120" w:after="283"/>
        <w:jc w:val="left"/>
        <w:rPr>
          <w:rFonts w:ascii="Times New Roman" w:hAnsi="Times New Roman"/>
          <w:sz w:val="20"/>
        </w:rPr>
      </w:pPr>
      <w:r>
        <w:rPr>
          <w:rFonts w:ascii="Times New Roman" w:hAnsi="Times New Roman"/>
          <w:color w:val="000000"/>
          <w:sz w:val="20"/>
        </w:rPr>
        <w:t>Total net proceeds from the two October 2021 private placements were $13.7 million, after deducting issuance costs of $1.1 million and excluding any proceeds from the exercise of warrants that were issued and sold in such private placements</w:t>
      </w:r>
      <w:r>
        <w:rPr>
          <w:rFonts w:ascii="Arial" w:hAnsi="Arial"/>
          <w:color w:val="000000"/>
          <w:sz w:val="18"/>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proceeds to the Company of approximately $55.0 million. NEA, an existing stockholder of the Company and a related party, as well as an affiliate of NEA, participated in the offering.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Registered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2024, the Company issued and sold 12,500,000 shares of the Company’s common stock to certain investors in an underwritten registered direct offering (the “December 2024 Offering”), at an offering price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the Company of $50.0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activity, including activity related to pre-funded warrants, is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6"/>
        <w:gridCol w:w="146"/>
        <w:gridCol w:w="194"/>
        <w:gridCol w:w="1378"/>
        <w:gridCol w:w="146"/>
        <w:gridCol w:w="146"/>
        <w:gridCol w:w="236"/>
        <w:gridCol w:w="1610"/>
        <w:gridCol w:w="166"/>
        <w:gridCol w:w="146"/>
        <w:gridCol w:w="161"/>
        <w:gridCol w:w="1147"/>
        <w:gridCol w:w="166"/>
        <w:gridCol w:w="146"/>
        <w:gridCol w:w="248"/>
        <w:gridCol w:w="548"/>
        <w:gridCol w:w="595"/>
      </w:tblGrid>
      <w:tr>
        <w:trPr/>
        <w:tc>
          <w:tcPr>
            <w:tcW w:w="3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Pre-funded 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Common Stock 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23,211,642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32,915,346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23,211,642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26,915,346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that may be issued under the 2019 Plan and the 2012 Plan was 10,773,928 as of March 31, 2025, of which 790,316 shares remained available for grant under the 2019 Plan. Awards may be made under the 2019 Plan for up to such number of shares of the Company’s common stock as is equal to the sum of: i) 1,578,947 shares; plus ii) the number of shares (up to 1,157,894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2025 and January 1, 2024, respectively, the number of shares reserved for issuance under the 2019 Plan increased, pursuant to the terms of the 2019 Plan, by an additional 2,105,623 shares in each case, equal to the 2019 Plan determined maximum for each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exercises with newly issued shares of common stock. As of March 31, 2025 and December 31, 2024, respectively, options to purchase 9,705,194 shares and 7,555,310 shares of common stock were granted and outstanding, net of cancellations, under the 2019 Plan. As of March 31, 2025 and December 31, 2024, respectively, options to purchase 278,418 and 288,944 shares of common stock were granted and outstanding, net of cancellations,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granted options to purchase 832,250 shares of common stock subject to performance-based vesting (“PSOs”) to employees of the Company. The PSOs granted in February 2024 vest based on the timing and results of the Company’s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combined stock option activity for the 2019 Plan and the 2012 Plan is as follows:</w:t>
      </w:r>
    </w:p>
    <w:p>
      <w:pPr>
        <w:pStyle w:val="TextBody"/>
        <w:bidi w:val="0"/>
        <w:jc w:val="left"/>
        <w:rPr/>
      </w:pPr>
      <w:r>
        <w:rPr/>
        <w:t> </w:t>
      </w:r>
    </w:p>
    <w:tbl>
      <w:tblPr>
        <w:tblW w:w="6103" w:type="dxa"/>
        <w:jc w:val="left"/>
        <w:tblInd w:w="0" w:type="dxa"/>
        <w:tblLayout w:type="fixed"/>
        <w:tblCellMar>
          <w:top w:w="28" w:type="dxa"/>
          <w:left w:w="28" w:type="dxa"/>
          <w:bottom w:w="28" w:type="dxa"/>
          <w:right w:w="28" w:type="dxa"/>
        </w:tblCellMar>
      </w:tblPr>
      <w:tblGrid>
        <w:gridCol w:w="3481"/>
        <w:gridCol w:w="146"/>
        <w:gridCol w:w="146"/>
        <w:gridCol w:w="931"/>
        <w:gridCol w:w="166"/>
        <w:gridCol w:w="146"/>
        <w:gridCol w:w="248"/>
        <w:gridCol w:w="548"/>
        <w:gridCol w:w="2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unvested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that may be issued under the 2019 ESPP was 1,131,973 as of March 31, 2025, all of which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2024, the aggregate number of shares of the Company’s common stock that may be issued under the 2019 ESPP increased, pursuant to the terms of the 2019 ESPP, by an additional 526,315 shares, equal to the 2019 ESPP determined maximum for the year. No annual increase was made on January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classifications of stock-based compensation expenses for the 2012 Plan, the 2019 Plan and the 2019 ESPP recognized in the Condensed Consolidated Statements of Comprehensive Loss:</w:t>
      </w:r>
    </w:p>
    <w:p>
      <w:pPr>
        <w:pStyle w:val="TextBody"/>
        <w:bidi w:val="0"/>
        <w:jc w:val="left"/>
        <w:rPr/>
      </w:pPr>
      <w:r>
        <w:rPr/>
        <w:t> </w:t>
      </w:r>
    </w:p>
    <w:tbl>
      <w:tblPr>
        <w:tblW w:w="5769" w:type="dxa"/>
        <w:jc w:val="left"/>
        <w:tblInd w:w="0" w:type="dxa"/>
        <w:tblLayout w:type="fixed"/>
        <w:tblCellMar>
          <w:top w:w="28" w:type="dxa"/>
          <w:left w:w="28" w:type="dxa"/>
          <w:bottom w:w="28" w:type="dxa"/>
          <w:right w:w="28" w:type="dxa"/>
        </w:tblCellMar>
      </w:tblPr>
      <w:tblGrid>
        <w:gridCol w:w="3626"/>
        <w:gridCol w:w="146"/>
        <w:gridCol w:w="211"/>
        <w:gridCol w:w="571"/>
        <w:gridCol w:w="146"/>
        <w:gridCol w:w="146"/>
        <w:gridCol w:w="211"/>
        <w:gridCol w:w="421"/>
        <w:gridCol w:w="29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and December 31, 2024, the Company maintained a full valuation allowance on deferred tax assets. The income tax benefit recorded during the three months ended March 31, 2025 and 2024 was for the Company’s estimates for its state research and development tax credits in each given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6837"/>
        <w:gridCol w:w="146"/>
        <w:gridCol w:w="211"/>
        <w:gridCol w:w="1141"/>
        <w:gridCol w:w="166"/>
        <w:gridCol w:w="146"/>
        <w:gridCol w:w="211"/>
        <w:gridCol w:w="1036"/>
        <w:gridCol w:w="311"/>
      </w:tblGrid>
      <w:tr>
        <w:trPr/>
        <w:tc>
          <w:tcPr>
            <w:tcW w:w="6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used in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117,610,750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99,517,212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shares outstanding includes the weighted average effect of the Company’s pre-funded warrants from the date of issuance, the exercise of which requires little or no consideration for the delivery of shares of common stock. As of both March 31, 2025 and December 31, 2024, the Company had pre-funded warrants to purchase 23,211,642 shares of common stock outstanding, which were issued in the April 2022 Private Placement and the September 2022 Offering, which warrants are included in the weighted average common shares used in calculating the net loss per share attributable to common stockholders, basic and diluted, for each of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March 31, 2025 and 2024, respectively, were excluded from the calculation of diluted net loss per share attributable to common stockholders for the periods indicated because including them would have had an anti-dilutive effect:</w:t>
      </w:r>
    </w:p>
    <w:tbl>
      <w:tblPr>
        <w:tblW w:w="5819" w:type="dxa"/>
        <w:jc w:val="left"/>
        <w:tblInd w:w="0" w:type="dxa"/>
        <w:tblLayout w:type="fixed"/>
        <w:tblCellMar>
          <w:top w:w="28" w:type="dxa"/>
          <w:left w:w="28" w:type="dxa"/>
          <w:bottom w:w="28" w:type="dxa"/>
          <w:right w:w="28" w:type="dxa"/>
        </w:tblCellMar>
      </w:tblPr>
      <w:tblGrid>
        <w:gridCol w:w="2726"/>
        <w:gridCol w:w="146"/>
        <w:gridCol w:w="146"/>
        <w:gridCol w:w="1036"/>
        <w:gridCol w:w="146"/>
        <w:gridCol w:w="146"/>
        <w:gridCol w:w="146"/>
        <w:gridCol w:w="1036"/>
        <w:gridCol w:w="291"/>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as of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7,822,705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17,526,409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segment, which is also the Company’s only operating segment. Such segment is the business of developing and commercializing the investigational therapy Haduvio (oral nalbuphine ER) for the treatment of chronic cough in patients with IPF, chronic cough in patients with non-IPF ILD, and in patients with RCC. The Company’s chief operating decision maker (“CODM”) is the President and Chief Executive Officer. The CODM assesses performance for the segment and decides how to allocate resources based on consolidated net loss that is also reported on the Company’s consolidated statements of comprehensive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uses consolidated net loss to evaluate the Company’s spend and monitor budget versus actual results. The monitoring of budgeted versus actual results is used in assessing performance of the segment and in establishing resource allocation across the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of the segment are the same as those described in Note 2 of the notes to the Condensed Consolidated Financial Statements included in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reportable segment loss, including significant expense categories, attributable to the Company’s reportable segment for the periods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14" w:type="dxa"/>
        <w:jc w:val="left"/>
        <w:tblInd w:w="0" w:type="dxa"/>
        <w:tblLayout w:type="fixed"/>
        <w:tblCellMar>
          <w:top w:w="28" w:type="dxa"/>
          <w:left w:w="28" w:type="dxa"/>
          <w:bottom w:w="28" w:type="dxa"/>
          <w:right w:w="28" w:type="dxa"/>
        </w:tblCellMar>
      </w:tblPr>
      <w:tblGrid>
        <w:gridCol w:w="5591"/>
        <w:gridCol w:w="146"/>
        <w:gridCol w:w="211"/>
        <w:gridCol w:w="676"/>
        <w:gridCol w:w="166"/>
        <w:gridCol w:w="146"/>
        <w:gridCol w:w="211"/>
        <w:gridCol w:w="676"/>
        <w:gridCol w:w="291"/>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Chronic cough in IPF clinical trial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Refractory chronic cough clinical trial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trial material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trials and studies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development expenses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(excluding 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(1) Includes</w:t>
      </w:r>
      <w:r>
        <w:rPr>
          <w:rFonts w:ascii="Times New Roman" w:hAnsi="Times New Roman"/>
          <w:color w:val="000000"/>
          <w:sz w:val="20"/>
        </w:rPr>
        <w:t xml:space="preserve"> </w:t>
      </w:r>
      <w:r>
        <w:rPr>
          <w:rFonts w:ascii="Times New Roman" w:hAnsi="Times New Roman"/>
          <w:color w:val="000000"/>
          <w:sz w:val="17"/>
        </w:rPr>
        <w:t>expense related to the Company’s human abuse potential study, the Company’s Phase 2 CANAL trial of Haduvio for the treatment of chronic cough in patients with IPF, and the Company’s Phase 2b/3 PRISM trial of Haduvio for the treatment of prurigo nodularis.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(2) Includes expense related to general research and development activities, regulatory, medical affairs, and quality assurance.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(3) Includes general administrative expense, interest expense, net, other (expense) income, net and income tax benefit.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Collaborative and Licensing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collaborative and licensing agreements with pharmaceutical companies to in-license, develop, manufacture and/or market products that fit within its business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Endo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commitments under lease and licensing agreements (Note 5 and Note 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sz w:val="20"/>
        </w:rPr>
      </w:pPr>
      <w:r>
        <w:rPr>
          <w:rFonts w:ascii="Times New Roman" w:hAnsi="Times New Roman"/>
          <w:b/>
          <w:color w:val="000000"/>
          <w:sz w:val="20"/>
        </w:rPr>
        <w:t>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common stock warrants from the October 2021 private placements that were set to expire on April 18, 2025 were exercised for 1,851,852 shares of common stock. This exercise resulted in approximately $2.5 million in cash proceeds to the Company. See Note 7 above for further discussion of the October 2021 private placements.</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2024 included in our Annual Report on Form 10-K, filed with the Securities and Exchange Commission, or SEC, on March 18, 2025.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caution readers not to place undue reliance on any forward-looking statements made by us, which speak only as of the date they are made.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focused on the development and commercialization of the investigational therapy Haduvio (oral nalbuphine ER) for the treatment of chronic cough in patients with idiopathic pulmonary fibrosis, or IPF, chronic cough in patients with non-IPF interstitial lung disease or non-IPF ILD, and in patients with refractory chronic cough, or RCC. Haduvio is an oral extended-release formulation of nalbuphine. Haduvio acts on the cough reflex arc both centrally and peripherally as a kappa agonist and a mu antagonist (KAMA), targeting opioid receptors that play a key role in controlling chronic cough. The kappa- and mu-opioid receptors are known to be critical mediators of cough. Nalbuphine is a mixed kappa-opioid receptor agonist and mu-opioid receptor antagonist that has been approved and marketed as an injectable for pain indications for more than 30 years in the United States, or the U.S., and Europe. Nalbuphine’s mechanism of action also potentially mitigates the risk of abuse associated with mu-opioid agonists because it antagonizes, or blocks, the mu-opioid receptor. Parenteral nalbuphine is not scheduled as a controlled substance in the U.S. and most of Europe.</w:t>
      </w:r>
    </w:p>
    <w:p>
      <w:pPr>
        <w:pStyle w:val="TextBody"/>
        <w:bidi w:val="0"/>
        <w:spacing w:before="120" w:after="283"/>
        <w:jc w:val="left"/>
        <w:rPr>
          <w:rFonts w:ascii="Times New Roman" w:hAnsi="Times New Roman"/>
          <w:sz w:val="20"/>
        </w:rPr>
      </w:pPr>
      <w:r>
        <w:rPr>
          <w:rFonts w:ascii="Times New Roman" w:hAnsi="Times New Roman"/>
          <w:i/>
          <w:color w:val="000000"/>
          <w:sz w:val="20"/>
        </w:rPr>
        <w:t>Chronic Cough in Patients with IPF Program.</w:t>
      </w:r>
      <w:r>
        <w:rPr>
          <w:rFonts w:ascii="Times New Roman" w:hAnsi="Times New Roman"/>
          <w:color w:val="000000"/>
          <w:sz w:val="20"/>
        </w:rPr>
        <w:t xml:space="preserve"> We previously announced positive data from the full set of patients in our Phase 2 clinical trial of Haduvio for the treatment of chronic cough in patients with IPF, which we refer to as the Phase 2 CANAL trial. The Phase 2 CANAL trial was a randomized, double-blind, placebo controlled, two-treatment, two-period, crossover study that was designed to evaluate the efficacy, safety, tolerability and dosing of Haduvio for chronic cough in patients with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conducting our Phase 2b CORAL clinical trial, which is a dose-ranging study evaluating the efficacy, safety and tolerability of Haduvio for chronic cough in patients with IPF. This trial is being conducted at multiple sites in ten countries and uses a randomized, double-blind, placebo-controlled, parallel-arm design, which evaluates three doses of Haduvio as compared to placebo. The primary efficacy endpoint for the trial is the relative change in 24-hour cough frequency at the end of week six versus baseline for Haduvio compared to placebo, as measured via an objective cough monitor. The protocol for the Phase 2b CORAL clinical trial provided for a sample size re-estimation, or SSRE, analysis once approximately 50% of the patients in the trial were evaluable for the primary endpoint. In October 2024, we reached 50% of the targeted study enrollment. As a result, the SSRE analysis was performed once the last of these patients completed the six weeks of treatment and was evaluable for the primary endpoint. In December 2024, we announced that this analysis resulted in no change to the targeted 160 patient sample size for the trial, confirming the pre-specified conditional power of 80% or greater. We completed enrollment of the trial in February 2025 and last patient last visit for the trial was completed in April 2025. We expect to announce topline results in the second quarter of 2025. Subject to the results of the Phase 2b CORAL clinical trial, we expect to request an end of Phase 2 meeting with the FDA in 2025 and initiate our Phase 3 program for Haduvio for chronic cough in patients with IPF in the first half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conducting a Phase 1 respiratory function and safety study, which we refer to as TIDAL, in the U.K. and U.S. and we have initiated screening. TIDAL is a multi-center, open-label, in-clinic, fixed-sequence placebo and NAL ER dose escalation study assessing overnight respiratory function and safety in patients with IPF. We expect to enroll up to approximately 10 patients who will be in-clinic for ten days. The goal of the study is to assess the safety and tolerability of Haduvio as well as the effect on respiratory function and safety in subjects with IPF based on assessment of end tidal partial pressure of carbon dioxide (PetCO2), oxygen saturation (SpO2), and respiratory rate. We plan to use this information to define the patient population for any Phase 3 clinical trials that we may conduct in chronic cough in patients with IPF.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Chronic Cough in Patients with non-IPF ILD Program. </w:t>
      </w:r>
      <w:r>
        <w:rPr>
          <w:rFonts w:ascii="Times New Roman" w:hAnsi="Times New Roman"/>
          <w:color w:val="000000"/>
          <w:sz w:val="20"/>
        </w:rPr>
        <w:t>We also plan to develop Haduvio for the treatment of chronic cough in patients with non-IPF ILD. We plan to determine the population of non-IPF ILD patients who suffer from neurogenic chronic cough and, assuming positive data from the Phase 2b CORAL clinical trial, we plan to conduct a Phase 2a clinical trial for such patients with non-IPF ILD, subject to discussions with regulatory authorities.</w:t>
      </w:r>
    </w:p>
    <w:p>
      <w:pPr>
        <w:pStyle w:val="TextBody"/>
        <w:bidi w:val="0"/>
        <w:spacing w:before="120" w:after="283"/>
        <w:jc w:val="left"/>
        <w:rPr>
          <w:rFonts w:ascii="Times New Roman" w:hAnsi="Times New Roman"/>
          <w:sz w:val="20"/>
        </w:rPr>
      </w:pPr>
      <w:r>
        <w:rPr>
          <w:rFonts w:ascii="Times New Roman" w:hAnsi="Times New Roman"/>
          <w:i/>
          <w:color w:val="000000"/>
          <w:sz w:val="20"/>
        </w:rPr>
        <w:t>RCC Program.</w:t>
      </w:r>
      <w:r>
        <w:rPr>
          <w:rFonts w:ascii="Times New Roman" w:hAnsi="Times New Roman"/>
          <w:color w:val="000000"/>
          <w:sz w:val="20"/>
        </w:rPr>
        <w:t xml:space="preserve"> We are also developing Haduvio for the treatment of patients with RCC. In March 2025, we announced positive topline data from our Phase 2a clinical trial of Haduvio in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We conducted this trial at multiple sites in the United Kingdom and Canada. In total, 66 patients in the trial received Haduvio. The primary endpoint of the trial was the mean change in 24-hour cough frequency, as determined by an objective cough monitor, for the full analysis set population at Day 21. The full analysis set population included all patients who received at least one dose of study drug and have objective cough count data on both Baseline and Day 21 in at least one treatment period (N=59). In the trial, Haduvio met the primary endpoint with a statistically significant reduction in the objective 24-hour cough frequency of 67% from baseline and 57% on a placebo-adjusted basis (p&lt;0.0001). Planned analyses of all pre-specified secondary endpoints, including patient reported endpoints, at the end of treatment were also statistically significant. Haduvio demonstrated a statistically significant reduction for the secondary endpoint of reduction in 24-hour cough frequency in two pre-specified subgroups: patients who coughed 10-19 times/hour (moderate 24-hour cough frequency) (p&lt;0.0001), and patients who coughed 20 or greater times/hour (severe 24-hour cough frequency) (p&lt;0.0001). The safety results of the trial were generally consistent with the known safety profile of Haduvio from previous trials in other patient populations and there were no serious adverse events reported in the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designing our next planned trial of Haduvio in patients with RCC. We expect the objectives for the trial will be to determine the doses to be evaluated in the next clinical trial of Haduvio in patients with RCC as well as to further characterize the safety in this specific patient population.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Chronic Cough in Patients with non-IPF ILD Program. </w:t>
      </w:r>
      <w:r>
        <w:rPr>
          <w:rFonts w:ascii="Times New Roman" w:hAnsi="Times New Roman"/>
          <w:color w:val="000000"/>
          <w:sz w:val="20"/>
        </w:rPr>
        <w:t>Assuming positive data from the Phase 2b CORAL clinical trial, we also plan to develop Haduvio for the treatment of chronic cough in patients with non-IPF ILD. We plan to determine the population of non-IPF ILD patients who suffer from neurogenic chronic cough and would plan to conduct a Phase 2a clinical trial for such patients with non-IPF ILD, subject to discussions with regulatory authorities.</w:t>
      </w:r>
    </w:p>
    <w:p>
      <w:pPr>
        <w:pStyle w:val="TextBody"/>
        <w:bidi w:val="0"/>
        <w:spacing w:before="120" w:after="283"/>
        <w:jc w:val="left"/>
        <w:rPr>
          <w:rFonts w:ascii="Times New Roman" w:hAnsi="Times New Roman"/>
          <w:sz w:val="20"/>
        </w:rPr>
      </w:pPr>
      <w:r>
        <w:rPr>
          <w:rFonts w:ascii="Times New Roman" w:hAnsi="Times New Roman"/>
          <w:i/>
          <w:color w:val="000000"/>
          <w:sz w:val="20"/>
        </w:rPr>
        <w:t>Human Abuse Potential.</w:t>
      </w:r>
      <w:r>
        <w:rPr>
          <w:rFonts w:ascii="Times New Roman" w:hAnsi="Times New Roman"/>
          <w:color w:val="000000"/>
          <w:sz w:val="20"/>
        </w:rPr>
        <w:t xml:space="preserve"> In December 2024, we announced positive topline results from the human abuse potential, or HAP, study that demonstrated a statistically significant lower "Drug Liking" for the clinical doses of oral nalbuphine (81mg and 162mg) compared to 6mg intravenous, or IV, butorphanol. The supratherapeutic dose of oral nalbuphine (486mg) was numerically lower than the 6mg IV butorphanol for “Drug Liking” but the results were not statistically significant. Secondary endpoints included pharmacodynamic markers and patient reported outcomes, which were generally consistent with the primary endpoint. No serious adverse events were reported in the study.</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NDA Supportive Studies. </w:t>
      </w:r>
      <w:r>
        <w:rPr>
          <w:rFonts w:ascii="Times New Roman" w:hAnsi="Times New Roman"/>
          <w:color w:val="000000"/>
          <w:sz w:val="20"/>
        </w:rPr>
        <w:t xml:space="preserve">We also plan to continue to progress and advance other NDA supportive studies necessary for regulatory approval. Other NDA supportive studies include Phase 1 clinical studies such as drug-drug interaction, food effect, and renal impairment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March 31, 2025, we had an accumulated deficit of $297.4 million, primarily as a result of research and development and general and administrative expenses. We do not expect to generate product revenue unless and until we obtain marketing approval for and commercialize Haduvio for the treatment of chronic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cough in patients with IPF, chronic cough in patients with non-IPF ILD, or in patients with RCC and we can provide no assurance that we will ever generate significant revenue or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cash, cash equivalents and marketable securities of $103.3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ongoing Phase 2b CORAL clinical trial and our planned Phase 3 program for the treatment of chronic cough in patients with IPF, our ongoing Phase 1 TIDAL respiratory function and safety study in patients with IPF of varying disease severity, our planned Phase 2a clinical trial of Haduvio for the treatment of chronic cough in patients with non-IPF ILD, our next clinical trial of Haduvio for the treatment of patients with RCC, and any supportive studies necessary for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development and commercialization of Haduvio. Until such time that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periods presented, all of our research and development expenses consist of expenses incurred in connection with the development of Haduvio. These expenses include personnel-related costs, including stock-based compensation, consulting costs, fees paid to contract research organizations, or CROs, to conduct certain research and development activities on our behalf, contract manufacturing costs and fees paid to other vendors that provide goods and services related to our clinical trials.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personnel-related costs, including stock-based compensation for personnel in executive, finance, commercial and other administrative functions; professional fees for legal, information technology, consulting and accounting services; as well as rent and other general operating expenses not otherwise classified as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as a result of increased personnel costs, including stock-based compensation and expanded infrastructure.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net consists of foreign currency transaction gains and losses.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the interest expense associated with our finance lease.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jc w:val="left"/>
        <w:rPr/>
      </w:pPr>
      <w:r>
        <w:rPr/>
        <w:t> </w:t>
      </w:r>
    </w:p>
    <w:tbl>
      <w:tblPr>
        <w:tblW w:w="6508"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481"/>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7023" w:type="dxa"/>
        <w:jc w:val="left"/>
        <w:tblInd w:w="0" w:type="dxa"/>
        <w:tblLayout w:type="fixed"/>
        <w:tblCellMar>
          <w:top w:w="28" w:type="dxa"/>
          <w:left w:w="28" w:type="dxa"/>
          <w:bottom w:w="28" w:type="dxa"/>
          <w:right w:w="28" w:type="dxa"/>
        </w:tblCellMar>
      </w:tblPr>
      <w:tblGrid>
        <w:gridCol w:w="3596"/>
        <w:gridCol w:w="146"/>
        <w:gridCol w:w="211"/>
        <w:gridCol w:w="571"/>
        <w:gridCol w:w="146"/>
        <w:gridCol w:w="146"/>
        <w:gridCol w:w="211"/>
        <w:gridCol w:w="571"/>
        <w:gridCol w:w="146"/>
        <w:gridCol w:w="146"/>
        <w:gridCol w:w="211"/>
        <w:gridCol w:w="631"/>
        <w:gridCol w:w="2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three months ended March 31, 2025 decreased to $7.8 million from $8.8 million for the corresponding period in 2024, primarily due to decreased clinical development expenses for our HAP study, which was actively enrolling patients in the prior year period, partially offset by an increase in personnel related expenses due to increased headcount along with a corresponding increase in stock-based compensation expense.</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three months ended March 31, 2025 increased to $3.7 million from $3.1 million for the corresponding period in 2024, primarily due to an increase in stock-based compensation expense and personnel related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three months ended March 31, 2025 was $1.1 million compared to other income, net of $1.0 million for the corresponding period in 2024. The change was primarily due to an increase in interest income due to higher average cash equivalent and marketable securities balances.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and have incurred significant operating losses and negative cash flows from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we entered into a sales agreement, or the 2020 ATM Sales Agreement, with SVB Securities LLC, or SVB Securities, under which we were able to issue and sell shares of common stock, from time to time, having an aggregate offering price of up to $12.0 million. In May 2022, we and SVB Securities amended the 2020 ATM Sales Agreement to increase the maximum aggregate offering price of common stock that we were able to issue and sell from time to time under the 2020 ATM Sales Agreement by $50.0 million, from $12.0 million to up to $62.0 million. Sales of common stock under the 2020 ATM Sales Agreement were able to be made by any method that was deemed an “at-the-market” offering as defined in Rule 415(a)(4) under the Securities Act. We were not obligated to make any sales of our common stock under the 2020 ATM Sales Agreement. Through August 15, 2023, the date of termination of the 2020 ATM Sales Agreement, we had issued and sold an aggregate of 4,333,394 shares of common stock for gross proceeds of $12.7 million, before deducting estimated commissions and allocated fees of $1.0 million. 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offerings at prices and terms to be determined at the time of sale. The Shelf Registration Statement was filed to replace our prior universal shelf registration statement on Form S-3 and was declared effective on August 15, 2023. Further, in June 2023, we entered into a new sales agreement with Leerink Partners, LLC (formerly SVB Securities), which we refer to as the 2023 ATM Sales Agreement, under which we may issue and sell shares of common stock, from time to time by any method that is deemed an “at-the-market” offering as defined in Rule 415(a)(4) under the Securities Act.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2020 ATM Sales Agreement terminated upon effectiveness of the Shelf Registration Statement, at which point we were no longer able to issue and sell shares of our common stock under the 2020 ATM Sales Agreement. As of December 31, 2024, we had issued and sold 4,498,065 shares of common stock for gross proceeds of $14.6 million, before deducting estimated commissions and allocated fees of $0.5 million under the 2023 ATM Sales Agreement. No shares have been sold under the 2023 ATM Sales Agreement for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17, 2024, we issued and sold 12,500,000 shares of our common stock to certain investors in an underwritten registered direct offering, or the December 2024 Offering, at an offering price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us of approximately $50.0 million.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 below (in thousands):</w:t>
      </w:r>
    </w:p>
    <w:tbl>
      <w:tblPr>
        <w:tblW w:w="8113"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166"/>
        <w:gridCol w:w="146"/>
        <w:gridCol w:w="211"/>
        <w:gridCol w:w="631"/>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operating activities used $13.5 million of net cash, resulting from our net loss of $10.3 million and net changes in our operating assets and liabilities of $4.1 million, partially offset by net non-cash charges of $1.0 million. Changes in our operating assets and liabilities consisted of a $2.0 million decrease in accounts payable, a $1.5 million decrease in accrued expenses and other liabilities and a $0.6 million increase in prepaid expenses and other current assets. The decrease in accounts payable was primarily due to the timing of vendor invoices. The decrease in accrued expenses and other liabilities was primarily due to a decrease in accrued compensation and benefits along with a decrease in accruals for clinical development and clinical trial work performed by our CROs. The increase in prepaid expenses and other current assets was primarily due to an increase in prepayments related to our clinical trial work performed by our CROs. The non-cash charges consisted primarily of stock-based compensation expense of $1.2 million, $0.1 million change in value of our operating lease right-of-use assets and liabilities, partially offset by $0.4 million of accretion of our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operating activities used $10.5 million of net cash, resulting from our net loss of $10.9 million and net changes in our operating assets and liabilities of $0.1 million, partially offset by net non-cash charges of $0.5 million. Changes in our operating assets and liabilities consisted of a $0.9 million decrease in accrued expenses and other liabilities partially offset by a $0.6 million decrease in prepaid expenses and other current assets and a $0.3 million increase in accounts payable. The decrease in accrued expenses and other liabilities was primarily due to a decrease in accrued compensation and benefits. The decrease in prepaid expenses and other current assets was primarily due to a decrease in prepayments related to our corporate insurance as well as our clinical trial work performed by our CROs. The decrease in accounts payable was primarily due to the timing of vendor invoices. The non-cash charges consisted primarily of stock-based compensation expense of $0.7 million and a $0.1 million change in value of our operating lease right-of-use assets and liabilities, partially offset by $0.4 million of accretion of our available-for-sale marketable securities.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net cash used in investing activities was $10.0 million, primarily related to $27.5 million of purchases of available-for-sale marketable securities partially offset by $17.6 million of proceeds from maturities of available-for-sale 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net cash used in investing activities was $8.1 million, primarily related to $30.3 million of purchases of available-for-sale marketable securities, partially offset by $22.2 million of proceeds from maturities of available-for-sale marketable securities.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net cash provided by financing activities was $8.7 million, primarily consisting of cash proceeds of $8.2 million from the exercise of warrants and $0.7 million of cash proceeds from the exercise of stock options partially offset by $0.2 million in payments of offering costs related to the December 2024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net cash used in financing activities was less than $0.1 million, primarily consisting of payments on our finance lease, partially offset by cash proceeds from the exercise of stock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 ongoing Phase 2b CORAL clinical trial and any additional trials</w:t>
      </w:r>
      <w:r>
        <w:rPr>
          <w:color w:val="000000"/>
          <w:u w:val="single"/>
        </w:rPr>
        <w:t xml:space="preserve"> </w:t>
      </w:r>
      <w:r>
        <w:rPr>
          <w:rFonts w:ascii="Times New Roman" w:hAnsi="Times New Roman"/>
          <w:color w:val="000000"/>
          <w:sz w:val="20"/>
        </w:rPr>
        <w:t>of Haduvio for the treatment of chronic cough in patients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Phase 1 TIDAL study to evaluate the effect of Haduvio on respiratory function and safety in patients with IPF of varying disease severity;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Phase 2a clinical trial and any additional trials of Haduvio for the treatment of chronic cough in patients with non-IPF ILD;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next clinical trial and any additional trials of Haduvio for the treatment of patients with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planned Phase 1 NDA supportive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existing and planned resources necessary to support the conduct of these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costs associated with operating as a public company, including significant legal, accounting, information technology, investor relations and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Haduvio, including our ongoing Phase 2b CORAL clinical trial and our planned Phase 3 program of Haduvio, each for the treatment of chronic cough in patients with IPF, our ongoing Phase 1 TIDAL study to evaluate the effect of Haduvio on respiratory function and safety in patients with IPF of varying disease severity, our planned Phase 2a clinical trial of Haduvio for the treatment of chronic cough in patients with non-IPF ILD, our next clinical trial in patients with RCC, and our planned Phase 1 NDA supportive studies, as well as trials for any future product candidates and the costs of seeking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manufacture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chronic cough in patients with IPF, chronic cough in patients with non-IPF ILD and in patients with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patients with IPF, chronic cough in patients with non-IPF ILD or in patients with RCC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patients with IPF, chronic cough in patients with non-IPF ILD or in patients with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Endo Pharmaceuticals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marketable securities, will enable us to fund our operating expenses and capital expenditure requirements into the fourth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sz w:val="20"/>
        </w:rPr>
      </w:pPr>
      <w:r>
        <w:rPr>
          <w:rFonts w:ascii="Times New Roman" w:hAnsi="Times New Roman"/>
          <w:color w:val="000000"/>
          <w:sz w:val="20"/>
        </w:rPr>
        <w:t>We do not have any committed external source of funds.</w:t>
      </w:r>
      <w:r>
        <w:rPr>
          <w:rFonts w:ascii="Times New Roman" w:hAnsi="Times New Roman"/>
          <w:color w:val="FF0000"/>
          <w:sz w:val="20"/>
        </w:rPr>
        <w:t xml:space="preserve"> </w:t>
      </w:r>
      <w:r>
        <w:rPr>
          <w:rFonts w:ascii="Times New Roman" w:hAnsi="Times New Roman"/>
          <w:color w:val="000000"/>
          <w:sz w:val="20"/>
        </w:rPr>
        <w:t>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patients with IPF, chronic cough in patients with non-IPF ILD or in patients with RCC or any other indication, including to conduct our planned clinical trials to completion.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60 days' prior written notice to the CRO, and therefore we believe that our non-cancelable obligations under these agreements are not material. For information related to our future commitments relating to our lease and licensing agreements, see Note 5, “Leases” and Note 11, “Collaborative and Licensing Agreements” of our Condensed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financial statements, we believe that the critical accounting policy related to research and development expenses that is described under the heading “Management’s Discussion and Analysis of Financial Condition and Results of Operations—Critical Accounting Policies and Use of Estimates” in our Annual Report on Form 10-K for the year ended December 31, 2024, is the most important to understanding and evaluating our reported financial results. During the three months ended March 31, 2025, there were no material changes to our critical accounting policies.</w:t>
      </w:r>
    </w:p>
    <w:p>
      <w:pPr>
        <w:pStyle w:val="TextBody"/>
        <w:bidi w:val="0"/>
        <w:spacing w:before="12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2025.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March 31, 2025,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March 31, 2025 that has materially affected, or is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subject to any material legal proceedings.</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inception, expect to incur significant and increasing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annual net losses every year since our inception. We expect to continue to incur significant and increasing net losses for at least the next several years. Our net losses were $10.3 million and $47.9 million for the three months ended March 31, 2025 and for the year ended December 31, 2024, respectively. As of March 31, 2025, we had an accumulated deficit of $297.4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and conduct clinical trials of Haduvio, including our ongoing Phase 2b CORAL clinical trial and our planned Phase 3 program of Haduvio for the treatment of chronic cough in patients with idiopathic pulmonary fibrosis, or IPF, our ongoing Phase 1 TIDAL study to evaluate the effect of Haduvio on respiratory function and safety in patients with IPF of varying disease severity, our planned Phase 2a clinical trial of Haduvio for the treatment of chronic cough in patients with non-IPF interstitial lung disease, or non-IPF ILD, our next clinical trial of Haduvio for the treatment of patients with refractory chronic cough, or RCC, and our planned Phase 1 NDA supportive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Haduvio for the treatment of chronic cough in patients with IPF, chronic cough in patients with non-IPF ILD or in patients with RCC or for any future product candidate that successfully completes clinical trials,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and execute pediatric development plans and complete any post-approval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sales, marketing, distribution and other commercial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Haduvio or any future product candidate for clinical development and, potentially,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rights to other potential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conduct research, preclinical and clinical development efforts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and retain additional personnel, such as clinical, regulatory and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commercialization efforts and to help us comply with our obligations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equipment and physical infrastructure to support our development program for Haduvio and for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chronic cough in patients with IPF, we may be required to successfully complete a Phase 3 program that includes two clinical trials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no products approved for commercial sale, which may make it difficult to evaluate the prospects for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history of successfully developing and commercializing 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funding and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three months ended March 31, 2025 and the year ended December 31, 2024, we used net cash of $13.5 million and $38.3 million, respectively, in our operating activities, substantially all of which related to development activities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As of March 31, 2025, our cash, cash equivalents and marketable securities were $103.3 million. We expect our expenses to increase substantially in connection with our ongoing activities, particularly as we continue to develop Haduvio, including as and if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Phase 2b CORAL clinical trial and any additional trials of Haduvio for the treatment of chronic cough in patients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Phase 1 TIDAL study to evaluate the effect of Haduvio on respiratory function and safety in patients with IPF of varying disease severity;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planned Phase 2a clinical trial and any additional trials of Haduvio for the treatment of chronic cough in patients with non-IPF ILD;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next clinical trial and any additional trials of Haduvio for the treatment of patients with RCC;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1 NDA supportive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additional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to conduct additional clinical trials of Haduvio for other indications;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acquire or in-license rights to or develop other potential product candidates or technologies and seek regulatory and marketing approvals for Haduvio or any future product candidate that successfully completes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or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patients with IPF, chronic cough in patients with non-IPF ILD, in patients with RCC,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will enable us to fund our operating expenses and capital expenditure requirements into the fourth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Haduvio, including our ongoing Phase 2b CORAL clinical trial and our planned Phase 3 program of Haduvio for the treatment of chronic cough in patients with IPF, our ongoing Phase 1 TIDAL study to evaluate the effect of Haduvio on respiratory function and safety in patients with IPF of varying disease severity, our planned Phase 2a trial of Haduvio for the treatment of chronic cough in patients with non-IPF ILD, our next planned clinical trial for the treatment of patients with RCC, and our planned Phase 1 NDA supportive studies as well as trials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costs of clinical and non-clinical trials and of seeking regulatory approvals, including the costs of supportive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manufacture necessary quantities of Haduvio or any future product candidate for clinical development in connection with regulatory submissions;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chronic cough in patients with IPF, chronic cough in patients with non-IPF ILD, and in patients with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patients with IPF, chronic cough in patients with non-IPF ILD, or in patients with RCC,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patients with IPF, chronic cough in patients with non-IPF ILD, or in patients with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Endo Pharmaceuticals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in connection with our planned operations, particularly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Phase 2b CORAL clinical trial and our planned Phase 3 program of Haduvio for the treatment of chronic cough in patients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Phase 1 TIDAL study to evaluate the effect of Haduvio on respiratory function and safety in patients with IPF of varying disease severity;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2a clinical trial of Haduvio for the treatment of chronic cough in patients with non-IPF ILD and any additional trials of Haduvio for the treatment of chronic cough in patients with non-IPF ILD;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next clinical trial and any additional trials of Haduvio for the treatment of patients with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1 NDA supportive studies;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Haduvio.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Haduvio and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products approved for sale and are investing substantially all our efforts and financial resources to fund the development and commercialization of Haduvio for the treatment of chronic cough in patients with IPF, chronic cough in patients with non-IPF ILD, and in patients with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most advanced programs are for the development of Haduvio for the treatment of chronic cough in patients with IPF and in patients with RCC. As a result, if our efforts to develop and commercialize Haduvio for the treatment of chronic cough in patients with IPF and in patients with RCC are unsuccessful or we experience significant delays in doing so, our business could also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Haduvio for the treatment of chronic cough in patients with IPF, chronic cough in patients with non-IPF ILD, and in patients with RCC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initiating and successfully recruiting, enrolling and retaining patients in and completing additional clinical and non-clinical trials of Haduvio, including the additional clinical trials we are conducting and plan to conduct for the treatment of chronic cough in patients with IPF, chronic cough in patients with non-IPF ILD and in patients with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other supportive Phase 1 clinical studies, including studies for drug-drug interactions, food effect, and renal impairment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tolerability and efficacy profiles that are satisfactory to the FDA, EMA, MHRA and other comparable regulatory authorities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receiving timely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our third-party supplier of drug substance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third-party manufacturers of Haduvio, including developing, validating and maintaining a commercially viable manufacturing process that is compliant with current good manufacturing practices, or cGMPs;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protecting our patents, trade secrets and regulatory exclusivity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 focused, specialty sales organization in the U.S. and successfully launching commercial sales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commercial acceptance of our products, if approved, by patients, the medical community and third-party payors and obtaining and maintaining healthcare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following any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with other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approach to the development and commercialization of Haduvio to treat chronic cough is unproven.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focused on the development and commercialization of Haduvio for the treatment of chronic cough in patients with IPF, chronic cough in patients with non-IPF ILD, and in patients with RCC. Haduvio is an oral extended-release formulation of nalbuphine, the active drug ingredient in Haduvio. Haduvio acts on the cough reflex arc both centrally and peripherally as a kappa agonist and a mu antagonist (KAMA), targeting opioid receptors that play a key role in controlling chronic cough. Nalbuphine has been approved and marketed as an injectable for pain indications for more than 30 years in the U.S. and Europe and is currently not commercially available in an oral dosage form.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No therapies have been approved for the treatment of chronic cough in patients with IPF or non-IPF ILD, and no therapies have been approved in the U.S. for the treatment of patients with RCC. Gefapixant has been approved in Europe, Switzerland, and Japan for the treatment of patients with RCC. We can provide no assurance that Haduvio or any other future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 that we may seek to develop for chronic cough indications will be effective or safe, obtain regulatory approval or be commercially successful.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produce unfavorable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decide, or regulators may require us, to restructure clinical trials, conduct additional clinical and non-clinical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obtaining authorization to commence a clinical trial from regulators, clinical sites and institutional review boards;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may be larger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in clinical trials may be slower than we anticipate or participants may discontinue their participation in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planned clinical trials may be greater than we anticipate, such as if we are required to add additional sites, increase the target number of enrolled patients or use additional incentive strategies to address site activation and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sites may not have adequate staff and resources to support our trials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clinical trial contracts or clinical trial protocols with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delay, suspend or terminate clinical trials for various reasons, including a finding that the participants are being exposed to unacceptable health risks, undesirable side effects or other unexpected characteristics of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clinical trial designs or our interpretation of data from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or subsequently find fault with the manufacturing processes or facilities of third-party manufacturers with which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regulation of the importation or handling of drug substance and study equipment necessary to conduct clinical trials of the product candidate may significantly differ between jurisdictions, which could cause delays or prohibit us in delivering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substance or study equipment to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refuse to accept for review any NDA, MAA or other comparable foreign regulatory application that we submit for a product candidate or may conclude after review of our data that our application is insufficient to obtain marketing approval of a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costs, which may exceed the resources that we have available or are able to obtain on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for indications or patient populations that are not as broad as we originally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with labeling that includes significant use or distribution restrictions or significant safety warnings,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or other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remove the product from the market after obtaining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or FDORA, Congress required that the FDA update or issue guidance relating to the format and content of Diversity Action Plans, or DAPs, required by sections of the Federal Food, Drug, and Cosmetic Act, or FDCA. Sponsors are required to develop and submit these plans for each Phase 3 clinical trial or any other “pivotal study” of a new drug product. These plans are meant to encourage the enrollment of more diverse patient populations in late-stage clinical trials of FDA-regulated products. Specifically, DAPs must include, among other things, the sponsor’s goals for enrollment, the underlying rationale for those goals, and an explanation of how the sponsor intends to meet them.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the regulatory landscape related to clinical trials in the European Union, or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successfully and timely complete clinical trials of Haduvio for the treatment of chronic cough in patients with IPF, chronic cough in patients with non-IPF ILD, and in patients with RCC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demonstrate adequately the safety and efficacy of Haduvio or any future product candidates, which would likely prevent or delay regulatory approval and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patient-reported outcome assessments, or PROs, in our clinical trials and high placebo response rates may delay or impair the development of Haduvio or adversely impact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primary endpoint in our current and planned clinical trials of Haduvio for the treatment of chronic cough in patients with IPF, chronic cough in patients with non-IPF ILD, and in patients with RCC will be measured using an objective cough monitor, we have or expect to have PRO instruments as secondary endpoints. There is currently no validated PRO instrument that has been accepted for chronic cough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 have an important role in the development and regulatory approval of treatments for cough. However, PROs involve patients’ subjective assessments of efficacy, and this subjectivity can increase the uncertainty of clinical trial outcomes assessing cough. Such assessments can be influenced by a number of factors and can vary widely from day to day for any particular patient and from patient to patient and site to site within a clinical trial, leading to high variability in PRO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eligible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eligible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facilitate timely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and risks of the product candidate being studied in relation to other available therapies, including any new drugs that may be approved for the indications under investigation.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 successful completion of our clinical development program for Haduvio for the treatment of chronic cough in patients with IPF, chronic cough in patients with non-IPF ILD, and in patients with RCC is dependent upon our ability to enroll a sufficient number of patients with these severe conditions. We have experienced delays and difficulties in the enrollment of patients in certain of our clinical trials, including our Phase 2 CANAL trial, which delayed the completion of these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are conducting clinical trials or have announced plans for future clinical trials that are seeking or are likely to seek to enroll patients with IPF, non-IPF ILD and in patients with RCC, and patients are often only able to enroll in a single trial at a time. No therapies have been approved for the treatment of chronic cough in patients with IPF or non-IPF ILD and no therapies have been approved in the U.S. for the treatment of patients with RCC. However, patients with these conditions, as well as their physicians, may be reluctant to forgo, discontinue or otherwise alter their use of the therapeutic approaches they currently use in order to participate in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Haduvio, as a KAMA, may be susceptible to side effects associated with drugs having either of those mechanisms of action. Kappa-opioid receptor agonists have been associated with poorly tolerated psychiatric side effects, such as feelings of emotional and mental discomfort or dysphoria and hallucinations, at high doses. While we believe that the dual kappa-opioid receptor agonist and mu-opioid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Mu-opioid receptor antagonists have the potential to precipitate withdrawal effects in patients, including drug addicts.We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Phase 2a CANAL trial of Haduvio for the treatment of chronic cough in patients with IPF, the most frequently reported treatment emergent adverse events associated with Haduvio were nausea, fatigue, dizziness, vomiting, headache, constipation and somnolence. In our Phase 2a RIVER trial of Haduvio for the treatment of RCC, the most frequently reported treatment emergent adverse events associated with Haduvio were constipation, nausea, somnolence, headache, dizziness, and fatigue.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Opioids as a class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are conducting our Phase 1 TIDAL study to evaluate the effect of Haduvio on respiratory function and safety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 study, it could affect our ability to conduct a trial in this patient population.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Many currently approved mu-opioid products are subject to restrictive marketing and distribution regulations which, if applied to Haduvio, could potentially restrict its use and harm our ability to generate profits.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currently approved mu-opioid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adequately addressed through a proposed REMS program for Haduvio may also prevent or delay any approval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parenteral formulation of nalbuphine is currently not scheduled as a controlled substance under the federal Controlled Substances Act of 1970 or the regulations of the U.S. Drug Enforcement Agency, or the DEA, in the U.S.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 In our HAP trial, we compared Haduvio with butorphanol, which is currently classified as a Schedule IV substance. Nalbuphine has been available for decades and was regularly kept unscheduled by the DEA. In addition, Haduvio was less likable than butorphanol in the HAP study and the DEA will evaluate the HAP results together with other elements of the 8-factor plan required to determine scheduling. However, it is possible that the DEA could determine that Haduvio, which is an oral, extended-release formulation, should be classified as a Schedule V or Schedule IV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If Haduvio is classified as a controlled substance, there is a risk that it could limit our ability to produce and distribute Haduvio in the volume needed to meet potential commercial demand.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preclinical studies and clinical trials may not be predictive of results of later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patients with chronic cough with IPF, in patients with chronic cough with non-IPF ILD, and in patients with RCC in future clinical trials despite demonstrating positive results in earlier clinical trials. The results of our Phase 2 CANAL trial for the treatment of chronic cough in IPF, our Phase 2a RIVER trial for the treatment of RCC, or our Phase 2b CORAL trial for the treatment of chronic cough in patients with IPF may not be predictive of the results of future trials of Haduvio for the treatment of chronic cough in patients with IPF, chronic cough in patients with non-IPF ILD, or in patients with RCC.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as a company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some of our data for Haduvio for the treatment of patients with cough is drawn from </w:t>
      </w:r>
      <w:r>
        <w:rPr>
          <w:rFonts w:ascii="Times New Roman" w:hAnsi="Times New Roman"/>
          <w:i/>
          <w:color w:val="000000"/>
          <w:sz w:val="20"/>
        </w:rPr>
        <w:t>post hoc</w:t>
      </w:r>
      <w:r>
        <w:rPr>
          <w:rFonts w:ascii="Times New Roman" w:hAnsi="Times New Roman"/>
          <w:color w:val="000000"/>
          <w:sz w:val="20"/>
        </w:rPr>
        <w:t xml:space="preserve"> analyses of data subsets from the Phase 2 CANAL trial. While we believe these data subsets may be useful in informing the design of future Phase 3 clinical trials for Haduvio, </w:t>
      </w:r>
      <w:r>
        <w:rPr>
          <w:rFonts w:ascii="Times New Roman" w:hAnsi="Times New Roman"/>
          <w:i/>
          <w:color w:val="000000"/>
          <w:sz w:val="20"/>
        </w:rPr>
        <w:t>post hoc</w:t>
      </w:r>
      <w:r>
        <w:rPr>
          <w:rFonts w:ascii="Times New Roman" w:hAnsi="Times New Roman"/>
          <w:color w:val="000000"/>
          <w:sz w:val="20"/>
        </w:rPr>
        <w:t xml:space="preserve"> analyses performed after unmasking trial results can result in the introduction of bias and may not be predictive of success in Phase 3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 the development timeline and regulatory approval and commercialization prospects for those product candidates and, correspondingly, our business and financial prospects would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recall the product, change the way the product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or the manufacturing processes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previously unidentified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harm our business and operations and could negatively impact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compared to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that the DEA could determine that Haduvio should be classified as a controlled substance;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product is designated under physician treatment guidelines as a first-, second- or third-line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the product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and of physicians to prescribe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including distribution or use restrictions contained in the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sales, marketing and distribution support for the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products for the same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the product or favorable publicity about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the product;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amount of coverage and reimbursement from government payors, managed care plans and other third-party payors.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chronic cough in patients with IPF, chronic cough in patients with non-IPF ILD, and for the treatment of patients with RCC. However, the development of Haduvio for these indications may ultimately prove to be unsuccessful or less successful than another product candidate or other indications that we might have chosen to pursue with our limited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were to receive marketing approval from the FDA for chronic cough in patients with IPF or chronic cough in patients with non-IPF ILD, we would plan to market and commercialize Haduvio in the U.S. with our own focused, specialty sales force, which would target pulmonologists who specialize in treating IPF and non-IPF ILD patients, as well as ILD centers of excellence, as applicable. If Haduvio were to receive marketing approval from the FDA for RCC, we would plan to market and commercialize Haduvio in the U.S. with our own focused sales force targeting pulmonologists and other specialists, such as allergists, who treat RCC patients who have failed other therapies for chronic cough.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establish sales, marketing and distribution capabilities, either on our own or in collaboration with third parties, we will not be successful in commercializing any product candidate that receives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competition, which may result in others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chronic cough in patients with IPF, we expect that it may compete with product candidates currently in clinical development for the treatment of chronic cough in patients with IPF, such as orvepitant, a NK1 receptor antagonist, which is being developed by Nerre Therapeutics, ME-015, a reactive oxygen species scavenger, which is being developed by Melius Pharma, and BI 1839100, which is being developed by Boehringer Ingelheim. Currently there are no product candidates in clinical development for the treatment of chronic cough in patients with non-IPF ILD. In addition, it is possible that product candidates currently in development for the treatment of the fibrosis in patients with IPF and ILD could, if approved, reduce the need for therapies to treat chronic cough in patients with IPF and ILD. We expect that Haduvio might also compete with other product candidates currently in development, or submitted for approval to the FDA, for the treatment of patients with RCC and unexplained chronic cough that might be used off-label to treat chronic cough in patients with IPF.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patients with RCC, we expect that it may compete with product candidates currently in clinical development for the treatment of patients with RCC such as camlipixant, a P2X3 antagonist, which is being developed by GSK plc. Gefapixant, a P2X3 antagonist, which was developed by Merck &amp; Co., Inc., or Merck, is approved for refractory or unexplained chronic cough in Japan and the E.U. The application filed with the FDA was withdrawn and Merck indicated it does not plan to refile. Other product candidates that are currently in development for the treatment of patients with RCC include taplucainium (formerly NTX-1175), a charged sodium channel blocker, which is being developed by Nocion Therapeutics Inc., AX-8, a TRPM8 antagonist, which is being developed by Axalbion Therapeutics Ltd., GABAB PAM, a GABA agonist, which is being developed by Addex Therapeutics Ltd., and ifenprodil, a NMDA receptor antagonist, which is being developed by Seyltx,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that Haduvio would compete with a number of therapeutics that are not specifically approved to treat chronic cough, including benzonatate, opioids, corticosteroids, proton-pump inhibitors, and neuromodulators.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are able to commercialize a product candidate, the product may become subject to unfavorable pricing regulations, third-party payor reimbursement practices or healthcare reform initiatives, any of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liability lawsuits could divert our resources, cause us to incur substantial liabilities and limit commercialization of any products that we may develop or in-license.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products that we may develop or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resulting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and clinical trial liability insurance of at least $10.0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they do not perform satisfactorily,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although our reliance on these third parties for clinical development activities limits our control over these activities, we remain responsible for ensuring that each of our clinical trials is conducted in accordance with the approved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delays if our third-party contractors experience supply chain-related delays, prioritize the supply of other companies’ products over Haduvio or any other drug product needed for our clinical trials or any future product candidates, or otherwise fail to satisfactorily perform according to the terms of the agreements between us and them or if unforeseen events in the manufacturing process arise;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by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mislabeling of clinical supplies, potentially resulting in the wrong dose amounts being supplied or active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of 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and plan to continue to rely, on a single supplier, Mallinckrodt, for nalbuphine hydrochloride drug substance. We do not have agreements in place with Mallinckrodt that guarantee supply quantities or pricing.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establish one or more collaborations, all the risks relating to product development, regulatory approval and commercialization described in this Quarterly Report on Form 10-Q would also apply to the activities of any such future collaborators.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involving a product candidate would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be involved in a business combination and could decide to delay, diminish or terminate the development or commercialization of any product candidate licensed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the product candidates under the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or misappropriate our intellectual property or other proprietary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engage in misconduct or other improper activities, including non-compliance with regulatory standards 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regarding ownership of or other rights in the intellectual property generated in the course of the collaborations;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under our existing and any future intellectual property licenses with third parties, we could lose license rights that are critical to our business or owe damages to the licensor of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an exclusive license agreement with Endo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also arise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activities or product candidates may infringe the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 under any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or ownership of inventions and know-how resulting from joint creation or use of intellectual property by licensors and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any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disputes over intellectual property that we license prevent or impair our ability to maintain those license arrangements on acceptable terms or at all, we may be unable to successfully develop and commercialize any affected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products could be negatively impacted and our business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also rely on trade secret protection for certain aspects of our intellectual property. We seek to protect these trade secrets, in part, by entering into non-disclosure and confidentiality agreements with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to the patent law in the U.S. and other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enforce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but where patent enforcement is not as strong as that in the U.S. and our issued or licensed patents and any future patent claims or other intellectual property rights may not be effective or sufficient to prevent them from so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geopolitical actions and dynamics, including the imposition of tariffs and responses to tariffs, may impact our ability to obtain and enforce patents or may increase the costs surrounding the prosecution or maintenance of our patent applications or maintenance, enforcement or defense of our issued patents in particular jurisdictions. If we are unable to obtain and enforce patents as needed in particular markets, our ability to exclude competitors in those markets may be reduced.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non-payment of fees and failure to properly legalize and submit formal documents. If we fail to maintain the patents and patent applications covering Haduvio or any future product candidate, our competitive position would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licenses from third parties on commercially reasonable terms,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does not conclude that Haduvio for the treatment of chronic cough in patients with IPF, chronic cough in patients with non-IPF ILD, or RCC,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pursue FDA approval of Haduvio for the treatment of chronic cough in patients with IPF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chronic cough in patients with IPF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complete the necessary preclinical studies and clinical trials, the regulatory approval process is expensive, time-consuming and uncertain and may prevent us from obtaining approvals for the commercialization of Haduvio or any future product candidate on a timely basis or at all. As a result, we cannot predict when or if and in which territories, we will obtain marketing approval to commercialize a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under certain circumstances, we may be required to report some of our financial relationships with clinical investigators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require that NDA submissions for our product candidates include pediatric data. Under the Pediatric Research Equity Act, an NDA or supplement to an NDA for certain drugs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conduct of clinical trials outside the U.S. could have a significant adverse impact on us. Risks inherent in conducting international clinical trials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practice patterns and standards of care that vary widely among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non-U.S. regulatory authority requirements that could restrict or limit our ability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burdens of conducting clinical trials under multiple non-U.S. regulatory authority schema;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rate fluctuations;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could face heightened risks with respect to obtaining marketing authorization in the UK as a result of the withdrawal of the UK from the E.U., commonly referred to as Brexit. The UK is no longer part of the European Single Market and E.U. Customs Union. As of January 1, 2025, the MHRA is responsible for approving all medicinal products destined for the United Kingdom market (i.e., Great Britain and Northern Ireland). At the same time, a new international recognition procedure (“IRP”) will apply, which intends to facilitate approval of pharmaceutical products in the UK. The IRP is open to applicants that have already received an authorization for the same product from one of the MHRA’s specified Reference Regulators (“RRs”). The RRs notably include EMA and regulators in the E.U./European Economic Area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PRIME Designation in the E.U. for Haduvio but we might not receive such designations and, even if we do, such designations may not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120" w:after="283"/>
        <w:jc w:val="left"/>
        <w:rPr>
          <w:rFonts w:ascii="Times New Roman" w:hAnsi="Times New Roman"/>
          <w:sz w:val="20"/>
        </w:rPr>
      </w:pPr>
      <w:r>
        <w:rPr>
          <w:rFonts w:ascii="Times New Roman" w:hAnsi="Times New Roman"/>
          <w:b/>
          <w:i/>
          <w:color w:val="000000"/>
          <w:sz w:val="20"/>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clinical trials are successful, we intend to seek approval to market Haduvio for the treatment of chronic cough in patients with IPF, chronic cough in patients with non-IPF ILD and in patients with RCC. If we obtain regulatory approval to market Haduvio with an indication statement for the treatment of chronic cough in patients with IPF, chronic cough in patients with non-IPF ILD or RCC, we expect to be prohibited from marketing Haduvio using any promotional claims relating to treatment of cough generally. Marketing of Haduvio may also be limited by regulatory authorities based on use as a monotherapy or adjuvant, concomitant medications, severity of pruritus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pStyle w:val="TextBody"/>
        <w:bidi w:val="0"/>
        <w:spacing w:before="120" w:after="283"/>
        <w:jc w:val="left"/>
        <w:rPr>
          <w:rFonts w:ascii="Times New Roman" w:hAnsi="Times New Roman"/>
          <w:sz w:val="20"/>
        </w:rPr>
      </w:pPr>
      <w:r>
        <w:rPr>
          <w:rFonts w:ascii="Times New Roman" w:hAnsi="Times New Roman"/>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hAnsi="Times New Roman"/>
          <w:i/>
          <w:color w:val="000000"/>
          <w:sz w:val="20"/>
        </w:rPr>
        <w:t>qui tam</w:t>
      </w:r>
      <w:r>
        <w:rPr>
          <w:rFonts w:ascii="Times New Roman" w:hAnsi="Times New Roman"/>
          <w:color w:val="000000"/>
          <w:sz w:val="20"/>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hAnsi="Times New Roman"/>
          <w:i/>
          <w:color w:val="000000"/>
          <w:sz w:val="20"/>
        </w:rPr>
        <w:t>qui tam</w:t>
      </w:r>
      <w:r>
        <w:rPr>
          <w:rFonts w:ascii="Times New Roman" w:hAnsi="Times New Roman"/>
          <w:color w:val="000000"/>
          <w:sz w:val="20"/>
        </w:rPr>
        <w:t xml:space="preserve"> suit is entitled to a share of any recovery or settlement. </w:t>
      </w:r>
      <w:r>
        <w:rPr>
          <w:rFonts w:ascii="Times New Roman" w:hAnsi="Times New Roman"/>
          <w:i/>
          <w:color w:val="000000"/>
          <w:sz w:val="20"/>
        </w:rPr>
        <w:t>Qui tam</w:t>
      </w:r>
      <w:r>
        <w:rPr>
          <w:rFonts w:ascii="Times New Roman" w:hAnsi="Times New Roman"/>
          <w:color w:val="000000"/>
          <w:sz w:val="20"/>
        </w:rPr>
        <w:t xml:space="preserve"> suits, also commonly referred to as “whistleblower suits,” are often brought by current or former employees. In a </w:t>
      </w:r>
      <w:r>
        <w:rPr>
          <w:rFonts w:ascii="Times New Roman" w:hAnsi="Times New Roman"/>
          <w:i/>
          <w:color w:val="000000"/>
          <w:sz w:val="20"/>
        </w:rPr>
        <w:t>qui tam</w:t>
      </w:r>
      <w:r>
        <w:rPr>
          <w:rFonts w:ascii="Times New Roman" w:hAnsi="Times New Roman"/>
          <w:color w:val="000000"/>
          <w:sz w:val="20"/>
        </w:rPr>
        <w:t xml:space="preserve"> suit, the government must decide whether to intervene and prosecute the case. If it declines, the individual may pursue the case alone.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the FDA or any other governmental agency initiates an enforcement action against us or if we are the subject of a </w:t>
      </w:r>
      <w:r>
        <w:rPr>
          <w:rFonts w:ascii="Times New Roman" w:hAnsi="Times New Roman"/>
          <w:i/>
          <w:color w:val="000000"/>
          <w:sz w:val="20"/>
        </w:rPr>
        <w:t>qui tam</w:t>
      </w:r>
      <w:r>
        <w:rPr>
          <w:rFonts w:ascii="Times New Roman" w:hAnsi="Times New Roman"/>
          <w:color w:val="000000"/>
          <w:sz w:val="20"/>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labeling or marketing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coverage by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FDA’s actions. On January 16, 2025, the district court agreed to allow these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file an amended complaint and continue to pursue this challenge. Depending on the outcome of this litigation, our ability to develop new drug product candidates and to maintain approval of existing drug products could be delayed, undermined or subject to protracted litigation.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FDA acted within its statutory authority under the Administrative Procedure Act, or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hAnsi="Times New Roman"/>
          <w:i/>
          <w:color w:val="000000"/>
          <w:sz w:val="20"/>
        </w:rPr>
        <w:t>Securities and Exchange Commission v. Jarkesy</w:t>
      </w:r>
      <w:r>
        <w:rPr>
          <w:rFonts w:ascii="Times New Roman" w:hAnsi="Times New Roman"/>
          <w:color w:val="000000"/>
          <w:sz w:val="20"/>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 progress development efficiently, and secure approval of our product candidates in a timely manner, which would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has taken actions to reduce the size of the workforce of the Department of Health and Human Services, or HHS, including the FDA, and to significantly reduce the budget for the Department.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FDA’s review of marketing applications and other activities for new drugs and biologics is largely funded through the user fee program established under the Prescription Drug User Fee Act, or PDUFA, it remains unclear how the administration’s efforts to reduce the workforce of HHS and budget cuts will impact this program and the ability of the FDA to provide guidance and review our product candidates in a timely manner. For example, while the reduction in workforce did not reportedly specifically target FDA reviewers, many operations, administrative and policy staff that help support such reviews were affected and those losses could lead to delays in PDUFA reviews and related activities. In addition, while currently unclear, there is a risk that the reduction in workforce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 In addition, the recent loss of FDA leadership and personnel could lead to disruptions and delays in FDA guidance, review and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government funding of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if any of the foregoing developments and others impact the ability of the FDA to provide us with guidance regarding our clinical development programs or delay the agency’s review and processing of our regulatory submissions, including INDs and NDAs/BLAs, our business would be negatively impacted. Further, any future government shutdown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for us to obtain marketing approval of and commercialize Haduvio or any future product candidate and may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and legislation over the ACA and other healthcare measures are likely to continue, with unpredictable and uncertain results. During the first Trump Administration, Congress and the administration sought to overturn the ACA and related measures. Shortly after taking office in January 2025, President Trump revoked numerous executive orders issued by President Biden, including at least two executive orders (e.g., Executive Order 14009, Strengthening Medicaid and the Affordable Care Act, and Executive Order 14070, Continuing to Strengthen Americans’ Access to Affordable, Quality Health Coverage) which were designed to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the ACA. We anticipate similar efforts to undermine the ACA, and the accompanying uncertainty,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European Union,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European Union Member States in assessing health technologies, including new medicinal products as well as certain high-risk medical devices, and provide the basis for cooperation at the European Union level for joint clinical assessments in these areas. It will permit European Union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European Union Member States will continue to be responsible for assessing non-clinical (e.g., economic, social and ethical) aspects of health technology, and making decisions on pricing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legislative efforts may limit the prices for our products, if and when they are licensed for marketing and that could materially impact our ability to generate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prices of prescription pharmaceuticals have also been the subject of considerable discussion in the U.S.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October 2020,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Seven states (Colorado, Florida, Maine, New Hampshire, New Mexico, Texas and Vermont) have passed laws allowing for the importation of drugs from Canada. North Dakota and Virginia have passed legislation establishing workgroups to examine the impact of a state importation program. As of October 2024, five states (Colorado, Florida, Maine, New Hampshire and New Mexico) had submitted Section 804 Importation Program proposals to the FDA. Vermont has submitted a concept letter to the HHS.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the HHS to implement many of these provisions through guidance, as opposed to regulation, for the initial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but it does not apply to drugs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shortly before the new administration took office, CMS announced its selection of 15 additional drugs covered by Part D for the second cycle of negotiations. There has been uncertainty about the extent to which the new administration would support the price negotiation program. Following the change in administrations,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the HHS and CMS. The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We expect that litigation involving these and other provisions of the IRA will continue, with unpredictable and uncertain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pStyle w:val="TextBody"/>
        <w:bidi w:val="0"/>
        <w:spacing w:before="120" w:after="283"/>
        <w:jc w:val="left"/>
        <w:rPr>
          <w:rFonts w:ascii="Times New Roman" w:hAnsi="Times New Roman"/>
          <w:sz w:val="20"/>
        </w:rPr>
      </w:pPr>
      <w:r>
        <w:rPr>
          <w:rFonts w:ascii="Times New Roman" w:hAnsi="Times New Roman"/>
          <w:i/>
          <w:color w:val="000000"/>
          <w:sz w:val="20"/>
        </w:rPr>
        <w:t>Anti-Kickback Statute</w:t>
      </w:r>
      <w:r>
        <w:rPr>
          <w:rFonts w:ascii="Times New Roman" w:hAnsi="Times New Roman"/>
          <w:color w:val="000000"/>
          <w:sz w:val="20"/>
        </w:rPr>
        <w:t>.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False Claims Laws. </w:t>
      </w:r>
      <w:r>
        <w:rPr>
          <w:rFonts w:ascii="Times New Roman" w:hAnsi="Times New Roman"/>
          <w:color w:val="000000"/>
          <w:sz w:val="20"/>
        </w:rPr>
        <w:t xml:space="preserve">The federal false claims and civil monetary penalties laws, including the federal civil False Claims Act, impose criminal and civil penalties, including through civil whistleblower or </w:t>
      </w:r>
      <w:r>
        <w:rPr>
          <w:rFonts w:ascii="Times New Roman" w:hAnsi="Times New Roman"/>
          <w:i/>
          <w:color w:val="000000"/>
          <w:sz w:val="20"/>
        </w:rPr>
        <w:t>qui tam</w:t>
      </w:r>
      <w:r>
        <w:rPr>
          <w:rFonts w:ascii="Times New Roman" w:hAnsi="Times New Roman"/>
          <w:color w:val="000000"/>
          <w:sz w:val="20"/>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HIPAA. </w:t>
      </w:r>
      <w:r>
        <w:rPr>
          <w:rFonts w:ascii="Times New Roman" w:hAnsi="Times New Roman"/>
          <w:color w:val="000000"/>
          <w:sz w:val="20"/>
        </w:rPr>
        <w:t>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Transparency Requirements. </w:t>
      </w: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Analogous State and Foreign Laws. </w:t>
      </w:r>
      <w:r>
        <w:rPr>
          <w:rFonts w:ascii="Times New Roman" w:hAnsi="Times New Roman"/>
          <w:color w:val="000000"/>
          <w:sz w:val="20"/>
        </w:rPr>
        <w:t>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President Biden signed an executive order to implement the E.U.-U.S. Data Privacy Framework, which would serve as a replacement to the E.U.-U.S. Privacy Shield. The E.U.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 the CPRA. While clinical trial data is currently exempt from the current version of the CCPA, other personal information may be applicable and possible changes to the CCPA may broaden its scope.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California, at least 18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states that are considering or have already passed comprehensive privacy laws during the 2023 legislative sessions that will go into effect in 2024 and beyond. There are also states that are specifically regulating health information that may affect our business. For example, Washington state recently passed a health privacy law that will regulate the collection and sharing of health information, and the law also has a private right of action, which further increases the relevant compliance risk. These laws may impact our business activities, including our identification of research subjects, relationships with business partners and ultimately the marketing and distribution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products outside of the U.S.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120" w:after="283"/>
        <w:jc w:val="left"/>
        <w:rPr>
          <w:rFonts w:ascii="Times New Roman" w:hAnsi="Times New Roman"/>
          <w:sz w:val="20"/>
        </w:rPr>
      </w:pPr>
      <w:r>
        <w:rPr>
          <w:rFonts w:ascii="Times New Roman" w:hAnsi="Times New Roman"/>
          <w:color w:val="000000"/>
          <w:sz w:val="20"/>
        </w:rPr>
        <w:t>On February 10, 2025, President Trump issued an Executive Order directing the Attorney General to review the guidelines and policies governing FCPA investigations and enforcement actions. Per the Executive Order, this review will result in new DOJ FCPA guidelines intended to enhance American economic competitiveness and to safeguard national security interests. During the 180-day review period, any new FCPA investigations and enforcement actions are to be suspended absent authorization from the Attorney General, and all existing FCPA investigations and enforcement actions will be reviewed. Additionally, after the Attorney General issues revised guidelines, the Executive Order directs her to assess whether “remedial measures” related to past FCPA actions are warranted. We will need to carefully navigate these developments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United Kingdom.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 any future product candidate could be significantly delayed. In addition, we may not have adequate insurance coverage to provide compensation for any losses associated with such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not approve an ANDA for a generic product until any applicable period of non-patent exclusivity for the reference-listed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Employee Matters and Managing our Growth</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our executive team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executive leadership and scientific teams. Although we have employment agreements with these individuals,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expand our organization,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31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and consultants may engage in misconduct or other improper activities, including non-compliance with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is highly volatile, which could result in substantial losses for purchasers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clinical trials of Haduvio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existing or new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Haduvio or any future product candidates or competitors’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or termination of collaborations for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discontinuation of any of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product candidates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any of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our efforts to discover, develop, acquire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estimated financial results or development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expectations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recommendations and changes in estimates or recommendations by securities analysts, if any, that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recent adverse changes in the domestic and international financial markets, the impacts of inflation and the implementation of trade barriers and tariffs and government action in response thereto;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the Nasdaq Global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and considerations described in this “Risk Factors”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and uncertainty surrounding U.S. trade policy could have a material adverse impact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has recently imposed a series of tariffs on U.S. trading partners. On April 2, 2025, the President issued an Executive Order announcing a “baseline” reciprocal tariff of 10% on all U.S. trading partners effective April 5, 2025, and higher individualized reciprocal tariffs on 57 countries (with certain product exemptions for pharmaceutical-related products, among others). Previously, the administration had imposed a 25% tariff on Canada and Mexico for goods not covered by the United States-Mexico-Canada Agreement, or USMCA, and tariffs equaling 20% on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The 10% baseline reciprocal tariff on all countries remains in effect, in addition to the tariffs on China (which were a minimum of 145% as of May 8, 2025 and Canada and Mexico (which were 25% as of May 8, 2025 for goods that are not covered by the USMCA).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Separately, on April 16, 2025, the U.S. Department of Commerce announced an investigation under Section 232 of the Trade Expansion Act of 1962 into imports of pharmaceuticals and pharmaceutical ingredients, including finished drug products, medical countermeasures, critical inputs such as active pharmaceutical ingredients, and key starting materials, and derivative products of those items. The investigation will examine the impact of these imports on U.S. national security culminating in a decision by the President whether to take action to remedy any identified threats, including by imposing additional tariffs. The statute provides that the Commerce Department report must be completed within 270 days of initiation of the investigation and that the President must decide whether to act within 90 days of receiving the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tariffs that have been announced and/or implemented, and the underlying uncertainty currently surrounding tariffs and international trade, we could experience a negative impact to our costs of materials and production processes, and supply chain disruptions and delays as a result of these and any new tariff policies or trade restrictions.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the trading price and volume of our shares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of shares of our common stock, including by us, employees and significant stockholders, could negatively affect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we filed with the SEC a universal shelf registration statement on Form S-3, or the Shelf Registration Statement, which allows us to offer and sell up to $200.0 million of common stock, preferred stock, debt securities, units and/or warrants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 to time pursuant to one or more offerings at prices and terms to be determined at the time of sale. The Shelf Registration Statement was filed to replace our prior universal shelf registration statement on Form S-3, or the Prior Shelf Registration Statement. The Shelf Registration Statement was declared effective on August 15, 2023. In June 2023, we entered into a new sales agreement, or the 2023 ATM Sales Agreement, with Leerink Partners (formerly SVB Securities) and filed a prospectus under our Shelf Registration Statement for the offer and sale of shares of our common stock having an aggregate offering price of up to $75.0 million pursuant to the 2023 ATM Sales Agreement. In accordance with the terms of the 2023 ATM Sales Agreement, our prior 2020 ATM sales agreement terminated upon effectiveness of the Shelf Registration Statement, at which point we were no longer able to issue and sell shares of our common stock under our prior 2020 ATM sales agreement. From time to time, we may offer and sell under the 2023 ATM Sales Agreement common stock registered under the Shelf Registration Statement pursuant to one or more “at-the-market” offerings. The extent to which we utilize the 2023 ATM Sales Agreement as a source of funding will depend on a number of factors, including the prevailing market price of our common stock, general market conditions and the extent to which we are able to secure funds from other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April 30, 2025, all of the warrants issued to the Initial Private Placement Investor had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April 30, 2025, warrants issued to NEA to purchase 1,851,852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Securities Exchange Act of 1934, as amended, or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April 30, 2025, pre-funded warrants that we issued and sold in the April 2022 Private Placement to purchase 12,531,332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on September 27, 2022, we issued and sold an aggregate of 14,252,670 shares of our common stock, and, in lieu of common stock to certain investors, pre-funded warrants to purchase 14,247,330 shares of common stock, in a public offering, or the September 2022 Offering. Under the terms of the pre-funded warrants, we may not effect the exercise of any such warrant, and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and the pre-funded warrants were issued pursuant to a prospectus supplement dated September 22, 2022 to the Prior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Prior Shelf Registration Statement at any time or in their discretion, subject to the September 2022 Offering Beneficial Ownership Limitations. As of April 30, 2025, pre-funded warrants that we issued and sold in the September 2022 Offering to purchase 10,680,310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substantial amounts of shares of our common stock or other securities by our stockholders, by us under the Shelf Registration Statement, whether pursuant to the 2023 ATM Sales Agreement or otherwise,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had been exercised in full. Of the common stock warrants issued to the Initial Private Placement Investor at an exercise price of $1.37 per share, warrants to purchase an aggregate of 7,299,270 shares would have expired on April 5, 2025 and warrants to purchase an aggregate of 7,299,270 shares would have expired on October 5, 2028. In addition, we issued to NEA warrants to purchase an aggregate of 3,703,704 shares of our common stock at an exercise price of $1.37 per share. Of the common stock warrants issued to NEA, warrants to purchase an aggregate of 1,851,852 shares of our common stock would have expired on April 18, 2025 and warrants to purchase an aggregate of 1,851,852 shares of our common stock will expire on October 18, 2028. All of the warrants with an expiration date of April 5, 2025 were exercised in 2022 and all of the warrants with an expiration date of October 5, 2028 were exercised prior to March 31, 2025. Subsequent to March 31, 2025, NEA exercised the warrants that would have expired on April 18, 2025. None of the accompanying common stock warrants issued to NEA in the private placement that expire on October 18, 2028 have been exercised. We issued pre-funded warrants to purchase up to an aggregate of 24,379,673 shares of our common stock to the purchasers in the April 2022 Private Placement, of which pre-funded warrants to purchase 12,531,332 shares of common stock remained outstanding as of April 30, 2025. Finally, we issued pre-funded warrants to purchase up to an aggregate of 14,247,330 shares of our common stock at an exercise price of $0.001 per share to certain purchasers in the September 2022 Offering, of which pre-funded warrants to purchase 10,680,310 shares of common stock remained outstanding as of April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above,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the same amount and kind of securities, cash or property as they would have been entitled to receive if such securities had been converted into or exercised for shares of our common stock immediately prior to such sale of our company. In addition, pursuant to the terms of the common stock warrants issued to NEA in our October 2021 Private Placements, in specified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circumstances upon a fundamental transaction by us, such warrant holders may have the right to require us to repurchase their common stock warrants at their fair value using a Black Scholes option pricing formula. As a result, in the event of a sale of our company, NEA may be entitled to receive a significantly larger portion of the total proceeds distributable to our stockholders than it would if it exercised the warrants immediately prior to the transaction, and our stockholders could receive significantly less than they otherwise would in such a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and terms of these warrants, we may find it more difficult to raise additional equity capital on favorable terms or at all while these warrants are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concentrated among our executive officers and directors and their affiliates, who have significant influence over our business, which may prevent new investors from influencing significant corporate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and their respective affiliates, beneficially own, in the aggregate, shares representing approximately 18.4% of our common stock as of April 30, 2025.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defer or prevent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entrench our management or the board of directors;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impede a merger, consolidation, takeover, sale, other business combination or other significant corporate transaction involving us that other stockholders may desire.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anticipate paying any cash dividends on our capital stock in the foreseeable future. Accordingly, stockholders must rely on appreciation in the price of our common stock, if any, for any return on their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us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We will continue to be a “smaller reporting company” so long as (i) the market value of our stock held by non-affiliates is less than $250.0 million as of the most recently completed second fiscal quarter or (ii) our annual revenue is less than $100.0 million during the most recently completed fiscal year and the market value of our stock held by non-affiliates is less than $700.0 million as of the most recently completed second fiscal quarter. Smaller reporting companies are permitted to provide simplified executive compensation disclosure in their filings; and they have certain other decreased disclosure obligations in their SEC filings, including, among other things, only being required to provide two years of audited financial statements in annual reports. For as long as we continue to be a smaller reporting company, we expect that we will take advantage of the reduced disclosure obligations available to us as a result of such classification. Decreased disclosure in our SEC filings as a result of our having availed ourselves of scaled disclosure may make it harder for investors to analyze our results of operations and financial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and particularly since we ceased being an “emerging growth company” we have incurred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 smaller reporting company with less than $100 million in annual revenue and less than $700 million in public float,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 and research and development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federal and state net operating loss carryforwards of $199.8 million and federal research and development tax credit carryforwards of $7.3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changes in tax law may adversely affect our business or financial condition. On December 22, 2017, the U.S. government enacted the Tax Act, which significantly reformed the IRC. The Tax Act, as amended by the CARES Act, contained significant changes to corporate taxation, including a reduction of the corporate tax rate from a top marginal rate of 35% to a flat rate of 21% and the limitation of the deduction for net operating losses arising in taxable years beginning after December 31, 2017 to 80% of current year taxable income and elimination of net operating loss carrybacks for such losses (though any such NOLs may be carried forward indefinitely). In addition, beginning in 2022, the Tax Act eliminated the option to deduct research and development expenditures currently and generally requires corporations to capitalize and amortize them over five years or 15 years in the case of expenditures attributable to foreign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CARES Act, as part of Congress’s response to the COVID-19 pandemic, economic relief legislation was enacted in 2020 and 2021 containing tax provisions. The IRA was also signed into law in August 2022. The IRA introduced new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including a 1% excise tax imposed on certain stock repurchases by publicly traded companies. The 1% excise tax generally applies to any acquisition of stock by a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guidance under the Tax Act, the IRA, and such additional legislation is and continues to be forthcoming and such guidance could ultimately increase or lessen impact of these laws on our business and financial condition. In addition, it is uncertain if and to what extent various states will conform to the Tax Act, the IRA, and such additional legislation.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our organizational documents and under Delaware law may prevent or frustrate attempts by our stockholders to change our management or hinder efforts to acquire a controlling interest in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all members of the board are not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the board of directors or for proposing matters that can be acted 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a special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our certificate of incorporation or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currently listed for trading on Nasdaq. We must satisfy Nasdaq’s continued listing requirements, including, among other things, a minimum closing bid price of $1.00 per share, or the Bid Price Requirement,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pStyle w:val="TextBody"/>
        <w:bidi w:val="0"/>
        <w:jc w:val="left"/>
        <w:rPr/>
      </w:pPr>
      <w:r>
        <w:rPr/>
        <w:t> </w:t>
      </w:r>
    </w:p>
    <w:p>
      <w:pPr>
        <w:pStyle w:val="TextBody"/>
        <w:bidi w:val="0"/>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 Director and Officer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2025, none of our directors or officers adopted or terminated a Rule 10b5-1 trading arrangement or a non-Rule 10b5-1 trading arrangement (as defined in Item 408(c) of Regulation S-K).</w:t>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9"/>
        <w:gridCol w:w="146"/>
        <w:gridCol w:w="9220"/>
      </w:tblGrid>
      <w:tr>
        <w:trPr/>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0" w:type="dxa"/>
            <w:tcBorders/>
            <w:vAlign w:val="center"/>
          </w:tcPr>
          <w:p>
            <w:pPr>
              <w:pStyle w:val="TableContents"/>
              <w:bidi w:val="0"/>
              <w:spacing w:before="0" w:after="283"/>
              <w:jc w:val="left"/>
              <w:rPr>
                <w:sz w:val="4"/>
                <w:szCs w:val="4"/>
              </w:rPr>
            </w:pPr>
            <w:r>
              <w:rPr>
                <w:sz w:val="4"/>
                <w:szCs w:val="4"/>
              </w:rPr>
            </w:r>
          </w:p>
        </w:tc>
      </w:tr>
      <w:tr>
        <w:trPr/>
        <w:tc>
          <w:tcPr>
            <w:tcW w:w="83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1.htm">
              <w:r>
                <w:rPr>
                  <w:rStyle w:val="InternetLink"/>
                  <w:rFonts w:ascii="Times New Roman" w:hAnsi="Times New Roman"/>
                  <w:color w:val="0000FF"/>
                  <w:sz w:val="20"/>
                  <w:u w:val="single"/>
                </w:rPr>
                <w:t>Certification of Principal Executive Officer Pursuant to Rules 13a-14(a) or 15d-14(a) under the Securities Exchange Act of 1934, as Adopted Pursuant to Section 302 of the Sarbanes-Oxley Act of 2002</w:t>
              </w:r>
            </w:hyperlink>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2.htm">
              <w:r>
                <w:rPr>
                  <w:rStyle w:val="InternetLink"/>
                  <w:rFonts w:ascii="Times New Roman" w:hAnsi="Times New Roman"/>
                  <w:color w:val="0000FF"/>
                  <w:sz w:val="20"/>
                  <w:u w:val="single"/>
                </w:rPr>
                <w:t>Certification of Principal Financial Officer Pursuant to Rules 13a-14(a) or 15d-14(a) under the Securities Exchange Act of 1934, as Adopted Pursuant to Section 302 of the Sarbanes-Oxley Act of 2002</w:t>
              </w:r>
            </w:hyperlink>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636"/>
        <w:gridCol w:w="146"/>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Jennifer L. Good</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Lisa Delfini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Lisa Delfini</w:t>
            </w:r>
          </w:p>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bookmarkStart w:id="18" w:name="trvi-ex31_1.htm"/>
      <w:bookmarkStart w:id="19" w:name="kstrviex31_1"/>
      <w:bookmarkEnd w:id="18"/>
      <w:bookmarkEnd w:id="1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Jennifer L. Good,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691" w:type="dxa"/>
        <w:jc w:val="left"/>
        <w:tblInd w:w="0" w:type="dxa"/>
        <w:tblLayout w:type="fixed"/>
        <w:tblCellMar>
          <w:top w:w="28" w:type="dxa"/>
          <w:left w:w="28" w:type="dxa"/>
          <w:bottom w:w="28" w:type="dxa"/>
          <w:right w:w="28" w:type="dxa"/>
        </w:tblCellMar>
      </w:tblPr>
      <w:tblGrid>
        <w:gridCol w:w="1636"/>
        <w:gridCol w:w="146"/>
        <w:gridCol w:w="146"/>
        <w:gridCol w:w="40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trvi-ex31_2.htm"/>
      <w:bookmarkStart w:id="21" w:name="kstrviex31_2"/>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Lisa Delfini,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896" w:type="dxa"/>
        <w:jc w:val="left"/>
        <w:tblInd w:w="0" w:type="dxa"/>
        <w:tblLayout w:type="fixed"/>
        <w:tblCellMar>
          <w:top w:w="28" w:type="dxa"/>
          <w:left w:w="28" w:type="dxa"/>
          <w:bottom w:w="28" w:type="dxa"/>
          <w:right w:w="28" w:type="dxa"/>
        </w:tblCellMar>
      </w:tblPr>
      <w:tblGrid>
        <w:gridCol w:w="1636"/>
        <w:gridCol w:w="14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Lisa Delfini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Delfini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rvi-ex32_1.htm"/>
      <w:bookmarkStart w:id="23" w:name="kstrviex32_1"/>
      <w:bookmarkEnd w:id="22"/>
      <w:bookmarkEnd w:id="2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March 31, 2025,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45" w:type="dxa"/>
        <w:jc w:val="left"/>
        <w:tblInd w:w="0" w:type="dxa"/>
        <w:tblLayout w:type="fixed"/>
        <w:tblCellMar>
          <w:top w:w="28" w:type="dxa"/>
          <w:left w:w="28" w:type="dxa"/>
          <w:bottom w:w="28" w:type="dxa"/>
          <w:right w:w="28" w:type="dxa"/>
        </w:tblCellMar>
      </w:tblPr>
      <w:tblGrid>
        <w:gridCol w:w="1636"/>
        <w:gridCol w:w="146"/>
        <w:gridCol w:w="40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rvi-ex32_2.htm"/>
      <w:bookmarkStart w:id="25" w:name="kstrviex32_2"/>
      <w:bookmarkEnd w:id="24"/>
      <w:bookmarkEnd w:id="25"/>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March 31, 2025,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50" w:type="dxa"/>
        <w:jc w:val="left"/>
        <w:tblInd w:w="0" w:type="dxa"/>
        <w:tblLayout w:type="fixed"/>
        <w:tblCellMar>
          <w:top w:w="28" w:type="dxa"/>
          <w:left w:w="28" w:type="dxa"/>
          <w:bottom w:w="28" w:type="dxa"/>
          <w:right w:w="28" w:type="dxa"/>
        </w:tblCellMar>
      </w:tblPr>
      <w:tblGrid>
        <w:gridCol w:w="163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Lisa Delfini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Delfini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63757</Words>
  <Characters>352005</Characters>
  <CharactersWithSpaces>415532</CharactersWithSpaces>
  <Paragraphs>4605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