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80" w:hanging="3652"/>
        <w:spacing w:after="0" w:line="391" w:lineRule="auto"/>
        <w:tabs>
          <w:tab w:leader="none" w:pos="51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-409575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951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TREVI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Arial" w:cs="Arial" w:eastAsia="Arial" w:hAnsi="Arial"/>
                <w:sz w:val="18"/>
                <w:szCs w:val="18"/>
                <w:b w:val="1"/>
                <w:bCs w:val="1"/>
                <w:color w:val="auto"/>
              </w:rPr>
              <w:t>45-0834299</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5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58"/>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91"/>
        </w:trPr>
        <w:tc>
          <w:tcPr>
            <w:tcW w:w="4500" w:type="dxa"/>
            <w:vAlign w:val="bottom"/>
            <w:gridSpan w:val="3"/>
          </w:tcPr>
          <w:p>
            <w:pPr>
              <w:jc w:val="center"/>
              <w:ind w:left="1058"/>
              <w:spacing w:after="0"/>
              <w:rPr>
                <w:sz w:val="20"/>
                <w:szCs w:val="20"/>
                <w:color w:val="auto"/>
              </w:rPr>
            </w:pPr>
            <w:r>
              <w:rPr>
                <w:rFonts w:ascii="Arial" w:cs="Arial" w:eastAsia="Arial" w:hAnsi="Arial"/>
                <w:sz w:val="18"/>
                <w:szCs w:val="18"/>
                <w:b w:val="1"/>
                <w:bCs w:val="1"/>
                <w:color w:val="auto"/>
                <w:w w:val="91"/>
              </w:rPr>
              <w:t>195 Church Street, 14</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500" w:type="dxa"/>
            <w:vAlign w:val="bottom"/>
            <w:gridSpan w:val="3"/>
          </w:tcPr>
          <w:p>
            <w:pPr>
              <w:jc w:val="center"/>
              <w:ind w:left="1038"/>
              <w:spacing w:after="0"/>
              <w:rPr>
                <w:sz w:val="20"/>
                <w:szCs w:val="20"/>
                <w:color w:val="auto"/>
              </w:rPr>
            </w:pPr>
            <w:r>
              <w:rPr>
                <w:rFonts w:ascii="Arial" w:cs="Arial" w:eastAsia="Arial" w:hAnsi="Arial"/>
                <w:sz w:val="18"/>
                <w:szCs w:val="18"/>
                <w:b w:val="1"/>
                <w:bCs w:val="1"/>
                <w:color w:val="auto"/>
                <w:w w:val="90"/>
              </w:rPr>
              <w:t>New Haven, Connecticut</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Arial" w:cs="Arial" w:eastAsia="Arial" w:hAnsi="Arial"/>
                <w:sz w:val="18"/>
                <w:szCs w:val="18"/>
                <w:b w:val="1"/>
                <w:bCs w:val="1"/>
                <w:color w:val="auto"/>
              </w:rPr>
              <w:t>06510</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left="10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(203) 304-2499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60" w:type="dxa"/>
            <w:vAlign w:val="bottom"/>
            <w:gridSpan w:val="7"/>
          </w:tcPr>
          <w:p>
            <w:pPr>
              <w:jc w:val="center"/>
              <w:ind w:left="34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00" w:type="dxa"/>
            <w:vAlign w:val="bottom"/>
            <w:gridSpan w:val="3"/>
            <w:vMerge w:val="restart"/>
          </w:tcPr>
          <w:p>
            <w:pPr>
              <w:jc w:val="center"/>
              <w:ind w:right="52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5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89"/>
              </w:rPr>
              <w:t>Title of each class</w:t>
            </w:r>
          </w:p>
        </w:tc>
        <w:tc>
          <w:tcPr>
            <w:tcW w:w="326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3"/>
              </w:rPr>
              <w:t>Trading</w:t>
            </w:r>
          </w:p>
        </w:tc>
        <w:tc>
          <w:tcPr>
            <w:tcW w:w="3480" w:type="dxa"/>
            <w:vAlign w:val="bottom"/>
            <w:vMerge w:val="restart"/>
          </w:tcPr>
          <w:p>
            <w:pPr>
              <w:jc w:val="center"/>
              <w:ind w:right="36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gridSpan w:val="3"/>
            <w:vMerge w:val="continue"/>
          </w:tcPr>
          <w:p>
            <w:pPr>
              <w:spacing w:after="0"/>
              <w:rPr>
                <w:sz w:val="14"/>
                <w:szCs w:val="14"/>
                <w:color w:val="auto"/>
              </w:rPr>
            </w:pPr>
          </w:p>
        </w:tc>
        <w:tc>
          <w:tcPr>
            <w:tcW w:w="326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91"/>
              </w:rPr>
              <w:t>Symbol(s)</w:t>
            </w:r>
          </w:p>
        </w:tc>
        <w:tc>
          <w:tcPr>
            <w:tcW w:w="3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rPr>
              <w:t>TRVI</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tcPr>
          <w:p>
            <w:pPr>
              <w:jc w:val="center"/>
              <w:ind w:right="360"/>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80"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1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11, 2020, the registrant had 18,380,790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“estimate,” “expect,” “intend,” “may,” “might,” “plan,” “potential,” “predict,” “project,” “should,” “target,” “would,” “could,” “continue” and similar expressions are intended to identify forward-looking statements, although not all forward-looking statements contain these identifying words.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clinical trials, business and operations and our response to the pandemic;</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clinical trials, including our Phase 2b/3 PRISM trial of Haduvio (nalbuphine ER) for the treatment of pruritus associated with prurigo nodularis;</w:t>
      </w:r>
    </w:p>
    <w:p>
      <w:pPr>
        <w:spacing w:after="0" w:line="62"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Haduvio for the treatment of pruritus associated with prurigo nodularis or for other serious neurologically mediated conditions;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for the initiation of clinical trials and the reporting of data from such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to obtain and maintain regulatory approvals for Haduvio;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fund our operating expenses and capital expenditure requirements with our cash and cash equivalents;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obtain additional funding.</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pacing w:after="0" w:line="18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We own or have rights to trademarks, service marks and trade names that we use in connection with the operation of our business, including our corporate name, logos and website names. We own the trademarks Trevi®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 We intend to propose Haduvio as the trade name for our nalbuphine ER investigational product and therefore plan to use that name when we refer to nalbuphine ER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74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40" w:type="dxa"/>
            <w:vAlign w:val="bottom"/>
            <w:vMerge w:val="restart"/>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40" w:type="dxa"/>
            <w:vAlign w:val="bottom"/>
            <w:vMerge w:val="continue"/>
          </w:tcPr>
          <w:p>
            <w:pPr>
              <w:spacing w:after="0"/>
              <w:rPr>
                <w:sz w:val="19"/>
                <w:szCs w:val="19"/>
                <w:color w:val="auto"/>
              </w:rPr>
            </w:pPr>
          </w:p>
        </w:tc>
        <w:tc>
          <w:tcPr>
            <w:tcW w:w="97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Redeemable Convertible Preferred Stock and Stockholders’ Equity (Deficit)</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740" w:type="dxa"/>
            <w:vAlign w:val="bottom"/>
          </w:tcPr>
          <w:p>
            <w:pPr>
              <w:ind w:left="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6"/>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40" w:type="dxa"/>
            <w:vAlign w:val="bottom"/>
          </w:tcPr>
          <w:p>
            <w:pPr>
              <w:ind w:left="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OTHER INFORMATION</w:t>
              </w:r>
            </w:hyperlink>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740" w:type="dxa"/>
            <w:vAlign w:val="bottom"/>
          </w:tcPr>
          <w:p>
            <w:pPr>
              <w:ind w:left="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740" w:type="dxa"/>
            <w:vAlign w:val="bottom"/>
          </w:tcPr>
          <w:p>
            <w:pPr>
              <w:ind w:left="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840" w:type="dxa"/>
            <w:vAlign w:val="bottom"/>
          </w:tcPr>
          <w:p>
            <w:pPr>
              <w:spacing w:after="0"/>
              <w:rPr>
                <w:rFonts w:ascii="Arial" w:cs="Arial" w:eastAsia="Arial" w:hAnsi="Arial"/>
                <w:sz w:val="18"/>
                <w:szCs w:val="18"/>
                <w:u w:val="single" w:color="auto"/>
                <w:color w:val="0000EE"/>
                <w:w w:val="95"/>
              </w:rPr>
            </w:pPr>
            <w:hyperlink w:anchor="page79">
              <w:r>
                <w:rPr>
                  <w:rFonts w:ascii="Arial" w:cs="Arial" w:eastAsia="Arial" w:hAnsi="Arial"/>
                  <w:sz w:val="18"/>
                  <w:szCs w:val="18"/>
                  <w:u w:val="single" w:color="auto"/>
                  <w:color w:val="0000EE"/>
                  <w:w w:val="95"/>
                </w:rPr>
                <w:t>Signatures</w:t>
              </w:r>
            </w:hyperlink>
          </w:p>
        </w:tc>
        <w:tc>
          <w:tcPr>
            <w:tcW w:w="97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7"/>
                <w:szCs w:val="17"/>
                <w:color w:val="auto"/>
              </w:rPr>
              <w:t>Current assets: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02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53,293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57,313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60"/>
              <w:spacing w:after="0"/>
              <w:rPr>
                <w:sz w:val="20"/>
                <w:szCs w:val="20"/>
                <w:color w:val="auto"/>
              </w:rPr>
            </w:pPr>
            <w:r>
              <w:rPr>
                <w:rFonts w:ascii="Arial" w:cs="Arial" w:eastAsia="Arial" w:hAnsi="Arial"/>
                <w:sz w:val="17"/>
                <w:szCs w:val="17"/>
                <w:color w:val="auto"/>
              </w:rPr>
              <w:t>Tax credit and other receivables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Prepaid expenses</w:t>
            </w:r>
          </w:p>
        </w:tc>
        <w:tc>
          <w:tcPr>
            <w:tcW w:w="8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1,857</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55,209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59,552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7"/>
                <w:szCs w:val="17"/>
                <w:color w:val="auto"/>
              </w:rPr>
              <w:t>Deferred offering costs</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7"/>
                <w:szCs w:val="17"/>
                <w:color w:val="auto"/>
              </w:rPr>
              <w:t>Operating lease right-of-use asset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7"/>
                <w:szCs w:val="17"/>
                <w:color w:val="auto"/>
              </w:rPr>
              <w:t>Security deposit</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Property, equipment and leasehold improvements, net</w:t>
            </w:r>
          </w:p>
        </w:tc>
        <w:tc>
          <w:tcPr>
            <w:tcW w:w="8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assets</w:t>
            </w:r>
          </w:p>
        </w:tc>
        <w:tc>
          <w:tcPr>
            <w:tcW w:w="8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55,879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60,001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86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86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102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1,258</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expenses</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4,735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Operating lease liability - current portion</w:t>
            </w:r>
          </w:p>
        </w:tc>
        <w:tc>
          <w:tcPr>
            <w:tcW w:w="8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current liabilities</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6,103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7"/>
                <w:szCs w:val="17"/>
                <w:color w:val="auto"/>
              </w:rPr>
              <w:t>Term loan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13,798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7"/>
                <w:szCs w:val="17"/>
                <w:color w:val="auto"/>
              </w:rPr>
              <w:t>Term loan derivative liability</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7"/>
                <w:szCs w:val="17"/>
                <w:color w:val="auto"/>
              </w:rPr>
              <w:t>Operating lease liability - long term portion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11)</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7"/>
                <w:szCs w:val="17"/>
                <w:color w:val="auto"/>
              </w:rPr>
              <w:t>Stockholders’ equity (deficit):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60" w:type="dxa"/>
            <w:vAlign w:val="bottom"/>
            <w:shd w:val="clear" w:color="auto" w:fill="CFF0FC"/>
          </w:tcPr>
          <w:p>
            <w:pPr>
              <w:spacing w:after="0"/>
              <w:rPr>
                <w:sz w:val="20"/>
                <w:szCs w:val="20"/>
                <w:color w:val="auto"/>
              </w:rPr>
            </w:pPr>
            <w:r>
              <w:rPr>
                <w:rFonts w:ascii="Arial" w:cs="Arial" w:eastAsia="Arial" w:hAnsi="Arial"/>
                <w:sz w:val="17"/>
                <w:szCs w:val="17"/>
                <w:color w:val="auto"/>
              </w:rPr>
              <w:t>Common stock: $0.001 par value; 200,000,000 shares authorized at September 30, 2020</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and December 31, 2019, respectively; and 18,321,068 and 17,834,570 shares</w:t>
            </w: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8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issued and outstanding at September 30, 2020 and December 31, 2019, respectively.</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860" w:type="dxa"/>
            <w:vAlign w:val="bottom"/>
          </w:tcPr>
          <w:p>
            <w:pPr>
              <w:spacing w:after="0"/>
              <w:rPr>
                <w:sz w:val="20"/>
                <w:szCs w:val="20"/>
                <w:color w:val="auto"/>
              </w:rPr>
            </w:pPr>
            <w:r>
              <w:rPr>
                <w:rFonts w:ascii="Arial" w:cs="Arial" w:eastAsia="Arial" w:hAnsi="Arial"/>
                <w:sz w:val="17"/>
                <w:szCs w:val="17"/>
                <w:color w:val="auto"/>
              </w:rPr>
              <w:t>Preferred stock: $0.001 par value; 5,000,000 shares authorized at September 30, 2020</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Arial" w:cs="Arial" w:eastAsia="Arial" w:hAnsi="Arial"/>
                <w:sz w:val="17"/>
                <w:szCs w:val="17"/>
                <w:color w:val="auto"/>
              </w:rPr>
              <w:t>and December 31, 2019, respectively; no shares issued or outstanding at</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860" w:type="dxa"/>
            <w:vAlign w:val="bottom"/>
          </w:tcPr>
          <w:p>
            <w:pPr>
              <w:ind w:left="140"/>
              <w:spacing w:after="0"/>
              <w:rPr>
                <w:sz w:val="20"/>
                <w:szCs w:val="20"/>
                <w:color w:val="auto"/>
              </w:rPr>
            </w:pPr>
            <w:r>
              <w:rPr>
                <w:rFonts w:ascii="Arial" w:cs="Arial" w:eastAsia="Arial" w:hAnsi="Arial"/>
                <w:sz w:val="17"/>
                <w:szCs w:val="17"/>
                <w:color w:val="auto"/>
              </w:rPr>
              <w:t>September 30, 2020 or December 31, 2019.</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8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173,054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7"/>
                <w:szCs w:val="17"/>
                <w:color w:val="auto"/>
              </w:rPr>
              <w:t>(137,454)</w:t>
            </w: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(114,219)</w:t>
            </w:r>
          </w:p>
        </w:tc>
        <w:tc>
          <w:tcPr>
            <w:tcW w:w="0" w:type="dxa"/>
            <w:vAlign w:val="bottom"/>
          </w:tcPr>
          <w:p>
            <w:pPr>
              <w:spacing w:after="0"/>
              <w:rPr>
                <w:sz w:val="1"/>
                <w:szCs w:val="1"/>
                <w:color w:val="auto"/>
              </w:rPr>
            </w:pPr>
          </w:p>
        </w:tc>
      </w:tr>
      <w:tr>
        <w:trPr>
          <w:trHeight w:val="210"/>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stockholders’ equity</w:t>
            </w:r>
          </w:p>
        </w:tc>
        <w:tc>
          <w:tcPr>
            <w:tcW w:w="8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35,618</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54,545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260"/>
              <w:spacing w:after="0"/>
              <w:rPr>
                <w:sz w:val="20"/>
                <w:szCs w:val="20"/>
                <w:color w:val="auto"/>
              </w:rPr>
            </w:pPr>
            <w:r>
              <w:rPr>
                <w:rFonts w:ascii="Arial" w:cs="Arial" w:eastAsia="Arial" w:hAnsi="Arial"/>
                <w:sz w:val="17"/>
                <w:szCs w:val="17"/>
                <w:color w:val="auto"/>
              </w:rPr>
              <w:t>Total liabilities and stockholders’ equity</w:t>
            </w:r>
          </w:p>
        </w:tc>
        <w:tc>
          <w:tcPr>
            <w:tcW w:w="8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55,879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4,828</w:t>
            </w:r>
          </w:p>
        </w:tc>
        <w:tc>
          <w:tcPr>
            <w:tcW w:w="160" w:type="dxa"/>
            <w:vAlign w:val="bottom"/>
          </w:tcPr>
          <w:p>
            <w:pPr>
              <w:spacing w:after="0"/>
              <w:rPr>
                <w:sz w:val="19"/>
                <w:szCs w:val="19"/>
                <w:color w:val="auto"/>
              </w:rPr>
            </w:pP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5,650</w:t>
            </w:r>
          </w:p>
        </w:tc>
        <w:tc>
          <w:tcPr>
            <w:tcW w:w="260" w:type="dxa"/>
            <w:vAlign w:val="bottom"/>
          </w:tcPr>
          <w:p>
            <w:pPr>
              <w:spacing w:after="0"/>
              <w:rPr>
                <w:sz w:val="19"/>
                <w:szCs w:val="19"/>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15,768</w:t>
            </w:r>
          </w:p>
        </w:tc>
        <w:tc>
          <w:tcPr>
            <w:tcW w:w="2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7,528</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23,296</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9"/>
        </w:trPr>
        <w:tc>
          <w:tcPr>
            <w:tcW w:w="57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benefit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(7,365)</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(23,235)</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Accretion of redeemable convertible preferred stock</w:t>
            </w: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Dividends accrued on redeemable convertible preferred stock</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63"/>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net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2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(23,235)</w:t>
            </w:r>
          </w:p>
        </w:tc>
        <w:tc>
          <w:tcPr>
            <w:tcW w:w="2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Weighted average common shares used in net loss per share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18,134,886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17,834,570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17,935,865</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9,680,512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1140" w:type="dxa"/>
            <w:vAlign w:val="bottom"/>
            <w:gridSpan w:val="3"/>
          </w:tcPr>
          <w:p>
            <w:pPr>
              <w:ind w:left="420"/>
              <w:spacing w:after="0"/>
              <w:rPr>
                <w:sz w:val="20"/>
                <w:szCs w:val="20"/>
                <w:color w:val="auto"/>
              </w:rPr>
            </w:pPr>
            <w:r>
              <w:rPr>
                <w:rFonts w:ascii="Arial" w:cs="Arial" w:eastAsia="Arial" w:hAnsi="Arial"/>
                <w:sz w:val="13"/>
                <w:szCs w:val="13"/>
                <w:b w:val="1"/>
                <w:bCs w:val="1"/>
                <w:color w:val="auto"/>
              </w:rPr>
              <w:t>Series A</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420"/>
              <w:spacing w:after="0"/>
              <w:rPr>
                <w:sz w:val="20"/>
                <w:szCs w:val="20"/>
                <w:color w:val="auto"/>
              </w:rPr>
            </w:pPr>
            <w:r>
              <w:rPr>
                <w:rFonts w:ascii="Arial" w:cs="Arial" w:eastAsia="Arial" w:hAnsi="Arial"/>
                <w:sz w:val="13"/>
                <w:szCs w:val="13"/>
                <w:b w:val="1"/>
                <w:bCs w:val="1"/>
                <w:color w:val="auto"/>
              </w:rPr>
              <w:t>Series B</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420"/>
              <w:spacing w:after="0"/>
              <w:rPr>
                <w:sz w:val="20"/>
                <w:szCs w:val="20"/>
                <w:color w:val="auto"/>
              </w:rPr>
            </w:pPr>
            <w:r>
              <w:rPr>
                <w:rFonts w:ascii="Arial" w:cs="Arial" w:eastAsia="Arial" w:hAnsi="Arial"/>
                <w:sz w:val="13"/>
                <w:szCs w:val="13"/>
                <w:b w:val="1"/>
                <w:bCs w:val="1"/>
                <w:color w:val="auto"/>
              </w:rPr>
              <w:t>Series C</w:t>
            </w:r>
          </w:p>
        </w:tc>
        <w:tc>
          <w:tcPr>
            <w:tcW w:w="18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140" w:type="dxa"/>
            <w:vAlign w:val="bottom"/>
            <w:gridSpan w:val="3"/>
          </w:tcPr>
          <w:p>
            <w:pPr>
              <w:jc w:val="center"/>
              <w:ind w:left="93"/>
              <w:spacing w:after="0"/>
              <w:rPr>
                <w:sz w:val="20"/>
                <w:szCs w:val="20"/>
                <w:color w:val="auto"/>
              </w:rPr>
            </w:pPr>
            <w:r>
              <w:rPr>
                <w:rFonts w:ascii="Arial" w:cs="Arial" w:eastAsia="Arial" w:hAnsi="Arial"/>
                <w:sz w:val="13"/>
                <w:szCs w:val="13"/>
                <w:b w:val="1"/>
                <w:bCs w:val="1"/>
                <w:color w:val="auto"/>
                <w:w w:val="91"/>
              </w:rPr>
              <w:t>Redeemable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93"/>
              <w:spacing w:after="0"/>
              <w:rPr>
                <w:sz w:val="20"/>
                <w:szCs w:val="20"/>
                <w:color w:val="auto"/>
              </w:rPr>
            </w:pPr>
            <w:r>
              <w:rPr>
                <w:rFonts w:ascii="Arial" w:cs="Arial" w:eastAsia="Arial" w:hAnsi="Arial"/>
                <w:sz w:val="13"/>
                <w:szCs w:val="13"/>
                <w:b w:val="1"/>
                <w:bCs w:val="1"/>
                <w:color w:val="auto"/>
                <w:w w:val="91"/>
              </w:rPr>
              <w:t>Redeemable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93"/>
              <w:spacing w:after="0"/>
              <w:rPr>
                <w:sz w:val="20"/>
                <w:szCs w:val="20"/>
                <w:color w:val="auto"/>
              </w:rPr>
            </w:pPr>
            <w:r>
              <w:rPr>
                <w:rFonts w:ascii="Arial" w:cs="Arial" w:eastAsia="Arial" w:hAnsi="Arial"/>
                <w:sz w:val="13"/>
                <w:szCs w:val="13"/>
                <w:b w:val="1"/>
                <w:bCs w:val="1"/>
                <w:color w:val="auto"/>
                <w:w w:val="91"/>
              </w:rPr>
              <w:t>Redeemable</w:t>
            </w:r>
          </w:p>
        </w:tc>
        <w:tc>
          <w:tcPr>
            <w:tcW w:w="1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140" w:type="dxa"/>
            <w:vAlign w:val="bottom"/>
            <w:gridSpan w:val="3"/>
          </w:tcPr>
          <w:p>
            <w:pPr>
              <w:jc w:val="center"/>
              <w:ind w:left="113"/>
              <w:spacing w:after="0"/>
              <w:rPr>
                <w:sz w:val="20"/>
                <w:szCs w:val="20"/>
                <w:color w:val="auto"/>
              </w:rPr>
            </w:pPr>
            <w:r>
              <w:rPr>
                <w:rFonts w:ascii="Arial" w:cs="Arial" w:eastAsia="Arial" w:hAnsi="Arial"/>
                <w:sz w:val="13"/>
                <w:szCs w:val="13"/>
                <w:b w:val="1"/>
                <w:bCs w:val="1"/>
                <w:color w:val="auto"/>
                <w:w w:val="95"/>
              </w:rPr>
              <w:t>Convertible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113"/>
              <w:spacing w:after="0"/>
              <w:rPr>
                <w:sz w:val="20"/>
                <w:szCs w:val="20"/>
                <w:color w:val="auto"/>
              </w:rPr>
            </w:pPr>
            <w:r>
              <w:rPr>
                <w:rFonts w:ascii="Arial" w:cs="Arial" w:eastAsia="Arial" w:hAnsi="Arial"/>
                <w:sz w:val="13"/>
                <w:szCs w:val="13"/>
                <w:b w:val="1"/>
                <w:bCs w:val="1"/>
                <w:color w:val="auto"/>
                <w:w w:val="95"/>
              </w:rPr>
              <w:t>Convertible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left="93"/>
              <w:spacing w:after="0"/>
              <w:rPr>
                <w:sz w:val="20"/>
                <w:szCs w:val="20"/>
                <w:color w:val="auto"/>
              </w:rPr>
            </w:pPr>
            <w:r>
              <w:rPr>
                <w:rFonts w:ascii="Arial" w:cs="Arial" w:eastAsia="Arial" w:hAnsi="Arial"/>
                <w:sz w:val="13"/>
                <w:szCs w:val="13"/>
                <w:b w:val="1"/>
                <w:bCs w:val="1"/>
                <w:color w:val="auto"/>
                <w:w w:val="97"/>
              </w:rPr>
              <w:t>Convertible</w:t>
            </w:r>
          </w:p>
        </w:tc>
        <w:tc>
          <w:tcPr>
            <w:tcW w:w="1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w w:val="94"/>
              </w:rPr>
              <w:t>Additional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93"/>
              <w:spacing w:after="0"/>
              <w:rPr>
                <w:sz w:val="20"/>
                <w:szCs w:val="20"/>
                <w:color w:val="auto"/>
              </w:rPr>
            </w:pPr>
            <w:r>
              <w:rPr>
                <w:rFonts w:ascii="Arial" w:cs="Arial" w:eastAsia="Arial" w:hAnsi="Arial"/>
                <w:sz w:val="13"/>
                <w:szCs w:val="13"/>
                <w:b w:val="1"/>
                <w:bCs w:val="1"/>
                <w:color w:val="auto"/>
                <w:w w:val="92"/>
              </w:rPr>
              <w:t>Preferred Stock</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93"/>
              <w:spacing w:after="0"/>
              <w:rPr>
                <w:sz w:val="20"/>
                <w:szCs w:val="20"/>
                <w:color w:val="auto"/>
              </w:rPr>
            </w:pPr>
            <w:r>
              <w:rPr>
                <w:rFonts w:ascii="Arial" w:cs="Arial" w:eastAsia="Arial" w:hAnsi="Arial"/>
                <w:sz w:val="13"/>
                <w:szCs w:val="13"/>
                <w:b w:val="1"/>
                <w:bCs w:val="1"/>
                <w:color w:val="auto"/>
                <w:w w:val="92"/>
              </w:rPr>
              <w:t>Preferred Stock</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93"/>
              <w:spacing w:after="0"/>
              <w:rPr>
                <w:sz w:val="20"/>
                <w:szCs w:val="20"/>
                <w:color w:val="auto"/>
              </w:rPr>
            </w:pPr>
            <w:r>
              <w:rPr>
                <w:rFonts w:ascii="Arial" w:cs="Arial" w:eastAsia="Arial" w:hAnsi="Arial"/>
                <w:sz w:val="13"/>
                <w:szCs w:val="13"/>
                <w:b w:val="1"/>
                <w:bCs w:val="1"/>
                <w:color w:val="auto"/>
                <w:w w:val="92"/>
              </w:rPr>
              <w:t>Preferred Stock</w:t>
            </w:r>
          </w:p>
        </w:tc>
        <w:tc>
          <w:tcPr>
            <w:tcW w:w="180" w:type="dxa"/>
            <w:vAlign w:val="bottom"/>
            <w:tcBorders>
              <w:bottom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Arial" w:cs="Arial" w:eastAsia="Arial" w:hAnsi="Arial"/>
                <w:sz w:val="13"/>
                <w:szCs w:val="13"/>
                <w:b w:val="1"/>
                <w:bCs w:val="1"/>
                <w:color w:val="auto"/>
              </w:rPr>
              <w:t>Paid-</w:t>
            </w:r>
          </w:p>
        </w:tc>
        <w:tc>
          <w:tcPr>
            <w:tcW w:w="1120" w:type="dxa"/>
            <w:vAlign w:val="bottom"/>
            <w:gridSpan w:val="4"/>
          </w:tcPr>
          <w:p>
            <w:pPr>
              <w:ind w:left="18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6"/>
        </w:trPr>
        <w:tc>
          <w:tcPr>
            <w:tcW w:w="244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CFF0FC"/>
              <w:right w:val="single" w:sz="8" w:color="auto"/>
            </w:tcBorders>
          </w:tcPr>
          <w:p>
            <w:pPr>
              <w:spacing w:after="0"/>
              <w:rPr>
                <w:sz w:val="13"/>
                <w:szCs w:val="13"/>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in Capital</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Deficit</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4"/>
              </w:rPr>
              <w:t>(Deficit)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June 30, 2020</w:t>
            </w: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580" w:type="dxa"/>
            <w:vAlign w:val="bottom"/>
            <w:gridSpan w:val="2"/>
            <w:shd w:val="clear" w:color="auto" w:fill="CFF0FC"/>
          </w:tcPr>
          <w:p>
            <w:pPr>
              <w:jc w:val="right"/>
              <w:ind w:right="284"/>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jc w:val="right"/>
              <w:ind w:right="286"/>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580" w:type="dxa"/>
            <w:vAlign w:val="bottom"/>
            <w:gridSpan w:val="2"/>
            <w:shd w:val="clear" w:color="auto" w:fill="CFF0FC"/>
          </w:tcPr>
          <w:p>
            <w:pPr>
              <w:jc w:val="right"/>
              <w:ind w:right="273"/>
              <w:spacing w:after="0"/>
              <w:rPr>
                <w:sz w:val="20"/>
                <w:szCs w:val="20"/>
                <w:color w:val="auto"/>
              </w:rPr>
            </w:pPr>
            <w:r>
              <w:rPr>
                <w:rFonts w:ascii="Arial" w:cs="Arial" w:eastAsia="Arial" w:hAnsi="Arial"/>
                <w:sz w:val="13"/>
                <w:szCs w:val="13"/>
                <w:color w:val="auto"/>
              </w:rPr>
              <w:t>$</w:t>
            </w:r>
          </w:p>
        </w:tc>
        <w:tc>
          <w:tcPr>
            <w:tcW w:w="360" w:type="dxa"/>
            <w:vAlign w:val="bottom"/>
            <w:tcBorders>
              <w:right w:val="single" w:sz="8" w:color="auto"/>
            </w:tcBorders>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17,851,152</w:t>
            </w: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170,095</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(130,076)</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40,037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4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from exercise</w:t>
            </w: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FF0FC"/>
          </w:tcPr>
          <w:p>
            <w:pPr>
              <w:spacing w:after="0"/>
              <w:rPr>
                <w:sz w:val="20"/>
                <w:szCs w:val="20"/>
                <w:color w:val="auto"/>
              </w:rPr>
            </w:pPr>
            <w:r>
              <w:rPr>
                <w:rFonts w:ascii="Arial" w:cs="Arial" w:eastAsia="Arial" w:hAnsi="Arial"/>
                <w:sz w:val="13"/>
                <w:szCs w:val="13"/>
                <w:color w:val="auto"/>
              </w:rPr>
              <w:t>of stock</w:t>
            </w: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options</w:t>
            </w: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60" w:type="dxa"/>
            <w:vAlign w:val="bottom"/>
            <w:tcBorders>
              <w:right w:val="single" w:sz="8" w:color="auto"/>
            </w:tcBorders>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3,158</w:t>
            </w: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40" w:type="dxa"/>
            <w:vAlign w:val="bottom"/>
          </w:tcPr>
          <w:p>
            <w:pPr>
              <w:spacing w:after="0"/>
              <w:rPr>
                <w:sz w:val="20"/>
                <w:szCs w:val="20"/>
                <w:color w:val="auto"/>
              </w:rPr>
            </w:pPr>
            <w:r>
              <w:rPr>
                <w:rFonts w:ascii="Arial" w:cs="Arial" w:eastAsia="Arial" w:hAnsi="Arial"/>
                <w:sz w:val="13"/>
                <w:szCs w:val="13"/>
                <w:color w:val="auto"/>
              </w:rPr>
              <w:t>Issuance of common stock under the at-</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20"/>
                <w:szCs w:val="20"/>
                <w:color w:val="auto"/>
              </w:rPr>
            </w:pPr>
            <w:r>
              <w:rPr>
                <w:rFonts w:ascii="Arial" w:cs="Arial" w:eastAsia="Arial" w:hAnsi="Arial"/>
                <w:sz w:val="13"/>
                <w:szCs w:val="13"/>
                <w:color w:val="auto"/>
              </w:rPr>
              <w:t>the-market sales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40" w:type="dxa"/>
            <w:vAlign w:val="bottom"/>
          </w:tcPr>
          <w:p>
            <w:pPr>
              <w:ind w:left="100"/>
              <w:spacing w:after="0"/>
              <w:rPr>
                <w:sz w:val="20"/>
                <w:szCs w:val="20"/>
                <w:color w:val="auto"/>
              </w:rPr>
            </w:pPr>
            <w:r>
              <w:rPr>
                <w:rFonts w:ascii="Arial" w:cs="Arial" w:eastAsia="Arial" w:hAnsi="Arial"/>
                <w:sz w:val="13"/>
                <w:szCs w:val="13"/>
                <w:color w:val="auto"/>
                <w:w w:val="99"/>
              </w:rPr>
              <w:t>agreement, net of commissions and fees</w:t>
            </w: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466,758</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2,364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(7,378)</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(7,378)</w:t>
            </w: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3"/>
                <w:szCs w:val="13"/>
                <w:b w:val="1"/>
                <w:bCs w:val="1"/>
                <w:color w:val="auto"/>
              </w:rPr>
              <w:t>Balance at September 30, 2020</w:t>
            </w: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440" w:type="dxa"/>
            <w:vAlign w:val="bottom"/>
            <w:vMerge w:val="continue"/>
          </w:tcPr>
          <w:p>
            <w:pPr>
              <w:spacing w:after="0"/>
              <w:rPr>
                <w:sz w:val="17"/>
                <w:szCs w:val="17"/>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7"/>
                <w:szCs w:val="17"/>
                <w:color w:val="auto"/>
              </w:rPr>
            </w:pPr>
          </w:p>
        </w:tc>
        <w:tc>
          <w:tcPr>
            <w:tcW w:w="400" w:type="dxa"/>
            <w:vAlign w:val="bottom"/>
          </w:tcPr>
          <w:p>
            <w:pPr>
              <w:jc w:val="right"/>
              <w:ind w:right="284"/>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7"/>
                <w:szCs w:val="17"/>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7"/>
                <w:szCs w:val="17"/>
                <w:color w:val="auto"/>
              </w:rPr>
            </w:pPr>
          </w:p>
        </w:tc>
        <w:tc>
          <w:tcPr>
            <w:tcW w:w="400" w:type="dxa"/>
            <w:vAlign w:val="bottom"/>
          </w:tcPr>
          <w:p>
            <w:pPr>
              <w:jc w:val="right"/>
              <w:ind w:right="286"/>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7"/>
                <w:szCs w:val="17"/>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580" w:type="dxa"/>
            <w:vAlign w:val="bottom"/>
            <w:gridSpan w:val="2"/>
          </w:tcPr>
          <w:p>
            <w:pPr>
              <w:jc w:val="right"/>
              <w:ind w:right="273"/>
              <w:spacing w:after="0"/>
              <w:rPr>
                <w:sz w:val="20"/>
                <w:szCs w:val="20"/>
                <w:color w:val="auto"/>
              </w:rPr>
            </w:pPr>
            <w:r>
              <w:rPr>
                <w:rFonts w:ascii="Arial" w:cs="Arial" w:eastAsia="Arial" w:hAnsi="Arial"/>
                <w:sz w:val="13"/>
                <w:szCs w:val="13"/>
                <w:color w:val="auto"/>
              </w:rPr>
              <w:t>$</w:t>
            </w:r>
          </w:p>
        </w:tc>
        <w:tc>
          <w:tcPr>
            <w:tcW w:w="3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18,321,068</w:t>
            </w:r>
          </w:p>
        </w:tc>
        <w:tc>
          <w:tcPr>
            <w:tcW w:w="180" w:type="dxa"/>
            <w:vAlign w:val="bottom"/>
          </w:tcPr>
          <w:p>
            <w:pPr>
              <w:spacing w:after="0"/>
              <w:rPr>
                <w:sz w:val="17"/>
                <w:szCs w:val="17"/>
                <w:color w:val="auto"/>
              </w:rPr>
            </w:pPr>
          </w:p>
        </w:tc>
        <w:tc>
          <w:tcPr>
            <w:tcW w:w="360" w:type="dxa"/>
            <w:vAlign w:val="bottom"/>
          </w:tcPr>
          <w:p>
            <w:pPr>
              <w:jc w:val="right"/>
              <w:ind w:right="246"/>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173,054</w:t>
            </w:r>
          </w:p>
        </w:tc>
        <w:tc>
          <w:tcPr>
            <w:tcW w:w="3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(137,454)</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35,618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4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20"/>
                <w:szCs w:val="20"/>
                <w:color w:val="auto"/>
              </w:rPr>
            </w:pPr>
            <w:r>
              <w:rPr>
                <w:rFonts w:ascii="Arial" w:cs="Arial" w:eastAsia="Arial" w:hAnsi="Arial"/>
                <w:sz w:val="13"/>
                <w:szCs w:val="13"/>
                <w:b w:val="1"/>
                <w:bCs w:val="1"/>
                <w:color w:val="auto"/>
              </w:rPr>
              <w:t>Balance at June 30, 2019</w:t>
            </w: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580" w:type="dxa"/>
            <w:vAlign w:val="bottom"/>
            <w:gridSpan w:val="2"/>
          </w:tcPr>
          <w:p>
            <w:pPr>
              <w:jc w:val="right"/>
              <w:ind w:right="284"/>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86"/>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580" w:type="dxa"/>
            <w:vAlign w:val="bottom"/>
            <w:gridSpan w:val="2"/>
          </w:tcPr>
          <w:p>
            <w:pPr>
              <w:jc w:val="right"/>
              <w:ind w:right="273"/>
              <w:spacing w:after="0"/>
              <w:rPr>
                <w:sz w:val="20"/>
                <w:szCs w:val="20"/>
                <w:color w:val="auto"/>
              </w:rPr>
            </w:pPr>
            <w:r>
              <w:rPr>
                <w:rFonts w:ascii="Arial" w:cs="Arial" w:eastAsia="Arial" w:hAnsi="Arial"/>
                <w:sz w:val="13"/>
                <w:szCs w:val="13"/>
                <w:color w:val="auto"/>
              </w:rPr>
              <w:t>$</w:t>
            </w:r>
          </w:p>
        </w:tc>
        <w:tc>
          <w:tcPr>
            <w:tcW w:w="3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17,834,570</w:t>
            </w:r>
          </w:p>
        </w:tc>
        <w:tc>
          <w:tcPr>
            <w:tcW w:w="180" w:type="dxa"/>
            <w:vAlign w:val="bottom"/>
          </w:tcPr>
          <w:p>
            <w:pPr>
              <w:spacing w:after="0"/>
              <w:rPr>
                <w:sz w:val="14"/>
                <w:szCs w:val="14"/>
                <w:color w:val="auto"/>
              </w:rPr>
            </w:pPr>
          </w:p>
        </w:tc>
        <w:tc>
          <w:tcPr>
            <w:tcW w:w="360" w:type="dxa"/>
            <w:vAlign w:val="bottom"/>
          </w:tcPr>
          <w:p>
            <w:pPr>
              <w:jc w:val="right"/>
              <w:ind w:right="246"/>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168,002</w:t>
            </w:r>
          </w:p>
        </w:tc>
        <w:tc>
          <w:tcPr>
            <w:tcW w:w="3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(100,317)</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67,703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ind w:left="4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60" w:type="dxa"/>
            <w:vAlign w:val="bottom"/>
            <w:tcBorders>
              <w:right w:val="single" w:sz="8" w:color="auto"/>
            </w:tcBorders>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20"/>
                <w:szCs w:val="20"/>
                <w:color w:val="auto"/>
              </w:rPr>
            </w:pPr>
            <w:r>
              <w:rPr>
                <w:rFonts w:ascii="Arial" w:cs="Arial" w:eastAsia="Arial" w:hAnsi="Arial"/>
                <w:sz w:val="13"/>
                <w:szCs w:val="13"/>
                <w:color w:val="auto"/>
              </w:rPr>
              <w:t>Net loss</w:t>
            </w: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(7,365)</w:t>
            </w: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(7,365)</w:t>
            </w:r>
          </w:p>
        </w:tc>
        <w:tc>
          <w:tcPr>
            <w:tcW w:w="0" w:type="dxa"/>
            <w:vAlign w:val="bottom"/>
          </w:tcPr>
          <w:p>
            <w:pPr>
              <w:spacing w:after="0"/>
              <w:rPr>
                <w:sz w:val="1"/>
                <w:szCs w:val="1"/>
                <w:color w:val="auto"/>
              </w:rPr>
            </w:pPr>
          </w:p>
        </w:tc>
      </w:tr>
      <w:tr>
        <w:trPr>
          <w:trHeight w:val="20"/>
        </w:trPr>
        <w:tc>
          <w:tcPr>
            <w:tcW w:w="244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September 30, 2019</w:t>
            </w: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40" w:type="dxa"/>
            <w:vAlign w:val="bottom"/>
            <w:vMerge w:val="continue"/>
            <w:shd w:val="clear" w:color="auto" w:fill="CFF0FC"/>
          </w:tcPr>
          <w:p>
            <w:pPr>
              <w:spacing w:after="0"/>
              <w:rPr>
                <w:sz w:val="13"/>
                <w:szCs w:val="13"/>
                <w:color w:val="auto"/>
              </w:rPr>
            </w:pP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284"/>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286"/>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580" w:type="dxa"/>
            <w:vAlign w:val="bottom"/>
            <w:gridSpan w:val="2"/>
            <w:shd w:val="clear" w:color="auto" w:fill="CFF0FC"/>
          </w:tcPr>
          <w:p>
            <w:pPr>
              <w:jc w:val="right"/>
              <w:ind w:right="273"/>
              <w:spacing w:after="0"/>
              <w:rPr>
                <w:sz w:val="20"/>
                <w:szCs w:val="20"/>
                <w:color w:val="auto"/>
              </w:rPr>
            </w:pPr>
            <w:r>
              <w:rPr>
                <w:rFonts w:ascii="Arial" w:cs="Arial" w:eastAsia="Arial" w:hAnsi="Arial"/>
                <w:sz w:val="13"/>
                <w:szCs w:val="13"/>
                <w:color w:val="auto"/>
              </w:rPr>
              <w:t>$</w:t>
            </w:r>
          </w:p>
        </w:tc>
        <w:tc>
          <w:tcPr>
            <w:tcW w:w="360" w:type="dxa"/>
            <w:vAlign w:val="bottom"/>
            <w:tcBorders>
              <w:right w:val="single" w:sz="8" w:color="auto"/>
            </w:tcBorders>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17,834,570</w:t>
            </w: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6"/>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168,373</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(107,682)</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1100" w:type="dxa"/>
            <w:vAlign w:val="bottom"/>
            <w:gridSpan w:val="3"/>
          </w:tcPr>
          <w:p>
            <w:pPr>
              <w:jc w:val="center"/>
              <w:ind w:left="313"/>
              <w:spacing w:after="0"/>
              <w:rPr>
                <w:sz w:val="20"/>
                <w:szCs w:val="20"/>
                <w:color w:val="auto"/>
              </w:rPr>
            </w:pPr>
            <w:r>
              <w:rPr>
                <w:rFonts w:ascii="Arial" w:cs="Arial" w:eastAsia="Arial" w:hAnsi="Arial"/>
                <w:sz w:val="13"/>
                <w:szCs w:val="13"/>
                <w:b w:val="1"/>
                <w:bCs w:val="1"/>
                <w:color w:val="auto"/>
                <w:w w:val="92"/>
              </w:rPr>
              <w:t>Series A</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center"/>
              <w:ind w:left="313"/>
              <w:spacing w:after="0"/>
              <w:rPr>
                <w:sz w:val="20"/>
                <w:szCs w:val="20"/>
                <w:color w:val="auto"/>
              </w:rPr>
            </w:pPr>
            <w:r>
              <w:rPr>
                <w:rFonts w:ascii="Arial" w:cs="Arial" w:eastAsia="Arial" w:hAnsi="Arial"/>
                <w:sz w:val="13"/>
                <w:szCs w:val="13"/>
                <w:b w:val="1"/>
                <w:bCs w:val="1"/>
                <w:color w:val="auto"/>
                <w:w w:val="92"/>
              </w:rPr>
              <w:t>Series B</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center"/>
              <w:ind w:left="313"/>
              <w:spacing w:after="0"/>
              <w:rPr>
                <w:sz w:val="20"/>
                <w:szCs w:val="20"/>
                <w:color w:val="auto"/>
              </w:rPr>
            </w:pPr>
            <w:r>
              <w:rPr>
                <w:rFonts w:ascii="Arial" w:cs="Arial" w:eastAsia="Arial" w:hAnsi="Arial"/>
                <w:sz w:val="13"/>
                <w:szCs w:val="13"/>
                <w:b w:val="1"/>
                <w:bCs w:val="1"/>
                <w:color w:val="auto"/>
                <w:w w:val="92"/>
              </w:rPr>
              <w:t>Series C</w:t>
            </w:r>
          </w:p>
        </w:tc>
        <w:tc>
          <w:tcPr>
            <w:tcW w:w="4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100" w:type="dxa"/>
            <w:vAlign w:val="bottom"/>
            <w:gridSpan w:val="3"/>
          </w:tcPr>
          <w:p>
            <w:pPr>
              <w:jc w:val="center"/>
              <w:ind w:left="333"/>
              <w:spacing w:after="0"/>
              <w:rPr>
                <w:sz w:val="20"/>
                <w:szCs w:val="20"/>
                <w:color w:val="auto"/>
              </w:rPr>
            </w:pPr>
            <w:r>
              <w:rPr>
                <w:rFonts w:ascii="Arial" w:cs="Arial" w:eastAsia="Arial" w:hAnsi="Arial"/>
                <w:sz w:val="13"/>
                <w:szCs w:val="13"/>
                <w:b w:val="1"/>
                <w:bCs w:val="1"/>
                <w:color w:val="auto"/>
                <w:w w:val="91"/>
              </w:rPr>
              <w:t>Redeemable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left="333"/>
              <w:spacing w:after="0"/>
              <w:rPr>
                <w:sz w:val="20"/>
                <w:szCs w:val="20"/>
                <w:color w:val="auto"/>
              </w:rPr>
            </w:pPr>
            <w:r>
              <w:rPr>
                <w:rFonts w:ascii="Arial" w:cs="Arial" w:eastAsia="Arial" w:hAnsi="Arial"/>
                <w:sz w:val="13"/>
                <w:szCs w:val="13"/>
                <w:b w:val="1"/>
                <w:bCs w:val="1"/>
                <w:color w:val="auto"/>
                <w:w w:val="91"/>
              </w:rPr>
              <w:t>Redeemable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left="333"/>
              <w:spacing w:after="0"/>
              <w:rPr>
                <w:sz w:val="20"/>
                <w:szCs w:val="20"/>
                <w:color w:val="auto"/>
              </w:rPr>
            </w:pPr>
            <w:r>
              <w:rPr>
                <w:rFonts w:ascii="Arial" w:cs="Arial" w:eastAsia="Arial" w:hAnsi="Arial"/>
                <w:sz w:val="13"/>
                <w:szCs w:val="13"/>
                <w:b w:val="1"/>
                <w:bCs w:val="1"/>
                <w:color w:val="auto"/>
                <w:w w:val="91"/>
              </w:rPr>
              <w:t>Redeemable</w:t>
            </w:r>
          </w:p>
        </w:tc>
        <w:tc>
          <w:tcPr>
            <w:tcW w:w="4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100" w:type="dxa"/>
            <w:vAlign w:val="bottom"/>
            <w:gridSpan w:val="3"/>
          </w:tcPr>
          <w:p>
            <w:pPr>
              <w:jc w:val="center"/>
              <w:ind w:left="313"/>
              <w:spacing w:after="0"/>
              <w:rPr>
                <w:sz w:val="20"/>
                <w:szCs w:val="20"/>
                <w:color w:val="auto"/>
              </w:rPr>
            </w:pPr>
            <w:r>
              <w:rPr>
                <w:rFonts w:ascii="Arial" w:cs="Arial" w:eastAsia="Arial" w:hAnsi="Arial"/>
                <w:sz w:val="13"/>
                <w:szCs w:val="13"/>
                <w:b w:val="1"/>
                <w:bCs w:val="1"/>
                <w:color w:val="auto"/>
                <w:w w:val="95"/>
              </w:rPr>
              <w:t>Convertible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left="313"/>
              <w:spacing w:after="0"/>
              <w:rPr>
                <w:sz w:val="20"/>
                <w:szCs w:val="20"/>
                <w:color w:val="auto"/>
              </w:rPr>
            </w:pPr>
            <w:r>
              <w:rPr>
                <w:rFonts w:ascii="Arial" w:cs="Arial" w:eastAsia="Arial" w:hAnsi="Arial"/>
                <w:sz w:val="13"/>
                <w:szCs w:val="13"/>
                <w:b w:val="1"/>
                <w:bCs w:val="1"/>
                <w:color w:val="auto"/>
                <w:w w:val="95"/>
              </w:rPr>
              <w:t>Convertible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left="313"/>
              <w:spacing w:after="0"/>
              <w:rPr>
                <w:sz w:val="20"/>
                <w:szCs w:val="20"/>
                <w:color w:val="auto"/>
              </w:rPr>
            </w:pPr>
            <w:r>
              <w:rPr>
                <w:rFonts w:ascii="Arial" w:cs="Arial" w:eastAsia="Arial" w:hAnsi="Arial"/>
                <w:sz w:val="13"/>
                <w:szCs w:val="13"/>
                <w:b w:val="1"/>
                <w:bCs w:val="1"/>
                <w:color w:val="auto"/>
                <w:w w:val="95"/>
              </w:rPr>
              <w:t>Convertible</w:t>
            </w:r>
          </w:p>
        </w:tc>
        <w:tc>
          <w:tcPr>
            <w:tcW w:w="4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ind w:left="16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61"/>
        </w:trPr>
        <w:tc>
          <w:tcPr>
            <w:tcW w:w="2060" w:type="dxa"/>
            <w:vAlign w:val="bottom"/>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160" w:type="dxa"/>
            <w:vAlign w:val="bottom"/>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160" w:type="dxa"/>
            <w:vAlign w:val="bottom"/>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160" w:type="dxa"/>
            <w:vAlign w:val="bottom"/>
            <w:tcBorders>
              <w:right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Arial" w:cs="Arial" w:eastAsia="Arial" w:hAnsi="Arial"/>
                <w:sz w:val="13"/>
                <w:szCs w:val="13"/>
                <w:b w:val="1"/>
                <w:bCs w:val="1"/>
                <w:color w:val="auto"/>
              </w:rPr>
              <w:t>Paid-</w:t>
            </w:r>
          </w:p>
        </w:tc>
        <w:tc>
          <w:tcPr>
            <w:tcW w:w="1080" w:type="dxa"/>
            <w:vAlign w:val="bottom"/>
            <w:gridSpan w:val="4"/>
          </w:tcPr>
          <w:p>
            <w:pPr>
              <w:ind w:left="16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206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Borders>
              <w:bottom w:val="single" w:sz="8" w:color="CFF0FC"/>
              <w:right w:val="single" w:sz="8" w:color="auto"/>
            </w:tcBorders>
          </w:tcPr>
          <w:p>
            <w:pPr>
              <w:spacing w:after="0"/>
              <w:rPr>
                <w:sz w:val="13"/>
                <w:szCs w:val="13"/>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in Capital</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Deficit</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9"/>
              </w:rPr>
              <w:t>(Deficit)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2019</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17,834,570</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6"/>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168,746</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(114,219)</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54,545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from</w:t>
            </w:r>
          </w:p>
        </w:tc>
        <w:tc>
          <w:tcPr>
            <w:tcW w:w="76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exercise of stock</w:t>
            </w: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options</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18,343</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tcPr>
          <w:p>
            <w:pPr>
              <w:spacing w:after="0"/>
              <w:rPr>
                <w:sz w:val="20"/>
                <w:szCs w:val="20"/>
                <w:color w:val="auto"/>
              </w:rPr>
            </w:pPr>
            <w:r>
              <w:rPr>
                <w:rFonts w:ascii="Arial" w:cs="Arial" w:eastAsia="Arial" w:hAnsi="Arial"/>
                <w:sz w:val="13"/>
                <w:szCs w:val="13"/>
                <w:color w:val="auto"/>
              </w:rPr>
              <w:t>Issuance of common stock from</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20"/>
                <w:szCs w:val="20"/>
                <w:color w:val="auto"/>
              </w:rPr>
            </w:pPr>
            <w:r>
              <w:rPr>
                <w:rFonts w:ascii="Arial" w:cs="Arial" w:eastAsia="Arial" w:hAnsi="Arial"/>
                <w:sz w:val="13"/>
                <w:szCs w:val="13"/>
                <w:color w:val="auto"/>
              </w:rPr>
              <w:t>employee stock</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tcPr>
          <w:p>
            <w:pPr>
              <w:ind w:left="100"/>
              <w:spacing w:after="0"/>
              <w:rPr>
                <w:sz w:val="20"/>
                <w:szCs w:val="20"/>
                <w:color w:val="auto"/>
              </w:rPr>
            </w:pPr>
            <w:r>
              <w:rPr>
                <w:rFonts w:ascii="Arial" w:cs="Arial" w:eastAsia="Arial" w:hAnsi="Arial"/>
                <w:sz w:val="13"/>
                <w:szCs w:val="13"/>
                <w:color w:val="auto"/>
              </w:rPr>
              <w:t>purchase plan</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1,397</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under</w:t>
            </w:r>
          </w:p>
        </w:tc>
        <w:tc>
          <w:tcPr>
            <w:tcW w:w="76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the at-the-market sales</w:t>
            </w: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agreement, net of commissions</w:t>
            </w: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and fees</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466,758</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2,364</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20"/>
                <w:szCs w:val="20"/>
                <w:color w:val="auto"/>
              </w:rPr>
            </w:pPr>
            <w:r>
              <w:rPr>
                <w:rFonts w:ascii="Arial" w:cs="Arial" w:eastAsia="Arial" w:hAnsi="Arial"/>
                <w:sz w:val="13"/>
                <w:szCs w:val="13"/>
                <w:color w:val="auto"/>
              </w:rPr>
              <w:t>Net loss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(23,235)</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(23,235)</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September 30, 2020</w:t>
            </w: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60" w:type="dxa"/>
            <w:vAlign w:val="bottom"/>
            <w:vMerge w:val="continue"/>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18,321,068</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6"/>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173,054</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(137,454)</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35,618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right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December 31, 2018</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15,387,923</w:t>
            </w:r>
          </w:p>
        </w:tc>
        <w:tc>
          <w:tcPr>
            <w:tcW w:w="18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21,033</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22,608,695</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33,686</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38,097,672</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61,023</w:t>
            </w:r>
          </w:p>
        </w:tc>
        <w:tc>
          <w:tcPr>
            <w:tcW w:w="160" w:type="dxa"/>
            <w:vAlign w:val="bottom"/>
            <w:tcBorders>
              <w:right w:val="single" w:sz="8" w:color="auto"/>
            </w:tcBorders>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438,600</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226"/>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(109,498)</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(109,494)</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754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from</w:t>
            </w:r>
          </w:p>
        </w:tc>
        <w:tc>
          <w:tcPr>
            <w:tcW w:w="76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exercise of stock</w:t>
            </w: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options</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14,736</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tcPr>
          <w:p>
            <w:pPr>
              <w:spacing w:after="0"/>
              <w:rPr>
                <w:sz w:val="20"/>
                <w:szCs w:val="20"/>
                <w:color w:val="auto"/>
              </w:rPr>
            </w:pPr>
            <w:r>
              <w:rPr>
                <w:rFonts w:ascii="Arial" w:cs="Arial" w:eastAsia="Arial" w:hAnsi="Arial"/>
                <w:sz w:val="13"/>
                <w:szCs w:val="13"/>
                <w:color w:val="auto"/>
              </w:rPr>
              <w:t>Issuance of Series C redeemable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20"/>
                <w:szCs w:val="20"/>
                <w:color w:val="auto"/>
              </w:rPr>
            </w:pPr>
            <w:r>
              <w:rPr>
                <w:rFonts w:ascii="Arial" w:cs="Arial" w:eastAsia="Arial" w:hAnsi="Arial"/>
                <w:sz w:val="13"/>
                <w:szCs w:val="13"/>
                <w:color w:val="auto"/>
              </w:rPr>
              <w:t>convertible preferred</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tcPr>
          <w:p>
            <w:pPr>
              <w:ind w:left="100"/>
              <w:spacing w:after="0"/>
              <w:rPr>
                <w:sz w:val="20"/>
                <w:szCs w:val="20"/>
                <w:color w:val="auto"/>
              </w:rPr>
            </w:pPr>
            <w:r>
              <w:rPr>
                <w:rFonts w:ascii="Arial" w:cs="Arial" w:eastAsia="Arial" w:hAnsi="Arial"/>
                <w:sz w:val="13"/>
                <w:szCs w:val="13"/>
                <w:color w:val="auto"/>
              </w:rPr>
              <w:t>stock, net of issuance costs</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6,849,315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0"/>
              </w:rPr>
              <w:t>11,059</w:t>
            </w:r>
          </w:p>
        </w:tc>
        <w:tc>
          <w:tcPr>
            <w:tcW w:w="160" w:type="dxa"/>
            <w:vAlign w:val="bottom"/>
            <w:tcBorders>
              <w:right w:val="single" w:sz="8" w:color="auto"/>
            </w:tcBorders>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Dividends accrued on redeemable</w:t>
            </w:r>
          </w:p>
        </w:tc>
        <w:tc>
          <w:tcPr>
            <w:tcW w:w="76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convertible preferred</w:t>
            </w: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5,406,844</w:t>
            </w: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6,478,999</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551</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3,792,386</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1,362</w:t>
            </w:r>
          </w:p>
        </w:tc>
        <w:tc>
          <w:tcPr>
            <w:tcW w:w="160" w:type="dxa"/>
            <w:vAlign w:val="bottom"/>
            <w:tcBorders>
              <w:right w:val="single" w:sz="8" w:color="auto"/>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(2,239)</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(2,239)</w:t>
            </w:r>
          </w:p>
        </w:tc>
        <w:tc>
          <w:tcPr>
            <w:tcW w:w="0" w:type="dxa"/>
            <w:vAlign w:val="bottom"/>
          </w:tcPr>
          <w:p>
            <w:pPr>
              <w:spacing w:after="0"/>
              <w:rPr>
                <w:sz w:val="1"/>
                <w:szCs w:val="1"/>
                <w:color w:val="auto"/>
              </w:rPr>
            </w:pPr>
          </w:p>
        </w:tc>
      </w:tr>
      <w:tr>
        <w:trPr>
          <w:trHeight w:val="151"/>
        </w:trPr>
        <w:tc>
          <w:tcPr>
            <w:tcW w:w="2060" w:type="dxa"/>
            <w:vAlign w:val="bottom"/>
          </w:tcPr>
          <w:p>
            <w:pPr>
              <w:spacing w:after="0"/>
              <w:rPr>
                <w:sz w:val="20"/>
                <w:szCs w:val="20"/>
                <w:color w:val="auto"/>
              </w:rPr>
            </w:pPr>
            <w:r>
              <w:rPr>
                <w:rFonts w:ascii="Arial" w:cs="Arial" w:eastAsia="Arial" w:hAnsi="Arial"/>
                <w:sz w:val="13"/>
                <w:szCs w:val="13"/>
                <w:color w:val="auto"/>
              </w:rPr>
              <w:t>Accretion (amortization) of</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20"/>
                <w:szCs w:val="20"/>
                <w:color w:val="auto"/>
              </w:rPr>
            </w:pPr>
            <w:r>
              <w:rPr>
                <w:rFonts w:ascii="Arial" w:cs="Arial" w:eastAsia="Arial" w:hAnsi="Arial"/>
                <w:sz w:val="13"/>
                <w:szCs w:val="13"/>
                <w:color w:val="auto"/>
              </w:rPr>
              <w:t>premium (discount) on</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ind w:left="100"/>
              <w:spacing w:after="0"/>
              <w:rPr>
                <w:sz w:val="20"/>
                <w:szCs w:val="20"/>
                <w:color w:val="auto"/>
              </w:rPr>
            </w:pPr>
            <w:r>
              <w:rPr>
                <w:rFonts w:ascii="Arial" w:cs="Arial" w:eastAsia="Arial" w:hAnsi="Arial"/>
                <w:sz w:val="13"/>
                <w:szCs w:val="13"/>
                <w:color w:val="auto"/>
              </w:rPr>
              <w:t>issuance of redeemable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20"/>
                <w:szCs w:val="20"/>
                <w:color w:val="auto"/>
              </w:rPr>
            </w:pPr>
            <w:r>
              <w:rPr>
                <w:rFonts w:ascii="Arial" w:cs="Arial" w:eastAsia="Arial" w:hAnsi="Arial"/>
                <w:sz w:val="13"/>
                <w:szCs w:val="13"/>
                <w:color w:val="auto"/>
              </w:rPr>
              <w:t>convertible preferred</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tcPr>
          <w:p>
            <w:pPr>
              <w:ind w:left="100"/>
              <w:spacing w:after="0"/>
              <w:rPr>
                <w:sz w:val="20"/>
                <w:szCs w:val="20"/>
                <w:color w:val="auto"/>
              </w:rPr>
            </w:pPr>
            <w:r>
              <w:rPr>
                <w:rFonts w:ascii="Arial" w:cs="Arial" w:eastAsia="Arial" w:hAnsi="Arial"/>
                <w:sz w:val="13"/>
                <w:szCs w:val="13"/>
                <w:color w:val="auto"/>
              </w:rPr>
              <w:t>stock</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(7)</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31</w:t>
            </w:r>
          </w:p>
        </w:tc>
        <w:tc>
          <w:tcPr>
            <w:tcW w:w="16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1"/>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Accretion of discount on investor</w:t>
            </w:r>
          </w:p>
        </w:tc>
        <w:tc>
          <w:tcPr>
            <w:tcW w:w="76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rights/obligation</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w:t>
            </w: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w:t>
            </w:r>
          </w:p>
        </w:tc>
        <w:tc>
          <w:tcPr>
            <w:tcW w:w="16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(201)</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1"/>
        </w:trPr>
        <w:tc>
          <w:tcPr>
            <w:tcW w:w="2060" w:type="dxa"/>
            <w:vAlign w:val="bottom"/>
          </w:tcPr>
          <w:p>
            <w:pPr>
              <w:spacing w:after="0"/>
              <w:rPr>
                <w:sz w:val="20"/>
                <w:szCs w:val="20"/>
                <w:color w:val="auto"/>
              </w:rPr>
            </w:pPr>
            <w:r>
              <w:rPr>
                <w:rFonts w:ascii="Arial" w:cs="Arial" w:eastAsia="Arial" w:hAnsi="Arial"/>
                <w:sz w:val="13"/>
                <w:szCs w:val="13"/>
                <w:color w:val="auto"/>
              </w:rPr>
              <w:t>Adjustment for excess (shortfall) of</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20"/>
                <w:szCs w:val="20"/>
                <w:color w:val="auto"/>
              </w:rPr>
            </w:pPr>
            <w:r>
              <w:rPr>
                <w:rFonts w:ascii="Arial" w:cs="Arial" w:eastAsia="Arial" w:hAnsi="Arial"/>
                <w:sz w:val="13"/>
                <w:szCs w:val="13"/>
                <w:color w:val="auto"/>
              </w:rPr>
              <w:t>fair value over</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100"/>
              <w:spacing w:after="0"/>
              <w:rPr>
                <w:sz w:val="20"/>
                <w:szCs w:val="20"/>
                <w:color w:val="auto"/>
              </w:rPr>
            </w:pPr>
            <w:r>
              <w:rPr>
                <w:rFonts w:ascii="Arial" w:cs="Arial" w:eastAsia="Arial" w:hAnsi="Arial"/>
                <w:sz w:val="13"/>
                <w:szCs w:val="13"/>
                <w:color w:val="auto"/>
              </w:rPr>
              <w:t>liquidation value of redeemable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20"/>
                <w:szCs w:val="20"/>
                <w:color w:val="auto"/>
              </w:rPr>
            </w:pPr>
            <w:r>
              <w:rPr>
                <w:rFonts w:ascii="Arial" w:cs="Arial" w:eastAsia="Arial" w:hAnsi="Arial"/>
                <w:sz w:val="13"/>
                <w:szCs w:val="13"/>
                <w:color w:val="auto"/>
              </w:rPr>
              <w:t>convertible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tcPr>
          <w:p>
            <w:pPr>
              <w:ind w:left="100"/>
              <w:spacing w:after="0"/>
              <w:rPr>
                <w:sz w:val="20"/>
                <w:szCs w:val="20"/>
                <w:color w:val="auto"/>
              </w:rPr>
            </w:pPr>
            <w:r>
              <w:rPr>
                <w:rFonts w:ascii="Arial" w:cs="Arial" w:eastAsia="Arial" w:hAnsi="Arial"/>
                <w:sz w:val="13"/>
                <w:szCs w:val="13"/>
                <w:color w:val="auto"/>
              </w:rPr>
              <w:t>preferred stock</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(651)</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(940)</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(403)</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1,994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Accretion of issuance costs on</w:t>
            </w:r>
          </w:p>
        </w:tc>
        <w:tc>
          <w:tcPr>
            <w:tcW w:w="76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redeemable convertible</w:t>
            </w: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preferred stock</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w:t>
            </w:r>
          </w:p>
        </w:tc>
        <w:tc>
          <w:tcPr>
            <w:tcW w:w="160" w:type="dxa"/>
            <w:vAlign w:val="bottom"/>
            <w:tcBorders>
              <w:right w:val="single" w:sz="8" w:color="auto"/>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(234)</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51"/>
        </w:trPr>
        <w:tc>
          <w:tcPr>
            <w:tcW w:w="2060" w:type="dxa"/>
            <w:vAlign w:val="bottom"/>
          </w:tcPr>
          <w:p>
            <w:pPr>
              <w:spacing w:after="0"/>
              <w:rPr>
                <w:sz w:val="20"/>
                <w:szCs w:val="20"/>
                <w:color w:val="auto"/>
              </w:rPr>
            </w:pPr>
            <w:r>
              <w:rPr>
                <w:rFonts w:ascii="Arial" w:cs="Arial" w:eastAsia="Arial" w:hAnsi="Arial"/>
                <w:sz w:val="13"/>
                <w:szCs w:val="13"/>
                <w:color w:val="auto"/>
              </w:rPr>
              <w:t>Conversion of redeemable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20"/>
                <w:szCs w:val="20"/>
                <w:color w:val="auto"/>
              </w:rPr>
            </w:pPr>
            <w:r>
              <w:rPr>
                <w:rFonts w:ascii="Arial" w:cs="Arial" w:eastAsia="Arial" w:hAnsi="Arial"/>
                <w:sz w:val="13"/>
                <w:szCs w:val="13"/>
                <w:color w:val="auto"/>
              </w:rPr>
              <w:t>convertible preferred stock to</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100"/>
              <w:spacing w:after="0"/>
              <w:rPr>
                <w:sz w:val="20"/>
                <w:szCs w:val="20"/>
                <w:color w:val="auto"/>
              </w:rPr>
            </w:pPr>
            <w:r>
              <w:rPr>
                <w:rFonts w:ascii="Arial" w:cs="Arial" w:eastAsia="Arial" w:hAnsi="Arial"/>
                <w:sz w:val="13"/>
                <w:szCs w:val="13"/>
                <w:color w:val="auto"/>
              </w:rPr>
              <w:t>common stock in connection with</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20"/>
                <w:szCs w:val="20"/>
                <w:color w:val="auto"/>
              </w:rPr>
            </w:pPr>
            <w:r>
              <w:rPr>
                <w:rFonts w:ascii="Arial" w:cs="Arial" w:eastAsia="Arial" w:hAnsi="Arial"/>
                <w:sz w:val="13"/>
                <w:szCs w:val="13"/>
                <w:color w:val="auto"/>
              </w:rPr>
              <w:t>initial public</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tcPr>
          <w:p>
            <w:pPr>
              <w:ind w:left="100"/>
              <w:spacing w:after="0"/>
              <w:rPr>
                <w:sz w:val="20"/>
                <w:szCs w:val="20"/>
                <w:color w:val="auto"/>
              </w:rPr>
            </w:pPr>
            <w:r>
              <w:rPr>
                <w:rFonts w:ascii="Arial" w:cs="Arial" w:eastAsia="Arial" w:hAnsi="Arial"/>
                <w:sz w:val="13"/>
                <w:szCs w:val="13"/>
                <w:color w:val="auto"/>
              </w:rPr>
              <w:t>offering</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(20,794,767)</w:t>
            </w: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(20,792)</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(29,087,694)</w:t>
            </w: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(33,449)</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(48,739,373)</w:t>
            </w:r>
          </w:p>
        </w:tc>
        <w:tc>
          <w:tcPr>
            <w:tcW w:w="72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(73,264)</w:t>
            </w:r>
          </w:p>
        </w:tc>
        <w:tc>
          <w:tcPr>
            <w:tcW w:w="720" w:type="dxa"/>
            <w:vAlign w:val="bottom"/>
          </w:tcPr>
          <w:p>
            <w:pPr>
              <w:jc w:val="right"/>
              <w:spacing w:after="0"/>
              <w:rPr>
                <w:sz w:val="20"/>
                <w:szCs w:val="20"/>
                <w:color w:val="auto"/>
              </w:rPr>
            </w:pPr>
            <w:r>
              <w:rPr>
                <w:rFonts w:ascii="Arial" w:cs="Arial" w:eastAsia="Arial" w:hAnsi="Arial"/>
                <w:sz w:val="13"/>
                <w:szCs w:val="13"/>
                <w:color w:val="auto"/>
              </w:rPr>
              <w:t>10,381,234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105,464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22,033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127,504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upon</w:t>
            </w:r>
          </w:p>
        </w:tc>
        <w:tc>
          <w:tcPr>
            <w:tcW w:w="76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completion of initial</w:t>
            </w: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public offering, net of</w:t>
            </w: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underwriting discounts and</w:t>
            </w: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commissions and issuance costs</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5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48,169</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48,174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60" w:type="dxa"/>
            <w:vAlign w:val="bottom"/>
          </w:tcPr>
          <w:p>
            <w:pPr>
              <w:spacing w:after="0"/>
              <w:rPr>
                <w:sz w:val="20"/>
                <w:szCs w:val="20"/>
                <w:color w:val="auto"/>
              </w:rPr>
            </w:pPr>
            <w:r>
              <w:rPr>
                <w:rFonts w:ascii="Arial" w:cs="Arial" w:eastAsia="Arial" w:hAnsi="Arial"/>
                <w:sz w:val="13"/>
                <w:szCs w:val="13"/>
                <w:color w:val="auto"/>
              </w:rPr>
              <w:t>Issuance of common stock upon</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20"/>
                <w:szCs w:val="20"/>
                <w:color w:val="auto"/>
              </w:rPr>
            </w:pPr>
            <w:r>
              <w:rPr>
                <w:rFonts w:ascii="Arial" w:cs="Arial" w:eastAsia="Arial" w:hAnsi="Arial"/>
                <w:sz w:val="13"/>
                <w:szCs w:val="13"/>
                <w:color w:val="auto"/>
              </w:rPr>
              <w:t>completion of private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100"/>
              <w:spacing w:after="0"/>
              <w:rPr>
                <w:sz w:val="20"/>
                <w:szCs w:val="20"/>
                <w:color w:val="auto"/>
              </w:rPr>
            </w:pPr>
            <w:r>
              <w:rPr>
                <w:rFonts w:ascii="Arial" w:cs="Arial" w:eastAsia="Arial" w:hAnsi="Arial"/>
                <w:sz w:val="13"/>
                <w:szCs w:val="13"/>
                <w:color w:val="auto"/>
              </w:rPr>
              <w:t>placement, net of private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tcPr>
          <w:p>
            <w:pPr>
              <w:spacing w:after="0"/>
              <w:rPr>
                <w:sz w:val="20"/>
                <w:szCs w:val="20"/>
                <w:color w:val="auto"/>
              </w:rPr>
            </w:pPr>
            <w:r>
              <w:rPr>
                <w:rFonts w:ascii="Arial" w:cs="Arial" w:eastAsia="Arial" w:hAnsi="Arial"/>
                <w:sz w:val="13"/>
                <w:szCs w:val="13"/>
                <w:color w:val="auto"/>
              </w:rPr>
              <w:t>placement agent fees</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13,948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13,950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auto"/>
            </w:tcBorders>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(19,513)</w:t>
            </w: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(19,513)</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3"/>
                <w:szCs w:val="13"/>
                <w:b w:val="1"/>
                <w:bCs w:val="1"/>
                <w:color w:val="auto"/>
              </w:rPr>
              <w:t>Balance at September 30, 2019</w:t>
            </w: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60" w:type="dxa"/>
            <w:vAlign w:val="bottom"/>
            <w:vMerge w:val="continue"/>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jc w:val="right"/>
              <w:ind w:right="44"/>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44"/>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44"/>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17,834,570</w:t>
            </w:r>
          </w:p>
        </w:tc>
        <w:tc>
          <w:tcPr>
            <w:tcW w:w="16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18</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168,373</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(107,682)</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60,709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Nine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Net loss</w:t>
            </w:r>
          </w:p>
        </w:tc>
        <w:tc>
          <w:tcPr>
            <w:tcW w:w="980" w:type="dxa"/>
            <w:vAlign w:val="bottom"/>
          </w:tcPr>
          <w:p>
            <w:pPr>
              <w:jc w:val="right"/>
              <w:ind w:right="796"/>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w w:val="97"/>
              </w:rPr>
              <w:t>(23,235)</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(19,513)</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Depreciation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fair value of obligation for loan success fee</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Accretion/accrual of term loan discounts and debt issuance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Stock-based compensation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Receivables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Prepaid expenses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(176)</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Accounts payable</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(341)</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Accrued expenses and other expenses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1,168</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Net cash used in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8"/>
              </w:rPr>
              <w:t>(20,076)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Acquisitions of property, equipment and leasehold improvements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(27)</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w:t>
            </w:r>
          </w:p>
        </w:tc>
        <w:tc>
          <w:tcPr>
            <w:tcW w:w="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Financing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Payment of loan success fee</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term loan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Financing costs of term loan</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(53)</w:t>
            </w: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at-the-market sales, net commissions and fees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Proceeds from exercises of stock options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the employee stock purchase plan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7720" w:type="dxa"/>
            <w:vAlign w:val="bottom"/>
          </w:tcPr>
          <w:p>
            <w:pPr>
              <w:spacing w:after="0"/>
              <w:rPr>
                <w:sz w:val="20"/>
                <w:szCs w:val="20"/>
                <w:color w:val="auto"/>
              </w:rPr>
            </w:pPr>
            <w:r>
              <w:rPr>
                <w:rFonts w:ascii="Arial" w:cs="Arial" w:eastAsia="Arial" w:hAnsi="Arial"/>
                <w:sz w:val="17"/>
                <w:szCs w:val="17"/>
                <w:color w:val="auto"/>
              </w:rPr>
              <w:t>Proceeds from sale of Series C redeemable convertible preferred stock, net of</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20" w:type="dxa"/>
            <w:vAlign w:val="bottom"/>
          </w:tcPr>
          <w:p>
            <w:pPr>
              <w:ind w:left="140"/>
              <w:spacing w:after="0"/>
              <w:rPr>
                <w:sz w:val="20"/>
                <w:szCs w:val="20"/>
                <w:color w:val="auto"/>
              </w:rPr>
            </w:pPr>
            <w:r>
              <w:rPr>
                <w:rFonts w:ascii="Arial" w:cs="Arial" w:eastAsia="Arial" w:hAnsi="Arial"/>
                <w:sz w:val="17"/>
                <w:szCs w:val="17"/>
                <w:color w:val="auto"/>
              </w:rPr>
              <w:t>issuance costs</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issuance of common stock upon completion of initial public offering, net</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of underwriting commissions and discounts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color w:val="auto"/>
              </w:rPr>
              <w:t>Proceeds from private placement, net of private placement agent fees</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Payments of offering costs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(343)</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(1,213)</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financing activities</w:t>
            </w: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16,083</w:t>
            </w:r>
          </w:p>
        </w:tc>
        <w:tc>
          <w:tcPr>
            <w:tcW w:w="28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73,213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Net cash increase (decrease)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56,313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57,313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53,293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63,515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2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Interest paid</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Supplemental disclosure of non-cash financing activities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2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Offering costs included in accounts payable and accrued expenses</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color w:val="auto"/>
              </w:rPr>
              <w:t>Financing costs included in accounts payable and accrued expenses</w:t>
            </w: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vMerge w:val="continue"/>
          </w:tcPr>
          <w:p>
            <w:pPr>
              <w:spacing w:after="0"/>
              <w:rPr>
                <w:sz w:val="20"/>
                <w:szCs w:val="20"/>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280" w:type="dxa"/>
            <w:vAlign w:val="bottom"/>
            <w:tcBorders>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20" w:type="dxa"/>
            <w:vAlign w:val="bottom"/>
            <w:tcBorders>
              <w:bottom w:val="single" w:sz="8" w:color="CFF0FC"/>
            </w:tcBorders>
            <w:shd w:val="clear" w:color="auto" w:fill="CFF0FC"/>
          </w:tcPr>
          <w:p>
            <w:pPr>
              <w:spacing w:after="0" w:line="193" w:lineRule="exact"/>
              <w:rPr>
                <w:sz w:val="20"/>
                <w:szCs w:val="20"/>
                <w:color w:val="auto"/>
              </w:rPr>
            </w:pPr>
            <w:r>
              <w:rPr>
                <w:rFonts w:ascii="Arial" w:cs="Arial" w:eastAsia="Arial" w:hAnsi="Arial"/>
                <w:sz w:val="17"/>
                <w:szCs w:val="17"/>
                <w:color w:val="auto"/>
              </w:rPr>
              <w:t>Accretion on redeemable convertible preferred stock</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color w:val="auto"/>
              </w:rPr>
              <w:t>Dividends accrued on redeemable convertible preferred stock</w:t>
            </w:r>
          </w:p>
        </w:tc>
        <w:tc>
          <w:tcPr>
            <w:tcW w:w="9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Trevi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Trevi Therapeutics, Inc. (“Trevi” or the “Company”) is a clinical-stage biopharmaceutical company focused on the development and commercialization of Haduvio (nalbuphine ER) to treat serious neurologically mediated conditions. The Company is currently developing Haduvio for the treatment of chronic pruritus, chronic cough in patients with idiopathic pulmonary fibrosis (“IPF”), and levodopa-induced dyskinesia (“LID”) in patients with Parkinson’s disease.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p>
    <w:p>
      <w:pPr>
        <w:spacing w:after="0" w:line="192" w:lineRule="exact"/>
        <w:rPr>
          <w:sz w:val="20"/>
          <w:szCs w:val="20"/>
          <w:color w:val="auto"/>
        </w:rPr>
      </w:pPr>
    </w:p>
    <w:p>
      <w:pPr>
        <w:ind w:right="280" w:firstLine="510"/>
        <w:spacing w:after="0" w:line="275" w:lineRule="auto"/>
        <w:rPr>
          <w:sz w:val="20"/>
          <w:szCs w:val="20"/>
          <w:color w:val="auto"/>
        </w:rPr>
      </w:pPr>
      <w:r>
        <w:rPr>
          <w:rFonts w:ascii="Arial" w:cs="Arial" w:eastAsia="Arial" w:hAnsi="Arial"/>
          <w:sz w:val="17"/>
          <w:szCs w:val="17"/>
          <w:color w:val="auto"/>
        </w:rPr>
        <w:t>Haduvio is an oral extended release formulation of nalbuphine. Nalbuphine is a mixed κ-opioid receptor agonist and μ-opioid receptor antagonist that has been approved and marketed as an injectable for pain indications for more than 20 years in the United States and Europe. The κ- and μ-opioid receptors are known to be critical mediators of itch, cough and certain movement disorders. Nalbuphine’s mechanism of action also mitigates the risk of abuse associated with μ-opioid agonists because it antagonizes, or blocks, the μ-opioid receptor. Nalbuphine is currently the only opioid approved for marketing that is not classified as a controlled substance in the United States and most of Europe.</w:t>
      </w:r>
    </w:p>
    <w:p>
      <w:pPr>
        <w:spacing w:after="0" w:line="2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April 22, 2019, the Company filed an amendment to the Company’s amended and restated certificate of incorporation to effect a one-for 9.5 reverse stock split of the Company’s common stock, which resulted in a proportional adjustment to the existing conversion ratios for each series of the Company’s redeemable convertible preferred stock. Accordingly, all share and per share amounts in the Condensed Consolidated Financial Statements have been retrospectively adjusted, where applicable, to reflect the effect of the reverse stock split and adjustments of the redeemable convertible preferred stock conversion for all periods presented.</w:t>
      </w:r>
    </w:p>
    <w:p>
      <w:pPr>
        <w:spacing w:after="0" w:line="188"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The accompanying financial statements have been prepared on the basis of continuity of operations, realization of assets and the satisfaction of liabilities and commitments in the ordinary course of business. Since inception, the Company has financed its operations primarily through private placements of its redeemable convertible preferred stock and convertible notes as well as borrowings under term loan facilities, with proceeds from the Company’s initial public offering (“IPO”) and concurrent private placement completed in May 2019, and with sales of common stock under the Company’s sales agreement with SVB Leerink LLC (the “ATM Sales Agreement”). The Company has incurred recurring losses since inception, including net losses attributable to the Company of $23.2 million for the nine months ended September 30, 2020 and $26.1 million for the year ended December 31, 2019. In addition, as of September 30, 2020, the Company had an accumulated deficit of $137.5 million. The Company expects to continue to generate operating losses for the foreseeable future. As of November 12, 2020, the issuance date of these Condensed Consolidated Financial Statements, the Company expects that its cash and cash equivalents of $53.3 million as of September 30, 2020, will be sufficient to fund its operating expenses and capital expenditure requirements through at least 12 months from the date of issuance of these Condensed Consolidated Financial Statements.</w:t>
      </w:r>
    </w:p>
    <w:p>
      <w:pPr>
        <w:spacing w:after="0" w:line="272" w:lineRule="exact"/>
        <w:rPr>
          <w:sz w:val="20"/>
          <w:szCs w:val="20"/>
          <w:color w:val="auto"/>
        </w:rPr>
      </w:pPr>
    </w:p>
    <w:p>
      <w:pPr>
        <w:ind w:left="520" w:right="7360" w:hanging="512"/>
        <w:spacing w:after="0" w:line="378" w:lineRule="auto"/>
        <w:tabs>
          <w:tab w:leader="none" w:pos="51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80" w:firstLine="510"/>
        <w:spacing w:after="0" w:line="253" w:lineRule="auto"/>
        <w:rPr>
          <w:sz w:val="20"/>
          <w:szCs w:val="20"/>
          <w:color w:val="auto"/>
        </w:rPr>
      </w:pPr>
      <w:r>
        <w:rPr>
          <w:rFonts w:ascii="Arial" w:cs="Arial" w:eastAsia="Arial" w:hAnsi="Arial"/>
          <w:sz w:val="18"/>
          <w:szCs w:val="18"/>
          <w:color w:val="auto"/>
        </w:rPr>
        <w:t>The accompanying unaudited interim Condensed Consolidated Financial Statements for the three and nine months ended September 30, 2020 and 2019 included herein, have been prepared in accordance with accounting principles generally accepted in the United States of America (“GAAP”) for interim financial information and to the rules and regulations of the Securities and Exchange Commission (“SEC”) for interim information. Certain information and footnote disclosure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for the year ended December 31, 2019 included in the Company’s Annual Report on Form 10-K for the year ended December 31, 2019 (the “Annual Report on Form 10-K”). In the opinion of management, the unaudited Condensed Consolidated Financial Statements reflect all adjustments, which include normal recurring adjustments necessary for the fair presentation of the Company’s interim financial statements presented. The results of operations for the interim periods are not necessarily indicative of the results expected for the full year or any subsequent period.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10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170"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All amounts presented are in thousands of dollars, except share and per share amounts, unless noted otherwise. The Company has evaluated events occurring subsequent to September 30, 2020 for potential recognition or disclosure in the Condensed Consolidated Financial Statements and concluded there were no subsequent events that required recognition or disclosure other than those provided.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and the valuation of redeemable convertible preferred stock, common stock and stock-based awards. On an ongoing basis, management evaluates its estimates in light of changes in circumstances, facts and experience. Changes in estimates are recorded in the period in which they become known. Actual results could differ from those estimates.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The accompanying interim Condensed Consolidated Balance Sheet as of September 30, 2020, the Condensed Consolidated Statements of Operations and the Condensed Consolidated Statements of Redeemable Convertible Preferred Stock and Stockholders’ Equity (Deficit) for the three and nine months ended September 30, 2020 and 2019, and the Condensed Consolidated Statements of Cash Flows for the nine months ended September 30, 2020 and 2019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September 30, 2020, the results of its operations for the three and nine months ended September 30, 2020 and 2019, and its cash flows for the nine months ended September 30, 2020 and 2019. The results for the three and nine months ended September 30, 2020 and 2019 are not necessarily indicative of results to be expected for the year ending December 31, 2020, any other interim period, or any future year or period.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 Company’s financial instruments have consisted of cash and cash equivalents, tax credit and other receivables, accounts payable, accrued expenses, term loans, term loan derivative liability and obligation for loan success fee (Note 6). Fair value estimates of these instruments are made at a specific point in time, based on relevant market information. The carrying amounts of cash and cash equivalents, tax credit and other receivables, accounts payable and accrued expenses are generally considered to be representative of their respective fair values because of the short-term nature of those instruments. The carrying amount of the term loan approximates its fair value due to its floating market-based interest rate. The fair value of the term loan derivative liability is estimated utilizing a probability-weighted cash flow approach (Note 6).</w:t>
      </w:r>
    </w:p>
    <w:p>
      <w:pPr>
        <w:spacing w:after="0" w:line="218"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 xml:space="preserve">Current accounting guidance defines fair value, establishes a framework for measuring fair value in accordance with Accounting Standards Codification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40"/>
        <w:spacing w:after="0" w:line="263"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7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220" w:firstLine="510"/>
        <w:spacing w:after="0" w:line="308" w:lineRule="auto"/>
        <w:rPr>
          <w:sz w:val="20"/>
          <w:szCs w:val="20"/>
          <w:color w:val="auto"/>
        </w:rPr>
      </w:pPr>
      <w:r>
        <w:rPr>
          <w:rFonts w:ascii="Arial" w:cs="Arial" w:eastAsia="Arial" w:hAnsi="Arial"/>
          <w:sz w:val="17"/>
          <w:szCs w:val="17"/>
          <w:color w:val="auto"/>
        </w:rPr>
        <w:t>The following table summarizes the financial liabilities measured at fair value on a recurring basis as of September 30, 2020 and the basis for that measurement, by level within the fair value hierarchy (Note 6). There were no such financial liabilities as of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86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Term loan derivative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a roll-forward of the fair value of Level 3 instruments (significant unobservable inputs):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1500" w:type="dxa"/>
            <w:vAlign w:val="bottom"/>
            <w:tcBorders>
              <w:bottom w:val="single" w:sz="8" w:color="CFF0FC"/>
            </w:tcBorders>
          </w:tcPr>
          <w:p>
            <w:pPr>
              <w:spacing w:after="0"/>
              <w:rPr>
                <w:sz w:val="13"/>
                <w:szCs w:val="13"/>
                <w:color w:val="auto"/>
              </w:rPr>
            </w:pPr>
          </w:p>
        </w:tc>
        <w:tc>
          <w:tcPr>
            <w:tcW w:w="526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0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60" w:type="dxa"/>
            <w:vAlign w:val="bottom"/>
            <w:gridSpan w:val="2"/>
          </w:tcPr>
          <w:p>
            <w:pPr>
              <w:spacing w:after="0"/>
              <w:rPr>
                <w:sz w:val="20"/>
                <w:szCs w:val="20"/>
                <w:color w:val="auto"/>
              </w:rPr>
            </w:pPr>
            <w:r>
              <w:rPr>
                <w:rFonts w:ascii="Arial" w:cs="Arial" w:eastAsia="Arial" w:hAnsi="Arial"/>
                <w:sz w:val="18"/>
                <w:szCs w:val="18"/>
                <w:color w:val="auto"/>
              </w:rPr>
              <w:t>Balance at beginning of year</w:t>
            </w:r>
            <w:r>
              <w:rPr>
                <w:rFonts w:ascii="Arial" w:cs="Arial" w:eastAsia="Arial" w:hAnsi="Arial"/>
                <w:sz w:val="15"/>
                <w:szCs w:val="15"/>
                <w:color w:val="auto"/>
              </w:rPr>
              <w:t>(1)</w:t>
            </w:r>
          </w:p>
        </w:tc>
        <w:tc>
          <w:tcPr>
            <w:tcW w:w="224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r>
      <w:tr>
        <w:trPr>
          <w:trHeight w:val="230"/>
        </w:trPr>
        <w:tc>
          <w:tcPr>
            <w:tcW w:w="6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Term loan derivative liability</w:t>
            </w:r>
          </w:p>
        </w:tc>
        <w:tc>
          <w:tcPr>
            <w:tcW w:w="10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gridSpan w:val="2"/>
          </w:tcPr>
          <w:p>
            <w:pPr>
              <w:ind w:left="260"/>
              <w:spacing w:after="0"/>
              <w:rPr>
                <w:sz w:val="20"/>
                <w:szCs w:val="20"/>
                <w:color w:val="auto"/>
              </w:rPr>
            </w:pPr>
            <w:r>
              <w:rPr>
                <w:rFonts w:ascii="Arial" w:cs="Arial" w:eastAsia="Arial" w:hAnsi="Arial"/>
                <w:sz w:val="18"/>
                <w:szCs w:val="18"/>
                <w:color w:val="auto"/>
              </w:rPr>
              <w:t>Unrealized loss on Series C redeemable convertible preferred stock liability</w:t>
            </w:r>
          </w:p>
        </w:tc>
        <w:tc>
          <w:tcPr>
            <w:tcW w:w="1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Unrealized loss on obligation for loan success fee</w:t>
            </w:r>
          </w:p>
        </w:tc>
        <w:tc>
          <w:tcPr>
            <w:tcW w:w="10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r>
      <w:tr>
        <w:trPr>
          <w:trHeight w:val="230"/>
        </w:trPr>
        <w:tc>
          <w:tcPr>
            <w:tcW w:w="6760" w:type="dxa"/>
            <w:vAlign w:val="bottom"/>
            <w:gridSpan w:val="2"/>
          </w:tcPr>
          <w:p>
            <w:pPr>
              <w:ind w:left="260"/>
              <w:spacing w:after="0"/>
              <w:rPr>
                <w:sz w:val="20"/>
                <w:szCs w:val="20"/>
                <w:color w:val="auto"/>
              </w:rPr>
            </w:pPr>
            <w:r>
              <w:rPr>
                <w:rFonts w:ascii="Arial" w:cs="Arial" w:eastAsia="Arial" w:hAnsi="Arial"/>
                <w:sz w:val="18"/>
                <w:szCs w:val="18"/>
                <w:color w:val="auto"/>
              </w:rPr>
              <w:t>Net settlements</w:t>
            </w:r>
            <w:r>
              <w:rPr>
                <w:rFonts w:ascii="Arial" w:cs="Arial" w:eastAsia="Arial" w:hAnsi="Arial"/>
                <w:sz w:val="15"/>
                <w:szCs w:val="15"/>
                <w:color w:val="auto"/>
              </w:rPr>
              <w:t>(2)</w:t>
            </w:r>
          </w:p>
        </w:tc>
        <w:tc>
          <w:tcPr>
            <w:tcW w:w="1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(1,771)</w:t>
            </w:r>
          </w:p>
        </w:tc>
      </w:tr>
      <w:tr>
        <w:trPr>
          <w:trHeight w:val="223"/>
        </w:trPr>
        <w:tc>
          <w:tcPr>
            <w:tcW w:w="67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4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187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5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6" w:lineRule="exact"/>
        <w:rPr>
          <w:sz w:val="20"/>
          <w:szCs w:val="20"/>
          <w:color w:val="auto"/>
        </w:rPr>
      </w:pPr>
    </w:p>
    <w:p>
      <w:pPr>
        <w:ind w:left="500" w:right="800" w:hanging="492"/>
        <w:spacing w:after="0" w:line="34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balance at January 1, 2019 relates to the $460 obligation for the loan success fee and the $1,096 fair value of the Series C redeemable convertible preferred stock liability at the time of the third tranche of the Series C Preferred Stock financing in January 2019.</w:t>
      </w:r>
    </w:p>
    <w:p>
      <w:pPr>
        <w:spacing w:after="0" w:line="123" w:lineRule="exact"/>
        <w:rPr>
          <w:rFonts w:ascii="Arial" w:cs="Arial" w:eastAsia="Arial" w:hAnsi="Arial"/>
          <w:sz w:val="16"/>
          <w:szCs w:val="16"/>
          <w:color w:val="auto"/>
        </w:rPr>
      </w:pPr>
    </w:p>
    <w:p>
      <w:pPr>
        <w:ind w:left="50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net settlements for the year ended December 31, 2019 relate to the $1,096 fair value of the Series C redeemable convertible preferred stock liability at the time of the third tranche of the Series C Preferred Stock financing in January 2019 and the payment of the $675 obligation for the loan success fee in May 2019.</w:t>
      </w:r>
    </w:p>
    <w:p>
      <w:pPr>
        <w:spacing w:after="0" w:line="33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40" w:firstLine="510"/>
        <w:spacing w:after="0" w:line="297"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(deficit) as a reduction of additional paid-in capital generated as a result of the offering. Should the planned equity financing no longer be considered probable of being consummated, the deferred offering costs are expensed immediately as a charge to operating expenses. Deferred offering costs relating to the Company’s ATM Sales Agreement were $291 as of September 30, 2020, excluding $77 which has been recorded as a reduction to stockholders’ equity (deficit) in connection with sales under the agreement. The Company’s IPO was completed in May 2019 and IPO costs incurred in 2019 were recorded as a reduction to stockholders’ equity (deficit). As a result, deferred offering costs were $0 as of December 31, 2019.</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Basic and Diluted Net Income (Loss) per Common Share</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Basic and diluted net loss per common share outstanding is determined by dividing net loss, as adjusted for accretion and accrued dividends on redeemable convertible preferred stock, by the weighted average common shares outstanding during the period. For all periods presented, outstanding shares of Series A redeemable convertible preferred stock, shares of Series B redeemable convertible preferred stock, shares of Series C Preferred Stock, if any, and shares issuable upon exercise of stock options have been excluded from the calculation because their effects would be anti-dilutive. Therefore, the weighted average common shares used to calculate both basic and diluted net loss per share are the same for each of the periods presented.</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new accounting pronouncements adopted during the nine months ended September 30,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360" w:firstLine="510"/>
        <w:spacing w:after="0" w:line="311" w:lineRule="auto"/>
        <w:rPr>
          <w:sz w:val="20"/>
          <w:szCs w:val="20"/>
          <w:color w:val="auto"/>
        </w:rPr>
      </w:pPr>
      <w:r>
        <w:rPr>
          <w:rFonts w:ascii="Arial" w:cs="Arial" w:eastAsia="Arial" w:hAnsi="Arial"/>
          <w:sz w:val="16"/>
          <w:szCs w:val="16"/>
          <w:color w:val="auto"/>
        </w:rPr>
        <w:t>There have been no new accounting pronouncements during the nine months ended September 30, 2020, as compared to the recent accounting pronouncements described in Note 2 to the Company’s audited consolidated financial statements for the year ended December 31, 2019 included in the Annual Report on Form 10-K, which could be expected to materially impact the Company’s unaudited Condensed Consolidated Financial Statements.</w:t>
      </w:r>
    </w:p>
    <w:p>
      <w:pPr>
        <w:spacing w:after="0" w:line="25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consist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R&amp;D payments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Prepaid corporate insurance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Effective March 1, 2013, the Company entered into a lease for office space in New Haven, CT and commencing March 1, 2018, the Company entered into the First Amendment to the lease. The leased space approximates 5,600 square feet and the lease has a term of 60 months. The lease requires monthly payments ranging from approximately $10 to $11 through February 1, 2023 and provides for two designated months of free rent.</w:t>
      </w:r>
    </w:p>
    <w:p>
      <w:pPr>
        <w:spacing w:after="0" w:line="18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Under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spacing w:after="0" w:line="188"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 The incremental borrowing rate used on existing leases as of September 30, 2020 was 13.0%. The right-of-use asset also includes any lease payments related to initial direct costs and prepayments, and excludes lease incentives. Lease expense is recognized on a straight-line basis over the lease term. The Company had no new leases during the nine months ended September 30, 2020.</w:t>
      </w:r>
    </w:p>
    <w:p>
      <w:pPr>
        <w:spacing w:after="0" w:line="164"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The Company’s operating leases consist of real estate and equipment, and have remaining terms ranging from approximately 3 months to 2 years and 6 months. The Company has no financing leases. The following table summarizes the Company’s operating leases as presented on its Condensed Consolidated Balance Sheet: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40" w:type="dxa"/>
            <w:vAlign w:val="bottom"/>
          </w:tcPr>
          <w:p>
            <w:pPr>
              <w:jc w:val="center"/>
              <w:ind w:left="242"/>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40" w:type="dxa"/>
            <w:vAlign w:val="bottom"/>
          </w:tcPr>
          <w:p>
            <w:pPr>
              <w:jc w:val="center"/>
              <w:ind w:left="242"/>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4440" w:type="dxa"/>
            <w:vAlign w:val="bottom"/>
            <w:gridSpan w:val="2"/>
          </w:tcPr>
          <w:p>
            <w:pPr>
              <w:jc w:val="center"/>
              <w:ind w:left="3436"/>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Assets:</w:t>
            </w:r>
          </w:p>
        </w:tc>
        <w:tc>
          <w:tcPr>
            <w:tcW w:w="32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4440" w:type="dxa"/>
            <w:vAlign w:val="bottom"/>
            <w:gridSpan w:val="2"/>
          </w:tcPr>
          <w:p>
            <w:pPr>
              <w:jc w:val="right"/>
              <w:ind w:right="106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250</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Liabilities:</w:t>
            </w:r>
          </w:p>
        </w:tc>
        <w:tc>
          <w:tcPr>
            <w:tcW w:w="3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3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long term portion</w:t>
            </w:r>
          </w:p>
        </w:tc>
        <w:tc>
          <w:tcPr>
            <w:tcW w:w="320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500"/>
              <w:spacing w:after="0"/>
              <w:rPr>
                <w:sz w:val="20"/>
                <w:szCs w:val="20"/>
                <w:color w:val="auto"/>
              </w:rPr>
            </w:pPr>
            <w:r>
              <w:rPr>
                <w:rFonts w:ascii="Arial" w:cs="Arial" w:eastAsia="Arial" w:hAnsi="Arial"/>
                <w:sz w:val="18"/>
                <w:szCs w:val="18"/>
                <w:color w:val="auto"/>
              </w:rPr>
              <w:t>Total operating lease liabilities</w:t>
            </w:r>
          </w:p>
        </w:tc>
        <w:tc>
          <w:tcPr>
            <w:tcW w:w="3200" w:type="dxa"/>
            <w:vAlign w:val="bottom"/>
          </w:tcPr>
          <w:p>
            <w:pPr>
              <w:spacing w:after="0"/>
              <w:rPr>
                <w:sz w:val="19"/>
                <w:szCs w:val="19"/>
                <w:color w:val="auto"/>
              </w:rPr>
            </w:pPr>
          </w:p>
        </w:tc>
        <w:tc>
          <w:tcPr>
            <w:tcW w:w="1240" w:type="dxa"/>
            <w:vAlign w:val="bottom"/>
            <w:tcBorders>
              <w:bottom w:val="single" w:sz="8" w:color="auto"/>
            </w:tcBorders>
          </w:tcPr>
          <w:p>
            <w:pPr>
              <w:jc w:val="right"/>
              <w:ind w:right="1062"/>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283</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00" w:type="dxa"/>
            <w:vAlign w:val="bottom"/>
            <w:vMerge w:val="restart"/>
          </w:tcPr>
          <w:p>
            <w:pPr>
              <w:jc w:val="right"/>
              <w:ind w:right="1976"/>
              <w:spacing w:after="0"/>
              <w:rPr>
                <w:sz w:val="20"/>
                <w:szCs w:val="20"/>
                <w:color w:val="auto"/>
              </w:rPr>
            </w:pPr>
            <w:r>
              <w:rPr>
                <w:rFonts w:ascii="Arial" w:cs="Arial" w:eastAsia="Arial" w:hAnsi="Arial"/>
                <w:sz w:val="18"/>
                <w:szCs w:val="18"/>
                <w:color w:val="auto"/>
              </w:rPr>
              <w:t>9</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5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8500" w:type="dxa"/>
            <w:vAlign w:val="bottom"/>
          </w:tcPr>
          <w:p>
            <w:pPr>
              <w:ind w:left="520"/>
              <w:spacing w:after="0"/>
              <w:rPr>
                <w:sz w:val="20"/>
                <w:szCs w:val="20"/>
                <w:color w:val="auto"/>
              </w:rPr>
            </w:pPr>
            <w:r>
              <w:rPr>
                <w:rFonts w:ascii="Arial" w:cs="Arial" w:eastAsia="Arial" w:hAnsi="Arial"/>
                <w:sz w:val="18"/>
                <w:szCs w:val="18"/>
                <w:color w:val="auto"/>
                <w:w w:val="98"/>
              </w:rPr>
              <w:t>Future minimum lease payments under the operating leases are as follows as of September 30, 2020:</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2"/>
        </w:trPr>
        <w:tc>
          <w:tcPr>
            <w:tcW w:w="8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8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850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9"/>
        </w:trPr>
        <w:tc>
          <w:tcPr>
            <w:tcW w:w="8500" w:type="dxa"/>
            <w:vAlign w:val="bottom"/>
          </w:tcPr>
          <w:p>
            <w:pPr>
              <w:spacing w:after="0"/>
              <w:rPr>
                <w:sz w:val="20"/>
                <w:szCs w:val="20"/>
                <w:color w:val="auto"/>
              </w:rPr>
            </w:pPr>
            <w:r>
              <w:rPr>
                <w:rFonts w:ascii="Arial" w:cs="Arial" w:eastAsia="Arial" w:hAnsi="Arial"/>
                <w:sz w:val="18"/>
                <w:szCs w:val="18"/>
                <w:color w:val="auto"/>
              </w:rPr>
              <w:t>2021</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r>
      <w:tr>
        <w:trPr>
          <w:trHeight w:val="229"/>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r>
      <w:tr>
        <w:trPr>
          <w:trHeight w:val="230"/>
        </w:trPr>
        <w:tc>
          <w:tcPr>
            <w:tcW w:w="8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tcPr>
          <w:p>
            <w:pPr>
              <w:spacing w:after="0"/>
              <w:rPr>
                <w:sz w:val="19"/>
                <w:szCs w:val="19"/>
                <w:color w:val="auto"/>
              </w:rPr>
            </w:pPr>
          </w:p>
        </w:tc>
      </w:tr>
      <w:tr>
        <w:trPr>
          <w:trHeight w:val="223"/>
        </w:trPr>
        <w:tc>
          <w:tcPr>
            <w:tcW w:w="850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19"/>
                <w:szCs w:val="19"/>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Less: imputed discount rate</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23"/>
        </w:trPr>
        <w:tc>
          <w:tcPr>
            <w:tcW w:w="8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operating lease liabilities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Lease expense under operating leases, including leases of office equipment, was $31 for each of the three-month periods ended September 30, 2020 and 2019, and $93 for each of the nine-month periods ended September 30, 2020 and 2019. Lease payments made in the three months ended September 30, 2020 and 2019 were $23 and $34, respectively, and $103 and $91 for the nine months ended September 30, 2020 and 2019, respectively, with such amounts reflected in the Condensed Consolidated Statement of Cash Flows in operating activities.</w:t>
      </w:r>
    </w:p>
    <w:p>
      <w:pPr>
        <w:spacing w:after="0" w:line="27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projects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consulting and professional fees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Silicon Valley Bank Term Loan</w:t>
      </w:r>
    </w:p>
    <w:p>
      <w:pPr>
        <w:spacing w:after="0" w:line="131"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On August 13, 2020 (the “Effective Date”), the Company entered into a loan and security agreement (the “SVB Loan Agreement”) with Silicon Valley Bank, as lender (“SVB”), pursuant to which SVB provided a term loan to the Company in the original principal amount of $14.0 million (the “SVB Term Loan”). The Company may use the proceeds from the SVB Term Loan for working capital and general corporate purposes. The SVB Term Loan bears interest at a floating rate per annum equal to the greater of (A) the prime rate plus 1.00% and (B) 4.25%. If SVB receives evidence satisfactory to it that the Company has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will be adjusted to a floating rate equal to the greater of (A) the prime rate plus 3.00% and (B) 6.25% (see term loan derivative liability discussion below). On the first business day of each month, the Company will be required to make monthly interest payments and commencing on March 1, 2022, the Company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will be required to pay a final payment fee equal to $1.2 million. The SVB Term Loan and related obligations under the SVB Loan Agreement are secured by substantially all of the Company’s properties, rights and assets, except for its intellectual property (which is subject to a negative pledge under the SVB Loan Agreement). If the Company fails to meet certain equity raise requirements under the SVB Loan Agreement, it will be required to deposit unrestricted and unencumbered cash equal to 100% of the principal amount of the SVB Term Loan then outstanding in a cash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80"/>
        <w:spacing w:after="0" w:line="255" w:lineRule="auto"/>
        <w:rPr>
          <w:sz w:val="20"/>
          <w:szCs w:val="20"/>
          <w:color w:val="auto"/>
        </w:rPr>
      </w:pPr>
      <w:r>
        <w:rPr>
          <w:rFonts w:ascii="Arial" w:cs="Arial" w:eastAsia="Arial" w:hAnsi="Arial"/>
          <w:sz w:val="18"/>
          <w:szCs w:val="18"/>
          <w:color w:val="auto"/>
        </w:rPr>
        <w:t>collateral account with SVB, which can be used by SVB to prepay the SVB Term Loan at any time.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w:t>
      </w:r>
    </w:p>
    <w:p>
      <w:pPr>
        <w:spacing w:after="0" w:line="233"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August 2020, in connection with the SVB Term Loan, the Company paid $56 in financing costs to a third party, which were recorded as deferred charges—loan and will be amortized over the life of the SVB Term Loan using the effective interest method. Amortization of these deferred financing charges totaled $3 for each of the three and nine-month periods ended September 30, 2020, and is included in interest expense in the Company’s Condensed Consolidated Statements of Operations. Loan discount—unamortized deferred charges totaled $53 for the nine months ended September 30, 2020, and is included as a direct reduction of the carrying value of the term loan payable on the Company’s Condensed Consolidated Balance Sheet.</w:t>
      </w:r>
    </w:p>
    <w:p>
      <w:pPr>
        <w:spacing w:after="0" w:line="16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August 2020, in connection with the execution of the SVB Loan Agreement, the Company paid $27 in financing costs to SVB, which were recorded as loan discounts. These loan discounts are included as a reduction in the balance of the term loan payable on the Company’s Condensed Consolidated Balance Sheet and will be accreted over the life of the SVB Term Loan using the effective interest method. Accretion of these loan discounts totaled $1 for each of the three and nine-month periods ended September 30, 2020, and is included in interest expense in the Company’s Condensed Consolidated Statements of Operations. At September 30, 2020 the loan discount-financing costs balance was $26.</w:t>
      </w:r>
    </w:p>
    <w:p>
      <w:pPr>
        <w:spacing w:after="0" w:line="203"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connection with the SVB Loan Agreement, the Company is obligated to pay a final payment fee of $1.2 million upon repayment in full of the SVB Term Loan. The final payment fee is being accrued over the life of the SVB Term Loan using the effective interest method and is included as an increase in the balance of the term loan payable on the Company’s Condensed Consolidated Balance Sheet. For the nine months ended September 30, 2020, $64 was accrued for the final payment fee, with such amount included in interest expense in the Company’s Condensed Consolidated Statements of Operations.</w:t>
      </w:r>
    </w:p>
    <w:p>
      <w:pPr>
        <w:spacing w:after="0" w:line="21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Upon the occurrence of the Phase 3 Event, the interest rate on the SVB Term Loan will increase by 2.00% (the “Contingent Interest Rate Increase”) as described above. The Contingent Interest Rate Increase represents a free-standing financial instrument. Accordingly, the Company accounted for the Contingent Interest Rate Increase as a derivative under ASC 815, Derivatives and Hedging, and therefore, recorded a term loan derivative liability for the Contingent Interest Rate Increase at its fair value of $187 on the Effective Date of the SVB Loan Agreement. The Company adjusts this liability to fair value at each reporting date it remains outstanding, with such adjustments recorded as non-cash charges in other income (expense) in the Company’s Condensed Consolidated Statements of Operations. The change in fair value of the term loan derivative liability as of September 30, 2020 as compared to the fair value at its last measurement date (its date of inception) was not significant. Upon recording such term loan derivative liability, the Company also recorded an offsetting term loan discount – interest, to be amortized to interest expense in the Company’s Condensed Consolidated Statements of Operations through the SVB Term Loan’s maturity date. Such amortization was insignificant in the three and nine month periods ended September 30, 2020. The term loan discount – interest is included as a reduction in the balance of the term loan payable on the Company’s Condensed Consolidated Balance Sheet as of September 30, 2020. The term loan derivative liability is presented as a non-current liability in the Company’s Condensed Consolidated Balance Sheet as of September 30, 2020.</w:t>
      </w:r>
    </w:p>
    <w:p>
      <w:pPr>
        <w:spacing w:after="0" w:line="17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Fair values of the term loan derivative liability are estimated utilizing a probability-weighted cash flow approach, including variables for the timing of the Phase 3 Event and other probability estimates. For the fair value calculations of the term loan derivative liability at its inception and at September 30, 2020, significant inputs included the Contingent Interest Rate Increase of 2.00%, a discount rate of 12.0%; and the SVB Term Loan maturity date of February 1, 2024.</w:t>
      </w:r>
    </w:p>
    <w:p>
      <w:pPr>
        <w:spacing w:after="0" w:line="22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For each of the three and nine-month periods ended September 30, 2020, interest expense under the SVB Term Loan totaled $148, which includes amortization of deferred financing charges, accretion of loan discount-financing costs, accrual of the final payment fee, amortization of the term loan discount-interest and the stated interest on the SVB Term Loan, all as described above. There was no such interest expense on the SVB Term Loan for either of the three and nine-month periods ended September 30, 2019. As of September 30, 2020, the Company had outstanding borrowings of $14.0 million under the SVB Term Loan and the term loan</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14" w:name="page15"/>
    <w:bookmarkEnd w:id="14"/>
    <w:p>
      <w:pPr>
        <w:ind w:right="200"/>
        <w:spacing w:after="0" w:line="277" w:lineRule="auto"/>
        <w:rPr>
          <w:sz w:val="20"/>
          <w:szCs w:val="20"/>
          <w:color w:val="auto"/>
        </w:rPr>
      </w:pPr>
      <w:r>
        <w:rPr>
          <w:rFonts w:ascii="Arial" w:cs="Arial" w:eastAsia="Arial" w:hAnsi="Arial"/>
          <w:sz w:val="18"/>
          <w:szCs w:val="18"/>
          <w:color w:val="auto"/>
        </w:rPr>
        <w:t>payable balance as presented in the Company’s Condensed Consolidated Balance Sheet as of September 30, 2020 was comprised as shown below. There were no outstanding borrowings under the SVB Term Loan as of December 31, 2019.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9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Principal outstanding under term loan</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Term loan discount-interest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Term loan discount-unamortized deferred charges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Term loan discount-financing costs, net of accretion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Term loan-final payment fee</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13,798</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Term loan payable, non-current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13,798</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Interest expense on SVB Term Loan, which is comprised of interest payments, amortization of financing costs and the accrual of the final payment fee, is shown below for the three and nine months ended September 30, 2020. There was no such expense under the SVB Term Loan for the three and nine months ended September 30,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66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6840" w:type="dxa"/>
            <w:vAlign w:val="bottom"/>
          </w:tcPr>
          <w:p>
            <w:pPr>
              <w:spacing w:after="0"/>
              <w:rPr>
                <w:sz w:val="14"/>
                <w:szCs w:val="14"/>
                <w:color w:val="auto"/>
              </w:rPr>
            </w:pPr>
          </w:p>
        </w:tc>
        <w:tc>
          <w:tcPr>
            <w:tcW w:w="166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r>
      <w:tr>
        <w:trPr>
          <w:trHeight w:val="155"/>
        </w:trPr>
        <w:tc>
          <w:tcPr>
            <w:tcW w:w="6840" w:type="dxa"/>
            <w:vAlign w:val="bottom"/>
            <w:tcBorders>
              <w:bottom w:val="single" w:sz="8" w:color="CFF0FC"/>
            </w:tcBorders>
          </w:tcPr>
          <w:p>
            <w:pPr>
              <w:spacing w:after="0"/>
              <w:rPr>
                <w:sz w:val="13"/>
                <w:szCs w:val="13"/>
                <w:color w:val="auto"/>
              </w:rPr>
            </w:pPr>
          </w:p>
        </w:tc>
        <w:tc>
          <w:tcPr>
            <w:tcW w:w="1660" w:type="dxa"/>
            <w:vAlign w:val="bottom"/>
            <w:tcBorders>
              <w:top w:val="single" w:sz="8" w:color="auto"/>
              <w:bottom w:val="single" w:sz="8" w:color="auto"/>
            </w:tcBorders>
          </w:tcPr>
          <w:p>
            <w:pPr>
              <w:jc w:val="center"/>
              <w:ind w:left="228"/>
              <w:spacing w:after="0" w:line="155"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center"/>
              <w:ind w:right="178"/>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Interest payments</w:t>
            </w:r>
          </w:p>
        </w:tc>
        <w:tc>
          <w:tcPr>
            <w:tcW w:w="1660" w:type="dxa"/>
            <w:vAlign w:val="bottom"/>
            <w:shd w:val="clear" w:color="auto" w:fill="CFF0FC"/>
          </w:tcPr>
          <w:p>
            <w:pPr>
              <w:jc w:val="right"/>
              <w:ind w:right="150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Amortization of financing costs</w:t>
            </w:r>
          </w:p>
        </w:tc>
        <w:tc>
          <w:tcPr>
            <w:tcW w:w="16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Accrual of the final payment fee</w:t>
            </w:r>
          </w:p>
        </w:tc>
        <w:tc>
          <w:tcPr>
            <w:tcW w:w="16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r>
      <w:tr>
        <w:trPr>
          <w:trHeight w:val="223"/>
        </w:trPr>
        <w:tc>
          <w:tcPr>
            <w:tcW w:w="6840" w:type="dxa"/>
            <w:vAlign w:val="bottom"/>
          </w:tcPr>
          <w:p>
            <w:pPr>
              <w:spacing w:after="0"/>
              <w:rPr>
                <w:sz w:val="19"/>
                <w:szCs w:val="19"/>
                <w:color w:val="auto"/>
              </w:rPr>
            </w:pPr>
          </w:p>
        </w:tc>
        <w:tc>
          <w:tcPr>
            <w:tcW w:w="1660" w:type="dxa"/>
            <w:vAlign w:val="bottom"/>
            <w:tcBorders>
              <w:bottom w:val="single" w:sz="8" w:color="auto"/>
            </w:tcBorders>
          </w:tcPr>
          <w:p>
            <w:pPr>
              <w:jc w:val="right"/>
              <w:ind w:right="150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Solar Capital Term Loan</w:t>
      </w:r>
    </w:p>
    <w:p>
      <w:pPr>
        <w:spacing w:after="0" w:line="13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On December 29, 2014, the Company entered into a loan and security agreement (the “Solar Loan Agreement”) with Solar Capital, Ltd. and Square 1 Bank (together, “Solar”), which provided $15.0 million in debt financing (the “Solar Term Loan”). On June 29, 2018, the maturity date of the Solar Loan Agreement, the Company made its final payments of principal and interest due to Solar in connection with the Solar Term Loan, as well as $450 in full payment of the final fee and $82 in full payment of the amendment fee. As a result, there were no outstanding borrowings under the Solar Term Loan as of September 30, 2020 or December 31, 2019, and the Company’s obligations to Solar under the Solar Loan Agreement were terminated.</w:t>
      </w:r>
    </w:p>
    <w:p>
      <w:pPr>
        <w:spacing w:after="0" w:line="16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Under the terms of the Solar Loan Agreement, the Company was obligated to pay Solar a Success Fee (“Success Fee”) under a Success Fee Agreement (“Success Fee Agreement”) upon the first occurrence of an Exit Event, as defined. The Exit Event included, among other things, the completion of a public offering of common stock. The amount of the Success Fee was equal to 4.5% of the $15.0 million Solar Term Loan funded. The Success Fee Agreement was scheduled to terminate on the earlier to occur of (a) payment in full of the Success Fee pursuant to its terms, or (b) December 29, 2021. The completion of the IPO on May 9, 2019 (see Note 7) triggered the Success Fee payment obligation and the Company made payments to Solar totaling $675 in May 2019. Upon such payments, the Success Fee Agreement terminated.</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The Success Fee Agreement represented a free-standing financial instrument. Accordingly, the Company accounted for the Success Fee provision as a derivative under ASC 815, Derivatives and Hedging, and therefore recorded an obligation for the Success Fee at its fair value on the closing date of each advance under the Solar Loan Agreement. Upon recording such obligations for the Success Fee, the Company also recorded an offsetting loan discount, which was accreted to interest expense in the Company’s Statements of Operations through the Solar Term Loan’s maturity date. The Company adjusted these liabilities for the Success Fee to fair value at each reporting date they remained outstanding. As discussed above, the Success Fee was paid in May 2019; and therefore, the total fair value of the Success Fee liabilities was $0 at each of September 30, 2020 and December 31, 2019. The Company recorded non-cash charges in the amount of $0 for each of the three months ended September 30, 2020 and 2019, and $0 and $215 for the nine months ended September 30, 2020 and 2019, respectively, representing the changes in the fair value of these liabilities since their last measurement date. The fair values of the obligation for the Success Fee were estimated utilizing a probability-weighted cash flow approach, including variables for the timing of the Exit Event and other probability estimates. The non-cash charges are included in other income (expense) in the Company’s Condensed Consolidated Statements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 w:name="page16"/>
    <w:bookmarkEnd w:id="15"/>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Upon the closing of the IPO, the Company’s outstanding redeemable convertible preferred stock, including the accrued dividends thereon, automatically converted into an aggregate of 10,381,234 shares of the Company’s common stock. Upon such conversion of the redeemable convertible preferred stock, the Company reclassified the carrying values of the redeemable convertible preferred stock to common stock and additional paid-in capital.</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of September 30, 2020 and December 31, 2019, the Company’s certificate of incorporation, as amended and restated, authorized the Company to issue 200,000,000 shares of common stock, respectively, with a par value of $0.001 per share.</w:t>
      </w:r>
    </w:p>
    <w:p>
      <w:pPr>
        <w:spacing w:after="0" w:line="170"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As of September 30, 2020 and December 31, 2019, the Company had reserved 3,674,484 shares and 2,778,812 shares of common stock, respectively, for the exercise of outstanding stock options and the number of shares of common stock remaining available for future stock-based awards under the Company’s 2012 Stock Incentive Plan, 2019 Stock Incentive Plan and 2019 Employee Stock Purchase Plan, as shown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2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6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2012</w:t>
            </w:r>
          </w:p>
        </w:tc>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Incentive Plan</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1,025,649</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1,043,992</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8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460" w:type="dxa"/>
            <w:vAlign w:val="bottom"/>
          </w:tcPr>
          <w:p>
            <w:pPr>
              <w:jc w:val="right"/>
              <w:spacing w:after="0"/>
              <w:rPr>
                <w:sz w:val="20"/>
                <w:szCs w:val="20"/>
                <w:color w:val="auto"/>
              </w:rPr>
            </w:pPr>
            <w:r>
              <w:rPr>
                <w:rFonts w:ascii="Arial" w:cs="Arial" w:eastAsia="Arial" w:hAnsi="Arial"/>
                <w:sz w:val="18"/>
                <w:szCs w:val="18"/>
                <w:color w:val="auto"/>
              </w:rPr>
              <w:t>2,316,781</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1,579,714</w:t>
            </w:r>
          </w:p>
        </w:tc>
        <w:tc>
          <w:tcPr>
            <w:tcW w:w="100" w:type="dxa"/>
            <w:vAlign w:val="bottom"/>
          </w:tcPr>
          <w:p>
            <w:pPr>
              <w:spacing w:after="0"/>
              <w:rPr>
                <w:sz w:val="19"/>
                <w:szCs w:val="19"/>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89"/>
              </w:rPr>
              <w:t>Shares of common stock reserved for future issuance under the 2019</w:t>
            </w:r>
          </w:p>
        </w:tc>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Plan</w:t>
            </w:r>
          </w:p>
        </w:tc>
        <w:tc>
          <w:tcPr>
            <w:tcW w:w="2980" w:type="dxa"/>
            <w:vAlign w:val="bottom"/>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332,054</w:t>
            </w:r>
          </w:p>
        </w:tc>
        <w:tc>
          <w:tcPr>
            <w:tcW w:w="260" w:type="dxa"/>
            <w:vAlign w:val="bottom"/>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155,106</w:t>
            </w:r>
          </w:p>
        </w:tc>
        <w:tc>
          <w:tcPr>
            <w:tcW w:w="100" w:type="dxa"/>
            <w:vAlign w:val="bottom"/>
            <w:shd w:val="clear" w:color="auto" w:fill="CFF0FC"/>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3,674,484</w:t>
            </w:r>
          </w:p>
        </w:tc>
        <w:tc>
          <w:tcPr>
            <w:tcW w:w="2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2,778,812</w:t>
            </w:r>
          </w:p>
        </w:tc>
        <w:tc>
          <w:tcPr>
            <w:tcW w:w="10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 and Concurrent Private Placement</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On May 9, 2019, the Company completed its IPO and a concurrent private placement in which it issued and sold an aggregate of 7,000,000 shares of common stock at an offering price of $10.00 per share, for net proceeds of $62.1 million, after deducting aggregate underwriting discounts and commissions and private placement agent fees of $4.9 million and other offering expenses of $3.0 million. The Company’s common stock began trading on The Nasdaq Global Market on May 7, 2019 under the ticker symbol “TRVI”.</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June 2020, the Company entered into the ATM Sales Agreement with SVB Leerink LLC, under which the Company may issue and sell shares of its common stock, from time to time, having an aggregate offering price of up to $12.0 million. Sales of common stock under the ATM Sales Agreement may be made by any method that is deemed an “at the market” offering as defined in Rule 415(a)(4) under the Securities Act of 1933, as amended. The Company is not obligated to make any sales of its common stock under the ATM Sales Agreement. The Company began making sales pursuant to the ATM Sales Agreement in July 2020, and as of September 30, 2020, the Company had issued and sold an aggregate of 466,758 shares of common stock for gross proceeds of $2.5 million, before deducting estimated commissions and fees of $0.2 million.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Awards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18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As of September 30, 2020, 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Company’s 2012 Stock Incentive Plan (the “2012 Plan”), as amended that expire, terminate or are otherwise cancelled, forfeited or repurchased by the Company at their original issuance price pursuant to a contractual repurchase right; plus iii) an annual increase to be added on the first day of each fiscal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6" w:name="page17"/>
    <w:bookmarkEnd w:id="16"/>
    <w:p>
      <w:pPr>
        <w:ind w:right="100"/>
        <w:spacing w:after="0" w:line="259" w:lineRule="auto"/>
        <w:rPr>
          <w:sz w:val="20"/>
          <w:szCs w:val="20"/>
          <w:color w:val="auto"/>
        </w:rPr>
      </w:pPr>
      <w:r>
        <w:rPr>
          <w:rFonts w:ascii="Arial" w:cs="Arial" w:eastAsia="Arial" w:hAnsi="Arial"/>
          <w:sz w:val="18"/>
          <w:szCs w:val="18"/>
          <w:color w:val="auto"/>
        </w:rPr>
        <w:t>beginning with 2020 and continuing through 2029, equal to the least of (a) 2,105,623 shares of common stock, (b) 4% of the number of outstanding shares of the Company’s common stock on such date, and (c) an amount determined by the Company’s board of directors. The number of shares reserved for issuance under the 2019 Plan increased, pursuant to the terms of the 2019 Plan, by an additional 713,383 shares, equal to 4% of the Company’s then-outstanding Common Stock, effective as of January 1, 2020.</w:t>
      </w:r>
    </w:p>
    <w:p>
      <w:pPr>
        <w:spacing w:after="0" w:line="187" w:lineRule="exact"/>
        <w:rPr>
          <w:sz w:val="20"/>
          <w:szCs w:val="20"/>
          <w:color w:val="auto"/>
        </w:rPr>
      </w:pPr>
    </w:p>
    <w:p>
      <w:pPr>
        <w:ind w:right="180" w:firstLine="510"/>
        <w:spacing w:after="0" w:line="279" w:lineRule="auto"/>
        <w:rPr>
          <w:sz w:val="20"/>
          <w:szCs w:val="20"/>
          <w:color w:val="auto"/>
        </w:rPr>
      </w:pPr>
      <w:r>
        <w:rPr>
          <w:rFonts w:ascii="Arial" w:cs="Arial" w:eastAsia="Arial" w:hAnsi="Arial"/>
          <w:sz w:val="18"/>
          <w:szCs w:val="18"/>
          <w:color w:val="auto"/>
        </w:rPr>
        <w:t>The 2012 Plan was adopted by the Company’s board of directors and stockholders. The Company’s board of directors administers the 2012 Plan. The 2012 Plan provides for the issuance of stock-based awards to the Company’s employees, officers and directors, as well as consultants and advisors to the Company.</w:t>
      </w:r>
    </w:p>
    <w:p>
      <w:pPr>
        <w:spacing w:after="0" w:line="210"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Options granted under the 2019 Plan and the 2012 Plan have a maximum term of ten years. Options vest over four years based on varying vesting schedules including: 25% vesting on the first anniversary date of grant and the balance ratably over the next 36 months or vesting in equal monthly or quarterly installments over four years. As of September 30, 2020 and December 31, 2019, respectively, options to purchase 1,302,133 shares and 631,234 shares of common stock were granted and outstanding, net of cancelations, under the 2019 Plan. As of September 30, 2020 and December 31, 2019, respectively, options to purchase 1,025,649 and 1,043,992 shares of common stock were granted and outstanding, net of cancelations, under the 2012 Plan.</w:t>
      </w:r>
    </w:p>
    <w:p>
      <w:pPr>
        <w:spacing w:after="0" w:line="188"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April 2019, the Company’s board of directors adopted a resolution effective on May 7, 2019 that no further stock options or other equity-based awards may be granted under the 2012 Plan.</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nine months ended September 30, 2019, stock options to purchase 674,602 shares of the Company’s common stock were granted.</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2019, stock options were exercised for 14,736 shares of common stock.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nine months ended September 30, 2019, stock options to purchase 35,745 shares of the Company’s common stock were forfeited.</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2019, stock options to purchase 6,359 shares of the Company’s common stock expired.</w:t>
      </w:r>
    </w:p>
    <w:p>
      <w:pPr>
        <w:spacing w:after="0" w:line="266"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 summary of the Company’s combined stock option activity for the 2019 Plan and the 2012 Plan for the nine months ended September 30, 2020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1,675,226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694,583</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(11,842)</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(11,842)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(18,343)</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Outstanding as of September 30, 2020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2,327,782</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as of September 30,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1,018,591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Options unvested as of September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1,309,191</w:t>
            </w:r>
          </w:p>
        </w:tc>
        <w:tc>
          <w:tcPr>
            <w:tcW w:w="24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197"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During the nine months ended September 30, 2020, 1,397 shares of common stock were issued and sold under the 2019 ESPP. The Company recognized $1 and $2 of stock-based compensation expense for the 2019 ESPP during the three and nine months ended September 30, 2020, respectively.</w:t>
      </w:r>
    </w:p>
    <w:p>
      <w:pPr>
        <w:spacing w:after="0" w:line="16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As of September 30, 2020, the aggregate number of shares of the Company’s common stock that may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320"/>
        <w:spacing w:after="0" w:line="263" w:lineRule="auto"/>
        <w:rPr>
          <w:sz w:val="20"/>
          <w:szCs w:val="20"/>
          <w:color w:val="auto"/>
        </w:rPr>
      </w:pPr>
      <w:r>
        <w:rPr>
          <w:rFonts w:ascii="Arial" w:cs="Arial" w:eastAsia="Arial" w:hAnsi="Arial"/>
          <w:sz w:val="18"/>
          <w:szCs w:val="18"/>
          <w:color w:val="auto"/>
        </w:rPr>
        <w:t>Company’s common stock on such date, and (c) an amount determined by the Company’s board of directors. The aggregate number of shares of the Company’s common stock that may be issued under the 2019 ESPP increased, pursuant to the terms of the 2019 ESPP, by an additional 178,345 shares, equal to 1% of the Company’s then-outstanding common stock, effective as of January 1, 2020.</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the Company’s employees are eligible to participate in the 2019 ESPP, provided that:</w:t>
      </w:r>
    </w:p>
    <w:p>
      <w:pPr>
        <w:spacing w:after="0" w:line="117" w:lineRule="exact"/>
        <w:rPr>
          <w:sz w:val="20"/>
          <w:szCs w:val="20"/>
          <w:color w:val="auto"/>
        </w:rPr>
      </w:pPr>
    </w:p>
    <w:p>
      <w:pPr>
        <w:ind w:left="880" w:hanging="373"/>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such person is customarily employed by the Company for more than 20 hours a week and for more than five months in a calendar year;</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person has been employed by the Company for at least three months prior to enrolling in the 2019 ESPP;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person was an employee of the Company on the first day of the applicable offering period under the 2019 ESPP.</w:t>
      </w:r>
    </w:p>
    <w:p>
      <w:pPr>
        <w:spacing w:after="0" w:line="252"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following table summarizes the classifications of stock-based compensation expenses for the 2012 Plan, the 2019 Plan and the 2019 ESPP recognized in the Condensed Consolidated Statements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60" w:type="dxa"/>
            <w:vAlign w:val="bottom"/>
            <w:gridSpan w:val="4"/>
          </w:tcPr>
          <w:p>
            <w:pPr>
              <w:jc w:val="right"/>
              <w:ind w:right="187"/>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4"/>
                <w:szCs w:val="14"/>
                <w:b w:val="1"/>
                <w:bCs w:val="1"/>
                <w:color w:val="auto"/>
                <w:w w:val="93"/>
              </w:rPr>
              <w:t>September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three and nine months ended September 30, 2020 and 2019, the Company maintained a full valuation allowance on deferred tax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Therefore, the Company has not recorded a provision for income taxes.</w:t>
      </w:r>
    </w:p>
    <w:p>
      <w:pPr>
        <w:spacing w:after="0" w:line="39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computation of basic and diluted net loss per share attributable to common stockholders of the Company: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Plus: Accretion of redeemable convertible preferred stock</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Plus: Dividends accrued on redeemable convertible preferred stock</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net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(7,378)</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(23,235)</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common shares used in net loss per share</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18,134,886</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17,834,570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17,935,865</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9,680,512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 outstanding</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Accretion and dividends included in the table above were calculated through the IPO date.</w:t>
      </w:r>
    </w:p>
    <w:p>
      <w:pPr>
        <w:spacing w:after="0" w:line="25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Company’s potential dilutive securities, which include stock options and redeemable convertible preferred stock,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shares of common stock, presented based on shares outstanding as of September 30, 2020 and 2019, were excluded from the calculation of diluted net loss per share attributable to common stockholders for the periods indicated because including them would have had an anti-dilutive effect:</w:t>
      </w:r>
    </w:p>
    <w:p>
      <w:pPr>
        <w:spacing w:after="0" w:line="278"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Shares 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6350</wp:posOffset>
            </wp:positionV>
            <wp:extent cx="21513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5" w:lineRule="exact"/>
        <w:rPr>
          <w:sz w:val="20"/>
          <w:szCs w:val="20"/>
          <w:color w:val="auto"/>
        </w:rPr>
      </w:pPr>
    </w:p>
    <w:p>
      <w:pPr>
        <w:ind w:left="8360"/>
        <w:spacing w:after="0"/>
        <w:tabs>
          <w:tab w:leader="none" w:pos="101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tbl>
      <w:tblPr>
        <w:tblLayout w:type="fixed"/>
        <w:tblInd w:w="0" w:type="dxa"/>
        <w:tblCellMar>
          <w:top w:w="0" w:type="dxa"/>
          <w:left w:w="0" w:type="dxa"/>
          <w:bottom w:w="0" w:type="dxa"/>
          <w:right w:w="0" w:type="dxa"/>
        </w:tblCellMar>
      </w:tblP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40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2,327,782</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1,694,910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2,327,782</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1,694,910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00" w:type="dxa"/>
            <w:vAlign w:val="bottom"/>
            <w:vMerge w:val="restart"/>
          </w:tcPr>
          <w:p>
            <w:pPr>
              <w:jc w:val="right"/>
              <w:ind w:right="1910"/>
              <w:spacing w:after="0"/>
              <w:rPr>
                <w:sz w:val="20"/>
                <w:szCs w:val="20"/>
                <w:color w:val="auto"/>
              </w:rPr>
            </w:pPr>
            <w:r>
              <w:rPr>
                <w:rFonts w:ascii="Arial" w:cs="Arial" w:eastAsia="Arial" w:hAnsi="Arial"/>
                <w:sz w:val="18"/>
                <w:szCs w:val="18"/>
                <w:color w:val="auto"/>
              </w:rPr>
              <w:t>15</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18" w:name="page19"/>
    <w:bookmarkEnd w:id="18"/>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and Licensing Agreements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enters into collaborative and licensing agreements with pharmaceutical companies to in-license, develop, manufacture and/or market products that fit within its business strategy.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Endo Pharmaceuticals Inc.</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May 2011, the Company entered into an agreement with Penwest Pharmaceuticals Co. (“Penwest”) (subsequently merged into its parent, Endo Pharmaceuticals Inc. (“Endo”)) for an exclusive worldwide sublicensable license under certain patent rights and know-how controlled by Penwest to develop and commercialize products incorporating nalbuphine hydrochloride in any formulation, including an extended release formulation such as Haduvio, in all fields and for any use.</w:t>
      </w:r>
    </w:p>
    <w:p>
      <w:pPr>
        <w:spacing w:after="0" w:line="18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Under the license agreement, the Company paid Penwest a non-creditable, non-refundable upfront license fee of $25. The Company may also become obligated to make milestone payments to Endo of $250, which would become due upon the successful completion of the first Phase 3 clinical trial of a licensed product candidate, such as the PRISM trial, and $750, which would become due upon the marketing approval of a licensed product in the United States,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18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184"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and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19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Exclusive License Agreement with Rutgers</w:t>
      </w:r>
    </w:p>
    <w:p>
      <w:pPr>
        <w:spacing w:after="0" w:line="117"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On November 6, 2018, the Company entered into an agreement with Rutgers, The State University of New Jersey (“Rutgers”) for an exclusive, worldwide, sublicensable license under certain patent rights controlled by Rutgers and for a non-exclusive, worldwide, sublicensable license under certain know-how controlled by Rutgers, in each case to develop and commercialize products incorporating nalbuphine for any human or animal use.</w:t>
      </w:r>
    </w:p>
    <w:p>
      <w:pPr>
        <w:spacing w:after="0" w:line="149"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Upon entering into the license agreement, the Company paid Rutgers a minimal upfront license issue fee, which was recorded as R&amp;D expense in 2018, and agreed to pay Rutgers a minimal annual license fee. The Company may become obligated to make milestone payments to Rutgers in the aggregate of up to $331 based on the achievement of certain clinical, regulatory and sales milestones. The Company has also agreed to pay Rutgers a low single-digit percentage of certain income it receives from sublicensees and to pay tiered low single-digit royalties based on net sales of licensed products by the Company and its affiliates and sublicensees.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right="40" w:firstLine="510"/>
        <w:spacing w:after="0" w:line="273" w:lineRule="auto"/>
        <w:rPr>
          <w:sz w:val="20"/>
          <w:szCs w:val="20"/>
          <w:color w:val="auto"/>
        </w:rPr>
      </w:pPr>
      <w:r>
        <w:rPr>
          <w:rFonts w:ascii="Arial" w:cs="Arial" w:eastAsia="Arial" w:hAnsi="Arial"/>
          <w:sz w:val="17"/>
          <w:szCs w:val="17"/>
          <w:color w:val="auto"/>
        </w:rPr>
        <w:t>The Company’s royalty obligation with respect to each licensed product in each country commences on the date of the first commercial sale of the licensed product in that country following receipt of marketing approval and extends until the later of the date of expiration, unenforceability or invalidation of the last valid claim of any licensed patent or patent application covering the licensed product in the country and 10 years after the first commercial sale of the first licensed product sold anywhere in the world, which period is referred to as the royalty term. Upon the expiration of the royalty term for a licensed product in a country, the license granted to the Company under the agreement shall become perpetual, fully paid-up, irrevocable and royalty-free in such country. The royalty is subject to reduction in certain circumstances.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Restructuring Agreement with MentiNova, LLC</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On November 6, 2018, concurrent with the signing of the agreement with Rutgers described above, the Company entered into a restructuring agreement with MentiNova, LLC (“MentiNova”) for the purchase of specified information and know-how, specified contractual rights and benefits, and all books and records of MentiNova related thereto (collectively, the “Acquired Assets”).</w:t>
      </w:r>
    </w:p>
    <w:p>
      <w:pPr>
        <w:spacing w:after="0" w:line="184"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Upon entering into the license agreement, the Company paid MentiNova an aggregate upfront payment of $119, which was recorded as R&amp;D expense in 2018, subject to specified closing adjustments. The Company may become obligated to make milestone payments to MentiNova in the aggregate of up to $1,188 based on the achievement of certain clinical and regulatory milestones as well as tiered low single-digit royalties based on net sales of products containing nalbuphine as the sole active pharmaceutical ingredient that are developed by the Company using the Acquired Assets or the intellectual property licensed to the Company under the Rutgers agreement described above (the “Rutgers IP”) for indications that are within the scope of the Rutgers IP. The royalty is subject to reduction in certain circumstances.</w:t>
      </w:r>
    </w:p>
    <w:p>
      <w:pPr>
        <w:spacing w:after="0" w:line="28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A significant portion of the Company’s development activities are outsourced to third parties under agreements, including with clinical research organizations,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has commitments under lease and licensing agreements (Note 4 and Note 10).</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2019 included in our Annual Report on Form 10-K for the year ended December 31, 2019, filed with the Securities and Exchange Commission, or SEC, on March 16, 2020.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“estimate,” “expect,” “intend,” “may,” “might,” “plan,” “potential,” “predict,” “project,” “should,” “target,” “would,” “could,” “continue”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172"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We caution readers not to place undue reliance on any forward-looking statements made by us, which speak only as of the date they are made.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Haduvio (nalbuphine ER) to treat serious neurologically mediated conditions. We are developing Haduvio for the treatment of chronic pruritus, chronic cough in patients with idiopathic pulmonary fibrosis, or IPF, and levodopa-induced dyskinesia, or LID, in patients with Parkinson’s disease.</w:t>
      </w:r>
    </w:p>
    <w:p>
      <w:pPr>
        <w:spacing w:after="0" w:line="22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conducting a Phase 2b/3 clinical trial of Haduvio, which we refer to as the PRISM trial, in patients with severe pruritus associated with prurigo nodularis. The PRISM trial is a randomized, double-blind, placebo controlled, two-arm treatment study that is designed to evaluate the safety and anti-pruritic efficacy of Haduvio in patients in the United States and Europe. In accordance with the protocol for the PRISM trial, we conducted a sample size re-estimation, or SSRE, analysis in July 2020, following such time as approximately 45% of the patients in the trial were evaluable for the primary endpoint. Based on the analysis, the independent Data Monitoring Committee, or DMC, recommended that the PRISM trial should continue and that the trial size should increase from an initial enrollment target of 240 to 360 subjects, which maintains the statistical power for the primary endpoint. Based on the DMC’s recommendation, we have increased the planned trial size to 360 subjects. The pace of enrollment in the trial has been impacted by the COVID-19 pandemic as new patient screening and most patient enrollment were temporarily halted. Patient screening restrictions have been lifted in the United States and Europe. Our sites began to restart patient screening and enrollment during May and June 2020. We now have approximately 80% of our sites screening patients. We have increased the number of active sites to more than 60 globally and approximately 190 subjects have enrolled in the trial. Based on the increased sample size, and considering the uncertainties associated with the COVID-19 pandemic, we continue to expect to complete enrollment in the third quarter of 2021 and report top-line data in the fourth quarter of 2021.</w:t>
      </w:r>
    </w:p>
    <w:p>
      <w:pPr>
        <w:spacing w:after="0" w:line="17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are also conducting a Phase 2 clinical trial of Haduvio for chronic cough in patients with IPF. This Phase 2 clinical trial is a randomized, double-blind, placebo controlled, two-treatment, two-period, crossover study designed to evaluate the efficacy, safety, tolerability and dosing of Haduvio for chronic cough in patients with IPF and is designed to enroll approximately 60 subjects with a goal to have 44 study completers. Due to the COVID-19 pandemic and the specific at-risk nature of IPF patients, our clinical sites halted their enrollment and treatment of patients in this trial. While patient screening and enrollment resumed at certain clinical trial sites in the fourth quarter of 2020, some sites may take longer to resume screening and enrollment due to increased COVID-19</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1" w:name="page22"/>
    <w:bookmarkEnd w:id="21"/>
    <w:p>
      <w:pPr>
        <w:ind w:right="200"/>
        <w:spacing w:after="0" w:line="279" w:lineRule="auto"/>
        <w:rPr>
          <w:sz w:val="20"/>
          <w:szCs w:val="20"/>
          <w:color w:val="auto"/>
        </w:rPr>
      </w:pPr>
      <w:r>
        <w:rPr>
          <w:rFonts w:ascii="Arial" w:cs="Arial" w:eastAsia="Arial" w:hAnsi="Arial"/>
          <w:sz w:val="17"/>
          <w:szCs w:val="17"/>
          <w:color w:val="auto"/>
        </w:rPr>
        <w:t>infection rates in the areas where they are located, and we expect other sites may cease to participate in the trial entirely. We recently amended the study protocol to reduce the number of in-person visits and procedures to facilitate this study being completed in an at-risk patient population for COVID-19. This trial is currently being conducted in the United Kingdom, and we are assessing additional study sites in Germany which could potentially accelerate enrollment and reduce the risks inherent to single-country recruitment during the COVID-19 pandemic.</w:t>
      </w:r>
    </w:p>
    <w:p>
      <w:pPr>
        <w:spacing w:after="0" w:line="17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addition, we conducted a Phase 1b clinical trial in patients with chronic liver disease to evaluate the safety and pharmacokinetics, or PK, of Haduvio in this population. This trial was designed as an open label, non-randomized, parallel-group, single and multiple ascending dose pharmacokinetic trial in patients with mild, moderate and severe hepatic impairment. We completed the single ascending dosing portion of this trial in patients with mild, moderate and severe hepatic impairment and there were no serious adverse events reported in the trial. After reviewing the safety and PK data generated in the single ascending dose portion of the trial, we believe that these data are sufficient to support further investigation of Haduvio in potential future safety and efficacy studies in patients with relevant liver diseases without the need to conduct the multiple ascending dose portion of the trial. We intend to use the data from the hepatic impairment study to support a new drug application, or NDA, submission for Haduvio for pruritus in prurigo nodularis and evaluate the potential to conduct a Phase 2 trial with pruritus associated with primary biliary cholangitis, or PBC.</w:t>
      </w:r>
    </w:p>
    <w:p>
      <w:pPr>
        <w:spacing w:after="0" w:line="178"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We have written the protocol for a Phase 2 clinical trial for LID in patients with Parkinson’s disease and plan to submit an Investigational New Drug, or IND, application to the FDA in the future.</w:t>
      </w:r>
    </w:p>
    <w:p>
      <w:pPr>
        <w:spacing w:after="0" w:line="170" w:lineRule="exact"/>
        <w:rPr>
          <w:sz w:val="20"/>
          <w:szCs w:val="20"/>
          <w:color w:val="auto"/>
        </w:rPr>
      </w:pPr>
    </w:p>
    <w:p>
      <w:pPr>
        <w:ind w:right="540" w:firstLine="510"/>
        <w:spacing w:after="0" w:line="311" w:lineRule="auto"/>
        <w:rPr>
          <w:sz w:val="20"/>
          <w:szCs w:val="20"/>
          <w:color w:val="auto"/>
        </w:rPr>
      </w:pPr>
      <w:r>
        <w:rPr>
          <w:rFonts w:ascii="Arial" w:cs="Arial" w:eastAsia="Arial" w:hAnsi="Arial"/>
          <w:sz w:val="16"/>
          <w:szCs w:val="16"/>
          <w:color w:val="auto"/>
        </w:rPr>
        <w:t>We are currently focusing our resources on completing the PRISM trial and our Phase 2 trial for chronic cough in patients with IPF. We are continuing to prepare to conduct the Phase 2 trial for LID in patients with Parkinson’s disease and evaluate the potential to conduct a Phase 2 trial in patients with pruritus associated with PBC, but plan to prioritize our cash and operational resources on our two lead clinical programs.</w:t>
      </w:r>
    </w:p>
    <w:p>
      <w:pPr>
        <w:spacing w:after="0" w:line="149"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September 30, 2020, we had an accumulated deficit of $137.5 million, primarily as a result of research and development and general and administrative expenses. We do not expect to generate product revenue unless and until we obtain marketing approval for and commercialize Haduvio for the treatment of pruritus associated with prurigo nodularis, chronic cough in patients with IPF or LID in patients with Parkinson’s disease, and we can provide no assurance that we will ever generate significant revenue or profits.</w:t>
      </w:r>
    </w:p>
    <w:p>
      <w:pPr>
        <w:spacing w:after="0" w:line="17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On May 9, 2019, we issued and sold 5,500,000 shares of common stock in our initial public offering, or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198"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On June 26, 2020, we entered into a sales agreement with SVB Leerink LLC, or SVB Leerink, which we refer to as the ATM Sales Agreement, under which we may issue and sell shares of common stock, from time to time, having an aggregate offering price of up to $12.0 million. Sales of common stock under the ATM Sales Agreement may be made by any method that is deemed an “at the market” offering as defined in Rule 415(a)(4) under the Securities Act of 1933, as amended. We are not obligated to make any sales of our common stock under the ATM Sales Agreement. We began making sales pursuant to the ATM Sales Agreement in July 2020, and as of September 30, 2020 we had issued and sold an aggregate of 466,758 shares of common stock for gross proceeds of $2.5 million, before deducting estimated commissions and fees of $0.2 million.</w:t>
      </w:r>
    </w:p>
    <w:p>
      <w:pPr>
        <w:spacing w:after="0" w:line="205"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On August 13, 2020, we entered into a loan and security agreement, or the SVB Loan Agreement, with Silicon Valley Bank pursuant to which Silicon Valley Bank provided a term loan, or the SVB Term Loan, to us in the original principal amount of $14.0 million. On the first business day of each month, we will be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For further discussion of the SVB Term Loan, see “—Liquidity and Capital Resources”.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22" w:name="page23"/>
    <w:bookmarkEnd w:id="22"/>
    <w:p>
      <w:pPr>
        <w:ind w:right="60" w:firstLine="510"/>
        <w:spacing w:after="0" w:line="257" w:lineRule="auto"/>
        <w:rPr>
          <w:sz w:val="20"/>
          <w:szCs w:val="20"/>
          <w:color w:val="auto"/>
        </w:rPr>
      </w:pPr>
      <w:r>
        <w:rPr>
          <w:rFonts w:ascii="Arial" w:cs="Arial" w:eastAsia="Arial" w:hAnsi="Arial"/>
          <w:sz w:val="18"/>
          <w:szCs w:val="18"/>
          <w:color w:val="auto"/>
        </w:rPr>
        <w:t>As of September 30, 2020, we had cash and cash equivalents of $53.3 million. We believe that our existing cash and cash equivalents will enable us to fund our operating expenses and capital expenditure requirements into the first half of 2022. Our estimate as to how long we expect our existing cash and cash equivalents to continue to fund our operations is based on assumptions that may prove to be wrong, and we could use our available capital resources sooner than we expect. See “—Liquidity and Capital Resources.” Our future viability beyond that point is dependent on our ability to raise additional capital to finance our operations.</w:t>
      </w:r>
    </w:p>
    <w:p>
      <w:pPr>
        <w:spacing w:after="0" w:line="18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 patients with pruritus associated with prurigo nodularis, including as a result of the increase in the target number of subjects to be enrolled from 240 to 360 following the completion of the SSRE analysis, the additional Phase 3 clinical trial we will be required to conduct to support the submission of an NDA to the United States Food and Drug Administration, or FDA, for Haduvio for the treatment of pruritus associated with prurigo nodularis, our ongoing Phase 2 clinical trial in chronic cough in patients with IPF, the development and validation of our commercial manufacturing process for Haduvio and other development activities, including potentially commencing Phase 2 clinical trials for the treatment of LID in patients with Parkinson’s disease and for pruritus associated with PBC. In addition, we may continue to incur additional expenses as a result of COVID-19 and resulting clinical trial delays and interruptions. Furthermore, we expect to incur additional costs associated with operating as a public company, including significant legal, accounting, investor relations and other expenses.</w:t>
      </w:r>
    </w:p>
    <w:p>
      <w:pPr>
        <w:spacing w:after="0" w:line="18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 Pandemic</w:t>
      </w:r>
    </w:p>
    <w:p>
      <w:pPr>
        <w:spacing w:after="0" w:line="117"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color w:val="auto"/>
        </w:rPr>
        <w:t>The COVID-19 pandemic and government measures taken in response thereto have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and delays in activating new clinical sites. For example, in our ongoing PRISM trial, new patient screening and most enrollment was temporarily halted due to the COVID-19 pandemic. Patient screening restrictions have been lifted in the United States and Europe. Many of our sites restarted patient screening and enrollment throughout May and June 2020. Furthermore, multiple sites in the PRISM trial are requiring remote monitoring of patient data and we could be required to amend the protocol for the trial to have fewer patient visits over the course of the trial. In addition, the clinical sites in our ongoing Phase 2 trial for chronic cough in patients with IPF temporarily suspended enrollment and treatment of patients in the trial due to the vulnerability of IPF patients to COVID-19 and we recently amended the protocol for the trial to reduce the number of in-person patient visits and procedures. While patient screening and enrollment for our Phase 2 clinical trial for chronic cough in patients with IPF resumed at certain clinical trial sites in the fourth quarter of 2020, some sites may take longer to resume screening and enrollment due to increased COVID-19 infection rates in the areas where they are located, and we expect other sites may cease to participate in the trial entirely. The 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towards regulatory approvals and we may face impediments to regulatory meetings and approvals relating to our clinical trials due to measures intended to limit in-person interactions.</w:t>
      </w:r>
    </w:p>
    <w:p>
      <w:pPr>
        <w:spacing w:after="0" w:line="19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w:t>
      </w:r>
    </w:p>
    <w:p>
      <w:pPr>
        <w:spacing w:after="0" w:line="184"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We have taken temporary precautionary measures intended to help minimize the risk of the virus to our employees, including allowing employees to work remotely, suspending all non-essential travel worldwide for our employees and discouraging employee attendance at industry events.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All of our research and development expenses consist of expenses incurred in connection with the development of Haduvio. These expenses include certain payroll and personnel expenses, including stock-based compensation, consulting costs, contract manufacturing costs and fees paid to clinical research organizations, or CROs, to conduct certain research and development activities on our behalf. We do not allocate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16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expect our research and development expenses to increase over the next few years as we pursue our development program, pursue regulatory approval of Haduvio in the United States and Europe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whether as a result of the COVID-19 pandemic or otherwise, in any of our clinical trials, we could be required to expend significant additional financial resources and time on our development program. Furthermore, we are unable to predict when or if Haduvio will receive regulatory approval in the United States or elsewhere with any certainty.</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184"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stock exchange listing and SEC requirements, investor relations costs and director and officer insurance premiums associated with being a public company.</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 on our Term Loan Facility</w:t>
      </w:r>
    </w:p>
    <w:p>
      <w:pPr>
        <w:spacing w:after="0" w:line="11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In August 2020, we entered into the SVB Loan Agreement under which we borrowed $14.0 million under a term loan, or the SVB Term Loan. The SVB Term Loan bears interest at a floating rate per annum equal to the greater of (A) the prime rate plus 1.00% and (B) 4.25%. If Silicon Valley Bank receives evidence satisfactory to it that the we have (i) received positive data for the PRISM trial sufficient to advance Haduvio into a second Phase 3 clinical trial for prurigo nodularis, and (ii) raised sufficient financing to fund such Phase 3 clinical trial and our operations, the interest rate under the SVB Term Loan will be adjusted to a floating rate equal to the greater of (A) the prime rate plus 3.00% and (B) 6.25%. The SVB Term Loan requires interest-only payments until March 2022. We will then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w:t>
      </w:r>
    </w:p>
    <w:p>
      <w:pPr>
        <w:spacing w:after="0" w:line="31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 in Fair Value of Obligation for Loan Success Fee</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connection with our prior term loan with Solar Capital, Ltd. and Square 1 Bank, which we refer to as the Solar Term Loan, we entered into a success fee agreement under which we agreed to pay the lenders a success fee, which we refer to as the Success Fee, upon the occurrence of an exit event, as defined in the success fee agreement. We recognized changes in the fair value of this obligation for the Success Fee in our statements of operations as a component of other income (expense), net. We recognized changes in the fair value of the obligation for the Success Fee until the Success Fee payment was triggered and paid upon the closing of our IPO in May 2019.</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from money market funds on our cash and cash equivalents.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8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70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4,828</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5,650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(822)</w:t>
            </w: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FF0FC"/>
            </w:tcBorders>
          </w:tcPr>
          <w:p>
            <w:pPr>
              <w:spacing w:after="0"/>
              <w:rPr>
                <w:sz w:val="19"/>
                <w:szCs w:val="19"/>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(7,244)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w:t>
            </w: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r>
      <w:tr>
        <w:trPr>
          <w:trHeight w:val="223"/>
        </w:trPr>
        <w:tc>
          <w:tcPr>
            <w:tcW w:w="4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18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(7,389)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(7,370)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8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(7,378)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3,683</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28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Research and development expenses for the three months ended September 30, 2020 decreased to $4.8 million from $5.7 million for the corresponding period in 2019. The decrease was primarily due to decreased activity in our Phase 1b clinical trial in patients with chronic liver disease due to the completion of the trial, as well as decreased activity in our Phase 2 trial in chronic cough in patients with IPF due to the temporary pausing of enrollment and treatment of patients as a result of the COVID-19 pandemic. The decrease in expenses related to these two trials was partially offset by an increase in activity and enrollment in our ongoing Phase 2b/3 PRISM trial. In addition, the decrease in clinical development expenses was partially offset by an increase in personnel and related expenses of $0.2 million as a result of an increase in our employee headcount and employee compensation. For the periods presented, all of our research and development expenses related to our development activity for Haduvio.</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60" w:firstLine="510"/>
        <w:spacing w:after="0" w:line="311" w:lineRule="auto"/>
        <w:rPr>
          <w:sz w:val="20"/>
          <w:szCs w:val="20"/>
          <w:color w:val="auto"/>
        </w:rPr>
      </w:pPr>
      <w:r>
        <w:rPr>
          <w:rFonts w:ascii="Arial" w:cs="Arial" w:eastAsia="Arial" w:hAnsi="Arial"/>
          <w:sz w:val="16"/>
          <w:szCs w:val="16"/>
          <w:color w:val="auto"/>
        </w:rPr>
        <w:t>General and administrative expenses for the three months ended September 30, 2020 increased to $2.4 million from $2.0 million for the corresponding period in 2019. The increase was primarily due to an increase in stock-based compensation expenses of $0.2 million, which we incurred from the issuance of new stock option grants in the first quarter of 2020 and a $0.2 million increase in expenses related primarily to consulting fees.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Other income (expense), net for the three months ended September 30, 2020 decreased to other (expense), net of $0.1 million from other income, net of $0.3 million for the corresponding period in 2019. The decrease reflects a decrease in interest income of $0.3 million for the three months ended September 30, 2020 as compared to the prior year period, primarily due to lower market interest rates and a $0.1 million increase in expense due to interest expense on the SVB Term Loan recognized in the three months ended September 30, 2020 with no comparable expense recognized in the corresponding period in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15,768</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14,516</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FF0FC"/>
          </w:tcPr>
          <w:p>
            <w:pPr>
              <w:spacing w:after="0"/>
              <w:rPr>
                <w:sz w:val="19"/>
                <w:szCs w:val="19"/>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w:t>
            </w:r>
          </w:p>
        </w:tc>
        <w:tc>
          <w:tcPr>
            <w:tcW w:w="100" w:type="dxa"/>
            <w:vAlign w:val="bottom"/>
            <w:shd w:val="clear" w:color="auto" w:fill="CFF0FC"/>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obligation for loan success fee</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w:t>
            </w: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 net</w:t>
            </w:r>
          </w:p>
        </w:tc>
        <w:tc>
          <w:tcPr>
            <w:tcW w:w="1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benefit</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(3,743)</w:t>
            </w:r>
          </w:p>
        </w:tc>
        <w:tc>
          <w:tcPr>
            <w:tcW w:w="100" w:type="dxa"/>
            <w:vAlign w:val="bottom"/>
            <w:shd w:val="clear" w:color="auto" w:fill="CFF0FC"/>
          </w:tcPr>
          <w:p>
            <w:pPr>
              <w:spacing w:after="0"/>
              <w:rPr>
                <w:sz w:val="19"/>
                <w:szCs w:val="19"/>
                <w:color w:val="auto"/>
              </w:rPr>
            </w:pPr>
          </w:p>
        </w:tc>
      </w:tr>
      <w:tr>
        <w:trPr>
          <w:trHeight w:val="229"/>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(19,513)</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expenses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12,453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11,659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Personnel and related expenses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Consulting expenses and professional fees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Stock-based compensation expenses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15,768</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14,516</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7"/>
          <w:szCs w:val="17"/>
          <w:color w:val="auto"/>
        </w:rPr>
        <w:t>Research and development expenses for the nine months ended September 30, 2020 increased to $15.8 million from $14.5 million for the corresponding period in 2019. The increase was primarily due to increased activity in our Phase 2b/3 PRISM trial as well as an increase in expenses related to the purchase of clinical trial supplies. The increase from these activities was partially offset by reduced spending on our Phase 1b clinical trial in patients with chronic liver disease due to the completion of the trial, as well as less activity in our Phase 2 trial in chronic cough in patients with IPF due to the temporary pausing of enrollment and treatment of patients as a result of the COVID-19 pandemic. In addition, personnel and related expenses increased by $0.4 million as a result of an increase in our employee headcount and stock-based compensation expenses increased by $0.2 million. For the periods presented, all of our research and development expenses related to our development activity for Haduvio.</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General and administrative expenses for the nine months ended September 30, 2020 increased to $7.5 million from $5.4 million for the corresponding period in 2019. The increase was primarily due to an increase in expenses related primarily to being a public company of $1.0 million and an increase in stock-based compensation expenses of $1.0 million, which we incurred from the issuance of new stock option grants in the second quarter of 2019 in connection with the IPO and in the first quarter of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Other income (expense), net for the nine months ended September 30, 2020 decreased to other income, net of $26 thousand from other income, net of $0.4 million for the corresponding period in 2019. The decrease reflects the decrease in interest income of $0.4 million for the nine months ended September 30, 2020 as compared to the prior year period, primarily due to lower market interest rates and a $0.1 million increase in expense due to interest expense on the SVB Term Loan recognized in the nine months ended September 30, 2020 with no comparable expense recognized in the corresponding period in 2019. These changes in interest income and interest expense were partially offset by a decrease in expense of $0.2 million attributable to expense being recognized in the nine months ended September 30, 2019 for the change in fair value of obligation for the Success Fee with no comparable expense recognized in the corresponding period in 2020.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Prior to the completion of our IPO and concurrent private placement in May 2019, we financed our operations primarily through private placements of our preferred stock and convertible notes as well as borrowings under the Solar Term Loan. From inception to our IPO, we raised an aggregate of $102.2 million in gross proceeds from sales of our preferred stock and convertible notes and borrowed $15.0 million under the Solar Term Loan. As of June 30, 2018, all amounts owed under the Solar Term Loan had been paid in full.</w:t>
      </w:r>
    </w:p>
    <w:p>
      <w:pPr>
        <w:spacing w:after="0" w:line="188" w:lineRule="exact"/>
        <w:rPr>
          <w:sz w:val="20"/>
          <w:szCs w:val="20"/>
          <w:color w:val="auto"/>
        </w:rPr>
      </w:pPr>
    </w:p>
    <w:p>
      <w:pPr>
        <w:ind w:right="460" w:firstLine="510"/>
        <w:spacing w:after="0" w:line="286" w:lineRule="auto"/>
        <w:rPr>
          <w:sz w:val="20"/>
          <w:szCs w:val="20"/>
          <w:color w:val="auto"/>
        </w:rPr>
      </w:pPr>
      <w:r>
        <w:rPr>
          <w:rFonts w:ascii="Arial" w:cs="Arial" w:eastAsia="Arial" w:hAnsi="Arial"/>
          <w:sz w:val="17"/>
          <w:szCs w:val="17"/>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165"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As of September 30, 2020, we had cash and cash equivalents of $53.3 million. Our cash and cash equivalents are primarily held in money market accounts.</w:t>
      </w:r>
    </w:p>
    <w:p>
      <w:pPr>
        <w:spacing w:after="0" w:line="19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On June 26, 2020, we entered into the ATM Sales Agreement, under which we may issue and sell shares of common stock, from time to time, having an aggregate offering price of up to $12.0 million. Sales of common stock under the ATM Sales Agreement may be made by any method that is deemed an “at the market” offering as defined in Rule 415(a)(4) under the Securities Act of 1933, as amended. We are not obligated to make any sales of our common stock under the ATM Sales Agreement. We began making sales pursuant to the ATM Sales Agreement in July 2020, and as of September 30, 2020 we had issued and sold an aggregate of 466,758 shares of common stock for gross proceeds of $2.5 million, before deducting estimated commissions and fees of $0.2 million.</w:t>
      </w:r>
    </w:p>
    <w:p>
      <w:pPr>
        <w:spacing w:after="0" w:line="192"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On August 13, 2020, which we refer to as the Effective Date, we entered into the SVB Loan Agreement, with Silicon Valley Bank, as lender, or SVB, pursuant to which SVB provided the SVB Term Loan in the original principal amount of $14.0 million. The proceeds from the SVB Term Loan may be used by us for working capital and general corporate purposes. The SVB Term Loan bears interest at a floating rate per annum equal to the greater of</w:t>
      </w:r>
    </w:p>
    <w:p>
      <w:pPr>
        <w:spacing w:after="0" w:line="2" w:lineRule="exact"/>
        <w:rPr>
          <w:sz w:val="20"/>
          <w:szCs w:val="20"/>
          <w:color w:val="auto"/>
        </w:rPr>
      </w:pPr>
    </w:p>
    <w:p>
      <w:pPr>
        <w:ind w:right="40" w:firstLine="8"/>
        <w:spacing w:after="0" w:line="281" w:lineRule="auto"/>
        <w:tabs>
          <w:tab w:leader="none" w:pos="2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prime rate plus 1.00% and (B) 4.25%. If SVB receives evidence satisfactory to it that we have (i) received positive data for the PRISM trial, sufficient to advance Haduvio into a second Phase 3 clinical trial for prurigo nodularis, and (ii) raised sufficient financing to fund such Phase 3 clinical trial and our operations, the interest rate under the SVB Term Loan will be adjusted to a floating rate equal to the greater of (A) the prime rate plus 3.00% and</w:t>
      </w:r>
    </w:p>
    <w:p>
      <w:pPr>
        <w:spacing w:after="0" w:line="1" w:lineRule="exact"/>
        <w:rPr>
          <w:rFonts w:ascii="Arial" w:cs="Arial" w:eastAsia="Arial" w:hAnsi="Arial"/>
          <w:sz w:val="16"/>
          <w:szCs w:val="16"/>
          <w:color w:val="auto"/>
        </w:rPr>
      </w:pPr>
    </w:p>
    <w:p>
      <w:pPr>
        <w:ind w:firstLine="8"/>
        <w:spacing w:after="0" w:line="284" w:lineRule="auto"/>
        <w:tabs>
          <w:tab w:leader="none" w:pos="285" w:val="left"/>
        </w:tabs>
        <w:numPr>
          <w:ilvl w:val="0"/>
          <w:numId w:val="17"/>
        </w:numPr>
        <w:rPr>
          <w:rFonts w:ascii="Arial" w:cs="Arial" w:eastAsia="Arial" w:hAnsi="Arial"/>
          <w:sz w:val="16"/>
          <w:szCs w:val="16"/>
          <w:color w:val="auto"/>
        </w:rPr>
      </w:pPr>
      <w:r>
        <w:rPr>
          <w:rFonts w:ascii="Arial" w:cs="Arial" w:eastAsia="Arial" w:hAnsi="Arial"/>
          <w:sz w:val="16"/>
          <w:szCs w:val="16"/>
          <w:color w:val="auto"/>
        </w:rPr>
        <w:t>6.25%.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will be required to pay a final payment fee equal to $1.2 million. The SVB Term Loan and related obligations under the SVB Loan Agreement are secured by substantially all of our properties, rights and assets, except for our intellectual property (which is subject to a negative pledge under the SVB Loan Agreement). If we fail to meet certain equity raise requirements under the SVB Loan Agreement, we will be required to deposit unrestricted and unencumbered cash equal to 100% of the principal amount of the SVB Term Loan then outstanding in a cash collateral account with SVB, which can be used by SVB to prepay the SVB Term Loan at any time.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7" w:name="page28"/>
    <w:bookmarkEnd w:id="27"/>
    <w:p>
      <w:pPr>
        <w:ind w:right="500"/>
        <w:spacing w:after="0" w:line="277" w:lineRule="auto"/>
        <w:rPr>
          <w:sz w:val="20"/>
          <w:szCs w:val="20"/>
          <w:color w:val="auto"/>
        </w:rPr>
      </w:pPr>
      <w:r>
        <w:rPr>
          <w:rFonts w:ascii="Arial" w:cs="Arial" w:eastAsia="Arial" w:hAnsi="Arial"/>
          <w:sz w:val="18"/>
          <w:szCs w:val="18"/>
          <w:color w:val="auto"/>
        </w:rPr>
        <w:t>against us and the collateral securing the SVB Term Loan and other obligations under the SVB Loan Agreement, including foreclosure against assets securing the SVB Term Loan and other obligations under the SVB Loan Agreement, including our cash.</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below (in thousands):</w:t>
      </w:r>
    </w:p>
    <w:p>
      <w:pPr>
        <w:spacing w:after="0" w:line="25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21513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(20,076)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73,213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cash increase (decrease)</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During the nine months ended September 30, 2020, operating activities used $20.1 million of cash, resulting from our net loss of $23.2 million, partially offset by changes in our operating assets and liabilities of $1.2 million, net and non-cash charges of $2.0 million. Changes in our operating assets and liabilities for the nine months ended September 30, 2020 consisted of a $1.2 million increase in accrued expenses, a $0.2 million increase in prepaid expenses, a $0.3 million decrease in accounts payable and a $0.5 million decrease in receivables. The increase in accrued expenses was primarily due to increased accruals for research, development and clinical trial work performed by our CROs and increased accruals related to professional fees. The increase in prepaid expenses was primarily due to prepayments of our corporate insurance policies, partially offset by a decrease in prepayments made with respect to research, development and clinical trial work performed by our CROs and other vendors. The decrease in accounts payable was primarily due to the timing of vendor invoices. The decrease in receivables was primarily due to a refund of prepayments made to one of our vendors, which we received in the first quarter of 2020. The non-cash charges for the nine months ended September 30, 2020 consisted primarily of stock-based compensation expense of $1.9 million.</w:t>
      </w:r>
    </w:p>
    <w:p>
      <w:pPr>
        <w:spacing w:after="0" w:line="185" w:lineRule="exact"/>
        <w:rPr>
          <w:sz w:val="20"/>
          <w:szCs w:val="20"/>
          <w:color w:val="auto"/>
        </w:rPr>
      </w:pPr>
    </w:p>
    <w:p>
      <w:pPr>
        <w:ind w:right="160" w:firstLine="510"/>
        <w:spacing w:after="0" w:line="285" w:lineRule="auto"/>
        <w:rPr>
          <w:sz w:val="20"/>
          <w:szCs w:val="20"/>
          <w:color w:val="auto"/>
        </w:rPr>
      </w:pPr>
      <w:r>
        <w:rPr>
          <w:rFonts w:ascii="Arial" w:cs="Arial" w:eastAsia="Arial" w:hAnsi="Arial"/>
          <w:sz w:val="16"/>
          <w:szCs w:val="16"/>
          <w:color w:val="auto"/>
        </w:rPr>
        <w:t>During the nine months ended September 30, 2019, operating activities used $16.9 million of cash, resulting from our net loss of $19.5 million, partially offset by changes in our operating assets and liabilities of $1.6 million and non-cash charges of $1.0 million. Changes in our operating assets and liabilities for the nine months ended September 30, 2019 consisted primarily of a $2.4 million increase in accrued expenses, a $0.4 million increase in prepaid expenses and a $0.3 million decrease in accounts payable. The increase in accrued expenses was primarily due to increases in accruals related to our Phase 2b/3 PRISM trial in prurigo nodularis, our Phase 2 trial for chronic cough in IPF and our Phase 1b trial in patients with chronic liver</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disease. The increase in prepaid expenses was primarily due to prepayments of our insurance policies partially offset by a decrease in prepayments of $0.4 million related to our human abuse liability, or HAL, study. The decrease in accounts payable was primarily due to timing of vendor invoices. The non-cash charges for nine months ended September 30, 2019 consisted primarily of stock-based compensation expense of $0.8 million and changes in fair value of the Success Fee of $0.2 million.</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nine months ended September 30, 2020 and 2019, we used an insignificant amount of cash in investing activities.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580" w:firstLine="510"/>
        <w:spacing w:after="0" w:line="263" w:lineRule="auto"/>
        <w:rPr>
          <w:sz w:val="20"/>
          <w:szCs w:val="20"/>
          <w:color w:val="auto"/>
        </w:rPr>
      </w:pPr>
      <w:r>
        <w:rPr>
          <w:rFonts w:ascii="Arial" w:cs="Arial" w:eastAsia="Arial" w:hAnsi="Arial"/>
          <w:sz w:val="18"/>
          <w:szCs w:val="18"/>
          <w:color w:val="auto"/>
        </w:rPr>
        <w:t>During the nine months ended September 30, 2020, net cash provided by financing activities was $16.1 million, primarily consisting of cash proceeds from the SVB Term Loan of $14.0 million and gross cash proceeds of $2.5 million from sales of our common stock under the ATM Sales Agreement, before deducting estimated commissions and fees of $0.2 million.</w:t>
      </w:r>
    </w:p>
    <w:p>
      <w:pPr>
        <w:spacing w:after="0" w:line="184"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During the nine months ended September 30, 2019, net cash provided by financing activities was $73.2 million, primarily consisting of cash proceeds, net of underwriting discounts and commissions and placement agent fees, of $65.1 million from our IPO and concurrent private placement, and $10.0 million from our sales of shares of Series C preferred stock in the third tranche of our Series C preferred stock financing in January 2019, partially offset by costs relating to our IPO of $1.2 million and payment of the $0.7 million Success Fee.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our ongoing Phase 2b/3 PRISM trial, including as a result of the increase in the target number of patients to be enrolled from 240 to 360 based on the SSRE analysis, the additional Phase 3 clinical trial we will need to conduct to support the submission of an NDA to the FDA and a marketing authorization application to the European Medicines Agency for Haduvio for the treatment of pruritus associated with prurigo nodularis, our ongoing Phase 2 clinical trial in chronic cough in patients with IPF, the costs of commercialization activities, including manufacturing capabilities, for Haduvio and other development activities including potentially commencing Phase 2 clinical trials for the treatment of LID in patients with Parkinson’s disease and for pruritus associated with PBC. In addition, we have incurred and may continue to incur additional expenses as a result of COVID-19 and resulting clinical trial delays and interruptions. Furthermore, we expect to continue to incur additional costs associated with operating as a public company, including significant legal, accounting, investor relations and other expenses.</w:t>
      </w:r>
    </w:p>
    <w:p>
      <w:pPr>
        <w:spacing w:after="0" w:line="185"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63" w:lineRule="exact"/>
        <w:rPr>
          <w:sz w:val="20"/>
          <w:szCs w:val="20"/>
          <w:color w:val="auto"/>
        </w:rPr>
      </w:pPr>
    </w:p>
    <w:p>
      <w:pPr>
        <w:ind w:left="880" w:right="140" w:hanging="373"/>
        <w:spacing w:after="0" w:line="301"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scope, progress, timing, costs and results of clinical trials of Haduvio for the treatment of pruritus associated with prurigo nodularis, including the increase in the target number of enrolled patients for our ongoing Phase 2b/3 PRISM trial from 240 to 360 subjects based on the SSRE analysis, as well as the scope, progress, timing, costs and results of clinical trials of Haduvio for other serious neurologically mediated conditions, including our ongoing Phase 2 trial for chronic cough in patients with IPF, as well as any future product candidates;</w:t>
      </w:r>
    </w:p>
    <w:p>
      <w:pPr>
        <w:spacing w:after="0" w:line="49" w:lineRule="exact"/>
        <w:rPr>
          <w:rFonts w:ascii="Arial" w:cs="Arial" w:eastAsia="Arial" w:hAnsi="Arial"/>
          <w:sz w:val="16"/>
          <w:szCs w:val="16"/>
          <w:color w:val="auto"/>
        </w:rPr>
      </w:pPr>
    </w:p>
    <w:p>
      <w:pPr>
        <w:ind w:left="880" w:hanging="373"/>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impacts of the COVID-19 pandemic on the scope, progress, timing, costs and results of our ongoing and planned clinical trials of Haduvio;</w:t>
      </w:r>
    </w:p>
    <w:p>
      <w:pPr>
        <w:spacing w:after="0" w:line="140" w:lineRule="exact"/>
        <w:rPr>
          <w:rFonts w:ascii="Arial" w:cs="Arial" w:eastAsia="Arial" w:hAnsi="Arial"/>
          <w:sz w:val="16"/>
          <w:szCs w:val="16"/>
          <w:color w:val="auto"/>
        </w:rPr>
      </w:pPr>
    </w:p>
    <w:p>
      <w:pPr>
        <w:ind w:left="880" w:right="4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timing and costs of clinical and nonclinical trials and of seeking regulatory approvals, including the costs of supportive clinical studies such as our planned human abuse liability study and our planned Thorough QT studies;</w:t>
      </w:r>
    </w:p>
    <w:p>
      <w:pPr>
        <w:spacing w:after="0" w:line="62"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880" w:right="180" w:hanging="373"/>
        <w:spacing w:after="0" w:line="308"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subject to receipt of marketing approvals, revenue, if any, received from commercial sales of Haduvio for the treatment of pruritus associated with prurigo nodularis or for any other serious neurologically mediated conditions or from any future product candidates;</w:t>
      </w:r>
    </w:p>
    <w:p>
      <w:pPr>
        <w:spacing w:after="0" w:line="38" w:lineRule="exact"/>
        <w:rPr>
          <w:rFonts w:ascii="Arial" w:cs="Arial" w:eastAsia="Arial" w:hAnsi="Arial"/>
          <w:sz w:val="17"/>
          <w:szCs w:val="17"/>
          <w:color w:val="auto"/>
        </w:rPr>
      </w:pPr>
    </w:p>
    <w:p>
      <w:pPr>
        <w:ind w:left="880" w:right="540" w:hanging="373"/>
        <w:spacing w:after="0" w:line="26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Haduvio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40" w:lineRule="exact"/>
        <w:rPr>
          <w:rFonts w:ascii="Arial" w:cs="Arial" w:eastAsia="Arial" w:hAnsi="Arial"/>
          <w:sz w:val="16"/>
          <w:szCs w:val="16"/>
          <w:color w:val="auto"/>
        </w:rPr>
      </w:pPr>
    </w:p>
    <w:p>
      <w:pPr>
        <w:ind w:left="880" w:right="32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believe that our existing cash and cash equivalents will enable us to fund our operating expenses and capital expenditure requirements into the first half of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ind w:firstLine="510"/>
        <w:spacing w:after="0" w:line="259"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which may not be available to us on acceptable terms, or at all. Our failure to raise capital as and when needed would have a negative impact on our financial condition and our ability to pursue our business strategy.</w:t>
      </w:r>
    </w:p>
    <w:p>
      <w:pPr>
        <w:spacing w:after="0" w:line="18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do not have any committed external source of funds. Accordingly, we will be required to obtain further funding through public or private equity offerings, debt financings, collaborations and licensing arrangements or other sources to complete the clinical development and commercialization of Haduvio for pruritus associated with prurigo nodularis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For example, in connection with the SVB Term Loan, we granted a security interest on all of our assets, excluding our intellectual property, agreed to a negative pledge on our intellectual property, agreed to restrictive covenants including, subject to certain exceptions, covenants that prohibit us from transferring all or any part of our business or property, changing our business, liquidating or dissolving, merging with or acquiring another entity, entering into a transaction that will result in a change in control, incurring additional indebtedness, creating any lien on our property, paying dividends or redeeming stock, making payments on subordinated debt or entering into material transactions with affiliates, and agreed to cash collateralize the SVB Term Loan in certain circumstances. 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or additional equity that we raise may contain terms that could adversely affect our common stockholders.</w:t>
      </w:r>
    </w:p>
    <w:p>
      <w:pPr>
        <w:spacing w:after="0" w:line="167"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300" w:firstLine="510"/>
        <w:spacing w:after="0" w:line="301" w:lineRule="auto"/>
        <w:rPr>
          <w:sz w:val="20"/>
          <w:szCs w:val="20"/>
          <w:color w:val="auto"/>
        </w:rPr>
      </w:pPr>
      <w:r>
        <w:rPr>
          <w:rFonts w:ascii="Arial" w:cs="Arial" w:eastAsia="Arial" w:hAnsi="Arial"/>
          <w:sz w:val="16"/>
          <w:szCs w:val="16"/>
          <w:color w:val="auto"/>
        </w:rPr>
        <w:t>During the nine months ended September 30, 2020, there were no material changes to our critical accounting policies. Our critical accounting policies are described in the notes to the consolidated financial statements and under the heading “Management’s Discussion and Analysis of Financial Condition and Results of Operations—Critical Accounting Policies and Use of Estimates” in our 2019 Annual Report on Form 10-K for the year ended December 31, 2019, and in the notes to the Condensed Consolidated Financial Statements appearing elsewhere in this Quarterly Report on Form 10-Q.</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 See Note 11 to our Condensed Consolidated Financial Statements included elsewhere in this Quarterly Report on Form 10-Q for discussion regarding our commitments and contingent commitments.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new accounting pronouncements adopted during the nine months ended September 30,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There have been no new accounting pronouncements during the nine months ended September 30, 2020, as compared to the recent accounting pronouncements described in Note 2 to our audited Consolidated financial statements for the year ended December 31, 2019 included in our Annual Report on Form 10-K for the year ended December 31, 2019, which could be expected to materially impact our unaudited Condensed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September 30, 2020.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2020, our Chief Executive Officer and Chief Financial Officer concluded that, as of such date, our disclosure controls and procedures were effective at the reasonable assurance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nine months ended September 30, 2020 that has materially affected, or is reasonably likely to materially affect, our internal control over financial reporting.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subject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20"/>
        <w:spacing w:after="0" w:line="327" w:lineRule="auto"/>
        <w:rPr>
          <w:sz w:val="20"/>
          <w:szCs w:val="20"/>
          <w:color w:val="auto"/>
        </w:rPr>
      </w:pPr>
      <w:r>
        <w:rPr>
          <w:rFonts w:ascii="Arial" w:cs="Arial" w:eastAsia="Arial" w:hAnsi="Arial"/>
          <w:sz w:val="15"/>
          <w:szCs w:val="15"/>
          <w:b w:val="1"/>
          <w:bCs w:val="1"/>
          <w:i w:val="1"/>
          <w:iCs w:val="1"/>
          <w:color w:val="auto"/>
        </w:rPr>
        <w:t>We face risks related to health epidemics and other widespread outbreaks of contagious disease, including the novel coronavirus pandemic, or COVID-19, which has delayed our ability to complete our ongoing clinical trials, disrupted our business operations and may further delay our clinical trials, interrupt our supply chain, disrupt regulatory activities, or have other adverse effects on our business and operations. In addition, this pandemic has caused substantial disruption in the financial markets and economies worldwide, which could result in adverse effects on our business and operations.</w:t>
      </w:r>
    </w:p>
    <w:p>
      <w:pPr>
        <w:spacing w:after="0" w:line="3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Significant outbreaks of contagious diseases, and other adverse public health developments, could have a material impact on our business operations and operating results. In December 2019, an outbreak of respiratory illness caused by a strain of novel coronavirus, COVID-19, began in China. That outbreak has led to millions of confirmed cases worldwide, including in the United States and other countries where we are conducting clinical trials or activities in support thereof. The World Health Organization declared the outbreak a global public health emergency on January 30, 2020 and declared it a pandemic on March 11, 2020. In addition to those who have been directly affected, billions more have been affected by governmental efforts around the world to slow the spread of the outbreak.</w:t>
      </w:r>
    </w:p>
    <w:p>
      <w:pPr>
        <w:spacing w:after="0" w:line="192"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The outbreak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and delays in activating new clinical sites. For example, in our ongoing Phase 2b/3 trial of Haduvio for the treatment of pruritus associated with prurigo nodularis, which we refer to as our PRISM trial, new patient screening and most enrollment was temporarily halted due to the COVID-19 pandemic. After resuming screening and enrollment, multiple sites in the PRISM trial have begun requiring remote monitoring of patient data and we could be required to amend the protocol for the trial to have fewer patient visits over the course of the trial. In addition, the clinical sites in our ongoing Phase 2 trial for chronic cough in patients with idiopathic pulmonary fibrosis, or IPF, temporarily suspended enrollment and treatment of patients in the trial due to the vulnerability of IPF patients to COVID-19 and we recently amended the protocol for the trial to reduce the number of in-person patient visits and procedures. While patient screening and enrollment for our Phase 2 clinical trial for chronic cough in patients with IPF resumed at certain clinical trial sites in the fourth quarter of 2020, some sites may take longer to resume screening and enrollment due to increased COVID-19 infection rates in the areas where they are located, and we expect other sites may cease to participate in the trial entirely. The 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regulatory approvals and we may face impediments to regulatory meetings and approvals relating to our clinical trials due to measures intended to limit in-person interactions.</w:t>
      </w:r>
    </w:p>
    <w:p>
      <w:pPr>
        <w:spacing w:after="0" w:line="19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In addition, we have taken temporary precautionary measures intended to help minimize the risk of the virus to our employees, including allowing employees to work remotely, suspending all non-essential travel worldwide for our employees and discouraging employee attendance at industry events, each of which could negatively affect our business.</w:t>
      </w:r>
    </w:p>
    <w:p>
      <w:pPr>
        <w:spacing w:after="0" w:line="19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cannot presently predict the scope and severity of the disruptions we may experience or continue to experience as a result of the COVID-19 pandemic. If we or any of the third parties with whom we engage experience business disruptions,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 ability to raise additional funds and has also impacted, and may continue to impact, the volatility of our stock price and trading in our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have incurred significant annual net losses every year since our inception. We expect to continue to incur significant and increasing net losses for at least the next several years. Our net losses were $23.2 million, $26.1 million and $20.5 million for the nine months ended September 30, 2020 and the years ended December 31, 2019 and 2018, respectively. As of September 30, 2020, we had an accumulated deficit of $137.5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borrowings under our prior term loan facility, our initial public offering and concurrent private placement completed in May 2019, sales of our common stock pursuant to the ATM Sales Agreement we entered into in June 2020, which we refer to as the ATM Sales Agreement, and the term loan facility with Silicon Valley Bank that we entered into in August 2020, which we refer to as the SVB Term Loan. We have devoted substantially all of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18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62" w:lineRule="exact"/>
        <w:rPr>
          <w:sz w:val="20"/>
          <w:szCs w:val="20"/>
          <w:color w:val="auto"/>
        </w:rPr>
      </w:pPr>
    </w:p>
    <w:p>
      <w:pPr>
        <w:ind w:left="880" w:right="420" w:hanging="373"/>
        <w:spacing w:after="0" w:line="303"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continue to develop and conduct clinical trials of Haduvio, including our ongoing Phase 2b/3 trial of Haduvio for the treatment of pruritus associated with prurigo nodularis, which we refer to as our PRISM trial, and our other ongoing clinical trials of Haduvio in other serious neurologically mediated conditions, including our Phase 2 trial for chronic cough in patients with IPF;</w:t>
      </w:r>
    </w:p>
    <w:p>
      <w:pPr>
        <w:spacing w:after="0" w:line="42" w:lineRule="exact"/>
        <w:rPr>
          <w:rFonts w:ascii="Arial" w:cs="Arial" w:eastAsia="Arial" w:hAnsi="Arial"/>
          <w:sz w:val="17"/>
          <w:szCs w:val="17"/>
          <w:color w:val="auto"/>
        </w:rPr>
      </w:pPr>
    </w:p>
    <w:p>
      <w:pPr>
        <w:ind w:left="880" w:right="42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significantly increase the number of patients in the PRISM trial to a total of 360 patients based on the sample size re-estimation, or SSRE, analysis;</w:t>
      </w:r>
    </w:p>
    <w:p>
      <w:pPr>
        <w:spacing w:after="0" w:line="62" w:lineRule="exact"/>
        <w:rPr>
          <w:rFonts w:ascii="Arial" w:cs="Arial" w:eastAsia="Arial" w:hAnsi="Arial"/>
          <w:sz w:val="18"/>
          <w:szCs w:val="18"/>
          <w:color w:val="auto"/>
        </w:rPr>
      </w:pPr>
    </w:p>
    <w:p>
      <w:pPr>
        <w:ind w:left="880" w:right="180" w:hanging="373"/>
        <w:spacing w:after="0" w:line="259"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other development work required for the filing of a new drug application, or NDA, with the U.S. Food and Drug Administration, or FDA, and the filing of a marketing authorization application, or MAA, with the European Medicines Agency, or EMA, for Haduvio for the treatment of pruritus associated with prurigo nodularis, including completing our PRISM trial and at least one additional Phase 3 clinical trial in this indication;</w:t>
      </w:r>
    </w:p>
    <w:p>
      <w:pPr>
        <w:spacing w:after="0" w:line="78" w:lineRule="exact"/>
        <w:rPr>
          <w:rFonts w:ascii="Arial" w:cs="Arial" w:eastAsia="Arial" w:hAnsi="Arial"/>
          <w:sz w:val="18"/>
          <w:szCs w:val="18"/>
          <w:color w:val="auto"/>
        </w:rPr>
      </w:pPr>
    </w:p>
    <w:p>
      <w:pPr>
        <w:ind w:left="880" w:right="600" w:hanging="373"/>
        <w:spacing w:after="0" w:line="308"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seek regulatory and marketing approvals for Haduvio for the treatment of pruritus associated with prurigo nodularis or for other serious neurologically mediated conditions or for any future product candidate that successfully completes clinical trials, if any;</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negotiate and execute pediatric development plans and complete any post-approval commitments;</w:t>
      </w:r>
    </w:p>
    <w:p>
      <w:pPr>
        <w:spacing w:after="0" w:line="117"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to commercialize any products for which we may obtain marketing approval;</w:t>
      </w:r>
    </w:p>
    <w:p>
      <w:pPr>
        <w:spacing w:after="0" w:line="62" w:lineRule="exact"/>
        <w:rPr>
          <w:rFonts w:ascii="Arial" w:cs="Arial" w:eastAsia="Arial" w:hAnsi="Arial"/>
          <w:sz w:val="18"/>
          <w:szCs w:val="18"/>
          <w:color w:val="auto"/>
        </w:rPr>
      </w:pPr>
    </w:p>
    <w:p>
      <w:pPr>
        <w:ind w:left="880" w:right="108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manufacture of larger quantities of Haduvio or any future product candidate for clinical development and, potentially, commercialization;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rights to other potential product candidates or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conduct research, preclinical and clinical development efforts for any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regulatory and scientific personnel;</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development program for Haduvio and for any future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ind w:right="40" w:firstLine="510"/>
        <w:spacing w:after="0" w:line="286" w:lineRule="auto"/>
        <w:rPr>
          <w:sz w:val="20"/>
          <w:szCs w:val="20"/>
          <w:color w:val="auto"/>
        </w:rPr>
      </w:pPr>
      <w:r>
        <w:rPr>
          <w:rFonts w:ascii="Arial" w:cs="Arial" w:eastAsia="Arial" w:hAnsi="Arial"/>
          <w:sz w:val="16"/>
          <w:szCs w:val="16"/>
          <w:color w:val="auto"/>
        </w:rPr>
        <w:t>In addition, we may incur additional expenses as a result of the COVID-19 pandemic and resulting clinical trial delays and interruptions. 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pruritus associated with prurigo nodularis, we will be required, at a minimum, to successfully complete our ongoing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2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95"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We may encounter unforeseen expenses, difficulties, complications, delays and other known or unknown factors in achieving our business objectives. If we are able to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149"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62"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nine months ended September 30, 2020 and in the years ended December 31, 2019 and 2018, we used net cash of $20.1 million, $23.1 million and</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$18.3 million, respectively, in our operating activities, substantially all of which related to development activities for Haduvio. As of September 30, 2020, our cash and cash equivalents were $53.3 million. We expect our expenses to increase substantially in connection with our ongoing activities, particularly as we continue to develop and conduct clinical trials of Haduvio, including our ongoing PRISM trial and the additional Phase 3 clinical trial we will need to conduct for Haduvio for the treatment of pruritus associated with prurigo nodularis and our other ongoing clinical trials, acquire or in-license rights to other potential product candidates or technologies and seek regulatory and marketing approvals for Haduvio or any future product candidate that successfully completes clinical trials, if any. In addition, we may incur additional expenses as a result of the COVID-19 pandemic and resulting clinical trial delays and interruptions. In addition, if we obtain marketing approval for Haduvio or any future product candidate, we may incur significant commercialization expenses related to product sales, marketing, manufacturing and distribution. For instance, we currently intend to commercialize Haduvio in the United States ourselves by developing a focused, specialty sales, marketing and distribution organization. Furthermore, we expect to incur significant additional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firstLine="510"/>
        <w:spacing w:after="0" w:line="270" w:lineRule="auto"/>
        <w:rPr>
          <w:sz w:val="20"/>
          <w:szCs w:val="20"/>
          <w:color w:val="auto"/>
        </w:rPr>
      </w:pPr>
      <w:r>
        <w:rPr>
          <w:rFonts w:ascii="Arial" w:cs="Arial" w:eastAsia="Arial" w:hAnsi="Arial"/>
          <w:sz w:val="17"/>
          <w:szCs w:val="17"/>
          <w:color w:val="auto"/>
        </w:rPr>
        <w:t>We plan to use our existing cash and cash equivalents to fund the development of Haduvio for the treatment of pruritus associated with prurigo nodularis and the treatment of chronic cough in patients with IPF, to fund the development of Haduvio for other serious neurologically mediated conditions and for working capital and other general corporate purposes. We will be required to expend significant funds in order to advance the development of Haduvio in multiple indications, as well as any future product candidates we may seek to develop. Our existing cash and cash equivalents will not be sufficient to complete development of Haduvio for the treatment of pruritus associated with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8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believe that our existing cash and cash equivalents will enable us to fund our operating expenses and capital expenditure requirements into the first half of 2022. Our estimate as to how long we expect our existing cash and cash equivalents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53" w:lineRule="exact"/>
        <w:rPr>
          <w:sz w:val="20"/>
          <w:szCs w:val="20"/>
          <w:color w:val="auto"/>
        </w:rPr>
      </w:pPr>
    </w:p>
    <w:p>
      <w:pPr>
        <w:ind w:left="880" w:right="100" w:hanging="373"/>
        <w:spacing w:after="0" w:line="313"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scope, progress, timing, costs and results of clinical trials of Haduvio for the treatment of pruritus associated with prurigo nodularis, including the increase in the target number of enrolled patients for our ongoing Phase 2b/3 PRISM trial from 240 to 360 subjects based on the SSRE analysis, as well as the scope, progress, timing, costs and results of clinical trials of Haduvio for other serious neurologically mediated conditions, including our ongoing Phase 2 trial for chronic cough in patients with IPF, as well as any future product candidates;</w:t>
      </w:r>
    </w:p>
    <w:p>
      <w:pPr>
        <w:spacing w:after="0" w:line="39" w:lineRule="exact"/>
        <w:rPr>
          <w:rFonts w:ascii="Arial" w:cs="Arial" w:eastAsia="Arial" w:hAnsi="Arial"/>
          <w:sz w:val="16"/>
          <w:szCs w:val="16"/>
          <w:color w:val="auto"/>
        </w:rPr>
      </w:pPr>
    </w:p>
    <w:p>
      <w:pPr>
        <w:ind w:left="880" w:hanging="37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impacts of the COVID-19 pandemic on the scope, progress, timing, costs and results of our ongoing and planned clinical trials of Haduvio;</w:t>
      </w:r>
    </w:p>
    <w:p>
      <w:pPr>
        <w:spacing w:after="0" w:line="140" w:lineRule="exact"/>
        <w:rPr>
          <w:rFonts w:ascii="Arial" w:cs="Arial" w:eastAsia="Arial" w:hAnsi="Arial"/>
          <w:sz w:val="16"/>
          <w:szCs w:val="16"/>
          <w:color w:val="auto"/>
        </w:rPr>
      </w:pPr>
    </w:p>
    <w:p>
      <w:pPr>
        <w:ind w:left="880" w:right="40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18"/>
          <w:szCs w:val="18"/>
          <w:color w:val="auto"/>
        </w:rPr>
      </w:pPr>
    </w:p>
    <w:p>
      <w:pPr>
        <w:ind w:left="880" w:right="200" w:hanging="373"/>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outcome, timing and costs of clinical and nonclinical trials and of seeking regulatory approvals, including the costs of supportive clinical studies such as our planned human abuse liability, or HAL, study and our planned Thorough QT, or TQT, studies;</w:t>
      </w:r>
    </w:p>
    <w:p>
      <w:pPr>
        <w:spacing w:after="0" w:line="38" w:lineRule="exact"/>
        <w:rPr>
          <w:rFonts w:ascii="Arial" w:cs="Arial" w:eastAsia="Arial" w:hAnsi="Arial"/>
          <w:sz w:val="17"/>
          <w:szCs w:val="17"/>
          <w:color w:val="auto"/>
        </w:rPr>
      </w:pPr>
    </w:p>
    <w:p>
      <w:pPr>
        <w:ind w:left="880" w:right="50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associated with the manufacture of necessary quantities of Haduvio or any future product candidate for clinical development in connection with regulatory submissions;</w:t>
      </w:r>
    </w:p>
    <w:p>
      <w:pPr>
        <w:spacing w:after="0" w:line="62"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commercialization activities for Haduvio for the treatment of pruritus associated with prurigo nodularis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75" w:lineRule="exact"/>
        <w:rPr>
          <w:rFonts w:ascii="Arial" w:cs="Arial" w:eastAsia="Arial" w:hAnsi="Arial"/>
          <w:sz w:val="18"/>
          <w:szCs w:val="18"/>
          <w:color w:val="auto"/>
        </w:rPr>
      </w:pPr>
    </w:p>
    <w:p>
      <w:pPr>
        <w:ind w:left="880" w:right="140" w:hanging="373"/>
        <w:spacing w:after="0" w:line="308"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subject to receipt of marketing approvals, revenue, if any, received from commercial sales of Haduvio for the treatment of pruritus associated with prurigo nodularis or for any other serious neurologically mediated conditions or from any future product candidates;</w:t>
      </w:r>
    </w:p>
    <w:p>
      <w:pPr>
        <w:spacing w:after="0" w:line="38" w:lineRule="exact"/>
        <w:rPr>
          <w:rFonts w:ascii="Arial" w:cs="Arial" w:eastAsia="Arial" w:hAnsi="Arial"/>
          <w:sz w:val="17"/>
          <w:szCs w:val="17"/>
          <w:color w:val="auto"/>
        </w:rPr>
      </w:pPr>
    </w:p>
    <w:p>
      <w:pPr>
        <w:ind w:left="880" w:right="500" w:hanging="373"/>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identify potential collaborators for Haduvio for the treatment of pruritus associated with prurigo nodularis or for any future product candidates and the terms and timing of any collaboration agreement that we may establish for the development and any commercialization of such product candidates;</w:t>
      </w:r>
    </w:p>
    <w:p>
      <w:pPr>
        <w:spacing w:after="0" w:line="75"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acquire or in-license rights to other potential product candidates or technologies, and the terms and timing of any such acquisition or licensing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activities and establish a commercial infrastructure;</w:t>
      </w:r>
    </w:p>
    <w:p>
      <w:pPr>
        <w:spacing w:after="0" w:line="140" w:lineRule="exact"/>
        <w:rPr>
          <w:rFonts w:ascii="Arial" w:cs="Arial" w:eastAsia="Arial" w:hAnsi="Arial"/>
          <w:sz w:val="16"/>
          <w:szCs w:val="16"/>
          <w:color w:val="auto"/>
        </w:rPr>
      </w:pPr>
    </w:p>
    <w:p>
      <w:pPr>
        <w:ind w:left="880" w:right="28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technologies and market developments;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for our products;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 or restrict our future operations.</w:t>
      </w:r>
    </w:p>
    <w:p>
      <w:pPr>
        <w:spacing w:after="0" w:line="117"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On August 13, 2020, we entered into a Loan and Security Agreement, or the SVB Loan Agreement, with Silicon Valley Bank, or SVB, pursuant to which SVB provided a term loan to us in the original principal amount of $14.0 million. The SVB Term Loan bears interest at a floating rate per annum equal to the greater of (A) the prime rate plus 1.00% and (B) 4.25%. If SVB receives evidence satisfactory to it that the Company has (i) received positive data for the PRISM trial sufficient to advance Haduvio into a second Phase 3 clinical trial for prurigo nodularis, and (ii) raised sufficient financing to fund such Phase 3 clinical trial and the Company’s operations, the interest rate under the SVB Term Loan will be adjusted to a floating rate equal to the greater of (A) the prime rate plus 3.00% and (B) 6.25%. On the first business day of each month we are required to make monthly interest payments and commencing on March 1, 2022, we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Our obligations under the Loan Agreement are secured by substantially all of our assets, excluding our intellectual property (which is subject to a negative pledge under the Loan Agreement). The SVB Loan Agreement also includes customary affirmative and negative covenants, including a requirement to maintain our bank accounts with SVB or bank accounts that are subject to SVB’s control and limitations on transferring all or any part of our business or property, changing our business, liquidating or dissolving, permitting a change in control, adding new offices or business locations, changing jurisdiction of organization, organizational structure or legal name, merging with or acquiring another entity, incurring additional indebtedness, creating any lien on our property, paying dividends or redeeming stock, entering into material transactions with an affiliate or making payments on subordinated debt. Additionally, if we fail to meet certain equity raise requirements under the SVB Loan Agreement, we will be required to deposit unrestricted and unencumbered cash equal to 100% of the principal amount of the SVB Term Loan then outstanding in a cash collateral account with SVB, which can be used by SVB to prepay the SVB Term Loan at any time.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Our debt combined with our other financial obligations and contractual commitments could have significant adverse consequences, including:</w:t>
      </w:r>
    </w:p>
    <w:p>
      <w:pPr>
        <w:spacing w:after="0" w:line="129" w:lineRule="exact"/>
        <w:rPr>
          <w:sz w:val="20"/>
          <w:szCs w:val="20"/>
          <w:color w:val="auto"/>
        </w:rPr>
      </w:pPr>
    </w:p>
    <w:p>
      <w:pPr>
        <w:ind w:left="880" w:right="80" w:hanging="373"/>
        <w:spacing w:after="0" w:line="301"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and cash equivalents to the payment of interest on, and principal of, our debt, or maintain a substantial portion of our cash and cash equivalents in cash collateral accounts controlled by our lenders to secure repayment of our debt (which may be used by our lenders to prepay the debt if certain requirements relating to raising equity are not met), which will reduce the amounts available to fund working capital, capital expenditures, product development efforts and other general corporate purposes;</w:t>
      </w:r>
    </w:p>
    <w:p>
      <w:pPr>
        <w:spacing w:after="0" w:line="49" w:lineRule="exact"/>
        <w:rPr>
          <w:rFonts w:ascii="Arial" w:cs="Arial" w:eastAsia="Arial" w:hAnsi="Arial"/>
          <w:sz w:val="16"/>
          <w:szCs w:val="16"/>
          <w:color w:val="auto"/>
        </w:rPr>
      </w:pPr>
    </w:p>
    <w:p>
      <w:pPr>
        <w:ind w:left="880" w:right="3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obligating us to negative covenants restricting our activities, including the negative covenants to which we are subject under the SVB Loan Agreement;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We intend to satisfy our debt service obligations with our existing cash and cash equivalents and any additional amounts we may raise through future debt and equity financings. However, we may not have sufficient funds or may be unable to arrange for additional financing to pay the amounts due under our existing debt. Funds from external sources may not be available on acceptable terms, if at all. In addition, a failure to comply with certain equity raise requirements in the SVB Loan Agreement could result in us having to deposit unrestricted and unencumbered cash equal to 100% of the principal amount of the SVB Term Loan then outstanding in a cash collateral account with SVB, which can be used by SVB to prepay the SVB Term Loan at any time. Failure to pay any amount due under the SVB Loan Agreement, to comply with covenants under the SVB Loan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 In addition, the covenants under the SVB Loan Agreement and the pledge of substantially all of our assets, excluding our intellectual property (which is subject to a negative pledge under the SVB Loan Agreement), as collateral on the SVB Term Loan may limit our ability to obtain additional debt financing.</w:t>
      </w: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Raising additional capital may cause dilution to our stockholders, restrict our operations or require us to relinquish rights to our product candidates.</w:t>
      </w:r>
    </w:p>
    <w:p>
      <w:pPr>
        <w:spacing w:after="0" w:line="15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expect our expenses to increase substantially in connection with our planned operations, particularly as we conduct our ongoing PRISM trial and our other ongoing clinical trials as well as the additional Phase 3 clinical trial we will need to conduct for Haduvio for the treatment of pruritus associated with prurigo nodularis and develop Haduvio for the treatment of other serious neurologically mediated conditions. To the extent that we raise additional capital through the sale of common stock, convertible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right="80"/>
        <w:spacing w:after="0" w:line="277" w:lineRule="auto"/>
        <w:rPr>
          <w:sz w:val="20"/>
          <w:szCs w:val="20"/>
          <w:color w:val="auto"/>
        </w:rPr>
      </w:pPr>
      <w:r>
        <w:rPr>
          <w:rFonts w:ascii="Arial" w:cs="Arial" w:eastAsia="Arial" w:hAnsi="Arial"/>
          <w:sz w:val="18"/>
          <w:szCs w:val="18"/>
          <w:color w:val="auto"/>
        </w:rPr>
        <w:t>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170"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Our ability to obtain further debt financing may be limited by the covenants under the SVB Loan Agreement, which include a covenant not to incur additional indebtedness as well as the pledge of substantially all of our assets, excluding our intellectual property (which is subject to a negative pledge under the SVB Loan Agreement), as collateral on the SVB Term Loan. In addition, further debt financing, if available, would result in additional fixed payment obligations and may involve agreements that include grants of additional security interests on our assets and additional restrictive covenants that limit our ability to take specific actions, such as incurring additional debt, making capital expenditures, granting liens over our assets, redeeming stock or declaring dividends, that could adversely impact our ability to conduct our business, which covenants may be more restrictive than the covenants to which we are subject under the SVB Loan Agreement.</w:t>
      </w:r>
    </w:p>
    <w:p>
      <w:pPr>
        <w:spacing w:after="0" w:line="17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Haduvio and Any Future Product Candidates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76"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We currently have no products approved for sale and are investing substantially all of our efforts and financial resources to fund the development of Haduvio for multiple serious neurologically mediated conditions.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15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most advanced program is the development of Haduvio for the treatment of pruritus associated with prurigo nodularis, as our efforts to develop Haduvio for other serious neurologically mediated conditions are only at an early stage. As a result, if our efforts to develop and commercialize Haduvio for the treatment of pruritus associated with prurigo nodularis are unsuccessful, or we experience significant delays in doing so, our business could also be substantially harmed.</w:t>
      </w:r>
    </w:p>
    <w:p>
      <w:pPr>
        <w:spacing w:after="0" w:line="187"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 success of Haduvio for the treatment of pruritus associated with prurigo nodularis, as well as for other serious neurologically mediated conditions, will depend on several factors, including the following:</w:t>
      </w:r>
    </w:p>
    <w:p>
      <w:pPr>
        <w:spacing w:after="0" w:line="62" w:lineRule="exact"/>
        <w:rPr>
          <w:sz w:val="20"/>
          <w:szCs w:val="20"/>
          <w:color w:val="auto"/>
        </w:rPr>
      </w:pPr>
    </w:p>
    <w:p>
      <w:pPr>
        <w:ind w:left="88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recruiting, enrolling and retaining patients in and completing our PRISM trial, including the 120 additional subjects we plan to add to the trial as a result of the SSRE analysis;</w:t>
      </w:r>
    </w:p>
    <w:p>
      <w:pPr>
        <w:spacing w:after="0" w:line="62"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initiating and successfully recruiting, enrolling and retaining patients in and completing additional clinical and nonclinical trials, including the additional Phase 3 clinical trial we will need to conduct for Haduvio for the treatment of pruritus associated with prurigo nodularis and other supportive clinical studies such as our planned HAL study and TQT studies;</w:t>
      </w:r>
    </w:p>
    <w:p>
      <w:pPr>
        <w:spacing w:after="0" w:line="75"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and maintaining arrangements with our third-party supplier of drug substance for Haduvio;</w:t>
      </w:r>
    </w:p>
    <w:p>
      <w:pPr>
        <w:spacing w:after="0" w:line="117" w:lineRule="exact"/>
        <w:rPr>
          <w:rFonts w:ascii="Arial" w:cs="Arial" w:eastAsia="Arial" w:hAnsi="Arial"/>
          <w:sz w:val="18"/>
          <w:szCs w:val="18"/>
          <w:color w:val="auto"/>
        </w:rPr>
      </w:pPr>
    </w:p>
    <w:p>
      <w:pPr>
        <w:ind w:left="880" w:right="380" w:hanging="373"/>
        <w:spacing w:after="0" w:line="308"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obtaining, maintaining and protecting our patents, trade secrets and regulatory exclusivity in the United States and other countries;</w:t>
      </w:r>
    </w:p>
    <w:p>
      <w:pPr>
        <w:spacing w:after="0" w:line="128" w:lineRule="exact"/>
        <w:rPr>
          <w:rFonts w:ascii="Arial" w:cs="Arial" w:eastAsia="Arial" w:hAnsi="Arial"/>
          <w:sz w:val="17"/>
          <w:szCs w:val="17"/>
          <w:color w:val="auto"/>
        </w:rPr>
      </w:pPr>
    </w:p>
    <w:p>
      <w:pPr>
        <w:ind w:left="880" w:right="12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 focused, specialty sales organization in the United States and successfully launching commercial sales following any marketing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left="880" w:right="24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commercial acceptance of our products, if approved, by patients, the medical community and third-party payors and obtaining and maintaining healthcare coverage and adequate reimbursement;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approach to the development and commercialization of Haduvio to treat serious neurologically mediated conditions is unproven.</w:t>
      </w:r>
    </w:p>
    <w:p>
      <w:pPr>
        <w:spacing w:after="0" w:line="129"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are currently focused on the development and commercialization of Haduvio to treat serious neurologically mediated conditions. Haduvio is an oral extended release formulation of nalbuphine, the active drug ingredient in Haduvio, which is a mixed κ-opioid receptor agonist and μ-opioid receptor antagonist that has been approved and marketed as an injectable for pain indications for more than 20 years in the United States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pruritus and other serious neurologically mediated conditions, and that Haduvio has the potential to be safe and well-tolerated, nalbuphine has not been approved in any indications other than pain. Additionally, nalbuphine ER has not been approved in any indication, including the treatment of pruritus associated with prurigo nodularis, the lead indication for which we are pursuing clinical development of nalbuphine ER. No therapies have been approved in the United States or Europe for the treatment of moderate to severe pruritus, and we can provide no assurance that either Haduvio or any other future product candidate that we may seek to develop for this indication or for any other serious neurologically mediated condition will be effective or safe, obtain regulatory approval or be commercially successful.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such as the EMA,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18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79"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may produce unfavorable or inconclusive results;</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or regulators may require us, to restructure clinical trials, conduct additional clinical and nonclinical trials or abandon product development programs;</w:t>
      </w:r>
    </w:p>
    <w:p>
      <w:pPr>
        <w:spacing w:after="0" w:line="62"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 such as with the increase of the target number of enrolled patients for our Phase 2b/3 PRISM trial from 240 to 360 subjects as a result of the SSRE analysis;</w:t>
      </w:r>
    </w:p>
    <w:p>
      <w:pPr>
        <w:spacing w:after="0" w:line="62" w:lineRule="exact"/>
        <w:rPr>
          <w:rFonts w:ascii="Arial" w:cs="Arial" w:eastAsia="Arial" w:hAnsi="Arial"/>
          <w:sz w:val="18"/>
          <w:szCs w:val="18"/>
          <w:color w:val="auto"/>
        </w:rPr>
      </w:pPr>
    </w:p>
    <w:p>
      <w:pPr>
        <w:ind w:left="880" w:right="340" w:hanging="373"/>
        <w:spacing w:after="0" w:line="263"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 enrollment in these clinical trials may be slower than we anticipate, whether as a result of the COVID-19 pandemic or otherwise, or participants may discontinue their participation in these clinical trials at a higher rate than we anticipate, as we experienced in our Phase 2 clinical trial of Haduvio for the treatment of pruritus associated with prurigo nodularis;</w:t>
      </w:r>
    </w:p>
    <w:p>
      <w:pPr>
        <w:spacing w:after="0" w:line="75" w:lineRule="exact"/>
        <w:rPr>
          <w:rFonts w:ascii="Arial" w:cs="Arial" w:eastAsia="Arial" w:hAnsi="Arial"/>
          <w:sz w:val="18"/>
          <w:szCs w:val="18"/>
          <w:color w:val="auto"/>
        </w:rPr>
      </w:pPr>
    </w:p>
    <w:p>
      <w:pPr>
        <w:ind w:left="880" w:right="300" w:hanging="373"/>
        <w:spacing w:after="0" w:line="311"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planned clinical trials may be greater than we anticipate, as we have experienced in our Phase 2b/3 PRISM trial as we added additional sites, increased the target number of enrolled patients as a result of the SSRE analysis, enrollment has taken longer than expected and we have used and expect to continue to use additional incentive strategies to address site activation and enrollment;</w:t>
      </w:r>
    </w:p>
    <w:p>
      <w:pPr>
        <w:spacing w:after="0" w:line="40" w:lineRule="exact"/>
        <w:rPr>
          <w:rFonts w:ascii="Arial" w:cs="Arial" w:eastAsia="Arial" w:hAnsi="Arial"/>
          <w:sz w:val="16"/>
          <w:szCs w:val="16"/>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clinical trials sites may not have adequate staff and resources to support our trials on a timely basis;</w:t>
      </w:r>
    </w:p>
    <w:p>
      <w:pPr>
        <w:spacing w:after="0" w:line="117"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left="880" w:right="28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75" w:lineRule="exact"/>
        <w:rPr>
          <w:rFonts w:ascii="Arial" w:cs="Arial" w:eastAsia="Arial" w:hAnsi="Arial"/>
          <w:sz w:val="18"/>
          <w:szCs w:val="18"/>
          <w:color w:val="auto"/>
        </w:rPr>
      </w:pPr>
    </w:p>
    <w:p>
      <w:pPr>
        <w:ind w:left="880" w:right="340" w:hanging="373"/>
        <w:spacing w:after="0" w:line="308"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38" w:lineRule="exact"/>
        <w:rPr>
          <w:rFonts w:ascii="Arial" w:cs="Arial" w:eastAsia="Arial" w:hAnsi="Arial"/>
          <w:sz w:val="17"/>
          <w:szCs w:val="17"/>
          <w:color w:val="auto"/>
        </w:rPr>
      </w:pPr>
    </w:p>
    <w:p>
      <w:pPr>
        <w:ind w:left="880" w:hanging="373"/>
        <w:spacing w:after="0" w:line="259"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8"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designs or our interpretation of data from preclinical studies and clinical trials;</w:t>
      </w:r>
    </w:p>
    <w:p>
      <w:pPr>
        <w:spacing w:after="0" w:line="62" w:lineRule="exact"/>
        <w:rPr>
          <w:rFonts w:ascii="Arial" w:cs="Arial" w:eastAsia="Arial" w:hAnsi="Arial"/>
          <w:sz w:val="18"/>
          <w:szCs w:val="18"/>
          <w:color w:val="auto"/>
        </w:rPr>
      </w:pPr>
    </w:p>
    <w:p>
      <w:pPr>
        <w:ind w:left="880" w:right="480" w:hanging="373"/>
        <w:spacing w:after="0" w:line="308"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38" w:lineRule="exact"/>
        <w:rPr>
          <w:rFonts w:ascii="Arial" w:cs="Arial" w:eastAsia="Arial" w:hAnsi="Arial"/>
          <w:sz w:val="17"/>
          <w:szCs w:val="17"/>
          <w:color w:val="auto"/>
        </w:rPr>
      </w:pPr>
    </w:p>
    <w:p>
      <w:pPr>
        <w:ind w:left="880" w:right="340" w:hanging="373"/>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75" w:lineRule="exact"/>
        <w:rPr>
          <w:rFonts w:ascii="Arial" w:cs="Arial" w:eastAsia="Arial" w:hAnsi="Arial"/>
          <w:sz w:val="18"/>
          <w:szCs w:val="18"/>
          <w:color w:val="auto"/>
        </w:rPr>
      </w:pPr>
    </w:p>
    <w:p>
      <w:pPr>
        <w:ind w:left="880" w:right="440" w:hanging="373"/>
        <w:spacing w:after="0" w:line="342"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15" w:lineRule="exact"/>
        <w:rPr>
          <w:rFonts w:ascii="Arial" w:cs="Arial" w:eastAsia="Arial" w:hAnsi="Arial"/>
          <w:sz w:val="16"/>
          <w:szCs w:val="16"/>
          <w:color w:val="auto"/>
        </w:rPr>
      </w:pPr>
    </w:p>
    <w:p>
      <w:pPr>
        <w:ind w:left="880" w:hanging="373"/>
        <w:spacing w:after="0" w:line="263"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18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 addition to the above, the continued spread of COVID-19 globally could adversely affect our clinical trial operations worldwide, including our ability to recruit and retain principal investigators and site staff who, as healthcare providers, may have heightened exposure to COVID-19 if an outbreak occurs in their geography, and result in further delays in our clinical trials due to prioritization of hospital and medical resources toward the outbreak, restrictions in travel, potential unwillingness of patients to enroll in trials at this time, or the inability of patients to comply with clinical trial protocols if quarantines or travel restrictions impede patient movement or interrupt healthcare services. Furthermore, the response to the COVID-19 pandemic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w:t>
      </w:r>
    </w:p>
    <w:p>
      <w:pPr>
        <w:spacing w:after="0" w:line="17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9" w:lineRule="exact"/>
        <w:rPr>
          <w:sz w:val="20"/>
          <w:szCs w:val="20"/>
          <w:color w:val="auto"/>
        </w:rPr>
      </w:pPr>
    </w:p>
    <w:p>
      <w:pPr>
        <w:ind w:left="880" w:hanging="373"/>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incur additional unplanned costs, which may exceed the resources that we have available or are able to obtain on reasonable terms;</w:t>
      </w:r>
    </w:p>
    <w:p>
      <w:pPr>
        <w:spacing w:after="0" w:line="128" w:lineRule="exact"/>
        <w:rPr>
          <w:rFonts w:ascii="Arial" w:cs="Arial" w:eastAsia="Arial" w:hAnsi="Arial"/>
          <w:sz w:val="17"/>
          <w:szCs w:val="17"/>
          <w:color w:val="auto"/>
        </w:rPr>
      </w:pPr>
    </w:p>
    <w:p>
      <w:pPr>
        <w:ind w:left="880" w:right="20" w:hanging="373"/>
        <w:spacing w:after="0" w:line="263"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 to obtain marketing approval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we originally intended or desired;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left="880" w:right="8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significant safety warnings, including boxed warnings;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failure to successfully and timely complete clinical trials of Haduvio for the treatment of pruritus associated with prurigo nodularis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pruritus associated with prurigo nodularis failed to meet its primary endpoint, and the number of patients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174"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pruritus associated with prurigo nodularis, the FDA raised the need to adequately isolate a patient population with pruritus associated with prurigo nodularis for our planned Phase 3 clinical trials. While the inclusion criteria in our PRISM trial require that enrolled patients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Haduvio does not achieve the primary endpoint in our PRISM trial, or the FDA does not otherwise believe that the results of the trial are sufficiently supportive of an application for marketing approval, the FDA may require us to conduct another Phase 3 clinical trial in addition to the PRISM trial and the additional Phase 3 clinical trial we plan to conduct, which would cause us to incur substantial additional costs and significantly delay our development of Haduvio for the treatment of pruritus associated with prurigo nodularis.</w:t>
      </w:r>
    </w:p>
    <w:p>
      <w:pPr>
        <w:spacing w:after="0" w:line="2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6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Due to the difficulty of objectively measuring pruritus, the assessment of pruritus in clinical trials typically involves the use of PROs. Our clinical trials evaluating the efficacy of Haduvio in pruritus indications have used PROs as primary endpoints. For example, the primary endpoint of our Phase 2 clinical trial of Haduvio for the treatment of pruritus associated with prurigo nodularis was the proportion of patients reporting at least a 30% reduction from baseline to week 10 in seven-day mean Worst Itching Numerical Rating Scale, or WI-NRS, scores, which is a patient-reported assessment on an 11-point scale from 0 to 10 of the severity of the worst itch experienced in the last 24 hours. The primary endpoint of our PRISM trial is the proportion of patients achieving at least a 4-point improvement from baseline with respect to their worst itch at week 14 as measured by WI-NRS.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right="20" w:firstLine="510"/>
        <w:spacing w:after="0" w:line="293" w:lineRule="auto"/>
        <w:rPr>
          <w:sz w:val="20"/>
          <w:szCs w:val="20"/>
          <w:color w:val="auto"/>
        </w:rPr>
      </w:pPr>
      <w:r>
        <w:rPr>
          <w:rFonts w:ascii="Arial" w:cs="Arial" w:eastAsia="Arial" w:hAnsi="Arial"/>
          <w:sz w:val="16"/>
          <w:szCs w:val="16"/>
          <w:color w:val="auto"/>
        </w:rPr>
        <w:t>In addition, PROs for the assessment of pruritus have historically been observed to have high placebo group response rates. We observed this in some of our clinical trials of Haduvio. For example, in our Phase 2 clinical trial of Haduvio for the treatment of pruritus associated with prurigo nodularis, we observed a mean reduction from baseline in WI-NRS score for the trial’s modified intention-to-treat population of 1.75 points for placebo as compared to 2.14 points for Haduvio dosed twice-daily at 81 mg and 2.51 points for Haduvio dosed twice-daily at 162 mg.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16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variability of PRO measures and related high placebo response rates have adversely impacted clinical results of other therapies being tested for pruritus and could adversely impact our clinical development of Haduvio. The FDA could also require changes in the PROs we are currently using or indicate that the PROs we are using are insufficient for demonstrating efficacy in pruritus, potentially delaying clinical development of Haduvio, increasing our costs and making additional clinical trials necessary.</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pacing w:after="0" w:line="76"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and nature of the eligible patient population;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of eligible patients to clinical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competing clinical trials; and</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17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particular, the successful completion of our clinical development program for Haduvio for the treatment of pruritus associated with prurigo nodularis is dependent upon our ability to enroll a sufficient number of patients with this severe condition. We have experienced delays and difficulties in the enrollment of patients in our clinical trials, including our PRISM trial and our Phase 2 clinical trial for chronic cough in patients with IPF, which have delayed the completion of our trials. We have taken actions to increase enrollment, including increasing the number of clinical sites, providing sites with additional trial management staff and closing underperforming sites. However, these actions may not be successful. In addition, as a result of the COVID-19 pandemic, clinical sites for our PRISM trial temporarily halted new patient screening and most patient enrollment. After resuming screening and enrollment, multiple sites in the PRISM trial have begun requiring remote monitoring of patient data and we could be required to amend the protocol for the trial to have fewer patient visits over the course of the trial. In addition, the clinical sites in our ongoing Phase 2 trial for chronic cough in patients with IPF temporarily suspended enrollment and treatment of patients in the trial due to the vulnerability of IPF patients to COVID-19 and we recently amended the protocol for the trial to reduce the number of in-person patient visits and procedures. While patient screening and enrollment for our Phase 2 clinical trial for chronic cough in patients with IPF resumed at certain clinical trial sites in the fourth quarter of 2020, some sites may take longer to resume screening and enrollment due to increased COVID-19 infection rates in the areas where they are located, and we expect other sites may cease to participate in the trial entirely. Furthermore, as a result of the SSRE analysis, we have increased the target number of enrolled patients for our PRISM trial from 240 to 360 subjects, which has also resulted in delays to our expected completion of enrollment for the trial and our anticipated timing for reporting top-line data for the trial.</w:t>
      </w:r>
    </w:p>
    <w:p>
      <w:pPr>
        <w:spacing w:after="0" w:line="182"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Other companies are conducting clinical trials or have announced plans for future clinical trials that are seeking, or are likely to seek, to enroll patients with prurigo nodularis in the case of our PRISM trial and patients with IPF in the case of our Phase 2 clinical trial for chronic cough in patients with IPF, and patients are generally only able to enroll in a single trial at a time. In addition,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1" w:name="page42"/>
    <w:bookmarkEnd w:id="41"/>
    <w:p>
      <w:pPr>
        <w:ind w:right="460"/>
        <w:spacing w:after="0" w:line="263" w:lineRule="auto"/>
        <w:rPr>
          <w:sz w:val="20"/>
          <w:szCs w:val="20"/>
          <w:color w:val="auto"/>
        </w:rPr>
      </w:pPr>
      <w:r>
        <w:rPr>
          <w:rFonts w:ascii="Arial" w:cs="Arial" w:eastAsia="Arial" w:hAnsi="Arial"/>
          <w:sz w:val="18"/>
          <w:szCs w:val="18"/>
          <w:color w:val="auto"/>
        </w:rPr>
        <w:t>although there are no drugs approved in the United States or Europe for the treatment of pruritus associated with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29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16"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161"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and are associated with respiratory depression and potential cardiac risk. The drug label for nalbuphine, the active ingredient in Haduvio, carries an opioid class label warning for serious, life-threatening or fatal respiratory depression, and Haduvio, if approved for marketing in any indication, will likely carry a similar opioid class label. To support our planned submission of an NDA to the FDA for Haduvio, we will be required to conduct a clinical trial of Haduvio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17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our Phase 2 clinical trial of Haduvio for the treatment of pruritus associated with prurigo nodularis, the most frequently reported adverse events associated with Haduvio were nausea, dizziness and headache. In the open label extension of the trial, nausea, dizziness and fatigue were reported. Across both the Phase 2 clinical trial of Haduvio for the treatment of pruritus associated with prurigo nodularis and the open label extension, a total of four patients reported SAEs, but none of these events was attributed to Haduvio.</w:t>
      </w:r>
    </w:p>
    <w:p>
      <w:pPr>
        <w:spacing w:after="0" w:line="18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In our Phase 2b/3 trial of Haduvio in patients with uremic pruritus, the most frequently reported adverse events attributed to Haduvio were nausea, vomiting, somnolence and dizziness. In patients with uremic pruritus, SAEs were frequent but were primarily related to associated underlying diseases or to procedural complications related to hemodialysis.</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600"/>
        <w:spacing w:after="0" w:line="277" w:lineRule="auto"/>
        <w:rPr>
          <w:sz w:val="20"/>
          <w:szCs w:val="20"/>
          <w:color w:val="auto"/>
        </w:rPr>
      </w:pPr>
      <w:r>
        <w:rPr>
          <w:rFonts w:ascii="Arial" w:cs="Arial" w:eastAsia="Arial" w:hAnsi="Arial"/>
          <w:sz w:val="18"/>
          <w:szCs w:val="18"/>
          <w:b w:val="1"/>
          <w:bCs w:val="1"/>
          <w:i w:val="1"/>
          <w:iCs w:val="1"/>
          <w:color w:val="auto"/>
        </w:rPr>
        <w:t>Many currently approved µ-opioid products are subject to restrictive marketing and distribution regulations which, if applied to Haduvio, could potentially restrict its use and harm our ability to generate profits.</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plan to conduct a HAL study to further characterize the abuse potential of oral nalbuphine. If the results of the HAL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17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addition, while nalbuphine is currently not classified as a controlled substance under the federal Controlled Substances Act of 1970, or the CSA, or the regulations of the U.S. Drug Enforcement Agency, or the DEA, it is the only opioid analgesic that is approved for marketing in the United States that is not classified as a controlled substance. It is possible that, based on the results of our HAL study, adverse events in our clinical trials or for other reasons, the DEA could determine that Haduvio should be classified as a controlled substance.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p>
    <w:p>
      <w:pPr>
        <w:spacing w:after="0" w:line="17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spacing w:after="0" w:line="19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clinical trials may not be predictive of results of later clinical trials.</w:t>
      </w:r>
    </w:p>
    <w:p>
      <w:pPr>
        <w:spacing w:after="0" w:line="117" w:lineRule="exact"/>
        <w:rPr>
          <w:sz w:val="20"/>
          <w:szCs w:val="20"/>
          <w:color w:val="auto"/>
        </w:rPr>
      </w:pPr>
    </w:p>
    <w:p>
      <w:pPr>
        <w:jc w:val="both"/>
        <w:ind w:right="40" w:firstLine="510"/>
        <w:spacing w:after="0" w:line="287" w:lineRule="auto"/>
        <w:rPr>
          <w:sz w:val="20"/>
          <w:szCs w:val="20"/>
          <w:color w:val="auto"/>
        </w:rPr>
      </w:pPr>
      <w:r>
        <w:rPr>
          <w:rFonts w:ascii="Arial" w:cs="Arial" w:eastAsia="Arial" w:hAnsi="Arial"/>
          <w:sz w:val="16"/>
          <w:szCs w:val="16"/>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clinical development despite demonstrating positive results in preclinical studies or successfully advancing through Phase 1 and Phase 2 clinical trials.</w:t>
      </w:r>
    </w:p>
    <w:p>
      <w:pPr>
        <w:spacing w:after="0" w:line="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3" w:name="page44"/>
    <w:bookmarkEnd w:id="43"/>
    <w:p>
      <w:pPr>
        <w:ind w:right="40" w:firstLine="510"/>
        <w:spacing w:after="0" w:line="273" w:lineRule="auto"/>
        <w:rPr>
          <w:sz w:val="20"/>
          <w:szCs w:val="20"/>
          <w:color w:val="auto"/>
        </w:rPr>
      </w:pPr>
      <w:r>
        <w:rPr>
          <w:rFonts w:ascii="Arial" w:cs="Arial" w:eastAsia="Arial" w:hAnsi="Arial"/>
          <w:sz w:val="17"/>
          <w:szCs w:val="17"/>
          <w:color w:val="auto"/>
        </w:rPr>
        <w:t>At a meeting with the FDA following the completion of our Phase 2 clinical trial of Haduvio for the treatment of pruritus associated with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patients in each arm of the Phase 2 clinical trial and the large differential discontinuation rate among the three treatment arms, as well as our plan to increase the fixed-dose treatment duration from eight weeks in the Phase 2 clinical trial to 12 weeks in our PRISM trial.</w:t>
      </w:r>
    </w:p>
    <w:p>
      <w:pPr>
        <w:spacing w:after="0" w:line="17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For example, we have designed our PRISM trial based on an assumed discontinuation rate that takes into account observed discontinuation rates in our Phase 2 clinical trial of Haduvio for the treatment of pruritus associated with prurigo nodularis. If enrolled patients withdraw from our PRISM trial at a rate that is higher than expected, as occurred in our Phase 2 clinical trial of Haduvio for the treatment of pruritus associated with prurigo nodularis, or at rates that are inconsistent across clinical sites and treatment arms, we may not achieve the primary endpoint of the trial, the validity or statistical significance of the trial could be impaired and regulatory authorities may not view the trial as supportive of an application for marketing approval.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17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 xml:space="preserve">In addition, some of our data for Haduvio for the treatment of pruritus is drawn from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of data subsets from our Phase 2 clinical trials of Haduvio in patients with prurigo nodularis and uremic pruritus. While we believe these data may be useful in informing the design of our PRISM trial and other future Phase 3 clinical trials for Haduvio,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analyses performed after unmasking trial results can result in the introduction of bias and may not be predictive of success in Phase 3 clinical trials.</w:t>
      </w:r>
    </w:p>
    <w:p>
      <w:pPr>
        <w:spacing w:after="0" w:line="18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26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76"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49"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recall the product, change the way the product is administered or conduct additional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create a Medication Guide outlining the risks of the previously unidentified side effects for distribution to patients;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4" w:name="page45"/>
    <w:bookmarkEnd w:id="44"/>
    <w:p>
      <w:pPr>
        <w:ind w:right="80"/>
        <w:spacing w:after="0" w:line="286" w:lineRule="auto"/>
        <w:rPr>
          <w:sz w:val="20"/>
          <w:szCs w:val="20"/>
          <w:color w:val="auto"/>
        </w:rPr>
      </w:pPr>
      <w:r>
        <w:rPr>
          <w:rFonts w:ascii="Arial" w:cs="Arial" w:eastAsia="Arial" w:hAnsi="Arial"/>
          <w:sz w:val="17"/>
          <w:szCs w:val="17"/>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5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192"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79" w:lineRule="exact"/>
        <w:rPr>
          <w:sz w:val="20"/>
          <w:szCs w:val="20"/>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compared to other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that the DEA could determine that Haduvio should be classified as a controlled substance;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offer the product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 for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availability and amount of coverage and reimbursement from government payors, managed care plans and other third-party payors.</w:t>
      </w:r>
    </w:p>
    <w:p>
      <w:pPr>
        <w:spacing w:after="0" w:line="34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the treatment of pruritus associated with prurigo nodularis as our lead program. However, the development of Haduvio for this indication may ultimately prove to be unsuccessful or less successful than another product candidate or other indications that we might have chosen to pursue with our limited resources.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5" w:name="page46"/>
    <w:bookmarkEnd w:id="45"/>
    <w:p>
      <w:pPr>
        <w:ind w:firstLine="510"/>
        <w:spacing w:after="0" w:line="257"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29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1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in any of our target indications, we believe we will have the opportunity to commercialize it in the United States directly through our own focused, specialty sales organization. If Haduvio receives marketing approval outside the United States, we may develop a variety of collaboration, distribution and other marketing arrangements with one or more third parties to commercialize the product in those markets.</w:t>
      </w:r>
    </w:p>
    <w:p>
      <w:pPr>
        <w:spacing w:after="0" w:line="192"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85"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9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40"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firstLine="510"/>
        <w:spacing w:after="0" w:line="269" w:lineRule="auto"/>
        <w:rPr>
          <w:sz w:val="20"/>
          <w:szCs w:val="20"/>
          <w:color w:val="auto"/>
        </w:rPr>
      </w:pPr>
      <w:r>
        <w:rPr>
          <w:rFonts w:ascii="Arial" w:cs="Arial" w:eastAsia="Arial" w:hAnsi="Arial"/>
          <w:sz w:val="17"/>
          <w:szCs w:val="17"/>
          <w:color w:val="auto"/>
        </w:rPr>
        <w:t>If Haduvio is approved for the treatment of pruritus associated with prurigo nodularis, we expect that it would compete with a number of therapeutics that are used off-label to treat prurigo nodularis, including anti-itch creams and emollients, oral or injectable antihistamines, Dupixent (dupilumab), which is an injectable prescription medicine approved for atopic dermatitis that is in clinical development for the treatment of pruritus associated with prurigo nodularis,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and KPL-716, a monoclonal antibody targeting oncostatin M receptor beta being developed by Kiniksa Pharmaceuticals. In addition, a number of other product candidates are currently in clinical development to treat other pruritic conditions and Haduvio, if approved for the treatment of pruritus associated with prurigo nodularis could face competition from these product candidates, including tradipitant, an oral neurokinin-1 receptor antagonist being developed by Vanda Pharmaceuticals that is in Phase 3 clinical trials for chronic pruritus in patients with atopic dermatitis.</w:t>
      </w:r>
    </w:p>
    <w:p>
      <w:pPr>
        <w:spacing w:after="0" w:line="18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If Haduvio is approved for the treatment of chronic cough associated with IPF, we expect that it would compete with product candidates currently in development for the treatment of chronic cough associated with IPF, such as ifenprodil which is being developed by Algernon Pharmaceuticals, and expect that it might also compete with other product candidates currently in development for the treatment of chronic refractory cough by companies including Merck, Shionogi, Bellus Health, Bayer and Nerre Therapeutics. In addition, it is possible that product candidates currently in development for the treatment of IPF could, if approved, reduce the need for therapies to treat chronic cough associated with IPF.</w:t>
      </w:r>
    </w:p>
    <w:p>
      <w:pPr>
        <w:spacing w:after="0" w:line="1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Haduvio is approved for the treatment of pruritus associated with primary biliary cholangitis, or PBC, we expect that it would compete with a number of therapeutics that are used off-label to treat pruritus associated with chronic liver disease, including PBC, which may include bile acid sequestrants, such as cholestyramine, which are used off-label and generally as first-line therapy, although they typically provide only modest relief. Cholestyramine is marketed as Questran in the United States and as Colestyr, Efensol, Ipocol, Kolestran, Lipocol, Olestyr, Prevalite or Quantalan in various other countries. Treatment of pruritus associated with chronic liver disease, including PBC, may also include second-line therapies such as the antibiotic rifampicin, naltrexone, the anti-depressant sertraline, as well as phototherapy and drugs such as gabapentin and Lyrica (pregabalin), which are prescription medicines approved for the treatment of seizures and neuropathic pain. We also expect that Haduvio might compete with product candidates currently in clinical development in this indication, including Korsuva (difelikefalin), an orally administered κ-opioid receptor agonist being developed by Cara Therapeutics, and linerixibat, an ileal bile acid transporter inhibitor being developed by GlaxoSmithKline, both of which are in Phase 2 clinical trials for pruritus associated with PBC. In addition, it is possible that therapies to reduce chronic liver disease, such as ursodeoxycholic acid, which is approved for the treatment of PBC, could reduce the need for therapies to treat pruritus associated with chronic liver disease, including PBC.</w:t>
      </w:r>
    </w:p>
    <w:p>
      <w:pPr>
        <w:spacing w:after="0" w:line="17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If Haduvio is approved for the treatment of levodopa-induced dyskinesia, or LID, in patients with Parkinson’s disease, we expect that it would compete with Gocovri and Osmolex, which are extended release capsule formulations of amantadine marketed by Adamas Pharmaceuticals and Osmotica, respectively, and expect that it might also compete with other product candidates currently in development for the treatment of LID by companies including Addex Therapeutics and IRLAB Therapeutics. In addition, it is possible that product candidates currently in development for the treatment of Parkinson’s disease by companies could, if approved, reduce the need for therapies to treat LID.</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28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76"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60" w:firstLine="510"/>
        <w:spacing w:after="0" w:line="269" w:lineRule="auto"/>
        <w:rPr>
          <w:sz w:val="20"/>
          <w:szCs w:val="20"/>
          <w:color w:val="auto"/>
        </w:rPr>
      </w:pPr>
      <w:r>
        <w:rPr>
          <w:rFonts w:ascii="Arial" w:cs="Arial" w:eastAsia="Arial" w:hAnsi="Arial"/>
          <w:sz w:val="17"/>
          <w:szCs w:val="17"/>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moieties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85"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Competition from generic versions of any products we develop could negatively impact our future revenue, profitability and cash flows and substantially limit our ability to obtain a return on our investments in those products.</w:t>
      </w:r>
    </w:p>
    <w:p>
      <w:pPr>
        <w:spacing w:after="0" w:line="27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38"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The commercial success of any product we develop will depend substantially, both in the United States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19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16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8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8" w:name="page49"/>
    <w:bookmarkEnd w:id="48"/>
    <w:p>
      <w:pPr>
        <w:ind w:right="320" w:firstLine="510"/>
        <w:spacing w:after="0" w:line="296"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6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3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7" w:lineRule="exact"/>
        <w:rPr>
          <w:sz w:val="20"/>
          <w:szCs w:val="20"/>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any products that we may develop or in-license;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do not independently conduct clinical trials of our product candidate. We rely, and expect to continue to rely, on third parties, such as clinical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40" w:firstLine="510"/>
        <w:spacing w:after="0" w:line="269" w:lineRule="auto"/>
        <w:rPr>
          <w:sz w:val="20"/>
          <w:szCs w:val="20"/>
          <w:color w:val="auto"/>
        </w:rPr>
      </w:pPr>
      <w:r>
        <w:rPr>
          <w:rFonts w:ascii="Arial" w:cs="Arial" w:eastAsia="Arial" w:hAnsi="Arial"/>
          <w:sz w:val="17"/>
          <w:szCs w:val="17"/>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79"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be also impacted by developments in the COVID-19 pandemic or government measures taken in response to the pandemic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27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packaging and distribution of Haduvio for clinical trials, including a single supplier for the active ingredient, and expect to continue to rely on third parties for these services in connection with our future development and commercialization efforts for Haduvio and any future product candidates.</w:t>
      </w:r>
    </w:p>
    <w:p>
      <w:pPr>
        <w:spacing w:after="0" w:line="7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56" w:lineRule="exact"/>
        <w:rPr>
          <w:sz w:val="20"/>
          <w:szCs w:val="20"/>
          <w:color w:val="auto"/>
        </w:rPr>
      </w:pPr>
    </w:p>
    <w:p>
      <w:pPr>
        <w:ind w:left="880" w:right="140" w:hanging="373"/>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delays if our third-party contractors prioritize the supply of other companies’ products over Haduvio or any future product candidates or otherwise fail to satisfactorily perform according to the terms of the agreements between us and them, or if unforeseen events in the manufacturing process arise;</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breach by third-party contractors of our agreements with them;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firstLine="510"/>
        <w:spacing w:after="0" w:line="273" w:lineRule="auto"/>
        <w:rPr>
          <w:sz w:val="20"/>
          <w:szCs w:val="20"/>
          <w:color w:val="auto"/>
        </w:rPr>
      </w:pPr>
      <w:r>
        <w:rPr>
          <w:rFonts w:ascii="Arial" w:cs="Arial" w:eastAsia="Arial" w:hAnsi="Arial"/>
          <w:sz w:val="17"/>
          <w:szCs w:val="17"/>
          <w:color w:val="auto"/>
        </w:rPr>
        <w:t>We do not have long-term supply agreements with any of our contract manufacturers. If any of our existing manufacturers should become unavailable to us for any reason, or fail to supply us with the ordered quantities, including as a result of the COVID-19 pandemic or government measures taken in response to the pandemic,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178"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It is currently uncertain what impact, if any, Mallinckrodt’s bankruptcy filing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believe there are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19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manufacture any such product. Consequently, we may not be able to reach agreement with third-party manufacturers on satisfactory terms, in a timely manner or at all, which could delay our commercialization efforts.</w:t>
      </w:r>
    </w:p>
    <w:p>
      <w:pPr>
        <w:spacing w:after="0" w:line="188" w:lineRule="exact"/>
        <w:rPr>
          <w:sz w:val="20"/>
          <w:szCs w:val="20"/>
          <w:color w:val="auto"/>
        </w:rPr>
      </w:pPr>
    </w:p>
    <w:p>
      <w:pPr>
        <w:ind w:right="160" w:firstLine="510"/>
        <w:spacing w:after="0" w:line="289" w:lineRule="auto"/>
        <w:rPr>
          <w:sz w:val="20"/>
          <w:szCs w:val="20"/>
          <w:color w:val="auto"/>
        </w:rPr>
      </w:pPr>
      <w:r>
        <w:rPr>
          <w:rFonts w:ascii="Arial" w:cs="Arial" w:eastAsia="Arial" w:hAnsi="Arial"/>
          <w:sz w:val="16"/>
          <w:szCs w:val="16"/>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16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164"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Haduvio or any future product candidate may harm our future profit margins and our ability to commercialize any products that receive marketing approval on a timely and competitive basis.</w:t>
      </w:r>
    </w:p>
    <w:p>
      <w:pPr>
        <w:spacing w:after="0" w:line="25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United States.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40" w:firstLine="510"/>
        <w:spacing w:after="0" w:line="285" w:lineRule="auto"/>
        <w:rPr>
          <w:sz w:val="20"/>
          <w:szCs w:val="20"/>
          <w:color w:val="auto"/>
        </w:rPr>
      </w:pPr>
      <w:r>
        <w:rPr>
          <w:rFonts w:ascii="Arial" w:cs="Arial" w:eastAsia="Arial" w:hAnsi="Arial"/>
          <w:sz w:val="16"/>
          <w:szCs w:val="16"/>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in this Quarterly Report on Form 10-Q would also apply to the activities of any such future collaborators.</w:t>
      </w:r>
    </w:p>
    <w:p>
      <w:pPr>
        <w:spacing w:after="0" w:line="27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3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a product candidate would pose a number of risks, including the following:</w:t>
      </w:r>
    </w:p>
    <w:p>
      <w:pPr>
        <w:spacing w:after="0" w:line="117"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880" w:right="180" w:hanging="373"/>
        <w:spacing w:after="0" w:line="311"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40" w:lineRule="exact"/>
        <w:rPr>
          <w:rFonts w:ascii="Arial" w:cs="Arial" w:eastAsia="Arial" w:hAnsi="Arial"/>
          <w:sz w:val="16"/>
          <w:szCs w:val="16"/>
          <w:color w:val="auto"/>
        </w:rPr>
      </w:pPr>
    </w:p>
    <w:p>
      <w:pPr>
        <w:ind w:left="880" w:right="128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and could decide to delay, diminish or terminate the development or commercialization of any product candidate licensed by us;</w:t>
      </w:r>
    </w:p>
    <w:p>
      <w:pPr>
        <w:spacing w:after="0" w:line="62" w:lineRule="exact"/>
        <w:rPr>
          <w:rFonts w:ascii="Arial" w:cs="Arial" w:eastAsia="Arial" w:hAnsi="Arial"/>
          <w:sz w:val="18"/>
          <w:szCs w:val="18"/>
          <w:color w:val="auto"/>
        </w:rPr>
      </w:pPr>
    </w:p>
    <w:p>
      <w:pPr>
        <w:ind w:left="880" w:right="600" w:hanging="373"/>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880" w:right="74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the product candidates under the collaboration;</w:t>
      </w:r>
    </w:p>
    <w:p>
      <w:pPr>
        <w:spacing w:after="0" w:line="62" w:lineRule="exact"/>
        <w:rPr>
          <w:rFonts w:ascii="Arial" w:cs="Arial" w:eastAsia="Arial" w:hAnsi="Arial"/>
          <w:sz w:val="18"/>
          <w:szCs w:val="18"/>
          <w:color w:val="auto"/>
        </w:rPr>
      </w:pPr>
    </w:p>
    <w:p>
      <w:pPr>
        <w:ind w:left="880" w:right="68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880" w:right="400" w:hanging="373"/>
        <w:spacing w:after="0" w:line="259"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left="880" w:right="200" w:hanging="373"/>
        <w:spacing w:after="0" w:line="342"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880" w:right="78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collaborators may engage in misconduct or other improper activities, including non-compliance with regulatory standards and requirements;</w:t>
      </w:r>
    </w:p>
    <w:p>
      <w:pPr>
        <w:spacing w:after="0" w:line="140" w:lineRule="exact"/>
        <w:rPr>
          <w:rFonts w:ascii="Arial" w:cs="Arial" w:eastAsia="Arial" w:hAnsi="Arial"/>
          <w:sz w:val="16"/>
          <w:szCs w:val="16"/>
          <w:color w:val="auto"/>
        </w:rPr>
      </w:pPr>
    </w:p>
    <w:p>
      <w:pPr>
        <w:ind w:left="880" w:right="16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62" w:lineRule="exact"/>
        <w:rPr>
          <w:rFonts w:ascii="Arial" w:cs="Arial" w:eastAsia="Arial" w:hAnsi="Arial"/>
          <w:sz w:val="18"/>
          <w:szCs w:val="18"/>
          <w:color w:val="auto"/>
        </w:rPr>
      </w:pPr>
    </w:p>
    <w:p>
      <w:pPr>
        <w:ind w:left="880" w:right="112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 release formulation such as Haduvio. We are also party to an exclusive license agreement with Rutgers University under which we have licensed certain patent rights and know-how to develop and commercialize products incorporating nalbuphine for any human or animal use.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17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For instance, Rutgers University has asserted that we are not in compliance with our diligence obligations under our license agreement with Rutgers University and could seek to terminate the license agreement if we are unable to resolve the matter. Any termination of our license agreements could have a material adverse impact on our business.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regarding intellectual property subject to a license agreement, including:</w:t>
      </w:r>
    </w:p>
    <w:p>
      <w:pPr>
        <w:spacing w:after="0" w:line="117" w:lineRule="exact"/>
        <w:rPr>
          <w:sz w:val="20"/>
          <w:szCs w:val="20"/>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to which our activities or product candidates may infringe the intellectual property of the licensor that is not subject to the licensing agreement;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collaborative development relationships;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inventorship or ownership of inventions and know-how resulting from joint creation or use of intellectual property by licensors and us; and</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w:t>
      </w:r>
    </w:p>
    <w:p>
      <w:pPr>
        <w:spacing w:after="0" w:line="225"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8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nalbuphine ER, or any future product candidate, and the disease indications for which we are developing, or may in the future develop, nalbuphine ER,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9"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United States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195"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171"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18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8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Moreover, because the issuance of a patent is not conclusive as to its inventorship, scope, validity or enforceability, our patents or pending patent applications may be challenged in the courts or patent offices in the United States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United States or other countries, challenging patents or patent applications in which we have rights, including patents on which we rely to protect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spacing w:after="0" w:line="271" w:lineRule="auto"/>
        <w:rPr>
          <w:sz w:val="20"/>
          <w:szCs w:val="20"/>
          <w:color w:val="auto"/>
        </w:rPr>
      </w:pPr>
      <w:r>
        <w:rPr>
          <w:rFonts w:ascii="Arial" w:cs="Arial" w:eastAsia="Arial" w:hAnsi="Arial"/>
          <w:sz w:val="17"/>
          <w:szCs w:val="17"/>
          <w:color w:val="auto"/>
        </w:rPr>
        <w:t>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78"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71"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Issued patents that we have or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18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2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2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right="80"/>
        <w:spacing w:after="0" w:line="293" w:lineRule="auto"/>
        <w:rPr>
          <w:sz w:val="20"/>
          <w:szCs w:val="20"/>
          <w:color w:val="auto"/>
        </w:rPr>
      </w:pPr>
      <w:r>
        <w:rPr>
          <w:rFonts w:ascii="Arial" w:cs="Arial" w:eastAsia="Arial" w:hAnsi="Arial"/>
          <w:sz w:val="16"/>
          <w:szCs w:val="16"/>
          <w:color w:val="auto"/>
        </w:rPr>
        <w:t>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6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28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If we are sued for infringing intellectual property rights of third parties, such litigation could be costly and time consuming, its outcome would be uncertain and it could prevent or delay us from developing or commercializing Haduvio or any future product candidate.</w:t>
      </w:r>
    </w:p>
    <w:p>
      <w:pPr>
        <w:spacing w:after="0" w:line="16"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19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71"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right="24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19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68" w:lineRule="exact"/>
        <w:rPr>
          <w:sz w:val="20"/>
          <w:szCs w:val="20"/>
          <w:color w:val="auto"/>
        </w:rPr>
      </w:pPr>
    </w:p>
    <w:p>
      <w:pPr>
        <w:ind w:right="220" w:firstLine="510"/>
        <w:spacing w:after="0" w:line="272"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United States, and our issued or licensed patents and any future patent claims or other intellectual property rights may not be effective or sufficient to prevent them from so competing.</w:t>
      </w:r>
    </w:p>
    <w:p>
      <w:pPr>
        <w:spacing w:after="0" w:line="16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ind w:right="220" w:firstLine="510"/>
        <w:spacing w:after="0" w:line="263"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3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18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300"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our business could be harmed.</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If the FDA does not conclude that Haduvio for the treatment of pruritus associated with prurigo nodularis or any other development program satisfies the requirements under Section 505(b)(2) of the FDCA, or Section 505(b)(2),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63" w:lineRule="exact"/>
        <w:rPr>
          <w:sz w:val="20"/>
          <w:szCs w:val="20"/>
          <w:color w:val="auto"/>
        </w:rPr>
      </w:pPr>
    </w:p>
    <w:p>
      <w:pPr>
        <w:jc w:val="both"/>
        <w:ind w:right="340" w:firstLine="510"/>
        <w:spacing w:after="0" w:line="287" w:lineRule="auto"/>
        <w:rPr>
          <w:sz w:val="20"/>
          <w:szCs w:val="20"/>
          <w:color w:val="auto"/>
        </w:rPr>
      </w:pPr>
      <w:r>
        <w:rPr>
          <w:rFonts w:ascii="Arial" w:cs="Arial" w:eastAsia="Arial" w:hAnsi="Arial"/>
          <w:sz w:val="16"/>
          <w:szCs w:val="16"/>
          <w:color w:val="auto"/>
        </w:rPr>
        <w:t>We commenced our Phase 2b/3 PRISM trial of Haduvio for the treatment of pruritus associated with prurigo nodularis and expect to conduct an additional Phase 3 clinical trial of Haduvio for the treatment of pruritus associated with prurigo nodularis under the FDA’s Section 505(b)(2) regulatory pathway. The Drug Price Competition and Patent Term Restoration Act of 1984, or the Hatch-Waxman Act, added Section 505(b)(2) to the FDCA.</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Haduvio for the treatment of pruritus associated with prurigo nodularis and any future product candidates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spacing w:after="0" w:line="19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pruritus associated with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17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18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jc w:val="both"/>
        <w:ind w:right="240"/>
        <w:spacing w:after="0" w:line="286"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spacing w:after="0" w:line="5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United States until we receive approval of an NDA from the FDA or in other countries until we receive marketing approval from the applicable regulatory authorities outside the United States. We have not submitted an application for or received marketing approval for any product candidate in the United States or in any other jurisdiction. We have limited experience in conducting and managing the clinical trials necessary to obtain marketing approvals, including FDA approval of an NDA.</w:t>
      </w:r>
    </w:p>
    <w:p>
      <w:pPr>
        <w:spacing w:after="0" w:line="19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process of obtaining marketing approvals, both in the United States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8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500" w:firstLine="510"/>
        <w:spacing w:after="0" w:line="342" w:lineRule="auto"/>
        <w:rPr>
          <w:sz w:val="20"/>
          <w:szCs w:val="20"/>
          <w:color w:val="auto"/>
        </w:rPr>
      </w:pPr>
      <w:r>
        <w:rPr>
          <w:rFonts w:ascii="Arial" w:cs="Arial" w:eastAsia="Arial" w:hAnsi="Arial"/>
          <w:sz w:val="16"/>
          <w:szCs w:val="16"/>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23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have conducted, are conducting and intend in the future to conduct clinical trials for Haduvio, and may conduct clinical trials for any future product candidates, at sites outside the United States. The FDA may not accept data from trials conducted in such locations and the conduct of trials outside the United States could subject us to additional delays and expense.</w:t>
      </w:r>
    </w:p>
    <w:p>
      <w:pPr>
        <w:spacing w:after="0" w:line="7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have conducted, are conducting and intend in the future to conduct clinical trials for Haduvio, and may conduct clinical trials for any future product candidates, at trial sites that are located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Haduvio or the applicable future product candidate.</w:t>
      </w:r>
    </w:p>
    <w:p>
      <w:pPr>
        <w:spacing w:after="0" w:line="182"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adverse impact on us. Risks inherent in conducting international clinical trials include:</w:t>
      </w:r>
    </w:p>
    <w:p>
      <w:pPr>
        <w:spacing w:after="0" w:line="62"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practice patterns and standards of care that vary widely among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non-U.S. regulatory authority requirements that could restrict or limit our ability to conduct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non-U.S. regulatory authority schema;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0" w:name="page61"/>
    <w:bookmarkEnd w:id="60"/>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33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Haduvio or any future product candidate from being marketed in other countries. Any marketing approval we are granted in the United States would not assure marketing approval in foreign jurisdictions.</w:t>
      </w:r>
    </w:p>
    <w:p>
      <w:pPr>
        <w:spacing w:after="0" w:line="1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order to market and sell products in the European Union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United States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186"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Following protracted negotiations, the United Kingdom left the European Union on January 31, 2020. Under the withdrawal agreement, there is a transitional period until December 31, 2020. Discussions between the United Kingdom and the European Union have so far mainly focused on finalizing withdrawal issues and transition agreements but have been extremely difficult to date. To date, only an outline of a trade agreement has been</w:t>
      </w:r>
    </w:p>
    <w:p>
      <w:pPr>
        <w:spacing w:after="0" w:line="1"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reached. Much remains open and if no trade agreement has been reached before the end of the transitional period, there may be significant market and economic disruption.</w:t>
      </w:r>
    </w:p>
    <w:p>
      <w:pPr>
        <w:spacing w:after="0" w:line="185"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26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be eligible for fast track designation, priority review or breakthrough therapy status for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Moreover, even if we do receive such a designation, we may not experience a faster development process, review or approval compared to conventional FDA procedures and there is no assurance that the product candidate will be approved by the FDA.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ind w:right="280"/>
        <w:spacing w:after="0" w:line="277" w:lineRule="auto"/>
        <w:rPr>
          <w:sz w:val="20"/>
          <w:szCs w:val="20"/>
          <w:color w:val="auto"/>
        </w:rPr>
      </w:pPr>
      <w:r>
        <w:rPr>
          <w:rFonts w:ascii="Arial" w:cs="Arial" w:eastAsia="Arial" w:hAnsi="Arial"/>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8"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71"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124" w:lineRule="exact"/>
        <w:rPr>
          <w:sz w:val="20"/>
          <w:szCs w:val="20"/>
          <w:color w:val="auto"/>
        </w:rPr>
      </w:pPr>
    </w:p>
    <w:p>
      <w:pPr>
        <w:ind w:right="340" w:firstLine="510"/>
        <w:spacing w:after="0" w:line="311" w:lineRule="auto"/>
        <w:rPr>
          <w:sz w:val="20"/>
          <w:szCs w:val="20"/>
          <w:color w:val="auto"/>
        </w:rPr>
      </w:pPr>
      <w:r>
        <w:rPr>
          <w:rFonts w:ascii="Arial" w:cs="Arial" w:eastAsia="Arial" w:hAnsi="Arial"/>
          <w:sz w:val="16"/>
          <w:szCs w:val="16"/>
          <w:color w:val="auto"/>
        </w:rPr>
        <w:t>If we are not able to comply with post-approval regulatory requirements, we could have the marketing approvals for any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expect that any regulatory approval to market Haduvio in the United States will be limited by indication. If we fail to comply or are found to be in violation of FDA and other regulations restricting the promotion of Haduvio for unapproved uses, we could be subject to criminal penalties, substantial fines or other sanctions and damage awards.</w:t>
      </w:r>
    </w:p>
    <w:p>
      <w:pPr>
        <w:spacing w:after="0" w:line="76" w:lineRule="exact"/>
        <w:rPr>
          <w:sz w:val="20"/>
          <w:szCs w:val="20"/>
          <w:color w:val="auto"/>
        </w:rPr>
      </w:pPr>
    </w:p>
    <w:p>
      <w:pPr>
        <w:jc w:val="both"/>
        <w:ind w:right="100" w:firstLine="510"/>
        <w:spacing w:after="0" w:line="301" w:lineRule="auto"/>
        <w:rPr>
          <w:sz w:val="20"/>
          <w:szCs w:val="20"/>
          <w:color w:val="auto"/>
        </w:rPr>
      </w:pPr>
      <w:r>
        <w:rPr>
          <w:rFonts w:ascii="Arial" w:cs="Arial" w:eastAsia="Arial" w:hAnsi="Arial"/>
          <w:sz w:val="16"/>
          <w:szCs w:val="16"/>
          <w:color w:val="auto"/>
        </w:rPr>
        <w:t>If our clinical trials are successful, we intend to seek approval to market Haduvio for the treatment of pruritus associated with prurigo nodularis. If we obtain regulatory approval to market Haduvio with an indication statement for the treatment of pruritus associated with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p>
    <w:p>
      <w:pPr>
        <w:spacing w:after="0" w:line="157" w:lineRule="exact"/>
        <w:rPr>
          <w:sz w:val="20"/>
          <w:szCs w:val="20"/>
          <w:color w:val="auto"/>
        </w:rPr>
      </w:pPr>
    </w:p>
    <w:p>
      <w:pPr>
        <w:ind w:right="160" w:firstLine="510"/>
        <w:spacing w:after="0" w:line="271"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EMA and other government agencies. While we have, and may in the future conduct, clinical trials to evaluate the use of Haduvio to treat pruritic conditions other than pruritus associated with prurigo nodularis, Haduvio cannot be promoted for uses other than uses approved in the labeling by the FDA, EMA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17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is entitled to a share of any recovery or settlement.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suits, also commonly referred to as “whistleblower suits,” are often brought by current or former employees. In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suit, the government must decide whether to intervene and prosecute the case. If it declines, the individual may pursue the case alone.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firstLine="510"/>
        <w:spacing w:after="0" w:line="257" w:lineRule="auto"/>
        <w:rPr>
          <w:sz w:val="20"/>
          <w:szCs w:val="20"/>
          <w:color w:val="auto"/>
        </w:rPr>
      </w:pPr>
      <w:r>
        <w:rPr>
          <w:rFonts w:ascii="Arial" w:cs="Arial" w:eastAsia="Arial" w:hAnsi="Arial"/>
          <w:sz w:val="18"/>
          <w:szCs w:val="18"/>
          <w:color w:val="auto"/>
        </w:rPr>
        <w:t xml:space="preserve">If the FDA or any other governmental agency initiates an enforcement action against us or if we are the subject of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9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76"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195"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do not market any product for which we receive marketing approval for only its approved indications,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6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38" w:lineRule="exact"/>
        <w:rPr>
          <w:sz w:val="20"/>
          <w:szCs w:val="20"/>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such product, manufacturers or manufacturing processes;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labeling or marketing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permit the import or export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spacing w:after="0" w:line="263" w:lineRule="auto"/>
        <w:rPr>
          <w:sz w:val="20"/>
          <w:szCs w:val="20"/>
          <w:color w:val="auto"/>
        </w:rPr>
      </w:pPr>
      <w:r>
        <w:rPr>
          <w:rFonts w:ascii="Arial" w:cs="Arial" w:eastAsia="Arial" w:hAnsi="Arial"/>
          <w:sz w:val="18"/>
          <w:szCs w:val="18"/>
          <w:b w:val="1"/>
          <w:bCs w:val="1"/>
          <w:i w:val="1"/>
          <w:iCs w:val="1"/>
          <w:color w:val="auto"/>
        </w:rPr>
        <w:t>Under the 21st Century Cures Act and regulatory reform initiatives of the current presidential administration, the FDA’s policies, regulations and guidance may be revised or revoked, which could prevent, limit or delay regulatory approval of Haduvio or any future product candidate, impacting our ability to generate revenue.</w:t>
      </w:r>
    </w:p>
    <w:p>
      <w:pPr>
        <w:spacing w:after="0" w:line="76"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8"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other countries.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under-resourced FDA could result in delays in the FDA’s responsiveness or in its ability to review submissions or applications, issue regulations or guidance, or implement or enforce regulatory requirements in a timely fashion or at all. In January 2017, the President issued an executive order applicable to all executive agencies, including the FDA, which required that for each notice of proposed rulemaking or final regulation to be issued in fiscal year 2017, the agency shall have identified at least two existing regulations to be repealed, unless prohibited by law. These requirements are referred to as the “two-for-one” provisions. This executive order includes a budget neutrality provision that required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in February 2017, the administration indicates that the “two-for-one” provisions may apply not only to agency regulations, but also to significant agency guidance documents. In addition, on February 24, 2017, the President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More recently, on October 9, 2019, the President issued another executive order (“Executive Order on Promoting the Rule of Law Through Improved Agency Guidance Documents”). The order is meant to ensure that agency guidance documents do not establish legally binding requirements and it directs each agency to rescind guidance documents that it determines should no longer be in effect. It is difficult to predict how these various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200" w:lineRule="exact"/>
        <w:rPr>
          <w:sz w:val="20"/>
          <w:szCs w:val="20"/>
          <w:color w:val="auto"/>
        </w:rPr>
      </w:pPr>
    </w:p>
    <w:p>
      <w:pPr>
        <w:spacing w:after="0" w:line="3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spacing w:after="0" w:line="176"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In March 2010, then-President Obama signed into law the Patient Protection and Affordable Care Act, as amended by the Health Care and Education Reconciliation Act, or collectively, the ACA. Among the provisions of the ACA of potential importance to our business and Haduvio or any future product candidate are the following:</w:t>
      </w:r>
    </w:p>
    <w:p>
      <w:pPr>
        <w:spacing w:after="0" w:line="76" w:lineRule="exact"/>
        <w:rPr>
          <w:sz w:val="20"/>
          <w:szCs w:val="20"/>
          <w:color w:val="auto"/>
        </w:rPr>
      </w:pPr>
    </w:p>
    <w:p>
      <w:pPr>
        <w:ind w:left="880" w:hanging="373"/>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The CARES Act suspended the 2% Medicare sequester from May 1, 2020 through December 31, 2020, and extended the sequester by one year, through 2030. The American Taxpayer Relief Act of 2012, which, among other things, reduced Medicare payments to several types of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product for which we may obtain regulatory approval or the frequency with which any such product is prescribed or used.</w:t>
      </w:r>
    </w:p>
    <w:p>
      <w:pPr>
        <w:spacing w:after="0" w:line="178"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color w:val="auto"/>
        </w:rPr>
        <w:t>Since enactment of the ACA, there have been, and continue to be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requires most Americans to carry a minimal level of health insurance, became effective in 2019.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percent to</w:t>
      </w:r>
    </w:p>
    <w:p>
      <w:pPr>
        <w:spacing w:after="0" w:line="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70 percent the point-of-sale discount that is owed by pharmaceutical manufacturers who participate in Medicare Part D and to close the coverage gap in most Medicare drug plans, commonly referred to as the “donut hole.” Congress may consider other legislation to replace elements of the ACA during the next Congressional session.</w:t>
      </w:r>
    </w:p>
    <w:p>
      <w:pPr>
        <w:spacing w:after="0" w:line="190"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current presidential administration has also taken executive actions to undermine or delay implementation of the ACA. Since January 2017, the President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more than $12 billion in ACA risk corridor payments to third-party payors who argued were owed to them. On April 27, 2020, however, the U.S. Supreme Court reversed the federal circuit decision upholding Congress’ denial of such risk corridor funding. In addition,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6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current presidential administration and CMS have both stated that the ruling will have no immediate effect, and on December 30, 2018 the same judge issued an order staying the judgment pending appeal. The current presidential administration recently represented to the Court of Appeals considering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60"/>
        <w:spacing w:after="0" w:line="287" w:lineRule="auto"/>
        <w:rPr>
          <w:sz w:val="20"/>
          <w:szCs w:val="20"/>
          <w:color w:val="auto"/>
        </w:rPr>
      </w:pPr>
      <w:r>
        <w:rPr>
          <w:rFonts w:ascii="Arial" w:cs="Arial" w:eastAsia="Arial" w:hAnsi="Arial"/>
          <w:sz w:val="16"/>
          <w:szCs w:val="16"/>
          <w:color w:val="auto"/>
        </w:rPr>
        <w:t>this judgment that it does not oppose the lower court’s ruling. On July 10, 2019, the Court of Appeals for the Fifth Circuit heard oral argument in this case.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March 3, 2020, the U.S. Supreme Court agreed to review this decision. On June 25, 2020, the current presidential administration and a coalition of 18 states asked the court to strike down the entirety of the ACA. Oral argument in this case took place on November 10, 2020. Litigation and legislation over the ACA are likely to continue, with unpredictable and uncertain results. We plan to continue to evaluate the effect that the ACA and its possible repeal and replacement could have on our business. It is possible that repeal and replacement initiatives, if enacted into law, could ultimately result in fewer individuals having health insurance coverage or in individuals having insurance coverage with less generous benefits. While the timing and scope of any potential future legislation to repeal and replace ACA provisions is uncertain in many respects, it is also possible that some of the ACA provisions that generally are not favorable for the research-based pharmaceutical industry could also be repealed along with ACA coverage expansion provisions. Accordingly, such reforms, if enacted, could have an adverse effect on anticipated revenue from product candidates that we may successfully develop and for which we may obtain marketing approval and may affect our overall financial condition and ability to develop commercialize product candidates.</w:t>
      </w:r>
    </w:p>
    <w:p>
      <w:pPr>
        <w:spacing w:after="0" w:line="168"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current presidential administration has pressed for further drug price control measures to be enacted in future legislation, including, for example, measures to permit Medicare Part D plans to negotiate the price of certain drugs under Medicare Part B, to allow some states to negotiate drug prices under Medicaid, and to eliminate cost sharing for generic drugs for low-income patients. Any proposed measures will require authorization through additional legislation to become effective, and Congress and the current presidential administration have each indicated that it will continue to seek new legislative and/or administrative measures to control drug costs. It is unclear, however, whether the Congress and administration will be able to reach agreement on any such measures in the foreseeable future.</w:t>
      </w:r>
    </w:p>
    <w:p>
      <w:pPr>
        <w:spacing w:after="0" w:line="19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In addition, on May 11, 2018, the current presidential administration issued a plan to lower drug prices. Under this blueprint for action, the current presidential administration indicated that the Department of Health and Human Services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improve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Additionally, on September 24, 2020, the FDA finalized a rulemaking that allows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 Finally, the current presidential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The President also recently issued several executive orders that are intended to lower the costs of prescription drug products. These orders direct the federal government to implement the initiatives outlined in the orders, meaning they will not have immediate effects</w:t>
      </w:r>
      <w:r>
        <w:rPr>
          <w:rFonts w:ascii="Arial" w:cs="Arial" w:eastAsia="Arial" w:hAnsi="Arial"/>
          <w:sz w:val="16"/>
          <w:szCs w:val="16"/>
          <w:color w:val="FF0000"/>
        </w:rPr>
        <w:t>.</w:t>
      </w:r>
    </w:p>
    <w:p>
      <w:pPr>
        <w:spacing w:after="0" w:line="21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if approved, or put pressure on our product pricing.</w:t>
      </w:r>
    </w:p>
    <w:p>
      <w:pPr>
        <w:spacing w:after="0" w:line="192" w:lineRule="exact"/>
        <w:rPr>
          <w:sz w:val="20"/>
          <w:szCs w:val="20"/>
          <w:color w:val="auto"/>
        </w:rPr>
      </w:pPr>
    </w:p>
    <w:p>
      <w:pPr>
        <w:ind w:right="340" w:firstLine="510"/>
        <w:spacing w:after="0" w:line="275" w:lineRule="auto"/>
        <w:rPr>
          <w:sz w:val="20"/>
          <w:szCs w:val="20"/>
          <w:color w:val="auto"/>
        </w:rPr>
      </w:pPr>
      <w:r>
        <w:rPr>
          <w:rFonts w:ascii="Arial" w:cs="Arial" w:eastAsia="Arial" w:hAnsi="Arial"/>
          <w:sz w:val="17"/>
          <w:szCs w:val="17"/>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FDA regulations, guidance or interpretations will be changed, or what the impact of such changes on the marketing approvals of our drug candidates, if any, may be. In addition, increased scrutiny by the Congress of the FDA’s approval process may significantly delay or prevent marketing approval, as well as subject us and any collaborators to more stringent drug labeling and post-marketing testing and other requirements.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right="20"/>
        <w:spacing w:after="0" w:line="279" w:lineRule="auto"/>
        <w:rPr>
          <w:sz w:val="20"/>
          <w:szCs w:val="20"/>
          <w:color w:val="auto"/>
        </w:rPr>
      </w:pPr>
      <w:r>
        <w:rPr>
          <w:rFonts w:ascii="Arial" w:cs="Arial" w:eastAsia="Arial" w:hAnsi="Arial"/>
          <w:sz w:val="17"/>
          <w:szCs w:val="17"/>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6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8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w:t>
      </w:r>
      <w:r>
        <w:rPr>
          <w:rFonts w:ascii="Arial" w:cs="Arial" w:eastAsia="Arial" w:hAnsi="Arial"/>
          <w:sz w:val="18"/>
          <w:szCs w:val="18"/>
          <w:i w:val="1"/>
          <w:iCs w:val="1"/>
          <w:color w:val="auto"/>
        </w:rPr>
        <w:t xml:space="preserve"> </w:t>
      </w:r>
      <w:r>
        <w:rPr>
          <w:rFonts w:ascii="Arial" w:cs="Arial" w:eastAsia="Arial" w:hAnsi="Arial"/>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88"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federal Health Insurance Portability and Accountability Act of 1996, or HIPAA, imposes criminal and civil liability for,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i w:val="1"/>
          <w:iCs w:val="1"/>
          <w:color w:val="auto"/>
        </w:rPr>
        <w:t xml:space="preserve">Transparency Requirements. </w:t>
      </w:r>
      <w:r>
        <w:rPr>
          <w:rFonts w:ascii="Arial" w:cs="Arial" w:eastAsia="Arial" w:hAnsi="Arial"/>
          <w:sz w:val="18"/>
          <w:szCs w:val="18"/>
          <w:color w:val="auto"/>
        </w:rPr>
        <w:t>The federal Physician Payments Sunshine Act requires certain manufacturers of drugs, devices, biologics and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for which payment is available under Medicare, Medicaid or the Children’s Health Insurance Program, with specific exceptions, to report annually to CMS information related to payments or transfers of value made to physicians and teaching hospitals, as well as information regarding ownership and investment interests held by physicians and their immediate family members.</w:t>
      </w:r>
    </w:p>
    <w:p>
      <w:pPr>
        <w:spacing w:after="0" w:line="18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7" w:name="page68"/>
    <w:bookmarkEnd w:id="67"/>
    <w:p>
      <w:pPr>
        <w:ind w:right="340" w:firstLine="510"/>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European Union Member States, such as the U.K. Bribery Act 2010. Infringement of these laws could result in substantial fines and imprisonment.</w:t>
      </w:r>
    </w:p>
    <w:p>
      <w:pPr>
        <w:spacing w:after="0" w:line="18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9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Arial" w:cs="Arial" w:eastAsia="Arial" w:hAnsi="Arial"/>
          <w:sz w:val="18"/>
          <w:szCs w:val="18"/>
          <w:color w:val="auto"/>
        </w:rPr>
        <w:t>.</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including personal health data, of individuals in the European Union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European Union, including the United States.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16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 1, 2020, is creating similar risks and obligations as those created by GDPR, though the CCPA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8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If we further expand our operations outside the United States,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40" w:firstLine="51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184"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some countries, such as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 product to other available therapies. If reimbursement of any products is unavailable or limited in scope or amount, or if pricing is set at unsatisfactory levels, our business could be harmed.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w:t>
      </w:r>
    </w:p>
    <w:p>
      <w:pPr>
        <w:spacing w:after="0" w:line="17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9" w:name="page70"/>
    <w:bookmarkEnd w:id="69"/>
    <w:p>
      <w:pPr>
        <w:ind w:right="20"/>
        <w:spacing w:after="0" w:line="293" w:lineRule="auto"/>
        <w:rPr>
          <w:sz w:val="20"/>
          <w:szCs w:val="20"/>
          <w:color w:val="auto"/>
        </w:rPr>
      </w:pPr>
      <w:r>
        <w:rPr>
          <w:rFonts w:ascii="Arial" w:cs="Arial" w:eastAsia="Arial" w:hAnsi="Arial"/>
          <w:sz w:val="16"/>
          <w:szCs w:val="16"/>
          <w:color w:val="auto"/>
        </w:rPr>
        <w:t>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We are highly dependent on Jennifer Good, our President and Chief Executive Officer; Thomas Sciascia, M.D., our Chief Medical Officer; and Helena Brett-Smith, M.D., our Chief Development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of the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17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7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14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As of September 30, 2020 we had 22 employees. We expect to experience significant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Haduvio for additional indications or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any product candidate.</w:t>
      </w:r>
    </w:p>
    <w:p>
      <w:pPr>
        <w:spacing w:after="0" w:line="29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38"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spacing w:after="0" w:line="269" w:lineRule="auto"/>
        <w:rPr>
          <w:sz w:val="20"/>
          <w:szCs w:val="20"/>
          <w:color w:val="auto"/>
        </w:rPr>
      </w:pPr>
      <w:r>
        <w:rPr>
          <w:rFonts w:ascii="Arial" w:cs="Arial" w:eastAsia="Arial" w:hAnsi="Arial"/>
          <w:sz w:val="17"/>
          <w:szCs w:val="17"/>
          <w:color w:val="auto"/>
        </w:rPr>
        <w:t>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sustainable.</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Our shares of common stock began trading on the Nasdaq Global Market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common stock is highly volatile, which could result in substantial losses for purchasers of our common stock.</w:t>
      </w:r>
    </w:p>
    <w:p>
      <w:pPr>
        <w:spacing w:after="0" w:line="1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76" w:lineRule="exact"/>
        <w:rPr>
          <w:sz w:val="20"/>
          <w:szCs w:val="20"/>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and results of clinical trials of Haduvio or any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actions with respect to Haduvio or any future product candidates or competitors’ products and product candidates;</w:t>
      </w:r>
    </w:p>
    <w:p>
      <w:pPr>
        <w:spacing w:after="0" w:line="117" w:lineRule="exact"/>
        <w:rPr>
          <w:rFonts w:ascii="Arial" w:cs="Arial" w:eastAsia="Arial" w:hAnsi="Arial"/>
          <w:sz w:val="18"/>
          <w:szCs w:val="18"/>
          <w:color w:val="auto"/>
        </w:rPr>
      </w:pPr>
    </w:p>
    <w:p>
      <w:pPr>
        <w:ind w:left="880" w:right="980" w:hanging="373"/>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related to any of our development programs;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our efforts to discover, develop, acquire or in-license additional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estimated financial results or development timelines;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1" w:name="page72"/>
    <w:bookmarkEnd w:id="71"/>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recommendations and 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 the United States and other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recent adverse changes in the domestic and international financial markets, and the impacts of the COVID-19 pandemic;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factors and considerations described in this “Risk Factors” section.</w:t>
      </w:r>
    </w:p>
    <w:p>
      <w:pPr>
        <w:spacing w:after="0" w:line="225"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In addition, the novel coronavirus has been spreading rapidly around the world since December 2019 and has negatively affected the stock market and investor sentiment. The price and volatility of our common stock may be disproportionately affected as investors may favor traditional profit-making industries and companies during the times of market uncertainty and instability.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2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our company or fail to regularly publish reports on us, we could lose visibility in the financial markets, which could cause the trading price and volume of our shares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of our common stock, including by us, employees and significant stockholders, could negatively affect our stock price.</w:t>
      </w:r>
    </w:p>
    <w:p>
      <w:pPr>
        <w:spacing w:after="0" w:line="140"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12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184" w:lineRule="exact"/>
        <w:rPr>
          <w:sz w:val="20"/>
          <w:szCs w:val="20"/>
          <w:color w:val="auto"/>
        </w:rPr>
      </w:pPr>
    </w:p>
    <w:p>
      <w:pPr>
        <w:jc w:val="both"/>
        <w:ind w:right="60" w:firstLine="510"/>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16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currently have on file with the SEC a universal shelf registration statement on Form S-3, or the Shelf Registration Statement, which allows us to offer and sell registered common stock, preferred stock, debt securities, units and/or warrants from time to time pursuant to one or more offerings at prices and terms to be determined at the time of sale. In June 2020, we entered into the ATM Sales Agreement, pursuant to which, from time to time, we may offer and sell under the ATM Sales Agreement up to $12.0 million of the common stock registered under the Shelf Registration Statement pursuant to one or more “at the market” offerings. As of September 30, 2020, we had sold 466,758 shares of common stock pursuant to the ATM Sales Agreement. The extent to which we utilize the ATM Sales Agreement as a source of funding will depend on a number of factors, including the prevailing market price of our common stock, general market conditions, and the extent to which we are able to secure funds from other sources.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72" w:name="page73"/>
    <w:bookmarkEnd w:id="72"/>
    <w:p>
      <w:pPr>
        <w:ind w:right="240" w:firstLine="510"/>
        <w:spacing w:after="0" w:line="263" w:lineRule="auto"/>
        <w:rPr>
          <w:sz w:val="20"/>
          <w:szCs w:val="20"/>
          <w:color w:val="auto"/>
        </w:rPr>
      </w:pPr>
      <w:r>
        <w:rPr>
          <w:rFonts w:ascii="Arial" w:cs="Arial" w:eastAsia="Arial" w:hAnsi="Arial"/>
          <w:sz w:val="18"/>
          <w:szCs w:val="18"/>
          <w:color w:val="auto"/>
        </w:rPr>
        <w:t>Sales of substantial amounts of shares of our common stock or other securities by our stockholders, by us under the Shelf Registration Statement, whether pursuant to the ATM Sales Agreement or otherwise, or through any other means could also lower the market price of our common stock and impair our ability to raise capital through the sale of equity or equity-related securities.</w:t>
      </w:r>
    </w:p>
    <w:p>
      <w:pPr>
        <w:spacing w:after="0" w:line="29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Ownership of our common stock is concentrated among our executive officers and directors and their affiliates and our significant stockholders, who have significant influence over our business, which may prevent new investors from influencing significant corporate decisions.</w:t>
      </w:r>
    </w:p>
    <w:p>
      <w:pPr>
        <w:spacing w:after="0" w:line="16"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executive officers and directors and their affiliates and our significant stockholders in the aggregate, beneficially own shares representing approximately 71.2% of our common stock as of November 11, 2020. As a result, our executive officers and directors and their affiliates and our significant stockholders acting together would be able to control all matters submitted to our stockholders for approval, as well as our management and affairs. This concentration of ownership control may:</w:t>
      </w:r>
    </w:p>
    <w:p>
      <w:pPr>
        <w:spacing w:after="0" w:line="79" w:lineRule="exact"/>
        <w:rPr>
          <w:sz w:val="20"/>
          <w:szCs w:val="20"/>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17"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impede a merger, consolidation, takeover, sale, other business combination or other significant corporate transaction involving us that other stockholders may desire.</w:t>
      </w:r>
    </w:p>
    <w:p>
      <w:pPr>
        <w:spacing w:after="0" w:line="170"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Some of these persons or entities may have interests different than yours. For example, because many of these stockholders purchased their shares at prices substantially below our initial public offering price and have held their shares for a longer period, they may be more interested in selling our company to an acquirer than other investors or they may want us to pursue strategies that deviate from the interests of other stockholders.</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62"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the SVB Term Loan preclude us from paying dividends, and any future debt or credit agreements may also preclude us from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2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6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2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As a public company, and particularly after we are no longer an “emerging growth company” or a “smaller reporting company,” we will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3" w:name="page74"/>
    <w:bookmarkEnd w:id="73"/>
    <w:p>
      <w:pPr>
        <w:ind w:right="20"/>
        <w:spacing w:after="0" w:line="286" w:lineRule="auto"/>
        <w:rPr>
          <w:sz w:val="20"/>
          <w:szCs w:val="20"/>
          <w:color w:val="auto"/>
        </w:rPr>
      </w:pPr>
      <w:r>
        <w:rPr>
          <w:rFonts w:ascii="Arial" w:cs="Arial" w:eastAsia="Arial" w:hAnsi="Arial"/>
          <w:sz w:val="16"/>
          <w:szCs w:val="16"/>
          <w:color w:val="auto"/>
        </w:rPr>
        <w:t>need to hire additional accounting, finance and other personnel in connection with our efforts to comply with the requirements of being a public company and our management and other personnel will need to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will be required to furnish a report by our management on our internal control over financial reporting beginning with our Annual Report on Form 10-K for our fiscal year ending December 31, 2020. However, while we remain an emerging growth company or a smaller reporting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have never been required to test our internal control within a specified period and despite our efforts, there is a risk that we will not be able to conclude, within the prescribed timeframe or at all,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might not be able to utilize a significant portion of our net operating loss carryforwards and research and development tax credit carryforwards.</w:t>
      </w:r>
    </w:p>
    <w:p>
      <w:pPr>
        <w:spacing w:after="0" w:line="15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As of December 31, 2019, we had federal and state net operating loss carryforwards of $106.8 million, and federal research and development tax credit carryforwards of $3.2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Code,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Due to our Series A convertible preferred stock financing in December 2012 and the shares issued in connection with our IPO in May 2019, an “ownership change” under Section 382 of the Code occurred. As a result, our ability to use approximately $91.3 million of our net operating loss carryforwards and approximately $3.0 million of our research and development tax credits is limited. We may experience further ownership changes in the future as a result of subsequent shifts in our stock ownership, some of which may be outside of our control. If a further ownership change occurs, our ability to use our net operating loss carryforwards might be further limited. We have not conducted a detailed study to document whether our historical activities qualify to support our research and development credit carryforwards. A detailed study could result in adjustment to our research and development credit carryforwards. If we determine that an ownership change occurs and our ability to use our historical net operating loss and tax credit carryforwards is materially limited, or if our research and development tax credit carryforwards are adjusted, it would harm our future operating results by effectively increasing our future tax obligations.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ind w:firstLine="510"/>
        <w:spacing w:after="0" w:line="272" w:lineRule="auto"/>
        <w:rPr>
          <w:sz w:val="20"/>
          <w:szCs w:val="20"/>
          <w:color w:val="auto"/>
        </w:rPr>
      </w:pPr>
      <w:r>
        <w:rPr>
          <w:rFonts w:ascii="Arial" w:cs="Arial" w:eastAsia="Arial" w:hAnsi="Arial"/>
          <w:sz w:val="17"/>
          <w:szCs w:val="17"/>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17"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Recent changes in tax law may adversely affect our business or financial condition. On December 22, 2017, the U.S. government enacted the Tax Act, which significantly reformed the Code.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81"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6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our company. In addition, it is uncertain if and to what extent various states will conform to the Tax Act, the FFCR Act or the CARES Act.</w:t>
      </w:r>
    </w:p>
    <w:p>
      <w:pPr>
        <w:spacing w:after="0" w:line="3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62"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30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United States of America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49"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2" w:lineRule="exact"/>
        <w:rPr>
          <w:sz w:val="20"/>
          <w:szCs w:val="20"/>
          <w:color w:val="auto"/>
        </w:rPr>
      </w:pPr>
    </w:p>
    <w:p>
      <w:pPr>
        <w:jc w:val="both"/>
        <w:ind w:right="100" w:firstLine="8"/>
        <w:spacing w:after="0" w:line="270" w:lineRule="auto"/>
        <w:tabs>
          <w:tab w:leader="none" w:pos="2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United States federal courts or any other claim for which United States federal courts have exclusive jurisdiction.</w:t>
      </w:r>
    </w:p>
    <w:p>
      <w:pPr>
        <w:spacing w:after="0" w:line="17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did not sell or issue any equity securities during the three months ended September 30, 2020 that were not registered under the Securities Act of 1933, as amended, or the Securities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On May 9, 2019, we closed our initial public offering, or IPO, in which we issued and sold 5,500,000 shares of common stock at a public offering price of $10.00 per share. The aggregate gross proceeds to us from our IPO were $55.0 million.</w:t>
      </w:r>
    </w:p>
    <w:p>
      <w:pPr>
        <w:spacing w:after="0" w:line="170"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All of the shares of common stock issued and sold in our IPO were registered under the Securities Act pursuant to a registration statement on Form S-1 (Registration No. 333-230745), which was declared effective by the SEC on May 7, 2019. The aggregate net proceeds to us from the IPO were approximately $48.2 million, after deducting underwriting discounts and commissions and offering expenses payable by us of approximately $6.8 million.</w:t>
      </w:r>
    </w:p>
    <w:p>
      <w:pPr>
        <w:spacing w:after="0" w:line="14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10% or more of any class of our equity securities or to any other affiliates.</w:t>
      </w:r>
    </w:p>
    <w:p>
      <w:pPr>
        <w:spacing w:after="0" w:line="170"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As of September 30, 2020, we used approximately $11.0 million of the net proceeds from the IPO to fund the development of Haduvio for the treatment of pruritus associated with prurigo nodularis, the treatment of chronic cough in patients with IPF and general corporate purposes. There has been no material change in our planned use of the net proceeds from the IPO as described in our final prospectus for the IPO filed with the SEC pursuant to Rule 424(b) under the Securities Act. We have invested the net proceeds from the IPO in money market funds.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860" w:type="dxa"/>
            <w:vAlign w:val="bottom"/>
          </w:tcPr>
          <w:p>
            <w:pPr>
              <w:spacing w:after="0"/>
              <w:rPr>
                <w:sz w:val="14"/>
                <w:szCs w:val="14"/>
                <w:color w:val="auto"/>
              </w:rPr>
            </w:pPr>
          </w:p>
        </w:tc>
        <w:tc>
          <w:tcPr>
            <w:tcW w:w="9240" w:type="dxa"/>
            <w:vAlign w:val="bottom"/>
            <w:gridSpan w:val="6"/>
            <w:vMerge w:val="restart"/>
          </w:tcPr>
          <w:p>
            <w:pPr>
              <w:ind w:left="3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4"/>
                <w:szCs w:val="14"/>
                <w:color w:val="auto"/>
              </w:rPr>
            </w:pPr>
          </w:p>
        </w:tc>
        <w:tc>
          <w:tcPr>
            <w:tcW w:w="92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00" w:type="dxa"/>
            <w:vAlign w:val="bottom"/>
            <w:tcBorders>
              <w:top w:val="single" w:sz="8" w:color="auto"/>
            </w:tcBorders>
            <w:gridSpan w:val="7"/>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Loan and Security Agreement, dated as of August 13, 2020, between Silicon Valley Bank and Trevi Therapeutics, Inc.</w:t>
              </w:r>
            </w:hyperlink>
          </w:p>
        </w:tc>
        <w:tc>
          <w:tcPr>
            <w:tcW w:w="0" w:type="dxa"/>
            <w:vAlign w:val="bottom"/>
          </w:tcPr>
          <w:p>
            <w:pPr>
              <w:spacing w:after="0"/>
              <w:rPr>
                <w:sz w:val="1"/>
                <w:szCs w:val="1"/>
                <w:color w:val="auto"/>
              </w:rPr>
            </w:pPr>
          </w:p>
        </w:tc>
      </w:tr>
      <w:tr>
        <w:trPr>
          <w:trHeight w:val="297"/>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w w:val="96"/>
              </w:rPr>
            </w:pPr>
            <w:hyperlink w:anchor="page116">
              <w:r>
                <w:rPr>
                  <w:rFonts w:ascii="Arial" w:cs="Arial" w:eastAsia="Arial" w:hAnsi="Arial"/>
                  <w:sz w:val="18"/>
                  <w:szCs w:val="18"/>
                  <w:color w:val="0000EE"/>
                  <w:w w:val="96"/>
                </w:rPr>
                <w:t>Certification of Principal Executive Officer Pursuant to Rules 13a-14(a) or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Adopted Pursuant to Section 302 of the Sarbanes-Oxley Act of 2002</w:t>
              </w:r>
            </w:hyperlink>
          </w:p>
        </w:tc>
        <w:tc>
          <w:tcPr>
            <w:tcW w:w="4560" w:type="dxa"/>
            <w:vAlign w:val="bottom"/>
            <w:tcBorders>
              <w:top w:val="single" w:sz="8" w:color="0000EE"/>
            </w:tcBorders>
            <w:gridSpan w:val="2"/>
          </w:tcPr>
          <w:p>
            <w:pPr>
              <w:spacing w:after="0"/>
              <w:rPr>
                <w:sz w:val="17"/>
                <w:szCs w:val="17"/>
                <w:color w:val="auto"/>
              </w:rPr>
            </w:pPr>
          </w:p>
        </w:tc>
        <w:tc>
          <w:tcPr>
            <w:tcW w:w="6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4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17">
              <w:r>
                <w:rPr>
                  <w:rFonts w:ascii="Arial" w:cs="Arial" w:eastAsia="Arial" w:hAnsi="Arial"/>
                  <w:sz w:val="18"/>
                  <w:szCs w:val="18"/>
                  <w:color w:val="0000EE"/>
                  <w:w w:val="91"/>
                </w:rPr>
                <w:t>Certification of Principal Financial Officer Pursuant to Rules 13a-14(a) or 15d-14(a) under the Securities Exchange Act of 1934, as</w:t>
              </w:r>
            </w:hyperlink>
          </w:p>
        </w:tc>
        <w:tc>
          <w:tcPr>
            <w:tcW w:w="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17">
              <w:r>
                <w:rPr>
                  <w:rFonts w:ascii="Arial" w:cs="Arial" w:eastAsia="Arial" w:hAnsi="Arial"/>
                  <w:sz w:val="18"/>
                  <w:szCs w:val="18"/>
                  <w:color w:val="0000EE"/>
                  <w:w w:val="90"/>
                </w:rPr>
                <w:t>Adopted Pursuant to Section 302 of the Sarbanes-Oxley Act of 2002</w:t>
              </w:r>
            </w:hyperlink>
          </w:p>
        </w:tc>
        <w:tc>
          <w:tcPr>
            <w:tcW w:w="5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EE"/>
                <w:w w:val="91"/>
              </w:rPr>
            </w:pPr>
            <w:hyperlink w:anchor="page118">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Act of 2002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19">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TREVI THERAPEUTICS, INC.</w:t>
      </w:r>
    </w:p>
    <w:p>
      <w:pPr>
        <w:spacing w:after="0" w:line="252" w:lineRule="exact"/>
        <w:rPr>
          <w:sz w:val="20"/>
          <w:szCs w:val="20"/>
          <w:color w:val="auto"/>
        </w:rPr>
      </w:pPr>
    </w:p>
    <w:p>
      <w:pPr>
        <w:spacing w:after="0"/>
        <w:tabs>
          <w:tab w:leader="none" w:pos="6140" w:val="left"/>
          <w:tab w:leader="none" w:pos="804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2"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Christopher Seiter</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5715</wp:posOffset>
            </wp:positionV>
            <wp:extent cx="30518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800"/>
          </w:cols>
          <w:pgMar w:left="320" w:top="337" w:right="77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117"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August 13, 2020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a California corporation with a loan production office located at 275 Grove Street, Suite 2-200, Newton, Massachusetts 02466</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xml:space="preserve">”), and </w:t>
      </w:r>
      <w:r>
        <w:rPr>
          <w:rFonts w:ascii="Arial" w:cs="Arial" w:eastAsia="Arial" w:hAnsi="Arial"/>
          <w:sz w:val="18"/>
          <w:szCs w:val="18"/>
          <w:b w:val="1"/>
          <w:bCs w:val="1"/>
          <w:color w:val="auto"/>
        </w:rPr>
        <w:t>TREVI 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Bank shall lend to Borrower and Borrower shall repay Bank. The parties agree as follows:</w:t>
      </w:r>
    </w:p>
    <w:p>
      <w:pPr>
        <w:spacing w:after="0" w:line="180" w:lineRule="exact"/>
        <w:rPr>
          <w:sz w:val="20"/>
          <w:szCs w:val="20"/>
          <w:color w:val="auto"/>
        </w:rPr>
      </w:pPr>
    </w:p>
    <w:p>
      <w:pPr>
        <w:ind w:left="1660" w:hanging="788"/>
        <w:spacing w:after="0"/>
        <w:tabs>
          <w:tab w:leader="none" w:pos="1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GAAP.  Capitalized terms not otherwise defined in this Agreement shall have the meanings set forth in Section 13.  All other terms contained in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 unless otherwise indicated, shall have the meaning provided by the Code to the extent such terms are defined therein.</w:t>
      </w:r>
    </w:p>
    <w:p>
      <w:pPr>
        <w:spacing w:after="0" w:line="207" w:lineRule="exact"/>
        <w:rPr>
          <w:sz w:val="20"/>
          <w:szCs w:val="20"/>
          <w:color w:val="auto"/>
        </w:rPr>
      </w:pPr>
    </w:p>
    <w:p>
      <w:pPr>
        <w:ind w:left="1660" w:hanging="788"/>
        <w:spacing w:after="0"/>
        <w:tabs>
          <w:tab w:leader="none" w:pos="1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p>
      <w:pPr>
        <w:ind w:firstLine="864"/>
        <w:spacing w:after="0" w:line="282"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Bank the outstanding principal amount of all Credit Extensions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accrued and unpaid interest thereon as and when due in accordance with this Agreement.</w:t>
      </w:r>
    </w:p>
    <w:p>
      <w:pPr>
        <w:spacing w:after="0" w:line="162"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Term Loan Advance</w:t>
      </w:r>
      <w:r>
        <w:rPr>
          <w:rFonts w:ascii="Arial" w:cs="Arial" w:eastAsia="Arial" w:hAnsi="Arial"/>
          <w:sz w:val="16"/>
          <w:szCs w:val="16"/>
          <w:color w:val="auto"/>
        </w:rPr>
        <w:t>.</w:t>
      </w:r>
    </w:p>
    <w:p>
      <w:pPr>
        <w:spacing w:after="0" w:line="229" w:lineRule="exact"/>
        <w:rPr>
          <w:sz w:val="20"/>
          <w:szCs w:val="20"/>
          <w:color w:val="auto"/>
        </w:rPr>
      </w:pPr>
    </w:p>
    <w:p>
      <w:pPr>
        <w:jc w:val="both"/>
        <w:ind w:firstLine="1735"/>
        <w:spacing w:after="0" w:line="263" w:lineRule="auto"/>
        <w:tabs>
          <w:tab w:leader="none" w:pos="257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upon Borrower’s request, Bank shall make one (1) term loan advance (the “</w:t>
      </w:r>
      <w:r>
        <w:rPr>
          <w:rFonts w:ascii="Arial" w:cs="Arial" w:eastAsia="Arial" w:hAnsi="Arial"/>
          <w:sz w:val="18"/>
          <w:szCs w:val="18"/>
          <w:b w:val="1"/>
          <w:bCs w:val="1"/>
          <w:color w:val="auto"/>
        </w:rPr>
        <w:t>Term Loan Advance</w:t>
      </w:r>
      <w:r>
        <w:rPr>
          <w:rFonts w:ascii="Arial" w:cs="Arial" w:eastAsia="Arial" w:hAnsi="Arial"/>
          <w:sz w:val="18"/>
          <w:szCs w:val="18"/>
          <w:color w:val="auto"/>
        </w:rPr>
        <w:t>”) to Borrower, on or about the Effective Date, in an original principal amount of Fourteen Million Dollars ($14,000,000.00). After repayment, the Term Loan Advance (or any portion thereof) may not be reborrowed.</w:t>
      </w:r>
    </w:p>
    <w:p>
      <w:pPr>
        <w:spacing w:after="0" w:line="183" w:lineRule="exact"/>
        <w:rPr>
          <w:rFonts w:ascii="Arial" w:cs="Arial" w:eastAsia="Arial" w:hAnsi="Arial"/>
          <w:sz w:val="18"/>
          <w:szCs w:val="18"/>
          <w:color w:val="auto"/>
        </w:rPr>
      </w:pPr>
    </w:p>
    <w:p>
      <w:pPr>
        <w:jc w:val="both"/>
        <w:ind w:firstLine="1735"/>
        <w:spacing w:after="0" w:line="263" w:lineRule="auto"/>
        <w:tabs>
          <w:tab w:leader="none" w:pos="258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Interest Period</w:t>
      </w:r>
      <w:r>
        <w:rPr>
          <w:rFonts w:ascii="Arial" w:cs="Arial" w:eastAsia="Arial" w:hAnsi="Arial"/>
          <w:sz w:val="18"/>
          <w:szCs w:val="18"/>
          <w:color w:val="auto"/>
        </w:rPr>
        <w:t>. Commencing on the first (1</w:t>
      </w:r>
      <w:r>
        <w:rPr>
          <w:rFonts w:ascii="Arial" w:cs="Arial" w:eastAsia="Arial" w:hAnsi="Arial"/>
          <w:sz w:val="15"/>
          <w:szCs w:val="15"/>
          <w:color w:val="auto"/>
        </w:rPr>
        <w:t>st</w:t>
      </w:r>
      <w:r>
        <w:rPr>
          <w:rFonts w:ascii="Arial" w:cs="Arial" w:eastAsia="Arial" w:hAnsi="Arial"/>
          <w:sz w:val="18"/>
          <w:szCs w:val="18"/>
          <w:color w:val="auto"/>
        </w:rPr>
        <w:t>) Payment Date of the month following the month in which the Funding Date of the Term Loan Advance occurs, and continuing on each Payment Date thereafter, Borrower shall make monthly payments of interest on the principal amount of the Term Loan Advance at the rate set forth in Section 2.2(a).</w:t>
      </w:r>
    </w:p>
    <w:p>
      <w:pPr>
        <w:spacing w:after="0" w:line="183" w:lineRule="exact"/>
        <w:rPr>
          <w:rFonts w:ascii="Arial" w:cs="Arial" w:eastAsia="Arial" w:hAnsi="Arial"/>
          <w:sz w:val="18"/>
          <w:szCs w:val="18"/>
          <w:color w:val="auto"/>
        </w:rPr>
      </w:pPr>
    </w:p>
    <w:p>
      <w:pPr>
        <w:jc w:val="both"/>
        <w:ind w:firstLine="1735"/>
        <w:spacing w:after="0" w:line="279" w:lineRule="auto"/>
        <w:tabs>
          <w:tab w:leader="none" w:pos="2575"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Commencing on March 1, 2022, and continuing on each Payment Date thereafter, Borrower shall repay the Term Loan Advance in (i) twenty-four (24) consecutive equal monthly installments of principal, plus (ii) monthly payments of accrued interest at the rate set forth in Section 2.2(a). All outstanding principal and accrued and unpaid interest under the Term Loan Advance, and all other outstanding Obligations with respect to the Term Loan Advance, are due and payable in full on the Term Loan Maturity Date.</w:t>
      </w:r>
    </w:p>
    <w:p>
      <w:pPr>
        <w:spacing w:after="0" w:line="171" w:lineRule="exact"/>
        <w:rPr>
          <w:rFonts w:ascii="Arial" w:cs="Arial" w:eastAsia="Arial" w:hAnsi="Arial"/>
          <w:sz w:val="17"/>
          <w:szCs w:val="17"/>
          <w:color w:val="auto"/>
        </w:rPr>
      </w:pPr>
    </w:p>
    <w:p>
      <w:pPr>
        <w:jc w:val="both"/>
        <w:ind w:firstLine="1735"/>
        <w:spacing w:after="0" w:line="259" w:lineRule="auto"/>
        <w:tabs>
          <w:tab w:leader="none" w:pos="258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Mandatory Prepayment Upon an Acceleration</w:t>
      </w:r>
      <w:r>
        <w:rPr>
          <w:rFonts w:ascii="Arial" w:cs="Arial" w:eastAsia="Arial" w:hAnsi="Arial"/>
          <w:sz w:val="18"/>
          <w:szCs w:val="18"/>
          <w:color w:val="auto"/>
        </w:rPr>
        <w:t>. If the Term Loan Advance is accelerated following the occurrence of an Event of Default, Borrower shall immediately pay to Bank an amount equal to the sum of: (i) all outstanding principal plus accrued and unpaid interest, plus (ii) the Prepayment Premium, (iii) the Final Payment, and (iv) all other sums, if any, that shall have become due and payable, including interest at the Default Rate with respect to any past due amounts.</w:t>
      </w:r>
    </w:p>
    <w:p>
      <w:pPr>
        <w:spacing w:after="0" w:line="186" w:lineRule="exact"/>
        <w:rPr>
          <w:rFonts w:ascii="Arial" w:cs="Arial" w:eastAsia="Arial" w:hAnsi="Arial"/>
          <w:sz w:val="18"/>
          <w:szCs w:val="18"/>
          <w:color w:val="auto"/>
        </w:rPr>
      </w:pPr>
    </w:p>
    <w:p>
      <w:pPr>
        <w:jc w:val="both"/>
        <w:ind w:firstLine="1735"/>
        <w:spacing w:after="0" w:line="296" w:lineRule="auto"/>
        <w:tabs>
          <w:tab w:leader="none" w:pos="257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 Advance</w:t>
      </w:r>
      <w:r>
        <w:rPr>
          <w:rFonts w:ascii="Arial" w:cs="Arial" w:eastAsia="Arial" w:hAnsi="Arial"/>
          <w:sz w:val="16"/>
          <w:szCs w:val="16"/>
          <w:color w:val="auto"/>
        </w:rPr>
        <w:t>. Borrower shall have the option to prepay all, but not less than all, the Term Loan Advance advanced by Bank under this Agreement, provided Borrower (i) provides written notice to Bank of its election to prepay the Term Loan Advance at least five (5) Business Days prior to such prepayment (or such shorter period as Bank may agree in writing in its sole discretion), and (ii) pays, on the date of such prepayment (A) all outstanding principal plus accrued and unpaid interest, (B) the Prepayment Premium, (C) the Final Payment, and (D) all other sums, if any, that shall have become due and payable, including interest at the Default Rate with respect to any past due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880"/>
        <w:spacing w:after="0"/>
        <w:tabs>
          <w:tab w:leader="none" w:pos="17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Payment of Interest on the Credit Extensions.</w:t>
      </w:r>
    </w:p>
    <w:p>
      <w:pPr>
        <w:spacing w:after="0" w:line="229" w:lineRule="exact"/>
        <w:rPr>
          <w:sz w:val="20"/>
          <w:szCs w:val="20"/>
          <w:color w:val="auto"/>
        </w:rPr>
      </w:pPr>
    </w:p>
    <w:p>
      <w:pPr>
        <w:jc w:val="both"/>
        <w:ind w:firstLine="1735"/>
        <w:spacing w:after="0" w:line="291" w:lineRule="auto"/>
        <w:tabs>
          <w:tab w:leader="none" w:pos="2575"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Subject to Section 2.2(b), the principal amount outstanding under the Term Loan Advance shall accrue interest at a floating per annum rate equal to (i) prior to the occurrence of the Phase 3 Event, the greater of (A) the Prime Rate plus one percent (1.00%) and</w:t>
      </w:r>
    </w:p>
    <w:p>
      <w:pPr>
        <w:jc w:val="both"/>
        <w:ind w:firstLine="8"/>
        <w:spacing w:after="0" w:line="255" w:lineRule="auto"/>
        <w:tabs>
          <w:tab w:leader="none" w:pos="2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four and one-quarter of one percent (4.25%), and (ii) upon and after the occurrence of the Phase 3 Event, the greater of (A) the Prime Rate plus three percent (3.00%) and (B) six and one-quarter of one percent (6.25%), which interest, in each case, shall be payable monthly in accordance with Section 2.2(d) below.</w:t>
      </w:r>
    </w:p>
    <w:p>
      <w:pPr>
        <w:spacing w:after="0" w:line="189" w:lineRule="exact"/>
        <w:rPr>
          <w:rFonts w:ascii="Arial" w:cs="Arial" w:eastAsia="Arial" w:hAnsi="Arial"/>
          <w:sz w:val="18"/>
          <w:szCs w:val="18"/>
          <w:color w:val="auto"/>
        </w:rPr>
      </w:pPr>
    </w:p>
    <w:p>
      <w:pPr>
        <w:jc w:val="both"/>
        <w:ind w:firstLine="1735"/>
        <w:spacing w:after="0" w:line="293" w:lineRule="auto"/>
        <w:tabs>
          <w:tab w:leader="none" w:pos="2585"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Default Rate</w:t>
      </w:r>
      <w:r>
        <w:rPr>
          <w:rFonts w:ascii="Arial" w:cs="Arial" w:eastAsia="Arial" w:hAnsi="Arial"/>
          <w:sz w:val="16"/>
          <w:szCs w:val="16"/>
          <w:color w:val="auto"/>
        </w:rPr>
        <w:t>. Upon the occurrence and during the continuance of an Event of Default, Obligations shall bear interest at a rate per annum which is five percent (5.0%) above the rate that is otherwise applicable thereto (the “</w:t>
      </w:r>
      <w:r>
        <w:rPr>
          <w:rFonts w:ascii="Arial" w:cs="Arial" w:eastAsia="Arial" w:hAnsi="Arial"/>
          <w:sz w:val="16"/>
          <w:szCs w:val="16"/>
          <w:b w:val="1"/>
          <w:bCs w:val="1"/>
          <w:color w:val="auto"/>
        </w:rPr>
        <w:t>Default Rate</w:t>
      </w:r>
      <w:r>
        <w:rPr>
          <w:rFonts w:ascii="Arial" w:cs="Arial" w:eastAsia="Arial" w:hAnsi="Arial"/>
          <w:sz w:val="16"/>
          <w:szCs w:val="16"/>
          <w:color w:val="auto"/>
        </w:rPr>
        <w:t>”), unless Bank otherwise elects from time to time in its sole discretion to impose a smaller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2.2(b) is not a permitted alternative to timely payment and shall not constitute a waiver of any Event of Default or otherwise prejudice or limit any rights or remedies of Bank.</w:t>
      </w:r>
    </w:p>
    <w:p>
      <w:pPr>
        <w:spacing w:after="0" w:line="164" w:lineRule="exact"/>
        <w:rPr>
          <w:rFonts w:ascii="Arial" w:cs="Arial" w:eastAsia="Arial" w:hAnsi="Arial"/>
          <w:sz w:val="16"/>
          <w:szCs w:val="16"/>
          <w:color w:val="auto"/>
        </w:rPr>
      </w:pPr>
    </w:p>
    <w:p>
      <w:pPr>
        <w:ind w:firstLine="1735"/>
        <w:spacing w:after="0" w:line="277" w:lineRule="auto"/>
        <w:tabs>
          <w:tab w:leader="none" w:pos="257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170" w:lineRule="exact"/>
        <w:rPr>
          <w:rFonts w:ascii="Arial" w:cs="Arial" w:eastAsia="Arial" w:hAnsi="Arial"/>
          <w:sz w:val="18"/>
          <w:szCs w:val="18"/>
          <w:color w:val="auto"/>
        </w:rPr>
      </w:pPr>
    </w:p>
    <w:p>
      <w:pPr>
        <w:jc w:val="both"/>
        <w:ind w:firstLine="1735"/>
        <w:spacing w:after="0" w:line="257" w:lineRule="auto"/>
        <w:tabs>
          <w:tab w:leader="none" w:pos="258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w:t>
      </w:r>
      <w:r>
        <w:rPr>
          <w:rFonts w:ascii="Arial" w:cs="Arial" w:eastAsia="Arial" w:hAnsi="Arial"/>
          <w:sz w:val="18"/>
          <w:szCs w:val="18"/>
          <w:color w:val="auto"/>
        </w:rPr>
        <w:t>. Interest is payable monthly on the Payment Date and shall be computed on the basis of a 360-day year for the actual number of days elapsed. In computing interest, (i) all payments received after 2:00 p.m. Eastern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8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Bank:</w:t>
      </w:r>
    </w:p>
    <w:p>
      <w:pPr>
        <w:spacing w:after="0" w:line="229" w:lineRule="exact"/>
        <w:rPr>
          <w:sz w:val="20"/>
          <w:szCs w:val="20"/>
          <w:color w:val="auto"/>
        </w:rPr>
      </w:pPr>
    </w:p>
    <w:p>
      <w:pPr>
        <w:ind w:left="2580" w:hanging="845"/>
        <w:spacing w:after="0"/>
        <w:tabs>
          <w:tab w:leader="none" w:pos="25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if and when due hereunder;</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 and</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and documented attorneys’ fees and expenses for documentation and negotiation of this Agreement) incurred through and after the Effective Date, when due (or, if no stated due date, upon written demand by Bank).</w:t>
      </w:r>
    </w:p>
    <w:p>
      <w:pPr>
        <w:spacing w:after="0" w:line="18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2.3 pursuant to the terms of Section 2.4(c). Bank shall provide Borrower written notice of deductions made from the Designated Deposit Account pursuant to the terms of the clauses of this Section 2.3.</w:t>
      </w:r>
    </w:p>
    <w:p>
      <w:pPr>
        <w:spacing w:after="0" w:line="18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Payments; Application of Payments; Debit of Accounts.</w:t>
      </w:r>
    </w:p>
    <w:p>
      <w:pPr>
        <w:spacing w:after="0" w:line="229" w:lineRule="exact"/>
        <w:rPr>
          <w:sz w:val="20"/>
          <w:szCs w:val="20"/>
          <w:color w:val="auto"/>
        </w:rPr>
      </w:pPr>
    </w:p>
    <w:p>
      <w:pPr>
        <w:jc w:val="both"/>
        <w:ind w:firstLine="1735"/>
        <w:spacing w:after="0" w:line="279" w:lineRule="auto"/>
        <w:tabs>
          <w:tab w:leader="none" w:pos="257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2:00 p.m. Eastern time on the date when due. Payments of principal and/or interest received after 2:00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1" w:name="page82"/>
    <w:bookmarkEnd w:id="81"/>
    <w:p>
      <w:pPr>
        <w:jc w:val="both"/>
        <w:ind w:firstLine="1735"/>
        <w:spacing w:after="0" w:line="259" w:lineRule="auto"/>
        <w:tabs>
          <w:tab w:leader="none" w:pos="25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86" w:lineRule="exact"/>
        <w:rPr>
          <w:rFonts w:ascii="Arial" w:cs="Arial" w:eastAsia="Arial" w:hAnsi="Arial"/>
          <w:sz w:val="18"/>
          <w:szCs w:val="18"/>
          <w:color w:val="auto"/>
        </w:rPr>
      </w:pPr>
    </w:p>
    <w:p>
      <w:pPr>
        <w:ind w:firstLine="1735"/>
        <w:spacing w:after="0" w:line="277" w:lineRule="auto"/>
        <w:tabs>
          <w:tab w:leader="none" w:pos="25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Bank may debit any of Borrower’s deposit accounts, including the Designated Deposit Account, for principal and interest payments or any other amounts Borrower owes Bank when due. These debits shall not constitute a set-off.</w:t>
      </w:r>
    </w:p>
    <w:p>
      <w:pPr>
        <w:spacing w:after="0" w:line="16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Withholding.</w:t>
      </w:r>
    </w:p>
    <w:p>
      <w:pPr>
        <w:spacing w:after="0" w:line="229" w:lineRule="exact"/>
        <w:rPr>
          <w:sz w:val="20"/>
          <w:szCs w:val="20"/>
          <w:color w:val="auto"/>
        </w:rPr>
      </w:pPr>
    </w:p>
    <w:p>
      <w:pPr>
        <w:jc w:val="both"/>
        <w:ind w:firstLine="1735"/>
        <w:spacing w:after="0" w:line="287" w:lineRule="auto"/>
        <w:tabs>
          <w:tab w:leader="none" w:pos="2575" w:val="left"/>
        </w:tabs>
        <w:numPr>
          <w:ilvl w:val="1"/>
          <w:numId w:val="56"/>
        </w:numPr>
        <w:rPr>
          <w:rFonts w:ascii="Arial" w:cs="Arial" w:eastAsia="Arial" w:hAnsi="Arial"/>
          <w:sz w:val="16"/>
          <w:szCs w:val="16"/>
          <w:color w:val="auto"/>
        </w:rPr>
      </w:pPr>
      <w:r>
        <w:rPr>
          <w:rFonts w:ascii="Arial" w:cs="Arial" w:eastAsia="Arial" w:hAnsi="Arial"/>
          <w:sz w:val="16"/>
          <w:szCs w:val="16"/>
          <w:color w:val="auto"/>
        </w:rPr>
        <w:t>Payments received by Bank from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2.5 shall survive the termination of this Agreement.</w:t>
      </w:r>
    </w:p>
    <w:p>
      <w:pPr>
        <w:spacing w:after="0" w:line="171" w:lineRule="exact"/>
        <w:rPr>
          <w:rFonts w:ascii="Arial" w:cs="Arial" w:eastAsia="Arial" w:hAnsi="Arial"/>
          <w:sz w:val="16"/>
          <w:szCs w:val="16"/>
          <w:color w:val="auto"/>
        </w:rPr>
      </w:pPr>
    </w:p>
    <w:p>
      <w:pPr>
        <w:jc w:val="both"/>
        <w:ind w:firstLine="1735"/>
        <w:spacing w:after="0" w:line="253" w:lineRule="auto"/>
        <w:tabs>
          <w:tab w:leader="none" w:pos="2585"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any assignee of Bank’s rights under Section 12.2 of this Agreement is not a “United States Person” as defined in Section 7701(a)(30) of the Internal Revenue Code of 1986, as amended from time to time (such assignee, a “</w:t>
      </w:r>
      <w:r>
        <w:rPr>
          <w:rFonts w:ascii="Arial" w:cs="Arial" w:eastAsia="Arial" w:hAnsi="Arial"/>
          <w:sz w:val="18"/>
          <w:szCs w:val="18"/>
          <w:b w:val="1"/>
          <w:bCs w:val="1"/>
          <w:color w:val="auto"/>
        </w:rPr>
        <w:t>Non-U.S. Lender</w:t>
      </w:r>
      <w:r>
        <w:rPr>
          <w:rFonts w:ascii="Arial" w:cs="Arial" w:eastAsia="Arial" w:hAnsi="Arial"/>
          <w:sz w:val="18"/>
          <w:szCs w:val="18"/>
          <w:color w:val="auto"/>
        </w:rPr>
        <w:t>”), such Non-U.S. Lender shall, upon becoming party to this Agreement, to the extent that such Non-U.S. Lender is entitled to an exemption from U.S. withholding tax on interest, deliver to Borrower a complete and properly executed IRS Form W-8BEN, W-8ECI or W-8IMY, as appropriate, or any successor form prescribed by the IRS, certifying that such Non-U.S. Lender is entitled to such exemption from U.S. withholding tax on interest. Notwithstanding Section 2.5(a) above, Borrower shall not be required to pay any additional amount to any Non-U.S. Lender under Section 2.5(a) if such Non-U.S. Lender fails or is unable to deliver the forms, certificates or other evidence described in the preceding sentence, unless such non-U.S. Lender’s failure or inability to deliver such forms is the result of any change in any applicable law, treaty or governmental rule, or any change in the interpretation thereof after such Non-U.S. Lender became a party to this Agreement.</w:t>
      </w:r>
    </w:p>
    <w:p>
      <w:pPr>
        <w:spacing w:after="0" w:line="192" w:lineRule="exact"/>
        <w:rPr>
          <w:rFonts w:ascii="Arial" w:cs="Arial" w:eastAsia="Arial" w:hAnsi="Arial"/>
          <w:sz w:val="18"/>
          <w:szCs w:val="18"/>
          <w:color w:val="auto"/>
        </w:rPr>
      </w:pPr>
    </w:p>
    <w:p>
      <w:pPr>
        <w:ind w:left="1660" w:hanging="788"/>
        <w:spacing w:after="0"/>
        <w:tabs>
          <w:tab w:leader="none" w:pos="1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Bank’s obligation to make the initial Credit Extension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precedent that Bank shall have received, in form and substance satisfactory to Bank, such documents, and completion of such other matters, as Bank may reasonably deem necessary or appropriate, including, without limitation:</w:t>
      </w:r>
    </w:p>
    <w:p>
      <w:pPr>
        <w:spacing w:after="0" w:line="180" w:lineRule="exact"/>
        <w:rPr>
          <w:sz w:val="20"/>
          <w:szCs w:val="20"/>
          <w:color w:val="auto"/>
        </w:rPr>
      </w:pPr>
    </w:p>
    <w:p>
      <w:pPr>
        <w:ind w:left="2580" w:hanging="845"/>
        <w:spacing w:after="0"/>
        <w:tabs>
          <w:tab w:leader="none" w:pos="2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duly executed signatures to the Control Agreement;</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Operating Documents and long-form good standing certificates of Borrower certified by the Secretary of State of Delaware and each other jurisdiction in which Borrower is qualified to conduct business, each as of a date no earlier than thirty (30) days prior to the Effective Date;</w:t>
      </w:r>
    </w:p>
    <w:p>
      <w:pPr>
        <w:spacing w:after="0" w:line="183" w:lineRule="exact"/>
        <w:rPr>
          <w:rFonts w:ascii="Arial" w:cs="Arial" w:eastAsia="Arial" w:hAnsi="Arial"/>
          <w:sz w:val="18"/>
          <w:szCs w:val="18"/>
          <w:color w:val="auto"/>
        </w:rPr>
      </w:pPr>
    </w:p>
    <w:p>
      <w:pPr>
        <w:ind w:left="2600" w:hanging="865"/>
        <w:spacing w:after="0"/>
        <w:tabs>
          <w:tab w:leader="none" w:pos="2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duly executed signatures to the completed Borrowing Resolutions for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2" w:name="page83"/>
    <w:bookmarkEnd w:id="82"/>
    <w:p>
      <w:pPr>
        <w:jc w:val="both"/>
        <w:ind w:firstLine="1735"/>
        <w:spacing w:after="0" w:line="263" w:lineRule="auto"/>
        <w:tabs>
          <w:tab w:leader="none" w:pos="25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83" w:lineRule="exact"/>
        <w:rPr>
          <w:rFonts w:ascii="Arial" w:cs="Arial" w:eastAsia="Arial" w:hAnsi="Arial"/>
          <w:sz w:val="18"/>
          <w:szCs w:val="18"/>
          <w:color w:val="auto"/>
        </w:rPr>
      </w:pPr>
    </w:p>
    <w:p>
      <w:pPr>
        <w:ind w:left="2560" w:hanging="825"/>
        <w:spacing w:after="0"/>
        <w:tabs>
          <w:tab w:leader="none" w:pos="2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Perfection Certificate of Borrower, together with the duly executed signature thereto;</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legal opinion of Borrower’s counsel dated as of the Effective Date together with the duly executed signature thereto;</w:t>
      </w:r>
    </w:p>
    <w:p>
      <w:pPr>
        <w:spacing w:after="0" w:line="248" w:lineRule="exact"/>
        <w:rPr>
          <w:rFonts w:ascii="Arial" w:cs="Arial" w:eastAsia="Arial" w:hAnsi="Arial"/>
          <w:sz w:val="16"/>
          <w:szCs w:val="16"/>
          <w:color w:val="auto"/>
        </w:rPr>
      </w:pPr>
    </w:p>
    <w:p>
      <w:pPr>
        <w:ind w:left="2600" w:hanging="865"/>
        <w:spacing w:after="0"/>
        <w:tabs>
          <w:tab w:leader="none" w:pos="2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duly executed signatures to the Cash Pledge Agreement, in form and substance acceptable to Bank;</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5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evidence reasonably satisfactory to Bank that the insurance policies and endorsements required by Section 6.5 hereof are in full force and effect, together with appropriate evidence showing lender loss payable and/or additional insured clauses or endorsements in favor of Bank; and</w:t>
      </w:r>
    </w:p>
    <w:p>
      <w:pPr>
        <w:spacing w:after="0" w:line="183" w:lineRule="exact"/>
        <w:rPr>
          <w:rFonts w:ascii="Arial" w:cs="Arial" w:eastAsia="Arial" w:hAnsi="Arial"/>
          <w:sz w:val="18"/>
          <w:szCs w:val="18"/>
          <w:color w:val="auto"/>
        </w:rPr>
      </w:pPr>
    </w:p>
    <w:p>
      <w:pPr>
        <w:ind w:left="2560" w:hanging="825"/>
        <w:spacing w:after="0"/>
        <w:tabs>
          <w:tab w:leader="none" w:pos="25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2.3 hereof.</w:t>
      </w:r>
    </w:p>
    <w:p>
      <w:pPr>
        <w:spacing w:after="0" w:line="221" w:lineRule="exact"/>
        <w:rPr>
          <w:sz w:val="20"/>
          <w:szCs w:val="20"/>
          <w:color w:val="auto"/>
        </w:rPr>
      </w:pPr>
    </w:p>
    <w:p>
      <w:pPr>
        <w:ind w:firstLine="864"/>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Bank’s obligations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6" w:lineRule="exact"/>
        <w:rPr>
          <w:sz w:val="20"/>
          <w:szCs w:val="20"/>
          <w:color w:val="auto"/>
        </w:rPr>
      </w:pPr>
    </w:p>
    <w:p>
      <w:pPr>
        <w:ind w:left="2580" w:hanging="845"/>
        <w:spacing w:after="0"/>
        <w:tabs>
          <w:tab w:leader="none" w:pos="2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otherwise provided in Section 3.4, timely receipt of an executed Payment/Advance Form;</w:t>
      </w:r>
    </w:p>
    <w:p>
      <w:pPr>
        <w:spacing w:after="0" w:line="225" w:lineRule="exact"/>
        <w:rPr>
          <w:rFonts w:ascii="Arial" w:cs="Arial" w:eastAsia="Arial" w:hAnsi="Arial"/>
          <w:sz w:val="18"/>
          <w:szCs w:val="18"/>
          <w:color w:val="auto"/>
        </w:rPr>
      </w:pPr>
    </w:p>
    <w:p>
      <w:pPr>
        <w:jc w:val="both"/>
        <w:ind w:firstLine="1735"/>
        <w:spacing w:after="0" w:line="270" w:lineRule="auto"/>
        <w:tabs>
          <w:tab w:leader="none" w:pos="258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representations and warranties in this Agreement shall be true, accurate, and complete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180" w:lineRule="exact"/>
        <w:rPr>
          <w:rFonts w:ascii="Arial" w:cs="Arial" w:eastAsia="Arial" w:hAnsi="Arial"/>
          <w:sz w:val="17"/>
          <w:szCs w:val="17"/>
          <w:color w:val="auto"/>
        </w:rPr>
      </w:pPr>
    </w:p>
    <w:p>
      <w:pPr>
        <w:jc w:val="both"/>
        <w:ind w:firstLine="1735"/>
        <w:spacing w:after="0" w:line="263" w:lineRule="auto"/>
        <w:tabs>
          <w:tab w:leader="none" w:pos="25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Bank determines to its reasonable satisfaction that there has not been any material impairment in the general affairs, management, results of operation, financial condition or the prospect of repayment of the Obligations, nor any material adverse deviation by Borrower from the most recent business plan of Borrower presented to and accepted by Bank.</w:t>
      </w:r>
    </w:p>
    <w:p>
      <w:pPr>
        <w:spacing w:after="0" w:line="180"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3.3 Covenant to Deliver</w:t>
      </w:r>
      <w:r>
        <w:rPr>
          <w:rFonts w:ascii="Arial" w:cs="Arial" w:eastAsia="Arial" w:hAnsi="Arial"/>
          <w:sz w:val="18"/>
          <w:szCs w:val="18"/>
          <w:color w:val="auto"/>
        </w:rPr>
        <w:t>. Borrower agrees to deliver to Bank each item required to be delivered to Bank under this Agreement as a</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precedent to any Credit Extension. Borrower expressly agrees that a Credit Extension made prior to the receipt by Bank of any such item shall not constitute a waiver by Bank of Borrower’s obligation to deliver such item required to be delivered hereunder, and the making of any Credit Extension in the absence of a required item shall be in Bank’s sole discretion.</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3.4 Procedures for Borrowing</w:t>
      </w:r>
      <w:r>
        <w:rPr>
          <w:rFonts w:ascii="Arial" w:cs="Arial" w:eastAsia="Arial" w:hAnsi="Arial"/>
          <w:sz w:val="18"/>
          <w:szCs w:val="18"/>
          <w:color w:val="auto"/>
        </w:rPr>
        <w:t>. Subject to the prior satisfaction of all other applicable conditions to the making of a Credit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Agreement, to obtain a Credit Extension other than the initial Credit Extension, Borrower shall notify Bank (which notice shall be irrevocable) by electronic mail, facsimile, or telephone by 12:00 p.m. Eastern time at least two (2) Business Days prior to the proposed Funding Date of the Credit Extension. Together with any such electronic or facsimile notification, Borrower shall deliver to Bank by electronic mail or facsimile a completed Payment/Advance Form executed by an Authorized Signer. Bank may rely on any telephone notice given by a person whom Bank believes is an Authorized Signer. Bank shall credit the Credit Extensions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3" w:name="page84"/>
    <w:bookmarkEnd w:id="83"/>
    <w:p>
      <w:pPr>
        <w:ind w:right="20"/>
        <w:spacing w:after="0" w:line="277" w:lineRule="auto"/>
        <w:rPr>
          <w:sz w:val="20"/>
          <w:szCs w:val="20"/>
          <w:color w:val="auto"/>
        </w:rPr>
      </w:pPr>
      <w:r>
        <w:rPr>
          <w:rFonts w:ascii="Arial" w:cs="Arial" w:eastAsia="Arial" w:hAnsi="Arial"/>
          <w:sz w:val="18"/>
          <w:szCs w:val="18"/>
          <w:color w:val="auto"/>
        </w:rPr>
        <w:t>Designated Deposit Account. Bank may make Credit Extensions under this Agreement based on instructions from an Authorized Signer or without instructions if the Credit Extensions are necessary to meet Obligations which have become due.</w:t>
      </w:r>
    </w:p>
    <w:p>
      <w:pPr>
        <w:spacing w:after="0" w:line="166" w:lineRule="exact"/>
        <w:rPr>
          <w:sz w:val="20"/>
          <w:szCs w:val="20"/>
          <w:color w:val="auto"/>
        </w:rPr>
      </w:pPr>
    </w:p>
    <w:p>
      <w:pPr>
        <w:ind w:left="1660" w:hanging="788"/>
        <w:spacing w:after="0"/>
        <w:tabs>
          <w:tab w:leader="none" w:pos="1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4.1 Grant of Security Interest. </w:t>
      </w:r>
      <w:r>
        <w:rPr>
          <w:rFonts w:ascii="Arial" w:cs="Arial" w:eastAsia="Arial" w:hAnsi="Arial"/>
          <w:sz w:val="18"/>
          <w:szCs w:val="18"/>
          <w:color w:val="auto"/>
        </w:rPr>
        <w:t>Borrower hereby grants Bank, to secure the payment and performance in full of all of the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a continuing security interest in, and pledges to Bank, the Collateral, wherever located, whether now owned or hereafter acquired or arising, and all proceeds and products thereof.</w:t>
      </w:r>
    </w:p>
    <w:p>
      <w:pPr>
        <w:spacing w:after="0" w:line="18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The Collateral may also be subject to Permitted Liens.</w:t>
      </w:r>
    </w:p>
    <w:p>
      <w:pPr>
        <w:spacing w:after="0" w:line="187"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color w:val="auto"/>
        </w:rPr>
        <w:t>If this Agreement is terminated, Bank’s Lien in the Collateral shall continue until the Obligations (other than inchoate indemnity obligations, any obligations which, by their terms, are to survive the termination of this Agreement, and any Obligations under Bank Services Agreements that are cash collateralized in accordance with Section 4.1) are repaid in full in cash. Upon payment in full in cash of the Obligations (other than inchoate indemnity obligations, any obligations which, by their terms, are to survive the termination of this Agreement and any Obligations under Bank Services Agreements that are cash collateralized in accordance with Section 4.1)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and any obligations which, by their terms, are to survive the termination of this Agreement), except for Bank Services, are satisfied in full, and (y)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(1) if such Letters of Credit are denominated in Dollars, then at least one hundred five percent (105.0%); and (2) if such Letters of Credit are denominated in a Foreign Currency, then at least one hundred ten percent (110.0%), of the Dollar Equivalent of the face amount of all such Letters of Credit plus, in each case, all interest, fees, and costs due or to become due in connection therewith (as estimated by Bank in its business judgment), to secure all of the Obligations relating to such Letters of Credit.</w:t>
      </w:r>
    </w:p>
    <w:p>
      <w:pPr>
        <w:spacing w:after="0" w:line="17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7"/>
          <w:szCs w:val="17"/>
          <w:b w:val="1"/>
          <w:bCs w:val="1"/>
          <w:color w:val="auto"/>
        </w:rPr>
        <w:t>4.2 Priority of Security Interest</w:t>
      </w:r>
      <w:r>
        <w:rPr>
          <w:rFonts w:ascii="Arial" w:cs="Arial" w:eastAsia="Arial" w:hAnsi="Arial"/>
          <w:sz w:val="17"/>
          <w:szCs w:val="17"/>
          <w:color w:val="auto"/>
        </w:rPr>
        <w:t>. Borrower represents, warrants, and covenants that the security interest granted herein is and shall at</w:t>
      </w:r>
      <w:r>
        <w:rPr>
          <w:rFonts w:ascii="Arial" w:cs="Arial" w:eastAsia="Arial" w:hAnsi="Arial"/>
          <w:sz w:val="17"/>
          <w:szCs w:val="17"/>
          <w:b w:val="1"/>
          <w:bCs w:val="1"/>
          <w:color w:val="auto"/>
        </w:rPr>
        <w:t xml:space="preserve"> </w:t>
      </w:r>
      <w:r>
        <w:rPr>
          <w:rFonts w:ascii="Arial" w:cs="Arial" w:eastAsia="Arial" w:hAnsi="Arial"/>
          <w:sz w:val="17"/>
          <w:szCs w:val="17"/>
          <w:color w:val="auto"/>
        </w:rPr>
        <w:t>all times continue to be a first priority perfected security interest in the Collateral located in the United States. The Collateral may also be subject to Permitted Liens. If Borrower shall acquire a commercial tort claim with a value in excess of One Hundred Thousand Dollars ($100,000.000), Borrower shall promptly (and in any event no later than at the time of the next Compliance Statement delivered pursuant to Section 6.2(d)),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73"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4.3 Authorization to File Financing Statements</w:t>
      </w:r>
      <w:r>
        <w:rPr>
          <w:rFonts w:ascii="Arial" w:cs="Arial" w:eastAsia="Arial" w:hAnsi="Arial"/>
          <w:sz w:val="18"/>
          <w:szCs w:val="18"/>
          <w:color w:val="auto"/>
        </w:rPr>
        <w:t>. Borrower hereby authorizes Bank to file financing statements, without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with all appropriate jurisdictions to perfect or protect Bank’s interest or rights hereunder, including a notice that any disposition of the Collateral, by either Borrower or any other Person (except in accordance with this Agreement),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4" w:name="page85"/>
    <w:bookmarkEnd w:id="84"/>
    <w:p>
      <w:pPr>
        <w:ind w:left="1660" w:hanging="788"/>
        <w:spacing w:after="0"/>
        <w:tabs>
          <w:tab w:leader="none" w:pos="1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represents and warrants as follows:</w:t>
      </w:r>
    </w:p>
    <w:p>
      <w:pPr>
        <w:spacing w:after="0" w:line="221"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b w:val="1"/>
          <w:bCs w:val="1"/>
          <w:color w:val="auto"/>
        </w:rPr>
        <w:t>5.1 Due Organization, Authorization; Power and Authority</w:t>
      </w:r>
      <w:r>
        <w:rPr>
          <w:rFonts w:ascii="Arial" w:cs="Arial" w:eastAsia="Arial" w:hAnsi="Arial"/>
          <w:sz w:val="16"/>
          <w:szCs w:val="16"/>
          <w:color w:val="auto"/>
        </w:rPr>
        <w:t>. Borrower is duly existing and in good standing as a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 in its 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(the “</w:t>
      </w:r>
      <w:r>
        <w:rPr>
          <w:rFonts w:ascii="Arial" w:cs="Arial" w:eastAsia="Arial" w:hAnsi="Arial"/>
          <w:sz w:val="16"/>
          <w:szCs w:val="16"/>
          <w:b w:val="1"/>
          <w:bCs w:val="1"/>
          <w:color w:val="auto"/>
        </w:rPr>
        <w:t>Perfection Certificate</w:t>
      </w:r>
      <w:r>
        <w:rPr>
          <w:rFonts w:ascii="Arial" w:cs="Arial" w:eastAsia="Arial" w:hAnsi="Arial"/>
          <w:sz w:val="16"/>
          <w:szCs w:val="16"/>
          <w:color w:val="auto"/>
        </w:rPr>
        <w:t>”). Borrower represents and warrants to Bank that (a) Borrower’s exact legal name is that indicated on the Perfection Certificate and, as of the Effective Date,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unless otherwise indicated in the Perfection Certificate; and (f) all other information set forth on the Perfection Certificate pertaining to Borrower and each of its Subsidiaries is accurate and complete in all material respects (it being understood and agreed that Borrower may from time to time update certain information in the Perfection Certificate after the Effective Date to the extent permitted by one or more specific provisions in this Agreement and provided that the Perfection Certificate shall be deemed to be updated to reflect the information provided in any notice that is required or permitted to be delivered (and is actually delivered) by Borrower to Bank). If Borrower is not now a Registered Organization but later becomes one, Borrower shall promptly notify Bank of such occurrence and provide Bank with Borrower’s organizational identification number.</w:t>
      </w:r>
    </w:p>
    <w:p>
      <w:pPr>
        <w:spacing w:after="0" w:line="168"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(other than a financing statement), registration, or qualification with, or Governmental Approval from, any Governmental Authority (except such Governmental Approvals which have already been obtained and are in full force and effect (or are being obtained pursuant to Section 6.1(b))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7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5.2 Collateral</w:t>
      </w:r>
      <w:r>
        <w:rPr>
          <w:rFonts w:ascii="Arial" w:cs="Arial" w:eastAsia="Arial" w:hAnsi="Arial"/>
          <w:sz w:val="17"/>
          <w:szCs w:val="17"/>
          <w:color w:val="auto"/>
        </w:rPr>
        <w:t>. Borrower has good title to, rights in, and the power to transfer each item of the Collateral upon which it purports to</w:t>
      </w:r>
      <w:r>
        <w:rPr>
          <w:rFonts w:ascii="Arial" w:cs="Arial" w:eastAsia="Arial" w:hAnsi="Arial"/>
          <w:sz w:val="17"/>
          <w:szCs w:val="17"/>
          <w:b w:val="1"/>
          <w:bCs w:val="1"/>
          <w:color w:val="auto"/>
        </w:rPr>
        <w:t xml:space="preserve"> </w:t>
      </w:r>
      <w:r>
        <w:rPr>
          <w:rFonts w:ascii="Arial" w:cs="Arial" w:eastAsia="Arial" w:hAnsi="Arial"/>
          <w:sz w:val="17"/>
          <w:szCs w:val="17"/>
          <w:color w:val="auto"/>
        </w:rPr>
        <w:t>grant a Lien 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to the extent required pursuant to the terms of Section 6.6(b). The Accounts are bona fide, existing obligations of the Account Debtors.</w:t>
      </w:r>
    </w:p>
    <w:p>
      <w:pPr>
        <w:spacing w:after="0" w:line="17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The Collateral (other than (i) any mobile Equipment in possession of Borrower’s employees or agents, (ii) promotional, marketing and advertising materials, (iii) items in transit, (iv) Equipment, Inventory or other material used in research and development activities, including clinical trials or (v) with an aggregate value not to exceed One Hundred Fifty Thousand Dollars ($150,000.00)) is not in the possession of any third party bailee (such as a warehouse)), except as otherwise provided in the Perfection Certificate or as permitted pursuant to Section 7.2. None of the components of the Collateral (other than (i) any mobile Equipment in possession of Borrower’s employees or agents, (ii) promotional, marketing and advertising materials, (iii) items in transit, (iv) Equipment, Inventory or other material used in research and development activities, including clinical trials or (v) with an aggregate value not to exceed One Hundred Fifty Thousand Dollars ($150,000.00)) shall be maintained at locations other than as provided in the Perfection Certificate or as permitted pursuant to Section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5" w:name="page86"/>
    <w:bookmarkEnd w:id="85"/>
    <w:p>
      <w:pPr>
        <w:ind w:left="88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sz w:val="20"/>
          <w:szCs w:val="20"/>
          <w:color w:val="auto"/>
        </w:rPr>
      </w:pPr>
    </w:p>
    <w:p>
      <w:pPr>
        <w:ind w:firstLine="864"/>
        <w:spacing w:after="0" w:line="291" w:lineRule="auto"/>
        <w:rPr>
          <w:sz w:val="20"/>
          <w:szCs w:val="20"/>
          <w:color w:val="auto"/>
        </w:rPr>
      </w:pPr>
      <w:r>
        <w:rPr>
          <w:rFonts w:ascii="Arial" w:cs="Arial" w:eastAsia="Arial" w:hAnsi="Arial"/>
          <w:sz w:val="16"/>
          <w:szCs w:val="16"/>
          <w:color w:val="auto"/>
        </w:rPr>
        <w:t>Borrower is the sole owner of the Intellectual Property material to Borrower’s business which it owns or purports to own except for (a) non-exclusive licenses granted to its customers in the ordinary course of business, (b) over-the-counter software that is commercially available to the public, and</w:t>
      </w:r>
    </w:p>
    <w:p>
      <w:pPr>
        <w:jc w:val="both"/>
        <w:ind w:firstLine="8"/>
        <w:spacing w:after="0" w:line="271" w:lineRule="auto"/>
        <w:tabs>
          <w:tab w:leader="none" w:pos="265" w:val="left"/>
        </w:tabs>
        <w:numPr>
          <w:ilvl w:val="0"/>
          <w:numId w:val="63"/>
        </w:numPr>
        <w:rPr>
          <w:rFonts w:ascii="Arial" w:cs="Arial" w:eastAsia="Arial" w:hAnsi="Arial"/>
          <w:sz w:val="17"/>
          <w:szCs w:val="17"/>
          <w:color w:val="auto"/>
        </w:rPr>
      </w:pPr>
      <w:r>
        <w:rPr>
          <w:rFonts w:ascii="Arial" w:cs="Arial" w:eastAsia="Arial" w:hAnsi="Arial"/>
          <w:sz w:val="17"/>
          <w:szCs w:val="17"/>
          <w:color w:val="auto"/>
        </w:rPr>
        <w:t>material Intellectual Property licensed to Borrower and noted on the Perfection Certificate or disclosed by Borrower in writing pursuant to Section 6.7.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7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Except as noted on the Perfection Certificate or as disclosed to Bank in writing pursuant to Section 6.7(b), Borrower is not a party to, nor is it bound by, any Restricted License.</w:t>
      </w:r>
    </w:p>
    <w:p>
      <w:pPr>
        <w:spacing w:after="0" w:line="166"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5.3 Litigation</w:t>
      </w:r>
      <w:r>
        <w:rPr>
          <w:rFonts w:ascii="Arial" w:cs="Arial" w:eastAsia="Arial" w:hAnsi="Arial"/>
          <w:sz w:val="18"/>
          <w:szCs w:val="18"/>
          <w:color w:val="auto"/>
        </w:rPr>
        <w:t>. Except as disclosed in the Perfection Certificate, there are no actions or proceedings pending or, to the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Responsible Officer, threatened in writing by or against Borrower or any of its Subsidiaries involving more than, individually or in the aggregate, Two Hundred Fifty Thousand Dollars ($250,000.00).</w:t>
      </w:r>
    </w:p>
    <w:p>
      <w:pPr>
        <w:spacing w:after="0" w:line="176"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5.4 Financial Statements; Financial Condition</w:t>
      </w:r>
      <w:r>
        <w:rPr>
          <w:rFonts w:ascii="Arial" w:cs="Arial" w:eastAsia="Arial" w:hAnsi="Arial"/>
          <w:sz w:val="18"/>
          <w:szCs w:val="18"/>
          <w:color w:val="auto"/>
        </w:rPr>
        <w:t>. All consolidated financial statements for Borrower and any of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Bank by submission to the Financial Statement Repository fairly present in all material respects Borrower’s consolidated financial condition and Borrower’s consolidated results of operations (subject to year-end adjustments and the absence of footnotes in the case of unaudited financial statements). There has not been any material deterioration in Borrower’s consolidated financial condition since the date of the most recent financial statements submitted to the Financial Statement Repository.</w:t>
      </w:r>
    </w:p>
    <w:p>
      <w:pPr>
        <w:spacing w:after="0" w:line="183"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18"/>
          <w:szCs w:val="18"/>
          <w:b w:val="1"/>
          <w:bCs w:val="1"/>
          <w:color w:val="auto"/>
        </w:rPr>
        <w:t>5.5 Solvency</w:t>
      </w:r>
      <w:r>
        <w:rPr>
          <w:rFonts w:ascii="Arial" w:cs="Arial" w:eastAsia="Arial" w:hAnsi="Arial"/>
          <w:sz w:val="18"/>
          <w:szCs w:val="18"/>
          <w:color w:val="auto"/>
        </w:rPr>
        <w:t>. The fair salable value of Borrower’s consolidated assets (including goodwill minus disposition costs) exceeds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Borrower’s liabilities; Borrower is not left with unreasonably small capital after the transactions in this Agreement; and Borrower is able to pay its debts (including trade debts) as they mature.</w:t>
      </w:r>
    </w:p>
    <w:p>
      <w:pPr>
        <w:spacing w:after="0" w:line="17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b w:val="1"/>
          <w:bCs w:val="1"/>
          <w:color w:val="auto"/>
        </w:rPr>
        <w:t>5.6 Regulatory Compliance</w:t>
      </w:r>
      <w:r>
        <w:rPr>
          <w:rFonts w:ascii="Arial" w:cs="Arial" w:eastAsia="Arial" w:hAnsi="Arial"/>
          <w:sz w:val="17"/>
          <w:szCs w:val="17"/>
          <w:color w:val="auto"/>
        </w:rPr>
        <w:t>. Borrower is not an “investment company” or a company “controlled” by an “investment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 except to the extent the failure to obtain, make or file the same would not reasonably be expected to have a material adverse effect on Borrower’s business or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5.7</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w w:val="92"/>
              </w:rPr>
              <w:t>Subsidiaries; Investments</w:t>
            </w:r>
            <w:r>
              <w:rPr>
                <w:rFonts w:ascii="Arial" w:cs="Arial" w:eastAsia="Arial" w:hAnsi="Arial"/>
                <w:sz w:val="18"/>
                <w:szCs w:val="18"/>
                <w:color w:val="auto"/>
                <w:w w:val="92"/>
              </w:rPr>
              <w:t>. Borrower does not own any stock, partnership, or other ownership interest or other equity securities</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except for Permitted Investments.</w:t>
            </w:r>
          </w:p>
        </w:tc>
      </w:tr>
      <w:tr>
        <w:trPr>
          <w:trHeight w:val="432"/>
        </w:trPr>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5.8</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w w:val="92"/>
              </w:rPr>
              <w:t>Tax Returns and Payments; Pension Contributions</w:t>
            </w:r>
            <w:r>
              <w:rPr>
                <w:rFonts w:ascii="Arial" w:cs="Arial" w:eastAsia="Arial" w:hAnsi="Arial"/>
                <w:sz w:val="18"/>
                <w:szCs w:val="18"/>
                <w:color w:val="auto"/>
                <w:w w:val="92"/>
              </w:rPr>
              <w:t>. Borrower has timely filed all required tax returns and reports (or duly filed</w:t>
            </w:r>
          </w:p>
        </w:tc>
      </w:tr>
    </w:tbl>
    <w:p>
      <w:pPr>
        <w:jc w:val="both"/>
        <w:spacing w:after="0" w:line="292" w:lineRule="auto"/>
        <w:rPr>
          <w:sz w:val="20"/>
          <w:szCs w:val="20"/>
          <w:color w:val="auto"/>
        </w:rPr>
      </w:pPr>
      <w:r>
        <w:rPr>
          <w:rFonts w:ascii="Arial" w:cs="Arial" w:eastAsia="Arial" w:hAnsi="Arial"/>
          <w:sz w:val="16"/>
          <w:szCs w:val="16"/>
          <w:color w:val="auto"/>
        </w:rPr>
        <w:t>valid extensions thereof), except for returns or reports related to taxes as may be due or owing in amounts that do not, individually or in the aggregate, exceed Fifty Thousand Dollars ($50,000.00), and Borrower has timely 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6" w:name="page87"/>
    <w:bookmarkEnd w:id="86"/>
    <w:p>
      <w:pPr>
        <w:jc w:val="both"/>
        <w:ind w:firstLine="864"/>
        <w:spacing w:after="0" w:line="253" w:lineRule="auto"/>
        <w:rPr>
          <w:sz w:val="20"/>
          <w:szCs w:val="20"/>
          <w:color w:val="auto"/>
        </w:rPr>
      </w:pPr>
      <w:r>
        <w:rPr>
          <w:rFonts w:ascii="Arial" w:cs="Arial" w:eastAsia="Arial" w:hAnsi="Arial"/>
          <w:sz w:val="18"/>
          <w:szCs w:val="18"/>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reasonably be expected to result in additional taxes becoming due and payable by Borrower, that individually or in the aggregate, exceed Fifty Thousand Dollars ($50,000.00).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9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5.9 Use of Proceeds</w:t>
      </w:r>
      <w:r>
        <w:rPr>
          <w:rFonts w:ascii="Arial" w:cs="Arial" w:eastAsia="Arial" w:hAnsi="Arial"/>
          <w:sz w:val="18"/>
          <w:szCs w:val="18"/>
          <w:color w:val="auto"/>
        </w:rPr>
        <w:t>. Borrower shall use the proceeds of the Credit Extensions as working capital and to fund its general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not for personal, family, household or agricultural purposes.</w:t>
      </w:r>
    </w:p>
    <w:p>
      <w:pPr>
        <w:spacing w:after="0" w:line="162" w:lineRule="exact"/>
        <w:rPr>
          <w:sz w:val="20"/>
          <w:szCs w:val="20"/>
          <w:color w:val="auto"/>
        </w:rPr>
      </w:pPr>
    </w:p>
    <w:p>
      <w:pPr>
        <w:jc w:val="both"/>
        <w:ind w:firstLine="864"/>
        <w:spacing w:after="0" w:line="292" w:lineRule="auto"/>
        <w:rPr>
          <w:sz w:val="20"/>
          <w:szCs w:val="20"/>
          <w:color w:val="auto"/>
        </w:rPr>
      </w:pPr>
      <w:r>
        <w:rPr>
          <w:rFonts w:ascii="Arial" w:cs="Arial" w:eastAsia="Arial" w:hAnsi="Arial"/>
          <w:sz w:val="16"/>
          <w:szCs w:val="16"/>
          <w:b w:val="1"/>
          <w:bCs w:val="1"/>
          <w:color w:val="auto"/>
        </w:rPr>
        <w:t>5.10 Full Disclosure</w:t>
      </w:r>
      <w:r>
        <w:rPr>
          <w:rFonts w:ascii="Arial" w:cs="Arial" w:eastAsia="Arial" w:hAnsi="Arial"/>
          <w:sz w:val="16"/>
          <w:szCs w:val="16"/>
          <w:color w:val="auto"/>
        </w:rPr>
        <w:t>. No written representation, warranty or other statement of Borrower in any report, certificate or written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submitted to the Financial Statement Repository in connection with the Loan Documents, as of the date such representation, warranty, or other statement was made, taken together with all such written reports, written certificates and written statements submitted to the Financial Statement Repository in connection with the Loan Documents, contains any untrue statement of a material fact or omits to state a material fact necessary to make the statements contained in the reports, certificates, or written statements not misleading in light of the circumstances in which they were made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61"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5.11 Definition of “Knowledge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the Loan Documents, whenever a representation or warranty is made to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or awareness, to the “best of” Borrower’s knowledge, or with a similar qualification, knowledge or awareness means the actual knowledge, after reasonable investigation, of any Responsible Officer.</w:t>
      </w:r>
    </w:p>
    <w:p>
      <w:pPr>
        <w:spacing w:after="0" w:line="176" w:lineRule="exact"/>
        <w:rPr>
          <w:sz w:val="20"/>
          <w:szCs w:val="20"/>
          <w:color w:val="auto"/>
        </w:rPr>
      </w:pPr>
    </w:p>
    <w:p>
      <w:pPr>
        <w:ind w:left="1660" w:hanging="788"/>
        <w:spacing w:after="0"/>
        <w:tabs>
          <w:tab w:leader="none" w:pos="1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p>
    <w:p>
      <w:pPr>
        <w:spacing w:after="0" w:line="229" w:lineRule="exact"/>
        <w:rPr>
          <w:sz w:val="20"/>
          <w:szCs w:val="20"/>
          <w:color w:val="auto"/>
        </w:rPr>
      </w:pPr>
    </w:p>
    <w:p>
      <w:pPr>
        <w:jc w:val="both"/>
        <w:ind w:firstLine="1735"/>
        <w:spacing w:after="0" w:line="296" w:lineRule="auto"/>
        <w:tabs>
          <w:tab w:leader="none" w:pos="2575" w:val="left"/>
        </w:tabs>
        <w:numPr>
          <w:ilvl w:val="0"/>
          <w:numId w:val="65"/>
        </w:numPr>
        <w:rPr>
          <w:rFonts w:ascii="Arial" w:cs="Arial" w:eastAsia="Arial" w:hAnsi="Arial"/>
          <w:sz w:val="16"/>
          <w:szCs w:val="16"/>
          <w:color w:val="auto"/>
        </w:rPr>
      </w:pPr>
      <w:r>
        <w:rPr>
          <w:rFonts w:ascii="Arial" w:cs="Arial" w:eastAsia="Arial" w:hAnsi="Arial"/>
          <w:sz w:val="16"/>
          <w:szCs w:val="16"/>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provided that any Subsidiary may merge or consolidate in accordance with Section 7.3 hereof, or liquidate or dissolve provided that in connection with such dissolution or liquidation all assets and property of any such Subsidiary shall be transferred to Borrower. Borrower shall comply, and have each Subsidiary comply, in all material respects, with all laws, ordinances and regulations to which it is subject.</w:t>
      </w:r>
    </w:p>
    <w:p>
      <w:pPr>
        <w:spacing w:after="0" w:line="161" w:lineRule="exact"/>
        <w:rPr>
          <w:rFonts w:ascii="Arial" w:cs="Arial" w:eastAsia="Arial" w:hAnsi="Arial"/>
          <w:sz w:val="16"/>
          <w:szCs w:val="16"/>
          <w:color w:val="auto"/>
        </w:rPr>
      </w:pPr>
    </w:p>
    <w:p>
      <w:pPr>
        <w:jc w:val="both"/>
        <w:ind w:firstLine="1735"/>
        <w:spacing w:after="0" w:line="263" w:lineRule="auto"/>
        <w:tabs>
          <w:tab w:leader="none" w:pos="2585"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to Bank in all of the Collateral. Borrower shall promptly provide copies of any such obtained Governmental Approvals to Bank.</w:t>
      </w:r>
    </w:p>
    <w:p>
      <w:pPr>
        <w:spacing w:after="0" w:line="18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Financial Statements, Reports. </w:t>
      </w:r>
      <w:r>
        <w:rPr>
          <w:rFonts w:ascii="Arial" w:cs="Arial" w:eastAsia="Arial" w:hAnsi="Arial"/>
          <w:sz w:val="16"/>
          <w:szCs w:val="16"/>
          <w:color w:val="auto"/>
        </w:rPr>
        <w:t>Provide Bank with the following by submitting to the Financial Statement Repository:</w:t>
      </w:r>
    </w:p>
    <w:p>
      <w:pPr>
        <w:spacing w:after="0" w:line="229" w:lineRule="exact"/>
        <w:rPr>
          <w:sz w:val="20"/>
          <w:szCs w:val="20"/>
          <w:color w:val="auto"/>
        </w:rPr>
      </w:pPr>
    </w:p>
    <w:p>
      <w:pPr>
        <w:ind w:firstLine="1735"/>
        <w:spacing w:after="0" w:line="277" w:lineRule="auto"/>
        <w:tabs>
          <w:tab w:leader="none" w:pos="257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Monthly Financial Statements</w:t>
      </w:r>
      <w:r>
        <w:rPr>
          <w:rFonts w:ascii="Arial" w:cs="Arial" w:eastAsia="Arial" w:hAnsi="Arial"/>
          <w:sz w:val="18"/>
          <w:szCs w:val="18"/>
          <w:color w:val="auto"/>
        </w:rPr>
        <w:t>. As soon as available, but no later than thirty (30) days after the last day of each month, a company prepared consolidated balance sheet and income statement covering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consolidated operations for such month in a form of presentation reasonably acceptable to Bank (the “</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w:t>
      </w:r>
    </w:p>
    <w:p>
      <w:pPr>
        <w:spacing w:after="0" w:line="229" w:lineRule="exact"/>
        <w:rPr>
          <w:sz w:val="20"/>
          <w:szCs w:val="20"/>
          <w:color w:val="auto"/>
        </w:rPr>
      </w:pPr>
    </w:p>
    <w:p>
      <w:pPr>
        <w:jc w:val="both"/>
        <w:ind w:firstLine="1735"/>
        <w:spacing w:after="0" w:line="259" w:lineRule="auto"/>
        <w:tabs>
          <w:tab w:leader="none" w:pos="2585"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Monthly Compliance Statement</w:t>
      </w:r>
      <w:r>
        <w:rPr>
          <w:rFonts w:ascii="Arial" w:cs="Arial" w:eastAsia="Arial" w:hAnsi="Arial"/>
          <w:sz w:val="18"/>
          <w:szCs w:val="18"/>
          <w:color w:val="auto"/>
        </w:rPr>
        <w:t>. Within thirty (30) days after the last day of each month and together with the Monthly Financial Statements a completed Compliance Statement, confirming that, as of the end of such month, Borrower was in full compliance with all of the terms and conditions of this Agreement, and setting forth calculations showing compliance with the financial covenants set forth in this Agreement (if any) and such other information as Bank may reasonably request;</w:t>
      </w:r>
    </w:p>
    <w:p>
      <w:pPr>
        <w:spacing w:after="0" w:line="186" w:lineRule="exact"/>
        <w:rPr>
          <w:rFonts w:ascii="Arial" w:cs="Arial" w:eastAsia="Arial" w:hAnsi="Arial"/>
          <w:sz w:val="18"/>
          <w:szCs w:val="18"/>
          <w:color w:val="auto"/>
        </w:rPr>
      </w:pPr>
    </w:p>
    <w:p>
      <w:pPr>
        <w:jc w:val="both"/>
        <w:ind w:firstLine="1735"/>
        <w:spacing w:after="0" w:line="285" w:lineRule="auto"/>
        <w:tabs>
          <w:tab w:leader="none" w:pos="2575"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As soon as available, and in any event within forty-five (45) days after the end of the first three (3) fiscal quarters of each fiscal year of Borrower, a company prepared consolidated balance sheet and income statement covering Borrower’s consolidated operations for such quarter, consistent with such quarterly financial statements submitted to the SEC (the “</w:t>
      </w:r>
      <w:r>
        <w:rPr>
          <w:rFonts w:ascii="Arial" w:cs="Arial" w:eastAsia="Arial" w:hAnsi="Arial"/>
          <w:sz w:val="16"/>
          <w:szCs w:val="16"/>
          <w:b w:val="1"/>
          <w:bCs w:val="1"/>
          <w:color w:val="auto"/>
        </w:rPr>
        <w:t>Quarterly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Statements</w:t>
      </w:r>
      <w:r>
        <w:rPr>
          <w:rFonts w:ascii="Arial" w:cs="Arial" w:eastAsia="Arial" w:hAnsi="Arial"/>
          <w:sz w:val="16"/>
          <w:szCs w:val="16"/>
          <w:color w:val="auto"/>
        </w:rPr>
        <w:t>”); provided that within seventy-five (75) days after the end of each fiscal year of Borrower, Borrower shall deliver audited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statements prepared in accordance with GAAP, consistently applied, together with an unqualified opinion on the financial statements from Ernst</w:t>
      </w:r>
    </w:p>
    <w:p>
      <w:pPr>
        <w:spacing w:after="0" w:line="1" w:lineRule="exact"/>
        <w:rPr>
          <w:rFonts w:ascii="Arial" w:cs="Arial" w:eastAsia="Arial" w:hAnsi="Arial"/>
          <w:sz w:val="16"/>
          <w:szCs w:val="16"/>
          <w:color w:val="auto"/>
        </w:rPr>
      </w:pPr>
    </w:p>
    <w:p>
      <w:pPr>
        <w:ind w:left="200" w:hanging="192"/>
        <w:spacing w:after="0"/>
        <w:tabs>
          <w:tab w:leader="none" w:pos="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Young LLP or another independent certified public accounting firm reasonably acceptable to Bank for each such fiscal year of Borrower;</w:t>
      </w:r>
    </w:p>
    <w:p>
      <w:pPr>
        <w:spacing w:after="0" w:line="210" w:lineRule="exact"/>
        <w:rPr>
          <w:rFonts w:ascii="Arial" w:cs="Arial" w:eastAsia="Arial" w:hAnsi="Arial"/>
          <w:sz w:val="18"/>
          <w:szCs w:val="18"/>
          <w:color w:val="auto"/>
        </w:rPr>
      </w:pPr>
    </w:p>
    <w:p>
      <w:pPr>
        <w:jc w:val="both"/>
        <w:ind w:firstLine="1735"/>
        <w:spacing w:after="0" w:line="257" w:lineRule="auto"/>
        <w:tabs>
          <w:tab w:leader="none" w:pos="258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Quarterly Compliance Statement</w:t>
      </w:r>
      <w:r>
        <w:rPr>
          <w:rFonts w:ascii="Arial" w:cs="Arial" w:eastAsia="Arial" w:hAnsi="Arial"/>
          <w:sz w:val="18"/>
          <w:szCs w:val="18"/>
          <w:color w:val="auto"/>
        </w:rPr>
        <w:t>. As soon as available, and in any event within forty-five (45) days after the last day of the first three (3) fiscal quarters of each fiscal year of Borrower and together with the Quarterly Financial Statements, a completed Compliance Statement, in the form attached as Exhibit B, confirming that, as of the end of such quarter, Borrower was in full compliance with all of the terms and conditions of this Agreement; provided, however, Borrower shall deliver the Compliance Statement for the fiscal year end of Borrower within seventy-five (75) days after the end of such fiscal year;</w:t>
      </w:r>
    </w:p>
    <w:p>
      <w:pPr>
        <w:spacing w:after="0" w:line="187" w:lineRule="exact"/>
        <w:rPr>
          <w:rFonts w:ascii="Arial" w:cs="Arial" w:eastAsia="Arial" w:hAnsi="Arial"/>
          <w:sz w:val="18"/>
          <w:szCs w:val="18"/>
          <w:color w:val="auto"/>
        </w:rPr>
      </w:pPr>
    </w:p>
    <w:p>
      <w:pPr>
        <w:jc w:val="both"/>
        <w:ind w:firstLine="1735"/>
        <w:spacing w:after="0" w:line="263" w:lineRule="auto"/>
        <w:tabs>
          <w:tab w:leader="none" w:pos="257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Board-Approved Projections</w:t>
      </w:r>
      <w:r>
        <w:rPr>
          <w:rFonts w:ascii="Arial" w:cs="Arial" w:eastAsia="Arial" w:hAnsi="Arial"/>
          <w:sz w:val="18"/>
          <w:szCs w:val="18"/>
          <w:color w:val="auto"/>
        </w:rPr>
        <w:t>. At least annually, but no later than thirty (30) days after the last day of each fiscal year of Borrower, and promptly with any material updates or changes thereto that are approved by the Board, annual Board-approved operating budgets and financial projections, in a form of presentation reasonably acceptable to Bank;</w:t>
      </w:r>
    </w:p>
    <w:p>
      <w:pPr>
        <w:spacing w:after="0" w:line="183" w:lineRule="exact"/>
        <w:rPr>
          <w:rFonts w:ascii="Arial" w:cs="Arial" w:eastAsia="Arial" w:hAnsi="Arial"/>
          <w:sz w:val="18"/>
          <w:szCs w:val="18"/>
          <w:color w:val="auto"/>
        </w:rPr>
      </w:pPr>
    </w:p>
    <w:p>
      <w:pPr>
        <w:ind w:firstLine="1735"/>
        <w:spacing w:after="0" w:line="277" w:lineRule="auto"/>
        <w:tabs>
          <w:tab w:leader="none" w:pos="255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five (5) Business Days of delivery, copies of all material statements, reports and notices made available to Borrower’s security holders or to any holders of Subordinated Debt, in their capacity as such;</w:t>
      </w:r>
    </w:p>
    <w:p>
      <w:pPr>
        <w:spacing w:after="0" w:line="170" w:lineRule="exact"/>
        <w:rPr>
          <w:rFonts w:ascii="Arial" w:cs="Arial" w:eastAsia="Arial" w:hAnsi="Arial"/>
          <w:sz w:val="18"/>
          <w:szCs w:val="18"/>
          <w:color w:val="auto"/>
        </w:rPr>
      </w:pPr>
    </w:p>
    <w:p>
      <w:pPr>
        <w:jc w:val="both"/>
        <w:ind w:firstLine="1735"/>
        <w:spacing w:after="0" w:line="293" w:lineRule="auto"/>
        <w:tabs>
          <w:tab w:leader="none" w:pos="2585"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SEC Filings</w:t>
      </w:r>
      <w:r>
        <w:rPr>
          <w:rFonts w:ascii="Arial" w:cs="Arial" w:eastAsia="Arial" w:hAnsi="Arial"/>
          <w:sz w:val="16"/>
          <w:szCs w:val="16"/>
          <w:color w:val="auto"/>
        </w:rPr>
        <w: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164" w:lineRule="exact"/>
        <w:rPr>
          <w:rFonts w:ascii="Arial" w:cs="Arial" w:eastAsia="Arial" w:hAnsi="Arial"/>
          <w:sz w:val="16"/>
          <w:szCs w:val="16"/>
          <w:color w:val="auto"/>
        </w:rPr>
      </w:pPr>
    </w:p>
    <w:p>
      <w:pPr>
        <w:jc w:val="both"/>
        <w:ind w:firstLine="1735"/>
        <w:spacing w:after="0" w:line="259" w:lineRule="auto"/>
        <w:tabs>
          <w:tab w:leader="none" w:pos="258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Beneficial Ownership Information</w:t>
      </w:r>
      <w:r>
        <w:rPr>
          <w:rFonts w:ascii="Arial" w:cs="Arial" w:eastAsia="Arial" w:hAnsi="Arial"/>
          <w:sz w:val="18"/>
          <w:szCs w:val="18"/>
          <w:color w:val="auto"/>
        </w:rPr>
        <w:t>. Prompt written notice of any changes to the beneficial ownership information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86" w:lineRule="exact"/>
        <w:rPr>
          <w:rFonts w:ascii="Arial" w:cs="Arial" w:eastAsia="Arial" w:hAnsi="Arial"/>
          <w:sz w:val="18"/>
          <w:szCs w:val="18"/>
          <w:color w:val="auto"/>
        </w:rPr>
      </w:pPr>
    </w:p>
    <w:p>
      <w:pPr>
        <w:jc w:val="both"/>
        <w:ind w:firstLine="1735"/>
        <w:spacing w:after="0" w:line="263" w:lineRule="auto"/>
        <w:tabs>
          <w:tab w:leader="none" w:pos="254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Legal Action Notice</w:t>
      </w:r>
      <w:r>
        <w:rPr>
          <w:rFonts w:ascii="Arial" w:cs="Arial" w:eastAsia="Arial" w:hAnsi="Arial"/>
          <w:sz w:val="18"/>
          <w:szCs w:val="18"/>
          <w:color w:val="auto"/>
        </w:rPr>
        <w:t>. A prompt report of any legal actions pending or threatened in writing against Borrower or any of its Subsidiaries that could reasonably be expected to result in damages or costs to Borrower or any of its Subsidiaries of, individually or in the aggregate, Two Hundred Fifty Thousand Dollars ($250,000.00) or more;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8" w:name="page89"/>
    <w:bookmarkEnd w:id="88"/>
    <w:p>
      <w:pPr>
        <w:ind w:left="2560" w:hanging="825"/>
        <w:spacing w:after="0"/>
        <w:tabs>
          <w:tab w:leader="none" w:pos="25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Other Financial Information</w:t>
      </w:r>
      <w:r>
        <w:rPr>
          <w:rFonts w:ascii="Arial" w:cs="Arial" w:eastAsia="Arial" w:hAnsi="Arial"/>
          <w:sz w:val="18"/>
          <w:szCs w:val="18"/>
          <w:color w:val="auto"/>
        </w:rPr>
        <w:t>. Other financial information reasonably requested by Bank.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Any submission by Borrower of a Compliance Statement or any other financial statement submitted to the Financial Statement Repository pursuant to this Section 6.2 shall be deemed to be a representation by Borrower that (a) as of the date of such Compliance Statement or other financial statement, the information and calculations set forth therein are true, accurate and correct, (b) as of the end of the compliance period set forth in such submission, Borrower is in complete compliance with all required covenants except as noted in such Compliance Statement or other financial statement, as applicable;</w:t>
      </w:r>
    </w:p>
    <w:p>
      <w:pPr>
        <w:spacing w:after="0" w:line="1" w:lineRule="exact"/>
        <w:rPr>
          <w:sz w:val="20"/>
          <w:szCs w:val="20"/>
          <w:color w:val="auto"/>
        </w:rPr>
      </w:pPr>
    </w:p>
    <w:p>
      <w:pPr>
        <w:jc w:val="both"/>
        <w:ind w:firstLine="8"/>
        <w:spacing w:after="0" w:line="269" w:lineRule="auto"/>
        <w:tabs>
          <w:tab w:leader="none" w:pos="273" w:val="left"/>
        </w:tabs>
        <w:numPr>
          <w:ilvl w:val="0"/>
          <w:numId w:val="70"/>
        </w:numPr>
        <w:rPr>
          <w:rFonts w:ascii="Arial" w:cs="Arial" w:eastAsia="Arial" w:hAnsi="Arial"/>
          <w:sz w:val="17"/>
          <w:szCs w:val="17"/>
          <w:color w:val="auto"/>
        </w:rPr>
      </w:pPr>
      <w:r>
        <w:rPr>
          <w:rFonts w:ascii="Arial" w:cs="Arial" w:eastAsia="Arial" w:hAnsi="Arial"/>
          <w:sz w:val="17"/>
          <w:szCs w:val="17"/>
          <w:color w:val="auto"/>
        </w:rPr>
        <w:t>as of the date of such submission, no Events of Default have occurred or are continuing, except as noted in such Compliance Statement; (d) all representations and warranties other than any representations or warranties that are made as of a specific date in Article 5 remain true and correct in all material respects as of the date of such submission except as noted in such Compliance Statement or other financial statement, as applicable; (e)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and (f) as of the date of such submission, no Liens have been levied or claims made against Borrower or any of its Subsidiaries relating to unpaid employee payroll or benefits of which Borrower has not previously provided written notification to Bank.</w:t>
      </w:r>
    </w:p>
    <w:p>
      <w:pPr>
        <w:spacing w:after="0" w:line="176"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6.3 Inventory; Returns</w:t>
      </w:r>
      <w:r>
        <w:rPr>
          <w:rFonts w:ascii="Arial" w:cs="Arial" w:eastAsia="Arial" w:hAnsi="Arial"/>
          <w:sz w:val="18"/>
          <w:szCs w:val="18"/>
          <w:color w:val="auto"/>
        </w:rPr>
        <w:t>. Keep all Inventory in good and marketable condition free from material defects (ordinary wear and tear and</w:t>
      </w:r>
      <w:r>
        <w:rPr>
          <w:rFonts w:ascii="Arial" w:cs="Arial" w:eastAsia="Arial" w:hAnsi="Arial"/>
          <w:sz w:val="18"/>
          <w:szCs w:val="18"/>
          <w:b w:val="1"/>
          <w:bCs w:val="1"/>
          <w:color w:val="auto"/>
        </w:rPr>
        <w:t xml:space="preserve"> </w:t>
      </w:r>
      <w:r>
        <w:rPr>
          <w:rFonts w:ascii="Arial" w:cs="Arial" w:eastAsia="Arial" w:hAnsi="Arial"/>
          <w:sz w:val="18"/>
          <w:szCs w:val="18"/>
          <w:color w:val="auto"/>
        </w:rPr>
        <w:t>casualty events excepted). Returns and allowances between Borrower and its Account Debtors shall follow Borrower’s customary practices as they exist at the Effective Date. Borrower must promptly notify Bank of all returns, recoveries, disputes and claims that involve more than One Hundred Thousand Dollars ($100,000.00).</w:t>
      </w:r>
    </w:p>
    <w:p>
      <w:pPr>
        <w:spacing w:after="0" w:line="180"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6"/>
          <w:szCs w:val="16"/>
          <w:b w:val="1"/>
          <w:bCs w:val="1"/>
          <w:color w:val="auto"/>
        </w:rPr>
        <w:t>6.4 Taxes; Pensions</w:t>
      </w:r>
      <w:r>
        <w:rPr>
          <w:rFonts w:ascii="Arial" w:cs="Arial" w:eastAsia="Arial" w:hAnsi="Arial"/>
          <w:sz w:val="16"/>
          <w:szCs w:val="16"/>
          <w:color w:val="auto"/>
        </w:rPr>
        <w:t>. Timely file, and require each of its Subsidiaries to timely file, all required tax returns and reports and timely pay,</w:t>
      </w:r>
      <w:r>
        <w:rPr>
          <w:rFonts w:ascii="Arial" w:cs="Arial" w:eastAsia="Arial" w:hAnsi="Arial"/>
          <w:sz w:val="16"/>
          <w:szCs w:val="16"/>
          <w:b w:val="1"/>
          <w:bCs w:val="1"/>
          <w:color w:val="auto"/>
        </w:rPr>
        <w:t xml:space="preserve"> </w:t>
      </w:r>
      <w:r>
        <w:rPr>
          <w:rFonts w:ascii="Arial" w:cs="Arial" w:eastAsia="Arial" w:hAnsi="Arial"/>
          <w:sz w:val="16"/>
          <w:szCs w:val="16"/>
          <w:color w:val="auto"/>
        </w:rPr>
        <w:t>and require each of its Subsidiaries to timely pay, all foreign, federal, state and local taxes, assessments, deposits and contributions owed by Borrower and each of its Subsidiaries, except for (a) taxes with respect to amounts that do not in the aggregate exceed the amount set forth in Section 5.8, and (b) deferred payment of any taxes contested pursuant to the terms of Section 5.8 hereof, and shall deliver to Bank, on demand, appropriate certificates attesting to such payments, and pay all amounts necessary to fund all present pension, profit sharing and deferred compensation plans in accordance with their terms.</w:t>
      </w:r>
    </w:p>
    <w:p>
      <w:pPr>
        <w:spacing w:after="0" w:line="15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w:t>
      </w:r>
    </w:p>
    <w:p>
      <w:pPr>
        <w:spacing w:after="0" w:line="229" w:lineRule="exact"/>
        <w:rPr>
          <w:sz w:val="20"/>
          <w:szCs w:val="20"/>
          <w:color w:val="auto"/>
        </w:rPr>
      </w:pPr>
    </w:p>
    <w:p>
      <w:pPr>
        <w:jc w:val="both"/>
        <w:ind w:firstLine="1735"/>
        <w:spacing w:after="0" w:line="296" w:lineRule="auto"/>
        <w:tabs>
          <w:tab w:leader="none" w:pos="2575" w:val="left"/>
        </w:tabs>
        <w:numPr>
          <w:ilvl w:val="1"/>
          <w:numId w:val="71"/>
        </w:numPr>
        <w:rPr>
          <w:rFonts w:ascii="Arial" w:cs="Arial" w:eastAsia="Arial" w:hAnsi="Arial"/>
          <w:sz w:val="16"/>
          <w:szCs w:val="16"/>
          <w:color w:val="auto"/>
        </w:rPr>
      </w:pPr>
      <w:r>
        <w:rPr>
          <w:rFonts w:ascii="Arial" w:cs="Arial" w:eastAsia="Arial" w:hAnsi="Arial"/>
          <w:sz w:val="16"/>
          <w:szCs w:val="16"/>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61" w:lineRule="exact"/>
        <w:rPr>
          <w:rFonts w:ascii="Arial" w:cs="Arial" w:eastAsia="Arial" w:hAnsi="Arial"/>
          <w:sz w:val="16"/>
          <w:szCs w:val="16"/>
          <w:color w:val="auto"/>
        </w:rPr>
      </w:pPr>
    </w:p>
    <w:p>
      <w:pPr>
        <w:jc w:val="both"/>
        <w:ind w:firstLine="1735"/>
        <w:spacing w:after="0" w:line="285" w:lineRule="auto"/>
        <w:tabs>
          <w:tab w:leader="none" w:pos="2585" w:val="left"/>
        </w:tabs>
        <w:numPr>
          <w:ilvl w:val="1"/>
          <w:numId w:val="71"/>
        </w:numPr>
        <w:rPr>
          <w:rFonts w:ascii="Arial" w:cs="Arial" w:eastAsia="Arial" w:hAnsi="Arial"/>
          <w:sz w:val="16"/>
          <w:szCs w:val="16"/>
          <w:color w:val="auto"/>
        </w:rPr>
      </w:pPr>
      <w:r>
        <w:rPr>
          <w:rFonts w:ascii="Arial" w:cs="Arial" w:eastAsia="Arial" w:hAnsi="Arial"/>
          <w:sz w:val="16"/>
          <w:szCs w:val="16"/>
          <w:color w:val="auto"/>
        </w:rPr>
        <w:t>Ensure that 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One Hundred Fifty Thousand Dollars ($150,000.00) with respect to any loss, but not exceeding Three Hundred Thousand Dollars ($300,000.00) in the aggregate for all losses under all casualty policies in any one (1) year, toward the replacement or repair of destroyed or damaged property; provided that any such replaced or repaired property (i) shall be of equal or like value as the replaced or repaired Collateral and</w:t>
      </w:r>
    </w:p>
    <w:p>
      <w:pPr>
        <w:spacing w:after="0" w:line="1" w:lineRule="exact"/>
        <w:rPr>
          <w:rFonts w:ascii="Arial" w:cs="Arial" w:eastAsia="Arial" w:hAnsi="Arial"/>
          <w:sz w:val="16"/>
          <w:szCs w:val="16"/>
          <w:color w:val="auto"/>
        </w:rPr>
      </w:pPr>
    </w:p>
    <w:p>
      <w:pPr>
        <w:ind w:right="20" w:firstLine="8"/>
        <w:spacing w:after="0" w:line="323" w:lineRule="auto"/>
        <w:tabs>
          <w:tab w:leader="none" w:pos="272" w:val="left"/>
        </w:tabs>
        <w:numPr>
          <w:ilvl w:val="0"/>
          <w:numId w:val="72"/>
        </w:numPr>
        <w:rPr>
          <w:rFonts w:ascii="Arial" w:cs="Arial" w:eastAsia="Arial" w:hAnsi="Arial"/>
          <w:sz w:val="16"/>
          <w:szCs w:val="16"/>
          <w:color w:val="auto"/>
        </w:rPr>
      </w:pPr>
      <w:r>
        <w:rPr>
          <w:rFonts w:ascii="Arial" w:cs="Arial" w:eastAsia="Arial" w:hAnsi="Arial"/>
          <w:sz w:val="16"/>
          <w:szCs w:val="16"/>
          <w:color w:val="auto"/>
        </w:rPr>
        <w:t>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spacing w:after="0" w:line="138" w:lineRule="exact"/>
        <w:rPr>
          <w:rFonts w:ascii="Arial" w:cs="Arial" w:eastAsia="Arial" w:hAnsi="Arial"/>
          <w:sz w:val="16"/>
          <w:szCs w:val="16"/>
          <w:color w:val="auto"/>
        </w:rPr>
      </w:pPr>
    </w:p>
    <w:p>
      <w:pPr>
        <w:jc w:val="both"/>
        <w:ind w:firstLine="1735"/>
        <w:spacing w:after="0" w:line="259" w:lineRule="auto"/>
        <w:tabs>
          <w:tab w:leader="none" w:pos="257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At Bank’s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Bank, that it will give Bank ten (10) days’ prior written notice before any such policy or policies shall be cancelled due to non-payment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9" w:name="page90"/>
    <w:bookmarkEnd w:id="89"/>
    <w:p>
      <w:pPr>
        <w:jc w:val="both"/>
        <w:spacing w:after="0" w:line="286" w:lineRule="auto"/>
        <w:rPr>
          <w:sz w:val="20"/>
          <w:szCs w:val="20"/>
          <w:color w:val="auto"/>
        </w:rPr>
      </w:pPr>
      <w:r>
        <w:rPr>
          <w:rFonts w:ascii="Arial" w:cs="Arial" w:eastAsia="Arial" w:hAnsi="Arial"/>
          <w:sz w:val="17"/>
          <w:szCs w:val="17"/>
          <w:color w:val="auto"/>
        </w:rPr>
        <w:t>and thirty (30) days prior written notice before any such policy or policies shall be otherwise canceled.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16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p>
    <w:p>
      <w:pPr>
        <w:spacing w:after="0" w:line="229" w:lineRule="exact"/>
        <w:rPr>
          <w:sz w:val="20"/>
          <w:szCs w:val="20"/>
          <w:color w:val="auto"/>
        </w:rPr>
      </w:pPr>
    </w:p>
    <w:p>
      <w:pPr>
        <w:jc w:val="both"/>
        <w:ind w:firstLine="1735"/>
        <w:spacing w:after="0" w:line="269" w:lineRule="auto"/>
        <w:tabs>
          <w:tab w:leader="none" w:pos="2575" w:val="left"/>
        </w:tabs>
        <w:numPr>
          <w:ilvl w:val="0"/>
          <w:numId w:val="73"/>
        </w:numPr>
        <w:rPr>
          <w:rFonts w:ascii="Arial" w:cs="Arial" w:eastAsia="Arial" w:hAnsi="Arial"/>
          <w:sz w:val="17"/>
          <w:szCs w:val="17"/>
          <w:color w:val="auto"/>
        </w:rPr>
      </w:pPr>
      <w:r>
        <w:rPr>
          <w:rFonts w:ascii="Arial" w:cs="Arial" w:eastAsia="Arial" w:hAnsi="Arial"/>
          <w:sz w:val="17"/>
          <w:szCs w:val="17"/>
          <w:color w:val="auto"/>
        </w:rPr>
        <w:t>Subject to the following sentence, maintain all of its and all of its Subsidiaries’ operating accounts, the Cash Collateral Account, and excess cash with Bank and Bank’s Affiliates, provided that Borrower shall be permitted to maintain its existing account with Stifel, as disclosed on the Perfection Certificate, provided that the cash on deposit in such account shall be swept into an operating account in the name of Borrower with Bank on a monthly basis (the “</w:t>
      </w:r>
      <w:r>
        <w:rPr>
          <w:rFonts w:ascii="Arial" w:cs="Arial" w:eastAsia="Arial" w:hAnsi="Arial"/>
          <w:sz w:val="17"/>
          <w:szCs w:val="17"/>
          <w:b w:val="1"/>
          <w:bCs w:val="1"/>
          <w:color w:val="auto"/>
        </w:rPr>
        <w:t>Permitted Account</w:t>
      </w:r>
      <w:r>
        <w:rPr>
          <w:rFonts w:ascii="Arial" w:cs="Arial" w:eastAsia="Arial" w:hAnsi="Arial"/>
          <w:sz w:val="17"/>
          <w:szCs w:val="17"/>
          <w:color w:val="auto"/>
        </w:rPr>
        <w:t>”). In addition to the foregoing, Borrower shall at all times have on deposit in accounts maintained in the name of Borrower with Bank, cash in an amount equal to the lesser of (i) one hundred percent (100.0%) of the Dollar value of Borrower’s consolidated cash, including any Subsidiaries’, Affiliates’, or related entities’ cash, in the aggregate, at all financial institutions, and (ii) one hundred ten percent (110.0%) of the then-outstanding Obligations of Borrower to Bank (other than Obligations under Bank Services Agreements that are cash collateralized in accordance with Section 4.1 of this Agreement). Bank may restrict withdrawals or transfers by or on behalf of Borrower that would violate this Section 6.6(a), regardless of whether an Event of Default exists at such time. Borrower shall also conduct all of its primary banking with Bank and Bank’s Affiliates, including, without limitation, letters of credit and business credit cards.</w:t>
      </w:r>
    </w:p>
    <w:p>
      <w:pPr>
        <w:spacing w:after="0" w:line="185" w:lineRule="exact"/>
        <w:rPr>
          <w:rFonts w:ascii="Arial" w:cs="Arial" w:eastAsia="Arial" w:hAnsi="Arial"/>
          <w:sz w:val="17"/>
          <w:szCs w:val="17"/>
          <w:color w:val="auto"/>
        </w:rPr>
      </w:pPr>
    </w:p>
    <w:p>
      <w:pPr>
        <w:jc w:val="both"/>
        <w:ind w:firstLine="1735"/>
        <w:spacing w:after="0" w:line="272" w:lineRule="auto"/>
        <w:tabs>
          <w:tab w:leader="none" w:pos="2585" w:val="left"/>
        </w:tabs>
        <w:numPr>
          <w:ilvl w:val="0"/>
          <w:numId w:val="73"/>
        </w:numPr>
        <w:rPr>
          <w:rFonts w:ascii="Arial" w:cs="Arial" w:eastAsia="Arial" w:hAnsi="Arial"/>
          <w:sz w:val="17"/>
          <w:szCs w:val="17"/>
          <w:color w:val="auto"/>
        </w:rPr>
      </w:pPr>
      <w:r>
        <w:rPr>
          <w:rFonts w:ascii="Arial" w:cs="Arial" w:eastAsia="Arial" w:hAnsi="Arial"/>
          <w:sz w:val="17"/>
          <w:szCs w:val="17"/>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the Permitted Account, and (ii) deposit accounts exclusively used for payroll, payroll taxes and other employee wage and benefit payments to or for the benefit of Borrower’s employees and identified to Bank by Borrower as such.</w:t>
      </w:r>
    </w:p>
    <w:p>
      <w:pPr>
        <w:spacing w:after="0" w:line="17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Protection of Intellectual Property Rights.</w:t>
      </w:r>
    </w:p>
    <w:p>
      <w:pPr>
        <w:spacing w:after="0" w:line="229" w:lineRule="exact"/>
        <w:rPr>
          <w:sz w:val="20"/>
          <w:szCs w:val="20"/>
          <w:color w:val="auto"/>
        </w:rPr>
      </w:pPr>
    </w:p>
    <w:p>
      <w:pPr>
        <w:jc w:val="both"/>
        <w:ind w:firstLine="1735"/>
        <w:spacing w:after="0" w:line="279" w:lineRule="auto"/>
        <w:tabs>
          <w:tab w:leader="none" w:pos="2575" w:val="left"/>
        </w:tabs>
        <w:numPr>
          <w:ilvl w:val="0"/>
          <w:numId w:val="74"/>
        </w:numPr>
        <w:rPr>
          <w:rFonts w:ascii="Arial" w:cs="Arial" w:eastAsia="Arial" w:hAnsi="Arial"/>
          <w:sz w:val="17"/>
          <w:szCs w:val="17"/>
          <w:color w:val="auto"/>
        </w:rPr>
      </w:pPr>
      <w:r>
        <w:rPr>
          <w:rFonts w:ascii="Arial" w:cs="Arial" w:eastAsia="Arial" w:hAnsi="Arial"/>
          <w:sz w:val="17"/>
          <w:szCs w:val="17"/>
          <w:color w:val="auto"/>
        </w:rPr>
        <w:t>(i) Use commercially reasonable efforts to protect, defend and maintain the validity and enforceability of its Intellectual Property material to Borrower’s business; (ii) promptly advise Bank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Bank’s written consent.</w:t>
      </w:r>
    </w:p>
    <w:p>
      <w:pPr>
        <w:spacing w:after="0" w:line="171" w:lineRule="exact"/>
        <w:rPr>
          <w:rFonts w:ascii="Arial" w:cs="Arial" w:eastAsia="Arial" w:hAnsi="Arial"/>
          <w:sz w:val="17"/>
          <w:szCs w:val="17"/>
          <w:color w:val="auto"/>
        </w:rPr>
      </w:pPr>
    </w:p>
    <w:p>
      <w:pPr>
        <w:jc w:val="both"/>
        <w:ind w:firstLine="1735"/>
        <w:spacing w:after="0" w:line="293" w:lineRule="auto"/>
        <w:tabs>
          <w:tab w:leader="none" w:pos="2585" w:val="left"/>
        </w:tabs>
        <w:numPr>
          <w:ilvl w:val="0"/>
          <w:numId w:val="74"/>
        </w:numPr>
        <w:rPr>
          <w:rFonts w:ascii="Arial" w:cs="Arial" w:eastAsia="Arial" w:hAnsi="Arial"/>
          <w:sz w:val="16"/>
          <w:szCs w:val="16"/>
          <w:color w:val="auto"/>
        </w:rPr>
      </w:pPr>
      <w:r>
        <w:rPr>
          <w:rFonts w:ascii="Arial" w:cs="Arial" w:eastAsia="Arial" w:hAnsi="Arial"/>
          <w:sz w:val="16"/>
          <w:szCs w:val="16"/>
          <w:color w:val="auto"/>
        </w:rPr>
        <w:t>Provide written notice to Bank within thirty (30) days of entering or becoming bound by any Restricted License (other than over-the-counter software that is commercially available to the public or open source software). Borrower shall take such commercially reasonable steps as Bank reasonably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60"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b w:val="1"/>
          <w:bCs w:val="1"/>
          <w:color w:val="auto"/>
        </w:rPr>
        <w:t>6.8 Litigation Cooperation</w:t>
      </w:r>
      <w:r>
        <w:rPr>
          <w:rFonts w:ascii="Arial" w:cs="Arial" w:eastAsia="Arial" w:hAnsi="Arial"/>
          <w:sz w:val="17"/>
          <w:szCs w:val="17"/>
          <w:color w:val="auto"/>
        </w:rPr>
        <w:t>. From the date hereof and continuing through the termination of this Agreement, make available to Bank,</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 provided that Borrower shall not be required to provide access materials that constitute a confidential communication).</w:t>
      </w:r>
    </w:p>
    <w:p>
      <w:pPr>
        <w:spacing w:after="0" w:line="165"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b w:val="1"/>
          <w:bCs w:val="1"/>
          <w:color w:val="auto"/>
        </w:rPr>
        <w:t>6.9 Access to Collateral; Books and Records</w:t>
      </w:r>
      <w:r>
        <w:rPr>
          <w:rFonts w:ascii="Arial" w:cs="Arial" w:eastAsia="Arial" w:hAnsi="Arial"/>
          <w:sz w:val="18"/>
          <w:szCs w:val="18"/>
          <w:color w:val="auto"/>
        </w:rPr>
        <w:t>. Allow Bank, or its agents, at reasonable times, on five (5) Business Days’ notice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no notice is required if an Event of Default has occurred and is continuing),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0" w:name="page91"/>
    <w:bookmarkEnd w:id="90"/>
    <w:p>
      <w:pPr>
        <w:jc w:val="both"/>
        <w:spacing w:after="0" w:line="254" w:lineRule="auto"/>
        <w:rPr>
          <w:sz w:val="20"/>
          <w:szCs w:val="20"/>
          <w:color w:val="auto"/>
        </w:rPr>
      </w:pPr>
      <w:r>
        <w:rPr>
          <w:rFonts w:ascii="Arial" w:cs="Arial" w:eastAsia="Arial" w:hAnsi="Arial"/>
          <w:sz w:val="18"/>
          <w:szCs w:val="18"/>
          <w:color w:val="auto"/>
        </w:rPr>
        <w:t>inspect the Collateral and audit and copy Borrower’s Books. Such inspections or audits shall be conducted no more often than once every twelve (12) months unless an Event of Default has occurred and is continuing in which case such inspections and audits shall occur as often as Bank shall determine is necessary. The foregoing inspections and audits shall be at Borrower’s expense, and the charge therefor shall be One Thousand Dollars ($1,000.00) per person per day (or such higher amount as shall represent Bank’s then-current standard charge for the same), plus reasonable and documented out-of-pocket expenses. In the event Borrower and Bank schedule an audit more than eight (8) days in advance, and Borrower cancels or seeks to reschedule the audit with less than eight (8) days written notice to Bank, then (without limiting any of Bank’s rights or remedies), Borrower shall pay Bank a fee of Two Thousand Dollars ($2,000.00) plus any out-of-pocket expenses incurred by Bank to compensate Bank for the anticipated costs and expenses of the cancellation or rescheduling.</w:t>
      </w:r>
    </w:p>
    <w:p>
      <w:pPr>
        <w:spacing w:after="0" w:line="18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6.10 Further Assurances</w:t>
      </w:r>
      <w:r>
        <w:rPr>
          <w:rFonts w:ascii="Arial" w:cs="Arial" w:eastAsia="Arial" w:hAnsi="Arial"/>
          <w:sz w:val="17"/>
          <w:szCs w:val="17"/>
          <w:color w:val="auto"/>
        </w:rPr>
        <w:t>. Execute any further instruments and take further action as Bank reasonably requests to perfect or continue</w:t>
      </w:r>
      <w:r>
        <w:rPr>
          <w:rFonts w:ascii="Arial" w:cs="Arial" w:eastAsia="Arial" w:hAnsi="Arial"/>
          <w:sz w:val="17"/>
          <w:szCs w:val="17"/>
          <w:b w:val="1"/>
          <w:bCs w:val="1"/>
          <w:color w:val="auto"/>
        </w:rPr>
        <w:t xml:space="preserve"> </w:t>
      </w:r>
      <w:r>
        <w:rPr>
          <w:rFonts w:ascii="Arial" w:cs="Arial" w:eastAsia="Arial" w:hAnsi="Arial"/>
          <w:sz w:val="17"/>
          <w:szCs w:val="17"/>
          <w:color w:val="auto"/>
        </w:rPr>
        <w:t>Bank’s Lien in the Collateral or to effect the purposes of this Agreement. Deliver to Bank, within ten (10) days after the same are sent or received or such other period as Bank may agree in writing, copies of all correspondence, reports, documents and other filings with any Governmental Authority regarding compliance with or maintenance of Governmental Approvals or Requirements of Law applicable to Borrower or that could reasonably be expected to have a material effect on any of the Governmental Approvals or otherwise on the operations of Borrower or any of its Subsidiaries.</w:t>
      </w:r>
    </w:p>
    <w:p>
      <w:pPr>
        <w:spacing w:after="0" w:line="16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b w:val="1"/>
          <w:bCs w:val="1"/>
          <w:color w:val="auto"/>
        </w:rPr>
        <w:t>6.11 Equity Requirement</w:t>
      </w:r>
      <w:r>
        <w:rPr>
          <w:rFonts w:ascii="Arial" w:cs="Arial" w:eastAsia="Arial" w:hAnsi="Arial"/>
          <w:sz w:val="16"/>
          <w:szCs w:val="16"/>
          <w:color w:val="auto"/>
        </w:rPr>
        <w:t>. At all times, prior to the occurrence of the Phase 3 Event, Borrower shall be required to achieve the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Milestone Event (the “</w:t>
      </w:r>
      <w:r>
        <w:rPr>
          <w:rFonts w:ascii="Arial" w:cs="Arial" w:eastAsia="Arial" w:hAnsi="Arial"/>
          <w:sz w:val="16"/>
          <w:szCs w:val="16"/>
          <w:b w:val="1"/>
          <w:bCs w:val="1"/>
          <w:color w:val="auto"/>
        </w:rPr>
        <w:t>Equity Requirement</w:t>
      </w:r>
      <w:r>
        <w:rPr>
          <w:rFonts w:ascii="Arial" w:cs="Arial" w:eastAsia="Arial" w:hAnsi="Arial"/>
          <w:sz w:val="16"/>
          <w:szCs w:val="16"/>
          <w:color w:val="auto"/>
        </w:rPr>
        <w:t>”). If Borrower fails to comply with the Equity Requirement (which failure in and of itself is not an Event of Default) (the “</w:t>
      </w:r>
      <w:r>
        <w:rPr>
          <w:rFonts w:ascii="Arial" w:cs="Arial" w:eastAsia="Arial" w:hAnsi="Arial"/>
          <w:sz w:val="16"/>
          <w:szCs w:val="16"/>
          <w:b w:val="1"/>
          <w:bCs w:val="1"/>
          <w:color w:val="auto"/>
        </w:rPr>
        <w:t>Trigger Event</w:t>
      </w:r>
      <w:r>
        <w:rPr>
          <w:rFonts w:ascii="Arial" w:cs="Arial" w:eastAsia="Arial" w:hAnsi="Arial"/>
          <w:sz w:val="16"/>
          <w:szCs w:val="16"/>
          <w:color w:val="auto"/>
        </w:rPr>
        <w:t>”), Borrower shall immediately deposit into the Cash Collateral Account unrestricted and unencumbered cash in an amount of at least one hundred percent (100.0%) of the outstanding Obligations of Borrower to Bank (other than Obligations under Bank Services Agreements that are cash collateralized in accordance with Section 4.1 of this Agreement) as of the date of the Trigger Event (as determined by Bank), to secure all of the Obligations of Borrower to Bank (other than Obligations under Bank Services Agreements that are cash collateralized in accordance with Section 4.1 of this Agreement) (a “</w:t>
      </w:r>
      <w:r>
        <w:rPr>
          <w:rFonts w:ascii="Arial" w:cs="Arial" w:eastAsia="Arial" w:hAnsi="Arial"/>
          <w:sz w:val="16"/>
          <w:szCs w:val="16"/>
          <w:b w:val="1"/>
          <w:bCs w:val="1"/>
          <w:color w:val="auto"/>
        </w:rPr>
        <w:t>Cash Collateralization</w:t>
      </w:r>
      <w:r>
        <w:rPr>
          <w:rFonts w:ascii="Arial" w:cs="Arial" w:eastAsia="Arial" w:hAnsi="Arial"/>
          <w:sz w:val="16"/>
          <w:szCs w:val="16"/>
          <w:color w:val="auto"/>
        </w:rPr>
        <w:t>”). Borrower hereby authorizes and directs Bank to transfer to the Cash Collateral Account an amount equal to one hundred percent (100.0%) of the outstanding Obligations of Borrower to Bank (other than Obligations under Bank Services Agreements that are cash collateralized in accordance with Section 4.1 of this Agreement) as of the date of the Trigger Event (as determined by Bank) if Borrower fails to effect a Cash Collateralization as required under this Section 6.11, it being understood that the foregoing authorization shall constitute an immediate Cash Collateralization, irrespective of any delay by Bank in effecting such transfer, to the extent that sufficient Borrower funds are then available for Bank to effect such transfer. Borrower further authorizes Bank, at the election of Bank, in Bank’s sole and absolute discretion, to apply the funds held in the Cash Collateral Account on account of the outstanding Obligations of Borrower to Bank (the “</w:t>
      </w:r>
      <w:r>
        <w:rPr>
          <w:rFonts w:ascii="Arial" w:cs="Arial" w:eastAsia="Arial" w:hAnsi="Arial"/>
          <w:sz w:val="16"/>
          <w:szCs w:val="16"/>
          <w:b w:val="1"/>
          <w:bCs w:val="1"/>
          <w:color w:val="auto"/>
        </w:rPr>
        <w:t>Paydown Payment</w:t>
      </w:r>
      <w:r>
        <w:rPr>
          <w:rFonts w:ascii="Arial" w:cs="Arial" w:eastAsia="Arial" w:hAnsi="Arial"/>
          <w:sz w:val="16"/>
          <w:szCs w:val="16"/>
          <w:color w:val="auto"/>
        </w:rPr>
        <w:t>”). For the avoidance of doubt, the Paydown Payment shall not be subject to the Prepayment Premium. Notwithstanding the foregoing, upon Bank’s receipt of evidence from Borrower, satisfactory to Bank in its sole and absolute discretion, that it is in compliance with the Equity Requirement, the unrestricted and unencumbered cash pledged and deposited into the Cash Collateral Account, pursuant to this Section 6.11, shall be promptly remitted to Borrower’s Designated Deposit Account.</w:t>
      </w:r>
    </w:p>
    <w:p>
      <w:pPr>
        <w:spacing w:after="0" w:line="164" w:lineRule="exact"/>
        <w:rPr>
          <w:sz w:val="20"/>
          <w:szCs w:val="20"/>
          <w:color w:val="auto"/>
        </w:rPr>
      </w:pPr>
    </w:p>
    <w:p>
      <w:pPr>
        <w:ind w:left="1660" w:hanging="788"/>
        <w:spacing w:after="0"/>
        <w:tabs>
          <w:tab w:leader="none" w:pos="1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22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b w:val="1"/>
          <w:bCs w:val="1"/>
          <w:color w:val="auto"/>
        </w:rPr>
        <w:t xml:space="preserve">7.1 Dispositions. </w:t>
      </w:r>
      <w:r>
        <w:rPr>
          <w:rFonts w:ascii="Arial" w:cs="Arial" w:eastAsia="Arial" w:hAnsi="Arial"/>
          <w:sz w:val="17"/>
          <w:szCs w:val="17"/>
          <w:color w:val="auto"/>
        </w:rPr>
        <w:t>Convey, sell, lease, transfer, assign, or otherwise dispose of (including, without limitation, pursuant to a Division)</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“Transfer”),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the ordinary course of its business for the payment of ordinary course business expenses in a manner that is not prohibited by the terms of this Agreement or the other Loan Documents; (f) of non-exclusive licenses for the use of the property of Borrower or its Subsidiaries in the ordinary course of business; (g) resulting from any casualty or other damage to, or any taking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1" w:name="page92"/>
    <w:bookmarkEnd w:id="91"/>
    <w:p>
      <w:pPr>
        <w:jc w:val="both"/>
        <w:spacing w:after="0" w:line="277" w:lineRule="auto"/>
        <w:rPr>
          <w:sz w:val="20"/>
          <w:szCs w:val="20"/>
          <w:color w:val="auto"/>
        </w:rPr>
      </w:pPr>
      <w:r>
        <w:rPr>
          <w:rFonts w:ascii="Arial" w:cs="Arial" w:eastAsia="Arial" w:hAnsi="Arial"/>
          <w:sz w:val="18"/>
          <w:szCs w:val="18"/>
          <w:color w:val="auto"/>
        </w:rPr>
        <w:t>power of eminent domain or by condemnation or similar proceeding, and (h) other Transfers of non-material property with an aggregate value (for all such Transfers together) not to exceed Two Hundred and Fifty Thousand Dollars ($250,000.00).</w:t>
      </w:r>
    </w:p>
    <w:p>
      <w:pPr>
        <w:spacing w:after="0" w:line="16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 xml:space="preserve">Changes in Business, Management, Control, or Business Locations. </w:t>
      </w:r>
      <w:r>
        <w:rPr>
          <w:rFonts w:ascii="Arial" w:cs="Arial" w:eastAsia="Arial" w:hAnsi="Arial"/>
          <w:sz w:val="16"/>
          <w:szCs w:val="16"/>
          <w:color w:val="auto"/>
        </w:rPr>
        <w:t>(a) Engage in or permit any of its Subsidiaries to engage in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business other than the businesses currently engaged in by Borrower and such Subsidiary, as applicable, or reasonably related thereto; (b) liquidate or dissolve; (c) fail to provide notice to Bank of any Key Person departing from or ceasing to be employed by Borrower within five (5) days after such Key Person’s departure from Borrower; or (d) permit or suffer any Change in Control.</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Borrower shall not, without at least ten (10) Business Days prior written notice to Bank (or such shorter period as Bank may agree to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writing): (1) add any new offices or business locations, including warehouses (unless such new offices or business locations contain less than One Hundred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Thousand Dollars ($100,000.00) in Borrower’s assets or property) or deliver any portion of the Collateral valued, individually or in the aggregate, in excess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One Hundred Thousand Dollars ($100,000.00) to a bailee at a location other than to a bailee and at a location already disclosed in the Perfection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Certificate, (2) change its jurisdiction of organization, (3) change its organizational structure or type, (4) change its legal name, or (5) change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organizational number (if any) assigned by its jurisdiction of organization.  If Borrower intends to add any new offices or business locations,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warehouses, containing in excess of One Hundred Thousand Dollars ($100,000.00) of Borrower’s assets or property, then Borrower shall cause the landlord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any such new offices or business locations, including warehouses, to execute and deliver a landlord consent in form and substance reasonably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satisfactory to Bank.  If Borrower intends to deliver any portion of the Collateral valued, individually or in the aggregate, in excess of One Hundred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Thousand Dollars ($100,000.00) to a bailee, and Bank and such bailee are not already parties to a bailee agreement governing both the Collateral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location to which Borrower intends to deliver the Collateral, then Borrower shall cause such bailee to execute and deliver a bailee agreement in form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reasonably satisfactory to Bank.</w:t>
      </w:r>
    </w:p>
    <w:p>
      <w:pPr>
        <w:spacing w:after="0" w:line="207" w:lineRule="exact"/>
        <w:rPr>
          <w:sz w:val="20"/>
          <w:szCs w:val="20"/>
          <w:color w:val="auto"/>
        </w:rPr>
      </w:pPr>
    </w:p>
    <w:p>
      <w:pPr>
        <w:jc w:val="both"/>
        <w:ind w:firstLine="864"/>
        <w:spacing w:after="0" w:line="314" w:lineRule="auto"/>
        <w:rPr>
          <w:sz w:val="20"/>
          <w:szCs w:val="20"/>
          <w:color w:val="auto"/>
        </w:rPr>
      </w:pPr>
      <w:r>
        <w:rPr>
          <w:rFonts w:ascii="Arial" w:cs="Arial" w:eastAsia="Arial" w:hAnsi="Arial"/>
          <w:sz w:val="16"/>
          <w:szCs w:val="16"/>
          <w:b w:val="1"/>
          <w:bCs w:val="1"/>
          <w:color w:val="auto"/>
        </w:rPr>
        <w:t xml:space="preserve">7.3 Mergers or Acquisitions. </w:t>
      </w:r>
      <w:r>
        <w:rPr>
          <w:rFonts w:ascii="Arial" w:cs="Arial" w:eastAsia="Arial" w:hAnsi="Arial"/>
          <w:sz w:val="16"/>
          <w:szCs w:val="16"/>
          <w:color w:val="auto"/>
        </w:rPr>
        <w:t>Merge or consolidate, or permit any of its Subsidiaries to merge or consolidate, with any other Person,</w:t>
      </w:r>
      <w:r>
        <w:rPr>
          <w:rFonts w:ascii="Arial" w:cs="Arial" w:eastAsia="Arial" w:hAnsi="Arial"/>
          <w:sz w:val="16"/>
          <w:szCs w:val="16"/>
          <w:b w:val="1"/>
          <w:bCs w:val="1"/>
          <w:color w:val="auto"/>
        </w:rPr>
        <w:t xml:space="preserve"> </w:t>
      </w:r>
      <w:r>
        <w:rPr>
          <w:rFonts w:ascii="Arial" w:cs="Arial" w:eastAsia="Arial" w:hAnsi="Arial"/>
          <w:sz w:val="16"/>
          <w:szCs w:val="16"/>
          <w:color w:val="auto"/>
        </w:rPr>
        <w:t>or acquire, or permit any of its Subsidiaries to acquire, all or substantially all of the capital stock or property of another Person (including, without limitation, by the formation of any Subsidiary or pursuant to a Division). A Subsidiary may merge or consolidate into another Subsidiary or into Borrower.</w:t>
      </w:r>
    </w:p>
    <w:p>
      <w:pPr>
        <w:spacing w:after="0" w:line="14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7.4 Indebtedness. </w:t>
      </w:r>
      <w:r>
        <w:rPr>
          <w:rFonts w:ascii="Arial" w:cs="Arial" w:eastAsia="Arial" w:hAnsi="Arial"/>
          <w:sz w:val="18"/>
          <w:szCs w:val="18"/>
          <w:color w:val="auto"/>
        </w:rPr>
        <w:t>Create, incur, assume, or be liable for any Indebtedness, or permit any Subsidiary to do so, other than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 xml:space="preserve">7.5 Encumbrance. </w:t>
      </w:r>
      <w:r>
        <w:rPr>
          <w:rFonts w:ascii="Arial" w:cs="Arial" w:eastAsia="Arial" w:hAnsi="Arial"/>
          <w:sz w:val="18"/>
          <w:szCs w:val="18"/>
          <w:color w:val="auto"/>
        </w:rPr>
        <w:t>Create, incur, allow, or suffer any Lien on any of its property, or assign or convey any right to receive income,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7.6</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w w:val="94"/>
              </w:rPr>
              <w:t xml:space="preserve">Maintenance of Collateral Accounts. </w:t>
            </w:r>
            <w:r>
              <w:rPr>
                <w:rFonts w:ascii="Arial" w:cs="Arial" w:eastAsia="Arial" w:hAnsi="Arial"/>
                <w:sz w:val="18"/>
                <w:szCs w:val="18"/>
                <w:color w:val="auto"/>
                <w:w w:val="94"/>
              </w:rPr>
              <w:t>Maintain any Collateral Account except pursuant to the terms of Section 6.6(b) hereof.</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7.7</w:t>
            </w:r>
          </w:p>
        </w:tc>
        <w:tc>
          <w:tcPr>
            <w:tcW w:w="9820" w:type="dxa"/>
            <w:vAlign w:val="bottom"/>
          </w:tcPr>
          <w:p>
            <w:pPr>
              <w:ind w:left="320"/>
              <w:spacing w:after="0"/>
              <w:rPr>
                <w:sz w:val="20"/>
                <w:szCs w:val="20"/>
                <w:color w:val="auto"/>
              </w:rPr>
            </w:pPr>
            <w:r>
              <w:rPr>
                <w:rFonts w:ascii="Arial" w:cs="Arial" w:eastAsia="Arial" w:hAnsi="Arial"/>
                <w:sz w:val="18"/>
                <w:szCs w:val="18"/>
                <w:b w:val="1"/>
                <w:bCs w:val="1"/>
                <w:color w:val="auto"/>
                <w:w w:val="92"/>
              </w:rPr>
              <w:t xml:space="preserve">Distributions; Investments. </w:t>
            </w:r>
            <w:r>
              <w:rPr>
                <w:rFonts w:ascii="Arial" w:cs="Arial" w:eastAsia="Arial" w:hAnsi="Arial"/>
                <w:sz w:val="18"/>
                <w:szCs w:val="18"/>
                <w:color w:val="auto"/>
                <w:w w:val="92"/>
              </w:rPr>
              <w:t>(a) Pay any dividends or make any distribution or payment or redeem, retire or purchase any capital</w:t>
            </w:r>
          </w:p>
        </w:tc>
      </w:tr>
    </w:tbl>
    <w:p>
      <w:pPr>
        <w:jc w:val="both"/>
        <w:spacing w:after="0" w:line="290" w:lineRule="auto"/>
        <w:rPr>
          <w:sz w:val="20"/>
          <w:szCs w:val="20"/>
          <w:color w:val="auto"/>
        </w:rPr>
      </w:pPr>
      <w:r>
        <w:rPr>
          <w:rFonts w:ascii="Arial" w:cs="Arial" w:eastAsia="Arial" w:hAnsi="Arial"/>
          <w:sz w:val="16"/>
          <w:szCs w:val="16"/>
          <w:color w:val="auto"/>
        </w:rPr>
        <w:t>stock, provided that (i) Borrower may convert any of its convertible securities into other securities pursuant to the terms of such convertible securities or otherwise in exchange thereof, (ii) Borrower may pay dividends solely in common stock; (iii) Borrower may repurchase the stock of former employees or consultants pursuant to stock repurchase agreements so long as an Event of Default does not exist at the time of such repurchase and would not exist after giving effect to such repurchase, provided that the aggregate amount of all such repurchases does not exceed One Hundred Thousand Dollars ($100,000.00) per fiscal year; and (iv) make cash payments in lieu of fractional shares upon conversion of convertible securities, stock splits, stock combinations, and business combinations, in an amount not to exceed Ten Thousand Dollars ($10,000.00) in the aggregate; or (b)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p>
      <w:pPr>
        <w:jc w:val="both"/>
        <w:ind w:right="20"/>
        <w:spacing w:after="0" w:line="277" w:lineRule="auto"/>
        <w:rPr>
          <w:sz w:val="20"/>
          <w:szCs w:val="20"/>
          <w:color w:val="auto"/>
        </w:rPr>
      </w:pPr>
      <w:r>
        <w:rPr>
          <w:rFonts w:ascii="Arial" w:cs="Arial" w:eastAsia="Arial" w:hAnsi="Arial"/>
          <w:sz w:val="18"/>
          <w:szCs w:val="18"/>
          <w:color w:val="auto"/>
        </w:rPr>
        <w:t>indirectly make any Investment (including, without limitation, by the formation of any Subsidiary) other than Permitted Investments, or permit any of its Subsidiaries to do so.</w:t>
      </w:r>
    </w:p>
    <w:p>
      <w:pPr>
        <w:spacing w:after="0" w:line="16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 xml:space="preserve">7.8 Transactions with Affiliates. </w:t>
      </w:r>
      <w:r>
        <w:rPr>
          <w:rFonts w:ascii="Arial" w:cs="Arial" w:eastAsia="Arial" w:hAnsi="Arial"/>
          <w:sz w:val="17"/>
          <w:szCs w:val="17"/>
          <w:color w:val="auto"/>
        </w:rPr>
        <w:t>Directly or indirectly enter into or permit to exist any material transaction with any Affiliate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except for (a) transactions that are in the ordinary course of Borrower’s business, upon fair and reasonable terms that are no less favorable to Borrower than would be obtained in an arm’s length transaction with a non-affiliated Person; (b) Subordinated Debt or equity financings with investors in Borrower for capital raising purposes; (c) reasonable and customary compensation-related transactions in the ordinary course of business or otherwise as approved by the Board or by Bank; and (d) transactions permitted by Sections 7.2, 7.3, 7.4, 7.7 and 7.9 of this Agreement.</w:t>
      </w:r>
    </w:p>
    <w:p>
      <w:pPr>
        <w:spacing w:after="0" w:line="168"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7.9 Subordinated Debt. </w:t>
      </w:r>
      <w:r>
        <w:rPr>
          <w:rFonts w:ascii="Arial" w:cs="Arial" w:eastAsia="Arial" w:hAnsi="Arial"/>
          <w:sz w:val="18"/>
          <w:szCs w:val="18"/>
          <w:color w:val="auto"/>
        </w:rPr>
        <w:t>(a) Make or permit any payment on any Subordinated Debt, except under the terms of the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8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b w:val="1"/>
          <w:bCs w:val="1"/>
          <w:color w:val="auto"/>
        </w:rPr>
        <w:t xml:space="preserve">7.10 Compliance. </w:t>
      </w:r>
      <w:r>
        <w:rPr>
          <w:rFonts w:ascii="Arial" w:cs="Arial" w:eastAsia="Arial" w:hAnsi="Arial"/>
          <w:sz w:val="17"/>
          <w:szCs w:val="17"/>
          <w:color w:val="auto"/>
        </w:rPr>
        <w:t>Become an “investment company” or a company controlled by an “investment company”, under the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the failure of any of the conditions described in clauses (a) through (c) which could reasonably be expected to have a material adverse effect on Borrower’s business;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177" w:lineRule="exact"/>
        <w:rPr>
          <w:sz w:val="20"/>
          <w:szCs w:val="20"/>
          <w:color w:val="auto"/>
        </w:rPr>
      </w:pPr>
    </w:p>
    <w:p>
      <w:pPr>
        <w:ind w:left="1660" w:hanging="788"/>
        <w:spacing w:after="0"/>
        <w:tabs>
          <w:tab w:leader="none" w:pos="1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when due, or (b) pay</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8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229" w:lineRule="exact"/>
        <w:rPr>
          <w:sz w:val="20"/>
          <w:szCs w:val="20"/>
          <w:color w:val="auto"/>
        </w:rPr>
      </w:pPr>
    </w:p>
    <w:p>
      <w:pPr>
        <w:ind w:left="2580" w:hanging="845"/>
        <w:spacing w:after="0"/>
        <w:tabs>
          <w:tab w:leader="none" w:pos="2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Borrower fails or neglects to perform any obligation in Sections 6.2, 6.4, 6.5, 6.6, or 6.7(b), or violates any covenant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7; or</w:t>
      </w:r>
    </w:p>
    <w:p>
      <w:pPr>
        <w:spacing w:after="0" w:line="211" w:lineRule="exact"/>
        <w:rPr>
          <w:sz w:val="20"/>
          <w:szCs w:val="20"/>
          <w:color w:val="auto"/>
        </w:rPr>
      </w:pPr>
    </w:p>
    <w:p>
      <w:pPr>
        <w:jc w:val="both"/>
        <w:ind w:firstLine="1735"/>
        <w:spacing w:after="0" w:line="291" w:lineRule="auto"/>
        <w:tabs>
          <w:tab w:leader="none" w:pos="25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Borrower fails or neglects to perform, keep, or observe any other term, provision, condition, covenant or agreement contained in this Agreement or any Loan Documents (except for failure to comply with the Equity Requirement, which failure in and of itself is not an Event of Default),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8"/>
          <w:szCs w:val="18"/>
          <w:color w:val="auto"/>
        </w:rPr>
        <w:t>Credit Extensions shall be made during such cure period). Cure periods provided under this section shall not apply, among other things, to financial covenants or any other covenants set forth in clause (a) above;</w:t>
      </w:r>
    </w:p>
    <w:p>
      <w:pPr>
        <w:spacing w:after="0" w:line="166"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8.3</w:t>
            </w:r>
          </w:p>
        </w:tc>
        <w:tc>
          <w:tcPr>
            <w:tcW w:w="5020" w:type="dxa"/>
            <w:vAlign w:val="bottom"/>
          </w:tcPr>
          <w:p>
            <w:pPr>
              <w:ind w:left="320"/>
              <w:spacing w:after="0"/>
              <w:rPr>
                <w:sz w:val="20"/>
                <w:szCs w:val="20"/>
                <w:color w:val="auto"/>
              </w:rPr>
            </w:pPr>
            <w:r>
              <w:rPr>
                <w:rFonts w:ascii="Arial" w:cs="Arial" w:eastAsia="Arial" w:hAnsi="Arial"/>
                <w:sz w:val="18"/>
                <w:szCs w:val="18"/>
                <w:b w:val="1"/>
                <w:bCs w:val="1"/>
                <w:color w:val="auto"/>
                <w:w w:val="92"/>
              </w:rPr>
              <w:t>Material Adverse Change</w:t>
            </w:r>
            <w:r>
              <w:rPr>
                <w:rFonts w:ascii="Arial" w:cs="Arial" w:eastAsia="Arial" w:hAnsi="Arial"/>
                <w:sz w:val="18"/>
                <w:szCs w:val="18"/>
                <w:color w:val="auto"/>
                <w:w w:val="92"/>
              </w:rPr>
              <w:t>. A Material Adverse Change occurs;</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8.4</w:t>
            </w:r>
          </w:p>
        </w:tc>
        <w:tc>
          <w:tcPr>
            <w:tcW w:w="5020" w:type="dxa"/>
            <w:vAlign w:val="bottom"/>
          </w:tcPr>
          <w:p>
            <w:pPr>
              <w:ind w:left="320"/>
              <w:spacing w:after="0"/>
              <w:rPr>
                <w:sz w:val="20"/>
                <w:szCs w:val="20"/>
                <w:color w:val="auto"/>
              </w:rPr>
            </w:pPr>
            <w:r>
              <w:rPr>
                <w:rFonts w:ascii="Arial" w:cs="Arial" w:eastAsia="Arial" w:hAnsi="Arial"/>
                <w:sz w:val="18"/>
                <w:szCs w:val="18"/>
                <w:b w:val="1"/>
                <w:bCs w:val="1"/>
                <w:color w:val="auto"/>
              </w:rPr>
              <w:t>Attachment; Levy; Restraint on Business.</w:t>
            </w:r>
          </w:p>
        </w:tc>
      </w:tr>
    </w:tbl>
    <w:p>
      <w:pPr>
        <w:spacing w:after="0" w:line="202" w:lineRule="exact"/>
        <w:rPr>
          <w:sz w:val="20"/>
          <w:szCs w:val="20"/>
          <w:color w:val="auto"/>
        </w:rPr>
      </w:pPr>
    </w:p>
    <w:p>
      <w:pPr>
        <w:jc w:val="both"/>
        <w:ind w:firstLine="1735"/>
        <w:spacing w:after="0" w:line="279" w:lineRule="auto"/>
        <w:tabs>
          <w:tab w:leader="none" w:pos="2575" w:val="left"/>
        </w:tabs>
        <w:numPr>
          <w:ilvl w:val="0"/>
          <w:numId w:val="79"/>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71" w:lineRule="exact"/>
        <w:rPr>
          <w:rFonts w:ascii="Arial" w:cs="Arial" w:eastAsia="Arial" w:hAnsi="Arial"/>
          <w:sz w:val="17"/>
          <w:szCs w:val="17"/>
          <w:color w:val="auto"/>
        </w:rPr>
      </w:pPr>
    </w:p>
    <w:p>
      <w:pPr>
        <w:ind w:firstLine="1735"/>
        <w:spacing w:after="0" w:line="277" w:lineRule="auto"/>
        <w:tabs>
          <w:tab w:leader="none" w:pos="26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6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Insolvency</w:t>
      </w:r>
      <w:r>
        <w:rPr>
          <w:rFonts w:ascii="Arial" w:cs="Arial" w:eastAsia="Arial" w:hAnsi="Arial"/>
          <w:sz w:val="16"/>
          <w:szCs w:val="16"/>
          <w:color w:val="auto"/>
        </w:rPr>
        <w:t>. (a) Borrower is unable to pay its debts (including trade debts) as they become due or otherwise becomes insolvent;</w:t>
      </w:r>
    </w:p>
    <w:p>
      <w:pPr>
        <w:spacing w:after="0" w:line="27" w:lineRule="exact"/>
        <w:rPr>
          <w:sz w:val="20"/>
          <w:szCs w:val="20"/>
          <w:color w:val="auto"/>
        </w:rPr>
      </w:pPr>
    </w:p>
    <w:p>
      <w:pPr>
        <w:jc w:val="both"/>
        <w:ind w:firstLine="8"/>
        <w:spacing w:after="0" w:line="255" w:lineRule="auto"/>
        <w:tabs>
          <w:tab w:leader="none" w:pos="2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Borrower begins an Insolvency Proceeding; or (c) an Insolvency Proceeding is begun against Borrower and is not dismissed or stayed within forty-five (45) days (but no Credit Extensions shall be made while any of the conditions described in clause (a) exist and/or until any Insolvency Proceeding is dismissed);</w:t>
      </w:r>
    </w:p>
    <w:p>
      <w:pPr>
        <w:spacing w:after="0" w:line="186"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8.6 Other Agreements</w:t>
      </w:r>
      <w:r>
        <w:rPr>
          <w:rFonts w:ascii="Arial" w:cs="Arial" w:eastAsia="Arial" w:hAnsi="Arial"/>
          <w:sz w:val="18"/>
          <w:szCs w:val="18"/>
          <w:color w:val="auto"/>
        </w:rPr>
        <w:t>. There is, under any agreement to which Borrower is a party with a third party or parties, (a)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a right by such third party or parties, whether or not exercised, to the acceleration of the maturity of any Indebtedness for borrowed money in an amount individually or in the aggregate in excess of Two Hundred Fifty Thousand Dollars ($250,000.00); or (b) any breach or default by Borrower, the result of which could reasonably be expected to have a material adverse effect on Borrower’s business;</w:t>
      </w:r>
    </w:p>
    <w:p>
      <w:pPr>
        <w:spacing w:after="0" w:line="18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7"/>
          <w:szCs w:val="17"/>
          <w:b w:val="1"/>
          <w:bCs w:val="1"/>
          <w:color w:val="auto"/>
        </w:rPr>
        <w:t>8.7 Judgments; Penalties</w:t>
      </w:r>
      <w:r>
        <w:rPr>
          <w:rFonts w:ascii="Arial" w:cs="Arial" w:eastAsia="Arial" w:hAnsi="Arial"/>
          <w:sz w:val="17"/>
          <w:szCs w:val="17"/>
          <w:color w:val="auto"/>
        </w:rPr>
        <w:t>. One or more fines, penalties or final judgments, orders or decrees for the payment of money in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or in the aggregate, of at least Two Hundred Fifty Thousand Dollars ($250,000.00)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73"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8.8 Misrepresentations</w:t>
      </w:r>
      <w:r>
        <w:rPr>
          <w:rFonts w:ascii="Arial" w:cs="Arial" w:eastAsia="Arial" w:hAnsi="Arial"/>
          <w:sz w:val="17"/>
          <w:szCs w:val="17"/>
          <w:color w:val="auto"/>
        </w:rPr>
        <w:t>. Borrower or any Person acting for Borrower makes any representation, warranty, or other statement now or</w:t>
      </w:r>
      <w:r>
        <w:rPr>
          <w:rFonts w:ascii="Arial" w:cs="Arial" w:eastAsia="Arial" w:hAnsi="Arial"/>
          <w:sz w:val="17"/>
          <w:szCs w:val="17"/>
          <w:b w:val="1"/>
          <w:bCs w:val="1"/>
          <w:color w:val="auto"/>
        </w:rPr>
        <w:t xml:space="preserve"> </w:t>
      </w:r>
      <w:r>
        <w:rPr>
          <w:rFonts w:ascii="Arial" w:cs="Arial" w:eastAsia="Arial" w:hAnsi="Arial"/>
          <w:sz w:val="17"/>
          <w:szCs w:val="17"/>
          <w:color w:val="auto"/>
        </w:rPr>
        <w:t>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68"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b w:val="1"/>
          <w:bCs w:val="1"/>
          <w:color w:val="auto"/>
        </w:rPr>
        <w:t>8.9 Subordinated Debt</w:t>
      </w:r>
      <w:r>
        <w:rPr>
          <w:rFonts w:ascii="Arial" w:cs="Arial" w:eastAsia="Arial" w:hAnsi="Arial"/>
          <w:sz w:val="17"/>
          <w:szCs w:val="17"/>
          <w:color w:val="auto"/>
        </w:rPr>
        <w:t>. Any document, instrument, or agreement evidencing any Subordinated Debt shall for any reason be revoked</w:t>
      </w:r>
      <w:r>
        <w:rPr>
          <w:rFonts w:ascii="Arial" w:cs="Arial" w:eastAsia="Arial" w:hAnsi="Arial"/>
          <w:sz w:val="17"/>
          <w:szCs w:val="17"/>
          <w:b w:val="1"/>
          <w:bCs w:val="1"/>
          <w:color w:val="auto"/>
        </w:rPr>
        <w:t xml:space="preserve"> </w:t>
      </w:r>
      <w:r>
        <w:rPr>
          <w:rFonts w:ascii="Arial" w:cs="Arial" w:eastAsia="Arial" w:hAnsi="Arial"/>
          <w:sz w:val="17"/>
          <w:szCs w:val="17"/>
          <w:color w:val="auto"/>
        </w:rPr>
        <w:t>or invalidated or otherwise cease to be in full force and effect (except in accordance with its terms),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 or</w:t>
      </w:r>
    </w:p>
    <w:p>
      <w:pPr>
        <w:spacing w:after="0" w:line="16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8.10 Governmental Approvals. </w:t>
      </w:r>
      <w:r>
        <w:rPr>
          <w:rFonts w:ascii="Arial" w:cs="Arial" w:eastAsia="Arial" w:hAnsi="Arial"/>
          <w:sz w:val="18"/>
          <w:szCs w:val="18"/>
          <w:color w:val="auto"/>
        </w:rPr>
        <w:t>Any Governmental Approval shall have been (a) revoked, rescinded, suspended, modified in an</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manner or not renewed in the ordinary course for a full term or (b) subject to any decision by a Governmental Authority that designates a hearing with respect to any applications for renewal of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4" w:name="page95"/>
    <w:bookmarkEnd w:id="94"/>
    <w:p>
      <w:pPr>
        <w:spacing w:after="0" w:line="291" w:lineRule="auto"/>
        <w:rPr>
          <w:sz w:val="20"/>
          <w:szCs w:val="20"/>
          <w:color w:val="auto"/>
        </w:rPr>
      </w:pPr>
      <w:r>
        <w:rPr>
          <w:rFonts w:ascii="Arial" w:cs="Arial" w:eastAsia="Arial" w:hAnsi="Arial"/>
          <w:sz w:val="16"/>
          <w:szCs w:val="16"/>
          <w:color w:val="auto"/>
        </w:rPr>
        <w:t>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w:t>
      </w:r>
    </w:p>
    <w:p>
      <w:pPr>
        <w:jc w:val="both"/>
        <w:ind w:firstLine="8"/>
        <w:spacing w:after="0" w:line="255" w:lineRule="auto"/>
        <w:tabs>
          <w:tab w:leader="none" w:pos="2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materially and adversely affects the legal qualifications of Borrower or any of its Subsidiaries to hold such Governmental Approval in any applicable jurisdiction and such revocation, rescission, suspension, modification or non-renewal could reasonably be expected to adversely affect the status of or legal qualifications of Borrower or any of its Subsidiaries to hold any Governmental Approval in any other jurisdiction.</w:t>
      </w:r>
    </w:p>
    <w:p>
      <w:pPr>
        <w:spacing w:after="0" w:line="186" w:lineRule="exact"/>
        <w:rPr>
          <w:sz w:val="20"/>
          <w:szCs w:val="20"/>
          <w:color w:val="auto"/>
        </w:rPr>
      </w:pPr>
    </w:p>
    <w:p>
      <w:pPr>
        <w:ind w:left="1660" w:hanging="788"/>
        <w:spacing w:after="0"/>
        <w:tabs>
          <w:tab w:leader="none" w:pos="1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BANK’S RIGHTS AND REMEDIES</w:t>
      </w:r>
    </w:p>
    <w:p>
      <w:pPr>
        <w:spacing w:after="0" w:line="225" w:lineRule="exact"/>
        <w:rPr>
          <w:sz w:val="20"/>
          <w:szCs w:val="20"/>
          <w:color w:val="auto"/>
        </w:rPr>
      </w:pPr>
    </w:p>
    <w:p>
      <w:pPr>
        <w:ind w:right="20" w:firstLine="864"/>
        <w:spacing w:after="0" w:line="282" w:lineRule="auto"/>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 Upon the occurrence and during the continuance of an Event of Default, Bank may, without notice or</w:t>
      </w:r>
      <w:r>
        <w:rPr>
          <w:rFonts w:ascii="Arial" w:cs="Arial" w:eastAsia="Arial" w:hAnsi="Arial"/>
          <w:sz w:val="18"/>
          <w:szCs w:val="18"/>
          <w:b w:val="1"/>
          <w:bCs w:val="1"/>
          <w:color w:val="auto"/>
        </w:rPr>
        <w:t xml:space="preserve"> </w:t>
      </w:r>
      <w:r>
        <w:rPr>
          <w:rFonts w:ascii="Arial" w:cs="Arial" w:eastAsia="Arial" w:hAnsi="Arial"/>
          <w:sz w:val="18"/>
          <w:szCs w:val="18"/>
          <w:color w:val="auto"/>
        </w:rPr>
        <w:t>demand, do any or all of the following:</w:t>
      </w:r>
    </w:p>
    <w:p>
      <w:pPr>
        <w:spacing w:after="0" w:line="166" w:lineRule="exact"/>
        <w:rPr>
          <w:sz w:val="20"/>
          <w:szCs w:val="20"/>
          <w:color w:val="auto"/>
        </w:rPr>
      </w:pPr>
    </w:p>
    <w:p>
      <w:pPr>
        <w:ind w:firstLine="1735"/>
        <w:spacing w:after="0" w:line="277" w:lineRule="auto"/>
        <w:tabs>
          <w:tab w:leader="none" w:pos="25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Bank);</w:t>
      </w:r>
    </w:p>
    <w:p>
      <w:pPr>
        <w:spacing w:after="0" w:line="170" w:lineRule="exact"/>
        <w:rPr>
          <w:rFonts w:ascii="Arial" w:cs="Arial" w:eastAsia="Arial" w:hAnsi="Arial"/>
          <w:sz w:val="18"/>
          <w:szCs w:val="18"/>
          <w:color w:val="auto"/>
        </w:rPr>
      </w:pPr>
    </w:p>
    <w:p>
      <w:pPr>
        <w:ind w:left="2600" w:hanging="865"/>
        <w:spacing w:after="0"/>
        <w:tabs>
          <w:tab w:leader="none" w:pos="26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stop advancing money or extending credit for Borrower’s benefit under this Agreement or under any other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between Borrower and Bank;</w:t>
      </w:r>
    </w:p>
    <w:p>
      <w:pPr>
        <w:spacing w:after="0" w:line="210" w:lineRule="exact"/>
        <w:rPr>
          <w:rFonts w:ascii="Arial" w:cs="Arial" w:eastAsia="Arial" w:hAnsi="Arial"/>
          <w:sz w:val="16"/>
          <w:szCs w:val="16"/>
          <w:color w:val="auto"/>
        </w:rPr>
      </w:pPr>
    </w:p>
    <w:p>
      <w:pPr>
        <w:jc w:val="both"/>
        <w:ind w:firstLine="1735"/>
        <w:spacing w:after="0" w:line="254" w:lineRule="auto"/>
        <w:tabs>
          <w:tab w:leader="none" w:pos="25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demand that Borrower (i) deposit cash with Bank in an amount equal to at least (x) one hundred five percent (105.0%) of the Dollar Equivalent of the aggregate face amount of all Letters of Credit denominated in Dollars remaining undrawn, and (y)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94" w:lineRule="exact"/>
        <w:rPr>
          <w:rFonts w:ascii="Arial" w:cs="Arial" w:eastAsia="Arial" w:hAnsi="Arial"/>
          <w:sz w:val="18"/>
          <w:szCs w:val="18"/>
          <w:color w:val="auto"/>
        </w:rPr>
      </w:pPr>
    </w:p>
    <w:p>
      <w:pPr>
        <w:ind w:left="2600" w:hanging="865"/>
        <w:spacing w:after="0"/>
        <w:tabs>
          <w:tab w:leader="none" w:pos="2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183" w:lineRule="exact"/>
        <w:rPr>
          <w:rFonts w:ascii="Arial" w:cs="Arial" w:eastAsia="Arial" w:hAnsi="Arial"/>
          <w:sz w:val="18"/>
          <w:szCs w:val="18"/>
          <w:color w:val="auto"/>
        </w:rPr>
      </w:pPr>
    </w:p>
    <w:p>
      <w:pPr>
        <w:jc w:val="both"/>
        <w:ind w:firstLine="1735"/>
        <w:spacing w:after="0" w:line="257" w:lineRule="auto"/>
        <w:tabs>
          <w:tab w:leader="none" w:pos="25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87" w:lineRule="exact"/>
        <w:rPr>
          <w:rFonts w:ascii="Arial" w:cs="Arial" w:eastAsia="Arial" w:hAnsi="Arial"/>
          <w:sz w:val="18"/>
          <w:szCs w:val="18"/>
          <w:color w:val="auto"/>
        </w:rPr>
      </w:pPr>
    </w:p>
    <w:p>
      <w:pPr>
        <w:ind w:firstLine="1735"/>
        <w:spacing w:after="0" w:line="277" w:lineRule="auto"/>
        <w:tabs>
          <w:tab w:leader="none" w:pos="25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apply to the Obligations (i) any balances and deposits of Borrower it holds, or (ii) any amount held by Bank owing to or for the credit or the account of Borrower;</w:t>
      </w:r>
    </w:p>
    <w:p>
      <w:pPr>
        <w:spacing w:after="0" w:line="170" w:lineRule="exact"/>
        <w:rPr>
          <w:rFonts w:ascii="Arial" w:cs="Arial" w:eastAsia="Arial" w:hAnsi="Arial"/>
          <w:sz w:val="18"/>
          <w:szCs w:val="18"/>
          <w:color w:val="auto"/>
        </w:rPr>
      </w:pPr>
    </w:p>
    <w:p>
      <w:pPr>
        <w:jc w:val="both"/>
        <w:ind w:firstLine="1735"/>
        <w:spacing w:after="0" w:line="257" w:lineRule="auto"/>
        <w:tabs>
          <w:tab w:leader="none" w:pos="25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187" w:lineRule="exact"/>
        <w:rPr>
          <w:rFonts w:ascii="Arial" w:cs="Arial" w:eastAsia="Arial" w:hAnsi="Arial"/>
          <w:sz w:val="18"/>
          <w:szCs w:val="18"/>
          <w:color w:val="auto"/>
        </w:rPr>
      </w:pPr>
    </w:p>
    <w:p>
      <w:pPr>
        <w:ind w:firstLine="1735"/>
        <w:spacing w:after="0" w:line="277" w:lineRule="auto"/>
        <w:tabs>
          <w:tab w:leader="none" w:pos="25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5" w:name="page96"/>
    <w:bookmarkEnd w:id="95"/>
    <w:p>
      <w:pPr>
        <w:jc w:val="both"/>
        <w:spacing w:after="0" w:line="263" w:lineRule="auto"/>
        <w:rPr>
          <w:sz w:val="20"/>
          <w:szCs w:val="20"/>
          <w:color w:val="auto"/>
        </w:rPr>
      </w:pPr>
      <w:r>
        <w:rPr>
          <w:rFonts w:ascii="Arial" w:cs="Arial" w:eastAsia="Arial" w:hAnsi="Arial"/>
          <w:sz w:val="18"/>
          <w:szCs w:val="18"/>
          <w:color w:val="auto"/>
        </w:rPr>
        <w:t>agreements providing control of any Collateral; Bank hereby agrees that, unless an Event of Default has occurred and is continuing, it will not issue a notice of exclusive control, any entitlement order or other directions or instructions pursuant to any Control Agreement or similar agreements providing control of any Collateral;</w:t>
      </w:r>
    </w:p>
    <w:p>
      <w:pPr>
        <w:spacing w:after="0" w:line="184" w:lineRule="exact"/>
        <w:rPr>
          <w:sz w:val="20"/>
          <w:szCs w:val="20"/>
          <w:color w:val="auto"/>
        </w:rPr>
      </w:pPr>
    </w:p>
    <w:p>
      <w:pPr>
        <w:ind w:left="2560" w:hanging="825"/>
        <w:spacing w:after="0"/>
        <w:tabs>
          <w:tab w:leader="none" w:pos="25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225" w:lineRule="exact"/>
        <w:rPr>
          <w:rFonts w:ascii="Arial" w:cs="Arial" w:eastAsia="Arial" w:hAnsi="Arial"/>
          <w:sz w:val="18"/>
          <w:szCs w:val="18"/>
          <w:color w:val="auto"/>
        </w:rPr>
      </w:pPr>
    </w:p>
    <w:p>
      <w:pPr>
        <w:ind w:firstLine="1735"/>
        <w:spacing w:after="0" w:line="277" w:lineRule="auto"/>
        <w:tabs>
          <w:tab w:leader="none" w:pos="25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16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b w:val="1"/>
          <w:bCs w:val="1"/>
          <w:color w:val="auto"/>
        </w:rPr>
        <w:t>9.2 Power of Attorney</w:t>
      </w:r>
      <w:r>
        <w:rPr>
          <w:rFonts w:ascii="Arial" w:cs="Arial" w:eastAsia="Arial" w:hAnsi="Arial"/>
          <w:sz w:val="16"/>
          <w:szCs w:val="16"/>
          <w:color w:val="auto"/>
        </w:rPr>
        <w:t>. Borrower hereby irrevocably appoints Bank as its lawful attorney-in-fact, exercisable upon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have been satisfied in full and Bank is under no further obligation to make Credit Extensions hereunder. Bank’s foregoing appointment as Borrower’s attorney in fact, and all of Bank’s rights and powers, coupled with an interest, are irrevocable until all Obligations have been fully repaid (other than inchoate indemnity obligations, other obligations which by their terms survive the termination of this Agreement, and any Obligations under Bank Services Agreements that are cash collateralized in accordance with Section 4.1 of this Agreement) and Bank’s obligation to provide Credit Extensions terminates.</w:t>
      </w:r>
    </w:p>
    <w:p>
      <w:pPr>
        <w:spacing w:after="0" w:line="16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7"/>
          <w:szCs w:val="17"/>
          <w:b w:val="1"/>
          <w:bCs w:val="1"/>
          <w:color w:val="auto"/>
        </w:rPr>
        <w:t>9.3 Protective Payments</w:t>
      </w:r>
      <w:r>
        <w:rPr>
          <w:rFonts w:ascii="Arial" w:cs="Arial" w:eastAsia="Arial" w:hAnsi="Arial"/>
          <w:sz w:val="17"/>
          <w:szCs w:val="17"/>
          <w:color w:val="auto"/>
        </w:rPr>
        <w:t>. If Borrower fails to obtain the insurance called for by Section 6.5 or fails to pay any premium thereon or</w:t>
      </w:r>
      <w:r>
        <w:rPr>
          <w:rFonts w:ascii="Arial" w:cs="Arial" w:eastAsia="Arial" w:hAnsi="Arial"/>
          <w:sz w:val="17"/>
          <w:szCs w:val="17"/>
          <w:b w:val="1"/>
          <w:bCs w:val="1"/>
          <w:color w:val="auto"/>
        </w:rPr>
        <w:t xml:space="preserve"> </w:t>
      </w:r>
      <w:r>
        <w:rPr>
          <w:rFonts w:ascii="Arial" w:cs="Arial" w:eastAsia="Arial" w:hAnsi="Arial"/>
          <w:sz w:val="17"/>
          <w:szCs w:val="17"/>
          <w:color w:val="auto"/>
        </w:rPr>
        <w:t>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73"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b w:val="1"/>
          <w:bCs w:val="1"/>
          <w:color w:val="auto"/>
        </w:rPr>
        <w:t>9.4 Application of Payments and Proceeds Upon Default</w:t>
      </w:r>
      <w:r>
        <w:rPr>
          <w:rFonts w:ascii="Arial" w:cs="Arial" w:eastAsia="Arial" w:hAnsi="Arial"/>
          <w:sz w:val="18"/>
          <w:szCs w:val="18"/>
          <w:color w:val="auto"/>
        </w:rPr>
        <w:t>. If an Event of Default has occurred and is continuing, Bank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apply in 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89"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9.5 Bank’s Liability for Collateral</w:t>
      </w:r>
      <w:r>
        <w:rPr>
          <w:rFonts w:ascii="Arial" w:cs="Arial" w:eastAsia="Arial" w:hAnsi="Arial"/>
          <w:sz w:val="18"/>
          <w:szCs w:val="18"/>
          <w:color w:val="auto"/>
        </w:rPr>
        <w:t>. So long as Bank complies with reasonable banking practices regarding the safekeeping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b w:val="1"/>
          <w:bCs w:val="1"/>
          <w:color w:val="auto"/>
        </w:rPr>
        <w:t>9.6 No Waiver; Remedies Cumulative</w:t>
      </w:r>
      <w:r>
        <w:rPr>
          <w:rFonts w:ascii="Arial" w:cs="Arial" w:eastAsia="Arial" w:hAnsi="Arial"/>
          <w:sz w:val="17"/>
          <w:szCs w:val="17"/>
          <w:color w:val="auto"/>
        </w:rPr>
        <w:t>. Bank’s failure, at any time or times, to require strict performance by Borrower of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6" w:name="page97"/>
    <w:bookmarkEnd w:id="96"/>
    <w:p>
      <w:pPr>
        <w:jc w:val="both"/>
        <w:spacing w:after="0" w:line="286" w:lineRule="auto"/>
        <w:rPr>
          <w:sz w:val="20"/>
          <w:szCs w:val="20"/>
          <w:color w:val="auto"/>
        </w:rPr>
      </w:pPr>
      <w:r>
        <w:rPr>
          <w:rFonts w:ascii="Arial" w:cs="Arial" w:eastAsia="Arial" w:hAnsi="Arial"/>
          <w:sz w:val="17"/>
          <w:szCs w:val="17"/>
          <w:color w:val="auto"/>
        </w:rPr>
        <w:t>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61"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 Borrower waives demand, notice of default or dishonor, notice of payment and nonpayment, notice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nonpayment at maturity, release, compromise, settlement, extension, or renewal of accounts, documents, instruments, chattel paper, and guarantees held by Bank on which Borrower is liable.</w:t>
      </w:r>
    </w:p>
    <w:p>
      <w:pPr>
        <w:spacing w:after="0" w:line="176" w:lineRule="exact"/>
        <w:rPr>
          <w:sz w:val="20"/>
          <w:szCs w:val="20"/>
          <w:color w:val="auto"/>
        </w:rPr>
      </w:pPr>
    </w:p>
    <w:p>
      <w:pPr>
        <w:ind w:left="1740" w:hanging="868"/>
        <w:spacing w:after="0"/>
        <w:tabs>
          <w:tab w:leader="none" w:pos="17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If to Borrower:</w:t>
            </w:r>
          </w:p>
        </w:tc>
        <w:tc>
          <w:tcPr>
            <w:tcW w:w="4020" w:type="dxa"/>
            <w:vAlign w:val="bottom"/>
            <w:gridSpan w:val="2"/>
          </w:tcPr>
          <w:p>
            <w:pPr>
              <w:ind w:left="760"/>
              <w:spacing w:after="0"/>
              <w:rPr>
                <w:sz w:val="20"/>
                <w:szCs w:val="20"/>
                <w:color w:val="auto"/>
              </w:rPr>
            </w:pPr>
            <w:r>
              <w:rPr>
                <w:rFonts w:ascii="Arial" w:cs="Arial" w:eastAsia="Arial" w:hAnsi="Arial"/>
                <w:sz w:val="18"/>
                <w:szCs w:val="18"/>
                <w:color w:val="auto"/>
              </w:rPr>
              <w:t>Trevi Therapeutics, Inc.</w:t>
            </w:r>
          </w:p>
        </w:tc>
      </w:tr>
      <w:tr>
        <w:trPr>
          <w:trHeight w:val="216"/>
        </w:trPr>
        <w:tc>
          <w:tcPr>
            <w:tcW w:w="1840" w:type="dxa"/>
            <w:vAlign w:val="bottom"/>
          </w:tcPr>
          <w:p>
            <w:pPr>
              <w:spacing w:after="0"/>
              <w:rPr>
                <w:sz w:val="18"/>
                <w:szCs w:val="18"/>
                <w:color w:val="auto"/>
              </w:rPr>
            </w:pPr>
          </w:p>
        </w:tc>
        <w:tc>
          <w:tcPr>
            <w:tcW w:w="4020" w:type="dxa"/>
            <w:vAlign w:val="bottom"/>
            <w:gridSpan w:val="2"/>
          </w:tcPr>
          <w:p>
            <w:pPr>
              <w:ind w:left="760"/>
              <w:spacing w:after="0"/>
              <w:rPr>
                <w:sz w:val="20"/>
                <w:szCs w:val="20"/>
                <w:color w:val="auto"/>
              </w:rPr>
            </w:pPr>
            <w:r>
              <w:rPr>
                <w:rFonts w:ascii="Arial" w:cs="Arial" w:eastAsia="Arial" w:hAnsi="Arial"/>
                <w:sz w:val="18"/>
                <w:szCs w:val="18"/>
                <w:color w:val="auto"/>
              </w:rPr>
              <w:t>195 Church St., 14th Floor</w:t>
            </w:r>
          </w:p>
        </w:tc>
      </w:tr>
      <w:tr>
        <w:trPr>
          <w:trHeight w:val="216"/>
        </w:trPr>
        <w:tc>
          <w:tcPr>
            <w:tcW w:w="1840" w:type="dxa"/>
            <w:vAlign w:val="bottom"/>
          </w:tcPr>
          <w:p>
            <w:pPr>
              <w:spacing w:after="0"/>
              <w:rPr>
                <w:sz w:val="18"/>
                <w:szCs w:val="18"/>
                <w:color w:val="auto"/>
              </w:rPr>
            </w:pPr>
          </w:p>
        </w:tc>
        <w:tc>
          <w:tcPr>
            <w:tcW w:w="4020" w:type="dxa"/>
            <w:vAlign w:val="bottom"/>
            <w:gridSpan w:val="2"/>
          </w:tcPr>
          <w:p>
            <w:pPr>
              <w:ind w:left="760"/>
              <w:spacing w:after="0"/>
              <w:rPr>
                <w:sz w:val="20"/>
                <w:szCs w:val="20"/>
                <w:color w:val="auto"/>
              </w:rPr>
            </w:pPr>
            <w:r>
              <w:rPr>
                <w:rFonts w:ascii="Arial" w:cs="Arial" w:eastAsia="Arial" w:hAnsi="Arial"/>
                <w:sz w:val="18"/>
                <w:szCs w:val="18"/>
                <w:color w:val="auto"/>
              </w:rPr>
              <w:t>New Haven, CT 06510</w:t>
            </w:r>
          </w:p>
        </w:tc>
      </w:tr>
      <w:tr>
        <w:trPr>
          <w:trHeight w:val="216"/>
        </w:trPr>
        <w:tc>
          <w:tcPr>
            <w:tcW w:w="1840" w:type="dxa"/>
            <w:vAlign w:val="bottom"/>
          </w:tcPr>
          <w:p>
            <w:pPr>
              <w:spacing w:after="0"/>
              <w:rPr>
                <w:sz w:val="18"/>
                <w:szCs w:val="18"/>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rPr>
              <w:t>Attn:</w:t>
            </w:r>
          </w:p>
        </w:tc>
        <w:tc>
          <w:tcPr>
            <w:tcW w:w="2720" w:type="dxa"/>
            <w:vAlign w:val="bottom"/>
          </w:tcPr>
          <w:p>
            <w:pPr>
              <w:ind w:left="60"/>
              <w:spacing w:after="0"/>
              <w:rPr>
                <w:sz w:val="20"/>
                <w:szCs w:val="20"/>
                <w:color w:val="auto"/>
              </w:rPr>
            </w:pPr>
            <w:r>
              <w:rPr>
                <w:rFonts w:ascii="Arial" w:cs="Arial" w:eastAsia="Arial" w:hAnsi="Arial"/>
                <w:sz w:val="18"/>
                <w:szCs w:val="18"/>
                <w:color w:val="auto"/>
              </w:rPr>
              <w:t>Chris Seiter</w:t>
            </w:r>
          </w:p>
        </w:tc>
      </w:tr>
      <w:tr>
        <w:trPr>
          <w:trHeight w:val="230"/>
        </w:trPr>
        <w:tc>
          <w:tcPr>
            <w:tcW w:w="184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rPr>
              <w:t>Email:</w:t>
            </w:r>
          </w:p>
        </w:tc>
        <w:tc>
          <w:tcPr>
            <w:tcW w:w="2720" w:type="dxa"/>
            <w:vAlign w:val="bottom"/>
          </w:tcPr>
          <w:p>
            <w:pPr>
              <w:ind w:left="80"/>
              <w:spacing w:after="0"/>
              <w:rPr>
                <w:sz w:val="20"/>
                <w:szCs w:val="20"/>
                <w:color w:val="auto"/>
              </w:rPr>
            </w:pPr>
            <w:r>
              <w:rPr>
                <w:rFonts w:ascii="Arial" w:cs="Arial" w:eastAsia="Arial" w:hAnsi="Arial"/>
                <w:sz w:val="18"/>
                <w:szCs w:val="18"/>
                <w:color w:val="auto"/>
                <w:w w:val="92"/>
              </w:rPr>
              <w:t>Chris.Seiter@trevitherapeutics.com</w:t>
            </w:r>
          </w:p>
        </w:tc>
      </w:tr>
      <w:tr>
        <w:trPr>
          <w:trHeight w:val="418"/>
        </w:trPr>
        <w:tc>
          <w:tcPr>
            <w:tcW w:w="1840" w:type="dxa"/>
            <w:vAlign w:val="bottom"/>
          </w:tcPr>
          <w:p>
            <w:pPr>
              <w:spacing w:after="0"/>
              <w:rPr>
                <w:sz w:val="20"/>
                <w:szCs w:val="20"/>
                <w:color w:val="auto"/>
              </w:rPr>
            </w:pPr>
            <w:r>
              <w:rPr>
                <w:rFonts w:ascii="Arial" w:cs="Arial" w:eastAsia="Arial" w:hAnsi="Arial"/>
                <w:sz w:val="18"/>
                <w:szCs w:val="18"/>
                <w:color w:val="auto"/>
              </w:rPr>
              <w:t>with a copy to:</w:t>
            </w:r>
          </w:p>
        </w:tc>
        <w:tc>
          <w:tcPr>
            <w:tcW w:w="4020" w:type="dxa"/>
            <w:vAlign w:val="bottom"/>
            <w:gridSpan w:val="2"/>
          </w:tcPr>
          <w:p>
            <w:pPr>
              <w:ind w:left="760"/>
              <w:spacing w:after="0"/>
              <w:rPr>
                <w:sz w:val="20"/>
                <w:szCs w:val="20"/>
                <w:color w:val="auto"/>
              </w:rPr>
            </w:pPr>
            <w:r>
              <w:rPr>
                <w:rFonts w:ascii="Arial" w:cs="Arial" w:eastAsia="Arial" w:hAnsi="Arial"/>
                <w:sz w:val="18"/>
                <w:szCs w:val="18"/>
                <w:color w:val="auto"/>
                <w:w w:val="94"/>
              </w:rPr>
              <w:t>Wilmer Cutler Pickering Hale and Dorr LLP</w:t>
            </w:r>
          </w:p>
        </w:tc>
      </w:tr>
      <w:tr>
        <w:trPr>
          <w:trHeight w:val="216"/>
        </w:trPr>
        <w:tc>
          <w:tcPr>
            <w:tcW w:w="1840" w:type="dxa"/>
            <w:vAlign w:val="bottom"/>
          </w:tcPr>
          <w:p>
            <w:pPr>
              <w:spacing w:after="0"/>
              <w:rPr>
                <w:sz w:val="18"/>
                <w:szCs w:val="18"/>
                <w:color w:val="auto"/>
              </w:rPr>
            </w:pPr>
          </w:p>
        </w:tc>
        <w:tc>
          <w:tcPr>
            <w:tcW w:w="4020" w:type="dxa"/>
            <w:vAlign w:val="bottom"/>
            <w:gridSpan w:val="2"/>
          </w:tcPr>
          <w:p>
            <w:pPr>
              <w:ind w:left="760"/>
              <w:spacing w:after="0"/>
              <w:rPr>
                <w:sz w:val="20"/>
                <w:szCs w:val="20"/>
                <w:color w:val="auto"/>
              </w:rPr>
            </w:pPr>
            <w:r>
              <w:rPr>
                <w:rFonts w:ascii="Arial" w:cs="Arial" w:eastAsia="Arial" w:hAnsi="Arial"/>
                <w:sz w:val="18"/>
                <w:szCs w:val="18"/>
                <w:color w:val="auto"/>
              </w:rPr>
              <w:t>1225 Seventeenth St. Suite 2600</w:t>
            </w:r>
          </w:p>
        </w:tc>
      </w:tr>
      <w:tr>
        <w:trPr>
          <w:trHeight w:val="216"/>
        </w:trPr>
        <w:tc>
          <w:tcPr>
            <w:tcW w:w="1840" w:type="dxa"/>
            <w:vAlign w:val="bottom"/>
          </w:tcPr>
          <w:p>
            <w:pPr>
              <w:spacing w:after="0"/>
              <w:rPr>
                <w:sz w:val="18"/>
                <w:szCs w:val="18"/>
                <w:color w:val="auto"/>
              </w:rPr>
            </w:pPr>
          </w:p>
        </w:tc>
        <w:tc>
          <w:tcPr>
            <w:tcW w:w="4020" w:type="dxa"/>
            <w:vAlign w:val="bottom"/>
            <w:gridSpan w:val="2"/>
          </w:tcPr>
          <w:p>
            <w:pPr>
              <w:ind w:left="760"/>
              <w:spacing w:after="0"/>
              <w:rPr>
                <w:sz w:val="20"/>
                <w:szCs w:val="20"/>
                <w:color w:val="auto"/>
              </w:rPr>
            </w:pPr>
            <w:r>
              <w:rPr>
                <w:rFonts w:ascii="Arial" w:cs="Arial" w:eastAsia="Arial" w:hAnsi="Arial"/>
                <w:sz w:val="18"/>
                <w:szCs w:val="18"/>
                <w:color w:val="auto"/>
              </w:rPr>
              <w:t>Denver, CO 80202 USA</w:t>
            </w:r>
          </w:p>
        </w:tc>
      </w:tr>
      <w:tr>
        <w:trPr>
          <w:trHeight w:val="216"/>
        </w:trPr>
        <w:tc>
          <w:tcPr>
            <w:tcW w:w="1840" w:type="dxa"/>
            <w:vAlign w:val="bottom"/>
          </w:tcPr>
          <w:p>
            <w:pPr>
              <w:spacing w:after="0"/>
              <w:rPr>
                <w:sz w:val="18"/>
                <w:szCs w:val="18"/>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rPr>
              <w:t>Attn:</w:t>
            </w:r>
          </w:p>
        </w:tc>
        <w:tc>
          <w:tcPr>
            <w:tcW w:w="2720" w:type="dxa"/>
            <w:vAlign w:val="bottom"/>
          </w:tcPr>
          <w:p>
            <w:pPr>
              <w:ind w:left="60"/>
              <w:spacing w:after="0"/>
              <w:rPr>
                <w:sz w:val="20"/>
                <w:szCs w:val="20"/>
                <w:color w:val="auto"/>
              </w:rPr>
            </w:pPr>
            <w:r>
              <w:rPr>
                <w:rFonts w:ascii="Arial" w:cs="Arial" w:eastAsia="Arial" w:hAnsi="Arial"/>
                <w:sz w:val="18"/>
                <w:szCs w:val="18"/>
                <w:color w:val="auto"/>
              </w:rPr>
              <w:t>Chalyse Robinson</w:t>
            </w:r>
          </w:p>
        </w:tc>
      </w:tr>
      <w:tr>
        <w:trPr>
          <w:trHeight w:val="230"/>
        </w:trPr>
        <w:tc>
          <w:tcPr>
            <w:tcW w:w="184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rPr>
              <w:t>Email:</w:t>
            </w:r>
          </w:p>
        </w:tc>
        <w:tc>
          <w:tcPr>
            <w:tcW w:w="2720" w:type="dxa"/>
            <w:vAlign w:val="bottom"/>
          </w:tcPr>
          <w:p>
            <w:pPr>
              <w:ind w:left="80"/>
              <w:spacing w:after="0"/>
              <w:rPr>
                <w:sz w:val="20"/>
                <w:szCs w:val="20"/>
                <w:color w:val="auto"/>
              </w:rPr>
            </w:pPr>
            <w:r>
              <w:rPr>
                <w:rFonts w:ascii="Arial" w:cs="Arial" w:eastAsia="Arial" w:hAnsi="Arial"/>
                <w:sz w:val="18"/>
                <w:szCs w:val="18"/>
                <w:color w:val="auto"/>
                <w:w w:val="90"/>
              </w:rPr>
              <w:t>Chalyse.Robinson@wilmerhale.com</w:t>
            </w:r>
          </w:p>
        </w:tc>
      </w:tr>
      <w:tr>
        <w:trPr>
          <w:trHeight w:val="634"/>
        </w:trPr>
        <w:tc>
          <w:tcPr>
            <w:tcW w:w="1840" w:type="dxa"/>
            <w:vAlign w:val="bottom"/>
          </w:tcPr>
          <w:p>
            <w:pPr>
              <w:spacing w:after="0"/>
              <w:rPr>
                <w:sz w:val="20"/>
                <w:szCs w:val="20"/>
                <w:color w:val="auto"/>
              </w:rPr>
            </w:pPr>
            <w:r>
              <w:rPr>
                <w:rFonts w:ascii="Arial" w:cs="Arial" w:eastAsia="Arial" w:hAnsi="Arial"/>
                <w:sz w:val="18"/>
                <w:szCs w:val="18"/>
                <w:color w:val="auto"/>
              </w:rPr>
              <w:t>If to Bank:</w:t>
            </w:r>
          </w:p>
        </w:tc>
        <w:tc>
          <w:tcPr>
            <w:tcW w:w="4020" w:type="dxa"/>
            <w:vAlign w:val="bottom"/>
            <w:gridSpan w:val="2"/>
          </w:tcPr>
          <w:p>
            <w:pPr>
              <w:ind w:left="760"/>
              <w:spacing w:after="0"/>
              <w:rPr>
                <w:sz w:val="20"/>
                <w:szCs w:val="20"/>
                <w:color w:val="auto"/>
              </w:rPr>
            </w:pPr>
            <w:r>
              <w:rPr>
                <w:rFonts w:ascii="Arial" w:cs="Arial" w:eastAsia="Arial" w:hAnsi="Arial"/>
                <w:sz w:val="18"/>
                <w:szCs w:val="18"/>
                <w:color w:val="auto"/>
              </w:rPr>
              <w:t>Silicon Valley Bank</w:t>
            </w:r>
          </w:p>
        </w:tc>
      </w:tr>
      <w:tr>
        <w:trPr>
          <w:trHeight w:val="216"/>
        </w:trPr>
        <w:tc>
          <w:tcPr>
            <w:tcW w:w="1840" w:type="dxa"/>
            <w:vAlign w:val="bottom"/>
          </w:tcPr>
          <w:p>
            <w:pPr>
              <w:spacing w:after="0"/>
              <w:rPr>
                <w:sz w:val="18"/>
                <w:szCs w:val="18"/>
                <w:color w:val="auto"/>
              </w:rPr>
            </w:pPr>
          </w:p>
        </w:tc>
        <w:tc>
          <w:tcPr>
            <w:tcW w:w="4020" w:type="dxa"/>
            <w:vAlign w:val="bottom"/>
            <w:gridSpan w:val="2"/>
          </w:tcPr>
          <w:p>
            <w:pPr>
              <w:ind w:left="760"/>
              <w:spacing w:after="0"/>
              <w:rPr>
                <w:sz w:val="20"/>
                <w:szCs w:val="20"/>
                <w:color w:val="auto"/>
              </w:rPr>
            </w:pPr>
            <w:r>
              <w:rPr>
                <w:rFonts w:ascii="Arial" w:cs="Arial" w:eastAsia="Arial" w:hAnsi="Arial"/>
                <w:sz w:val="18"/>
                <w:szCs w:val="18"/>
                <w:color w:val="auto"/>
              </w:rPr>
              <w:t>275 Grove Street, Suite 2-200</w:t>
            </w:r>
          </w:p>
        </w:tc>
      </w:tr>
      <w:tr>
        <w:trPr>
          <w:trHeight w:val="216"/>
        </w:trPr>
        <w:tc>
          <w:tcPr>
            <w:tcW w:w="1840" w:type="dxa"/>
            <w:vAlign w:val="bottom"/>
          </w:tcPr>
          <w:p>
            <w:pPr>
              <w:spacing w:after="0"/>
              <w:rPr>
                <w:sz w:val="18"/>
                <w:szCs w:val="18"/>
                <w:color w:val="auto"/>
              </w:rPr>
            </w:pPr>
          </w:p>
        </w:tc>
        <w:tc>
          <w:tcPr>
            <w:tcW w:w="4020" w:type="dxa"/>
            <w:vAlign w:val="bottom"/>
            <w:gridSpan w:val="2"/>
          </w:tcPr>
          <w:p>
            <w:pPr>
              <w:ind w:left="760"/>
              <w:spacing w:after="0"/>
              <w:rPr>
                <w:sz w:val="20"/>
                <w:szCs w:val="20"/>
                <w:color w:val="auto"/>
              </w:rPr>
            </w:pPr>
            <w:r>
              <w:rPr>
                <w:rFonts w:ascii="Arial" w:cs="Arial" w:eastAsia="Arial" w:hAnsi="Arial"/>
                <w:sz w:val="18"/>
                <w:szCs w:val="18"/>
                <w:color w:val="auto"/>
              </w:rPr>
              <w:t>Newton, Massachusetts 02466</w:t>
            </w:r>
          </w:p>
        </w:tc>
      </w:tr>
      <w:tr>
        <w:trPr>
          <w:trHeight w:val="216"/>
        </w:trPr>
        <w:tc>
          <w:tcPr>
            <w:tcW w:w="1840" w:type="dxa"/>
            <w:vAlign w:val="bottom"/>
          </w:tcPr>
          <w:p>
            <w:pPr>
              <w:spacing w:after="0"/>
              <w:rPr>
                <w:sz w:val="18"/>
                <w:szCs w:val="18"/>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rPr>
              <w:t>Attn:</w:t>
            </w:r>
          </w:p>
        </w:tc>
        <w:tc>
          <w:tcPr>
            <w:tcW w:w="2720" w:type="dxa"/>
            <w:vAlign w:val="bottom"/>
          </w:tcPr>
          <w:p>
            <w:pPr>
              <w:ind w:left="60"/>
              <w:spacing w:after="0"/>
              <w:rPr>
                <w:sz w:val="20"/>
                <w:szCs w:val="20"/>
                <w:color w:val="auto"/>
              </w:rPr>
            </w:pPr>
            <w:r>
              <w:rPr>
                <w:rFonts w:ascii="Arial" w:cs="Arial" w:eastAsia="Arial" w:hAnsi="Arial"/>
                <w:sz w:val="18"/>
                <w:szCs w:val="18"/>
                <w:color w:val="auto"/>
              </w:rPr>
              <w:t>Lauren Cole</w:t>
            </w:r>
          </w:p>
        </w:tc>
      </w:tr>
      <w:tr>
        <w:trPr>
          <w:trHeight w:val="230"/>
        </w:trPr>
        <w:tc>
          <w:tcPr>
            <w:tcW w:w="184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rPr>
              <w:t>Email:</w:t>
            </w:r>
          </w:p>
        </w:tc>
        <w:tc>
          <w:tcPr>
            <w:tcW w:w="2720" w:type="dxa"/>
            <w:vAlign w:val="bottom"/>
          </w:tcPr>
          <w:p>
            <w:pPr>
              <w:ind w:left="80"/>
              <w:spacing w:after="0"/>
              <w:rPr>
                <w:sz w:val="20"/>
                <w:szCs w:val="20"/>
                <w:color w:val="auto"/>
              </w:rPr>
            </w:pPr>
            <w:r>
              <w:rPr>
                <w:rFonts w:ascii="Arial" w:cs="Arial" w:eastAsia="Arial" w:hAnsi="Arial"/>
                <w:sz w:val="18"/>
                <w:szCs w:val="18"/>
                <w:color w:val="auto"/>
              </w:rPr>
              <w:t>LCole@svb.com</w:t>
            </w:r>
          </w:p>
        </w:tc>
      </w:tr>
      <w:tr>
        <w:trPr>
          <w:trHeight w:val="418"/>
        </w:trPr>
        <w:tc>
          <w:tcPr>
            <w:tcW w:w="1840" w:type="dxa"/>
            <w:vAlign w:val="bottom"/>
          </w:tcPr>
          <w:p>
            <w:pPr>
              <w:spacing w:after="0"/>
              <w:rPr>
                <w:sz w:val="20"/>
                <w:szCs w:val="20"/>
                <w:color w:val="auto"/>
              </w:rPr>
            </w:pPr>
            <w:r>
              <w:rPr>
                <w:rFonts w:ascii="Arial" w:cs="Arial" w:eastAsia="Arial" w:hAnsi="Arial"/>
                <w:sz w:val="18"/>
                <w:szCs w:val="18"/>
                <w:color w:val="auto"/>
              </w:rPr>
              <w:t>with a copy to:</w:t>
            </w:r>
          </w:p>
        </w:tc>
        <w:tc>
          <w:tcPr>
            <w:tcW w:w="4020" w:type="dxa"/>
            <w:vAlign w:val="bottom"/>
            <w:gridSpan w:val="2"/>
          </w:tcPr>
          <w:p>
            <w:pPr>
              <w:ind w:left="760"/>
              <w:spacing w:after="0"/>
              <w:rPr>
                <w:sz w:val="20"/>
                <w:szCs w:val="20"/>
                <w:color w:val="auto"/>
              </w:rPr>
            </w:pPr>
            <w:r>
              <w:rPr>
                <w:rFonts w:ascii="Arial" w:cs="Arial" w:eastAsia="Arial" w:hAnsi="Arial"/>
                <w:sz w:val="18"/>
                <w:szCs w:val="18"/>
                <w:color w:val="auto"/>
              </w:rPr>
              <w:t>Morrison &amp; Foerster LLP</w:t>
            </w:r>
          </w:p>
        </w:tc>
      </w:tr>
      <w:tr>
        <w:trPr>
          <w:trHeight w:val="216"/>
        </w:trPr>
        <w:tc>
          <w:tcPr>
            <w:tcW w:w="1840" w:type="dxa"/>
            <w:vAlign w:val="bottom"/>
          </w:tcPr>
          <w:p>
            <w:pPr>
              <w:spacing w:after="0"/>
              <w:rPr>
                <w:sz w:val="18"/>
                <w:szCs w:val="18"/>
                <w:color w:val="auto"/>
              </w:rPr>
            </w:pPr>
          </w:p>
        </w:tc>
        <w:tc>
          <w:tcPr>
            <w:tcW w:w="4020" w:type="dxa"/>
            <w:vAlign w:val="bottom"/>
            <w:gridSpan w:val="2"/>
          </w:tcPr>
          <w:p>
            <w:pPr>
              <w:ind w:left="760"/>
              <w:spacing w:after="0"/>
              <w:rPr>
                <w:sz w:val="20"/>
                <w:szCs w:val="20"/>
                <w:color w:val="auto"/>
              </w:rPr>
            </w:pPr>
            <w:r>
              <w:rPr>
                <w:rFonts w:ascii="Arial" w:cs="Arial" w:eastAsia="Arial" w:hAnsi="Arial"/>
                <w:sz w:val="18"/>
                <w:szCs w:val="18"/>
                <w:color w:val="auto"/>
              </w:rPr>
              <w:t>200 Clarendon Street</w:t>
            </w:r>
          </w:p>
        </w:tc>
      </w:tr>
      <w:tr>
        <w:trPr>
          <w:trHeight w:val="216"/>
        </w:trPr>
        <w:tc>
          <w:tcPr>
            <w:tcW w:w="1840" w:type="dxa"/>
            <w:vAlign w:val="bottom"/>
          </w:tcPr>
          <w:p>
            <w:pPr>
              <w:spacing w:after="0"/>
              <w:rPr>
                <w:sz w:val="18"/>
                <w:szCs w:val="18"/>
                <w:color w:val="auto"/>
              </w:rPr>
            </w:pPr>
          </w:p>
        </w:tc>
        <w:tc>
          <w:tcPr>
            <w:tcW w:w="4020" w:type="dxa"/>
            <w:vAlign w:val="bottom"/>
            <w:gridSpan w:val="2"/>
          </w:tcPr>
          <w:p>
            <w:pPr>
              <w:ind w:left="760"/>
              <w:spacing w:after="0"/>
              <w:rPr>
                <w:sz w:val="20"/>
                <w:szCs w:val="20"/>
                <w:color w:val="auto"/>
              </w:rPr>
            </w:pPr>
            <w:r>
              <w:rPr>
                <w:rFonts w:ascii="Arial" w:cs="Arial" w:eastAsia="Arial" w:hAnsi="Arial"/>
                <w:sz w:val="18"/>
                <w:szCs w:val="18"/>
                <w:color w:val="auto"/>
              </w:rPr>
              <w:t>Boston, Massachusetts 02116</w:t>
            </w:r>
          </w:p>
        </w:tc>
      </w:tr>
      <w:tr>
        <w:trPr>
          <w:trHeight w:val="216"/>
        </w:trPr>
        <w:tc>
          <w:tcPr>
            <w:tcW w:w="1840" w:type="dxa"/>
            <w:vAlign w:val="bottom"/>
          </w:tcPr>
          <w:p>
            <w:pPr>
              <w:spacing w:after="0"/>
              <w:rPr>
                <w:sz w:val="18"/>
                <w:szCs w:val="18"/>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rPr>
              <w:t>Attn:</w:t>
            </w:r>
          </w:p>
        </w:tc>
        <w:tc>
          <w:tcPr>
            <w:tcW w:w="2720" w:type="dxa"/>
            <w:vAlign w:val="bottom"/>
          </w:tcPr>
          <w:p>
            <w:pPr>
              <w:ind w:left="60"/>
              <w:spacing w:after="0"/>
              <w:rPr>
                <w:sz w:val="20"/>
                <w:szCs w:val="20"/>
                <w:color w:val="auto"/>
              </w:rPr>
            </w:pPr>
            <w:r>
              <w:rPr>
                <w:rFonts w:ascii="Arial" w:cs="Arial" w:eastAsia="Arial" w:hAnsi="Arial"/>
                <w:sz w:val="18"/>
                <w:szCs w:val="18"/>
                <w:color w:val="auto"/>
              </w:rPr>
              <w:t>David A. Ephraim, Esquire</w:t>
            </w:r>
          </w:p>
        </w:tc>
      </w:tr>
      <w:tr>
        <w:trPr>
          <w:trHeight w:val="230"/>
        </w:trPr>
        <w:tc>
          <w:tcPr>
            <w:tcW w:w="184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rPr>
              <w:t>Email:</w:t>
            </w:r>
          </w:p>
        </w:tc>
        <w:tc>
          <w:tcPr>
            <w:tcW w:w="2720" w:type="dxa"/>
            <w:vAlign w:val="bottom"/>
          </w:tcPr>
          <w:p>
            <w:pPr>
              <w:ind w:left="80"/>
              <w:spacing w:after="0"/>
              <w:rPr>
                <w:sz w:val="20"/>
                <w:szCs w:val="20"/>
                <w:color w:val="auto"/>
              </w:rPr>
            </w:pPr>
            <w:r>
              <w:rPr>
                <w:rFonts w:ascii="Arial" w:cs="Arial" w:eastAsia="Arial" w:hAnsi="Arial"/>
                <w:sz w:val="18"/>
                <w:szCs w:val="18"/>
                <w:color w:val="auto"/>
              </w:rPr>
              <w:t>DEphraim@mofo.com</w:t>
            </w:r>
          </w:p>
        </w:tc>
      </w:tr>
    </w:tbl>
    <w:p>
      <w:pPr>
        <w:spacing w:after="0" w:line="200" w:lineRule="exact"/>
        <w:rPr>
          <w:sz w:val="20"/>
          <w:szCs w:val="20"/>
          <w:color w:val="auto"/>
        </w:rPr>
      </w:pPr>
    </w:p>
    <w:p>
      <w:pPr>
        <w:spacing w:after="0" w:line="214" w:lineRule="exact"/>
        <w:rPr>
          <w:sz w:val="20"/>
          <w:szCs w:val="20"/>
          <w:color w:val="auto"/>
        </w:rPr>
      </w:pPr>
    </w:p>
    <w:p>
      <w:pPr>
        <w:ind w:left="1740" w:hanging="868"/>
        <w:spacing w:after="0"/>
        <w:tabs>
          <w:tab w:leader="none" w:pos="17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229"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Except as otherwise expressly provided in any of the Loan Documents, Massachusetts law governs the Loan Documents without regard to principles of conflicts of law. Borrower and Bank each submit to the exclusive jurisdiction of the State and Federal courts in Boston, Massachusetts;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7" w:name="page98"/>
    <w:bookmarkEnd w:id="97"/>
    <w:p>
      <w:pPr>
        <w:jc w:val="both"/>
        <w:spacing w:after="0" w:line="296" w:lineRule="auto"/>
        <w:rPr>
          <w:sz w:val="20"/>
          <w:szCs w:val="20"/>
          <w:color w:val="auto"/>
        </w:rPr>
      </w:pPr>
      <w:r>
        <w:rPr>
          <w:rFonts w:ascii="Arial" w:cs="Arial" w:eastAsia="Arial" w:hAnsi="Arial"/>
          <w:sz w:val="16"/>
          <w:szCs w:val="16"/>
          <w:color w:val="auto"/>
        </w:rPr>
        <w:t>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57"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r>
        <w:rPr>
          <w:rFonts w:ascii="Arial" w:cs="Arial" w:eastAsia="Arial" w:hAnsi="Arial"/>
          <w:sz w:val="18"/>
          <w:szCs w:val="18"/>
          <w:color w:val="auto"/>
        </w:rPr>
        <w: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21" w:lineRule="exact"/>
        <w:rPr>
          <w:sz w:val="20"/>
          <w:szCs w:val="20"/>
          <w:color w:val="auto"/>
        </w:rPr>
      </w:pPr>
    </w:p>
    <w:p>
      <w:pPr>
        <w:ind w:left="1740" w:hanging="868"/>
        <w:spacing w:after="0"/>
        <w:tabs>
          <w:tab w:leader="none" w:pos="17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b w:val="1"/>
          <w:bCs w:val="1"/>
          <w:color w:val="auto"/>
        </w:rPr>
        <w:t>12.1 Termination Prior to Term Loan Maturity Date; Survival</w:t>
      </w:r>
      <w:r>
        <w:rPr>
          <w:rFonts w:ascii="Arial" w:cs="Arial" w:eastAsia="Arial" w:hAnsi="Arial"/>
          <w:sz w:val="18"/>
          <w:szCs w:val="18"/>
          <w:color w:val="auto"/>
        </w:rPr>
        <w:t>. All covenants, representations and warranties made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continue in full force until this Agreement has terminated pursuant to its terms and all Obligations (other than inchoate indemnity obligations and, any other obligations which, by their terms, are to survive the termination of this Agreement, and any Obligations under Bank Services Agreements that are cash collateralized in accordance with Section 4.1) have been satisfied.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8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12.2 Successors and Assigns</w:t>
      </w:r>
      <w:r>
        <w:rPr>
          <w:rFonts w:ascii="Arial" w:cs="Arial" w:eastAsia="Arial" w:hAnsi="Arial"/>
          <w:sz w:val="18"/>
          <w:szCs w:val="18"/>
          <w:color w:val="auto"/>
        </w:rPr>
        <w:t>. This Agreement binds and is for the benefit of the successors and permitted assigns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Borrower may not 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Notwithstanding the foregoing, prior to the occurrence of an Event of Default, Bank shall not assign any interest in the Loan Documents to any person who is a direct competitor of Borrower or a vulture venture capital or debt fund.</w:t>
      </w:r>
    </w:p>
    <w:p>
      <w:pPr>
        <w:spacing w:after="0" w:line="18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b w:val="1"/>
          <w:bCs w:val="1"/>
          <w:color w:val="auto"/>
        </w:rPr>
        <w:t>12.3 Indemnification</w:t>
      </w:r>
      <w:r>
        <w:rPr>
          <w:rFonts w:ascii="Arial" w:cs="Arial" w:eastAsia="Arial" w:hAnsi="Arial"/>
          <w:sz w:val="18"/>
          <w:szCs w:val="18"/>
          <w:color w:val="auto"/>
        </w:rPr>
        <w:t>. Borrower agrees to indemnify, defend and hold Bank and its directors, officers, employees, agents, attorneys,</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Person affiliated with or representing Bank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(i)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claimed or asserted by any other party in connection with the transactions contemplated by the Loan Documents; and (ii) all losses or reasonable and documented out-of-pocket expenses (including Bank Expenses) in any way suffered, incurred, or paid by such Indemnified Person as a result of, following from, consequential to, or arising from transactions between Bank and Borrower (including reasonable and documented attorneys’ fees and documented out-of-pocket expenses), except for Claims and/or losses directly caused by such Indemnified Person’s gross negligence or willful misconduct.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have run.</w:t>
      </w:r>
    </w:p>
    <w:p>
      <w:pPr>
        <w:spacing w:after="0" w:line="207"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all Obligations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8" w:name="page99"/>
    <w:bookmarkEnd w:id="98"/>
    <w:p>
      <w:pPr>
        <w:jc w:val="both"/>
        <w:ind w:firstLine="864"/>
        <w:spacing w:after="0" w:line="282" w:lineRule="auto"/>
        <w:rPr>
          <w:sz w:val="20"/>
          <w:szCs w:val="20"/>
          <w:color w:val="auto"/>
        </w:rPr>
      </w:pPr>
      <w:r>
        <w:rPr>
          <w:rFonts w:ascii="Arial" w:cs="Arial" w:eastAsia="Arial" w:hAnsi="Arial"/>
          <w:sz w:val="18"/>
          <w:szCs w:val="18"/>
          <w:b w:val="1"/>
          <w:bCs w:val="1"/>
          <w:color w:val="auto"/>
        </w:rPr>
        <w:t>12.5 Severability of Provisions</w:t>
      </w:r>
      <w:r>
        <w:rPr>
          <w:rFonts w:ascii="Arial" w:cs="Arial" w:eastAsia="Arial" w:hAnsi="Arial"/>
          <w:sz w:val="18"/>
          <w:szCs w:val="18"/>
          <w:color w:val="auto"/>
        </w:rPr>
        <w:t>. Each provision of this Agreement is severable from every other provision in determining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provision.</w:t>
      </w:r>
    </w:p>
    <w:p>
      <w:pPr>
        <w:spacing w:after="0" w:line="162" w:lineRule="exact"/>
        <w:rPr>
          <w:sz w:val="20"/>
          <w:szCs w:val="20"/>
          <w:color w:val="auto"/>
        </w:rPr>
      </w:pPr>
    </w:p>
    <w:p>
      <w:pPr>
        <w:jc w:val="both"/>
        <w:ind w:firstLine="864"/>
        <w:spacing w:after="0" w:line="314" w:lineRule="auto"/>
        <w:rPr>
          <w:sz w:val="20"/>
          <w:szCs w:val="20"/>
          <w:color w:val="auto"/>
        </w:rPr>
      </w:pPr>
      <w:r>
        <w:rPr>
          <w:rFonts w:ascii="Arial" w:cs="Arial" w:eastAsia="Arial" w:hAnsi="Arial"/>
          <w:sz w:val="16"/>
          <w:szCs w:val="16"/>
          <w:b w:val="1"/>
          <w:bCs w:val="1"/>
          <w:color w:val="auto"/>
        </w:rPr>
        <w:t>12.6 Correction of Loan Documents</w:t>
      </w:r>
      <w:r>
        <w:rPr>
          <w:rFonts w:ascii="Arial" w:cs="Arial" w:eastAsia="Arial" w:hAnsi="Arial"/>
          <w:sz w:val="16"/>
          <w:szCs w:val="16"/>
          <w:color w:val="auto"/>
        </w:rPr>
        <w:t>. Bank may correct patent errors and fill in any blanks in the Loan Documents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agreement of the parties, so long as Bank provides Borrower with written notice of such correction and allows Borrower at least ten (10) days to object to such correction. In the event of such objection, such correction shall not be made except by an amendment signed by both Bank and Borrower.</w:t>
      </w:r>
    </w:p>
    <w:p>
      <w:pPr>
        <w:spacing w:after="0" w:line="14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b w:val="1"/>
          <w:bCs w:val="1"/>
          <w:color w:val="auto"/>
        </w:rPr>
        <w:t>12.7 Amendments in Writing; Waiver; Integration</w:t>
      </w:r>
      <w:r>
        <w:rPr>
          <w:rFonts w:ascii="Arial" w:cs="Arial" w:eastAsia="Arial" w:hAnsi="Arial"/>
          <w:sz w:val="16"/>
          <w:szCs w:val="16"/>
          <w:color w:val="auto"/>
        </w:rPr>
        <w:t>. This Agreement may be amended by a writing signed by Bank and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No purported amendment or modification of any Loan Document, or waiver, discharge or 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16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12.8 Counterparts</w:t>
      </w:r>
      <w:r>
        <w:rPr>
          <w:rFonts w:ascii="Arial" w:cs="Arial" w:eastAsia="Arial" w:hAnsi="Arial"/>
          <w:sz w:val="18"/>
          <w:szCs w:val="18"/>
          <w:color w:val="auto"/>
        </w:rPr>
        <w:t>. This Agreement may be executed in any number of counterparts and by different parties on separate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when executed and delivered, is an original, and all taken together, constitute one Agreement.</w:t>
      </w:r>
    </w:p>
    <w:p>
      <w:pPr>
        <w:spacing w:after="0" w:line="16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b w:val="1"/>
          <w:bCs w:val="1"/>
          <w:color w:val="auto"/>
        </w:rPr>
        <w:t>12.9 Confidentiality</w:t>
      </w:r>
      <w:r>
        <w:rPr>
          <w:rFonts w:ascii="Arial" w:cs="Arial" w:eastAsia="Arial" w:hAnsi="Arial"/>
          <w:sz w:val="16"/>
          <w:szCs w:val="16"/>
          <w:color w:val="auto"/>
        </w:rPr>
        <w:t>. In handling any confidential information, Bank shall exercise the same degree of care that it exercises for its</w:t>
      </w:r>
      <w:r>
        <w:rPr>
          <w:rFonts w:ascii="Arial" w:cs="Arial" w:eastAsia="Arial" w:hAnsi="Arial"/>
          <w:sz w:val="16"/>
          <w:szCs w:val="16"/>
          <w:b w:val="1"/>
          <w:bCs w:val="1"/>
          <w:color w:val="auto"/>
        </w:rPr>
        <w:t xml:space="preserve"> </w:t>
      </w:r>
      <w:r>
        <w:rPr>
          <w:rFonts w:ascii="Arial" w:cs="Arial" w:eastAsia="Arial" w:hAnsi="Arial"/>
          <w:sz w:val="16"/>
          <w:szCs w:val="16"/>
          <w:color w:val="auto"/>
        </w:rPr>
        <w:t>own proprietary information, but disclosure of information may be made: (a) to Bank’s Subsidiaries or Affiliates (such Subsidiaries and Affiliates, together with Bank, collectively, “</w:t>
      </w:r>
      <w:r>
        <w:rPr>
          <w:rFonts w:ascii="Arial" w:cs="Arial" w:eastAsia="Arial" w:hAnsi="Arial"/>
          <w:sz w:val="16"/>
          <w:szCs w:val="16"/>
          <w:b w:val="1"/>
          <w:bCs w:val="1"/>
          <w:color w:val="auto"/>
        </w:rPr>
        <w:t>Bank Entities</w:t>
      </w:r>
      <w:r>
        <w:rPr>
          <w:rFonts w:ascii="Arial" w:cs="Arial" w:eastAsia="Arial" w:hAnsi="Arial"/>
          <w:sz w:val="16"/>
          <w:szCs w:val="16"/>
          <w:color w:val="auto"/>
        </w:rPr>
        <w:t>”); (b) to prospective transferees or purchasers of any interest in the Credit Extensions (provided, however, that any prospective transferee or purchaser shall have entered into an agreement containing provisions substantially the same as those in this Section 12.9); (c) as required by law, regulation, subpoena, or other order; (d) to Bank’s regulators or as otherwise required in connection with Bank’s examination or audit;</w:t>
      </w:r>
    </w:p>
    <w:p>
      <w:pPr>
        <w:spacing w:after="0" w:line="2" w:lineRule="exact"/>
        <w:rPr>
          <w:sz w:val="20"/>
          <w:szCs w:val="20"/>
          <w:color w:val="auto"/>
        </w:rPr>
      </w:pPr>
    </w:p>
    <w:p>
      <w:pPr>
        <w:jc w:val="both"/>
        <w:ind w:firstLine="8"/>
        <w:spacing w:after="0" w:line="253" w:lineRule="auto"/>
        <w:tabs>
          <w:tab w:leader="none" w:pos="268"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91" w:lineRule="exact"/>
        <w:rPr>
          <w:sz w:val="20"/>
          <w:szCs w:val="20"/>
          <w:color w:val="auto"/>
        </w:rPr>
      </w:pPr>
    </w:p>
    <w:p>
      <w:pPr>
        <w:jc w:val="both"/>
        <w:ind w:firstLine="864"/>
        <w:spacing w:after="0" w:line="342" w:lineRule="auto"/>
        <w:rPr>
          <w:sz w:val="20"/>
          <w:szCs w:val="20"/>
          <w:color w:val="auto"/>
        </w:rPr>
      </w:pPr>
      <w:r>
        <w:rPr>
          <w:rFonts w:ascii="Arial" w:cs="Arial" w:eastAsia="Arial" w:hAnsi="Arial"/>
          <w:sz w:val="16"/>
          <w:szCs w:val="16"/>
          <w:color w:val="auto"/>
        </w:rPr>
        <w:t>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2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b w:val="1"/>
          <w:bCs w:val="1"/>
          <w:color w:val="auto"/>
        </w:rPr>
        <w:t xml:space="preserve">12.10 Right of Set Off. </w:t>
      </w:r>
      <w:r>
        <w:rPr>
          <w:rFonts w:ascii="Arial" w:cs="Arial" w:eastAsia="Arial" w:hAnsi="Arial"/>
          <w:sz w:val="17"/>
          <w:szCs w:val="17"/>
          <w:color w:val="auto"/>
        </w:rPr>
        <w:t>Borrower hereby grants to Bank, a lien, security interest and right of set off as security for all Obligations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Bank, whether now existing or hereafter arising upon and against all deposits, credits, collateral and property, now or hereafter in the possession, custody, safekeeping or control of Bank or any entity under the control of Bank (including a Bank subsidiary) or in transit to any of them. At any time after the occurrence and during the continuance of an Event of Default, without demand or notice, Bank may set 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9" w:name="page100"/>
    <w:bookmarkEnd w:id="99"/>
    <w:p>
      <w:pPr>
        <w:jc w:val="both"/>
        <w:ind w:firstLine="864"/>
        <w:spacing w:after="0" w:line="281" w:lineRule="auto"/>
        <w:rPr>
          <w:sz w:val="20"/>
          <w:szCs w:val="20"/>
          <w:color w:val="auto"/>
        </w:rPr>
      </w:pPr>
      <w:r>
        <w:rPr>
          <w:rFonts w:ascii="Arial" w:cs="Arial" w:eastAsia="Arial" w:hAnsi="Arial"/>
          <w:sz w:val="17"/>
          <w:szCs w:val="17"/>
          <w:b w:val="1"/>
          <w:bCs w:val="1"/>
          <w:color w:val="auto"/>
        </w:rPr>
        <w:t>12.11 Electronic Execution of Documents</w:t>
      </w:r>
      <w:r>
        <w:rPr>
          <w:rFonts w:ascii="Arial" w:cs="Arial" w:eastAsia="Arial" w:hAnsi="Arial"/>
          <w:sz w:val="17"/>
          <w:szCs w:val="17"/>
          <w:color w:val="auto"/>
        </w:rPr>
        <w:t>. The words “execution,” “signed,” “signature” and words of like import in any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ind w:left="880"/>
        <w:spacing w:after="0"/>
        <w:tabs>
          <w:tab w:leader="none" w:pos="1900" w:val="left"/>
          <w:tab w:leader="none" w:pos="280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8"/>
          <w:szCs w:val="18"/>
          <w:b w:val="1"/>
          <w:bCs w:val="1"/>
          <w:color w:val="auto"/>
        </w:rPr>
        <w:t>Captions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headings used in this Agreement are for convenience only and shall not affect the interpretation of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18"/>
          <w:szCs w:val="18"/>
          <w:b w:val="1"/>
          <w:bCs w:val="1"/>
          <w:color w:val="auto"/>
        </w:rPr>
        <w:t>12.13 Construction of Agreement</w:t>
      </w:r>
      <w:r>
        <w:rPr>
          <w:rFonts w:ascii="Arial" w:cs="Arial" w:eastAsia="Arial" w:hAnsi="Arial"/>
          <w:sz w:val="18"/>
          <w:szCs w:val="18"/>
          <w:color w:val="auto"/>
        </w:rPr>
        <w:t>. The parties mutually acknowledge that they and their attorneys have participated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preparation and negotiation of this Agreement. In cases of uncertainty this Agreement shall be construed without regard to which of the parties caused the uncertainty to exist.</w:t>
      </w:r>
    </w:p>
    <w:p>
      <w:pPr>
        <w:spacing w:after="0" w:line="176"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12.14 Relationship</w:t>
      </w:r>
      <w:r>
        <w:rPr>
          <w:rFonts w:ascii="Arial" w:cs="Arial" w:eastAsia="Arial" w:hAnsi="Arial"/>
          <w:sz w:val="18"/>
          <w:szCs w:val="18"/>
          <w:color w:val="auto"/>
        </w:rPr>
        <w:t>. The relationship of the parties to this Agreement is determined solely by the provisions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do not 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12.15 Third Parties</w:t>
      </w:r>
      <w:r>
        <w:rPr>
          <w:rFonts w:ascii="Arial" w:cs="Arial" w:eastAsia="Arial" w:hAnsi="Arial"/>
          <w:sz w:val="18"/>
          <w:szCs w:val="18"/>
          <w:color w:val="auto"/>
        </w:rPr>
        <w:t>. Nothing in this Agreement, whether express or implied, is intended to: (a) confer any benefits, rights or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ind w:left="1740" w:hanging="868"/>
        <w:spacing w:after="0"/>
        <w:tabs>
          <w:tab w:leader="none" w:pos="17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the Loan Documents, the word “shall” is mandatory, the word “may” is permissive, the word “or” is not</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the 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Resolutions who is authorized to execute the Loan Documents, including any Credit Extension request, on behalf of Borrower.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documented audit fees and documented expenses, costs, and expenses (including reasonable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in connection with this Agreement and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0" w:name="page101"/>
    <w:bookmarkEnd w:id="100"/>
    <w:p>
      <w:pPr>
        <w:jc w:val="both"/>
        <w:ind w:firstLine="86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Borrower’s board of directors.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86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Collateral Account</w:t>
      </w:r>
      <w:r>
        <w:rPr>
          <w:rFonts w:ascii="Arial" w:cs="Arial" w:eastAsia="Arial" w:hAnsi="Arial"/>
          <w:sz w:val="16"/>
          <w:szCs w:val="16"/>
          <w:color w:val="auto"/>
        </w:rPr>
        <w:t>” means a separate segregated account of Borrower maintained with Bank, which is subject to the Cash Pledge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Collateralization</w:t>
      </w:r>
      <w:r>
        <w:rPr>
          <w:rFonts w:ascii="Arial" w:cs="Arial" w:eastAsia="Arial" w:hAnsi="Arial"/>
          <w:sz w:val="18"/>
          <w:szCs w:val="18"/>
          <w:color w:val="auto"/>
        </w:rPr>
        <w:t>” is defined in Section 6.11.</w:t>
      </w:r>
    </w:p>
    <w:p>
      <w:pPr>
        <w:spacing w:after="0" w:line="225" w:lineRule="exact"/>
        <w:rPr>
          <w:sz w:val="20"/>
          <w:szCs w:val="20"/>
          <w:color w:val="auto"/>
        </w:rPr>
      </w:pPr>
    </w:p>
    <w:p>
      <w:pPr>
        <w:jc w:val="both"/>
        <w:ind w:firstLine="86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(d) any investments with Bank or Bank’s Affiliates; and (e) money market funds at least ninety-five percent (95.0%) of the assets of which constitute Cash Equivalents of the kinds described in clauses (a) through (c) of this definition.</w:t>
      </w:r>
    </w:p>
    <w:p>
      <w:pPr>
        <w:spacing w:after="0" w:line="154"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Pledge Agreement</w:t>
      </w:r>
      <w:r>
        <w:rPr>
          <w:rFonts w:ascii="Arial" w:cs="Arial" w:eastAsia="Arial" w:hAnsi="Arial"/>
          <w:sz w:val="18"/>
          <w:szCs w:val="18"/>
          <w:color w:val="auto"/>
        </w:rPr>
        <w:t>” is that certain Cash Pledge Agreement dated as of the Effective Date, executed by Borrower in favor of Bank, as amended, modified, supplemented and/or restated from time to time.</w:t>
      </w:r>
    </w:p>
    <w:p>
      <w:pPr>
        <w:spacing w:after="0" w:line="16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forty-nine percent (49.0%) or more of the ordinary voting power for the election of directors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(or such shorter time as the Bank may agree in writing in is sole and absolute discretion) and provides to Bank a description of the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1" w:name="page102"/>
    <w:bookmarkEnd w:id="101"/>
    <w:p>
      <w:pPr>
        <w:jc w:val="both"/>
        <w:spacing w:after="0" w:line="290" w:lineRule="auto"/>
        <w:rPr>
          <w:sz w:val="20"/>
          <w:szCs w:val="20"/>
          <w:color w:val="auto"/>
        </w:rPr>
      </w:pPr>
      <w:r>
        <w:rPr>
          <w:rFonts w:ascii="Arial" w:cs="Arial" w:eastAsia="Arial" w:hAnsi="Arial"/>
          <w:sz w:val="16"/>
          <w:szCs w:val="16"/>
          <w:color w:val="auto"/>
        </w:rPr>
        <w:t>terms of the transaction;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capital stock of each Subsidiary of Borrower, other than in connection with a transaction permitted pursuant to Section 7.3 of this Agreement, free and clear of all Liens (except Liens created by this Agreement).</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Commonwealth of Massachusetts;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Commonwealth of Massachusetts, the term “</w:t>
      </w:r>
      <w:r>
        <w:rPr>
          <w:rFonts w:ascii="Arial" w:cs="Arial" w:eastAsia="Arial" w:hAnsi="Arial"/>
          <w:sz w:val="17"/>
          <w:szCs w:val="17"/>
          <w:b w:val="1"/>
          <w:bCs w:val="1"/>
          <w:color w:val="auto"/>
        </w:rPr>
        <w:t>Code</w:t>
      </w:r>
      <w:r>
        <w:rPr>
          <w:rFonts w:ascii="Arial" w:cs="Arial" w:eastAsia="Arial" w:hAnsi="Arial"/>
          <w:sz w:val="17"/>
          <w:szCs w:val="17"/>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Statement</w:t>
      </w:r>
      <w:r>
        <w:rPr>
          <w:rFonts w:ascii="Arial" w:cs="Arial" w:eastAsia="Arial" w:hAnsi="Arial"/>
          <w:sz w:val="18"/>
          <w:szCs w:val="18"/>
          <w:color w:val="auto"/>
        </w:rPr>
        <w:t xml:space="preserve">” is that certain statement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jc w:val="both"/>
        <w:ind w:firstLine="864"/>
        <w:spacing w:after="0" w:line="218"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w:t>
      </w:r>
      <w:r>
        <w:rPr>
          <w:rFonts w:ascii="MS PGothic" w:cs="MS PGothic" w:eastAsia="MS PGothic" w:hAnsi="MS PGothic"/>
          <w:sz w:val="16"/>
          <w:szCs w:val="16"/>
          <w:color w:val="auto"/>
        </w:rPr>
        <w:t>‑</w:t>
      </w:r>
      <w:r>
        <w:rPr>
          <w:rFonts w:ascii="Arial" w:cs="Arial" w:eastAsia="Arial" w:hAnsi="Arial"/>
          <w:sz w:val="16"/>
          <w:szCs w:val="16"/>
          <w:color w:val="auto"/>
        </w:rPr>
        <w:t>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202" w:lineRule="exact"/>
        <w:rPr>
          <w:sz w:val="20"/>
          <w:szCs w:val="20"/>
          <w:color w:val="auto"/>
        </w:rPr>
      </w:pPr>
    </w:p>
    <w:p>
      <w:pPr>
        <w:jc w:val="both"/>
        <w:ind w:firstLine="864"/>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42"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2" w:name="page103"/>
    <w:bookmarkEnd w:id="102"/>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the Term Loan Advance or any other extension of credit by Bank for Borrower’s benefit.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2.2(b).</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the account number ending 814 (last three digits) maintained by Borrower with Bank (provided, however, if no such account number is included, then the Designated Deposit Account shall be any deposit account of Borrower maintained with Bank as chosen by Bank).</w:t>
      </w:r>
    </w:p>
    <w:p>
      <w:pPr>
        <w:spacing w:after="0" w:line="176"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6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Subsidiary</w:t>
      </w:r>
      <w:r>
        <w:rPr>
          <w:rFonts w:ascii="Arial" w:cs="Arial" w:eastAsia="Arial" w:hAnsi="Arial"/>
          <w:sz w:val="16"/>
          <w:szCs w:val="16"/>
          <w:color w:val="auto"/>
        </w:rPr>
        <w:t>” means a Subsidiary organized under the laws of the United States or any or state or territory thereof or the District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Columbia.</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Milestone Event</w:t>
      </w:r>
      <w:r>
        <w:rPr>
          <w:rFonts w:ascii="Arial" w:cs="Arial" w:eastAsia="Arial" w:hAnsi="Arial"/>
          <w:sz w:val="18"/>
          <w:szCs w:val="18"/>
          <w:color w:val="auto"/>
        </w:rPr>
        <w:t>” means Borrower has provided Bank with evidence, satisfactory to Bank in its sole but reasonable discretion, that Borrower has received after June 30, 2020, unrestricted and unencumbered net cash proceeds from the issuance and sale of its equity securities to investors, in amounts: (i) of at least Six Million Dollars ($6,000,000.00) on or prior to March 31, 2021, (ii) of at least Twelve Million Dollars ($12,000,000.00) on or prior to June 30, 2021 (inclusive of amounts received pursuant to clause (i) hereof), (iii) of at least Sixteen Million Dollars ($16,000,000.00) on or prior to December 31, 2021 (inclusive of amounts received pursuant to clauses (i) and (ii) hereof); and (iv) sufficient to finance the Phase 3 Trial and the ongoing operations of the Borrower, as determined by Bank in its sole and absolute discretion on or prior to March 31, 2022 (exclusive of amounts received pursuant to clauses (i), (ii) and (iii) hereof).</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Requirement</w:t>
      </w:r>
      <w:r>
        <w:rPr>
          <w:rFonts w:ascii="Arial" w:cs="Arial" w:eastAsia="Arial" w:hAnsi="Arial"/>
          <w:sz w:val="18"/>
          <w:szCs w:val="18"/>
          <w:color w:val="auto"/>
        </w:rPr>
        <w:t>” is defined in Section 6.11.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3" w:name="page104"/>
    <w:bookmarkEnd w:id="103"/>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Dormant Subsidiary</w:t>
      </w:r>
      <w:r>
        <w:rPr>
          <w:rFonts w:ascii="Arial" w:cs="Arial" w:eastAsia="Arial" w:hAnsi="Arial"/>
          <w:sz w:val="18"/>
          <w:szCs w:val="18"/>
          <w:color w:val="auto"/>
        </w:rPr>
        <w:t>” means Trevi Therapeutics Limited and any other inactive or dormant Foreign Subsidiary.</w:t>
      </w:r>
    </w:p>
    <w:p>
      <w:pPr>
        <w:spacing w:after="0" w:line="225"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w:t>
      </w:r>
      <w:r>
        <w:rPr>
          <w:rFonts w:ascii="Arial" w:cs="Arial" w:eastAsia="Arial" w:hAnsi="Arial"/>
          <w:sz w:val="17"/>
          <w:szCs w:val="17"/>
          <w:color w:val="auto"/>
        </w:rPr>
        <w:t>” is a payment (in addition to and not in substitution for the regular monthly payments of principal plus accrued interest) equal to One Million One Hundred Ninety Thousand Dollars ($1,190,000.00) due on the earliest to occur of (a) the Term Loan Maturity Date, (b) the payment in full of the Term Loan Advance, (c) as required by Section 2.1.1(d) or Section 2.1.1(e), or (d) the termination of this Agreement.</w:t>
      </w:r>
    </w:p>
    <w:p>
      <w:pPr>
        <w:spacing w:after="0" w:line="158"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 Repository</w:t>
      </w:r>
      <w:r>
        <w:rPr>
          <w:rFonts w:ascii="Arial" w:cs="Arial" w:eastAsia="Arial" w:hAnsi="Arial"/>
          <w:sz w:val="18"/>
          <w:szCs w:val="18"/>
          <w:color w:val="auto"/>
        </w:rPr>
        <w:t>” is NECreditSolutions@svb.com or such other means of collecting information approved and designated by Bank in connection with administering the Loan Documents after providing notice thereof to Borrower from time to time.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“Foreign Subsidiary” </w:t>
      </w:r>
      <w:r>
        <w:rPr>
          <w:rFonts w:ascii="Arial" w:cs="Arial" w:eastAsia="Arial" w:hAnsi="Arial"/>
          <w:sz w:val="18"/>
          <w:szCs w:val="18"/>
          <w:color w:val="auto"/>
        </w:rPr>
        <w:t>means any Subsidiary which is not a Domestic Subsidiary.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3"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4" w:name="page105"/>
    <w:bookmarkEnd w:id="104"/>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2580" w:hanging="845"/>
        <w:spacing w:after="0"/>
        <w:tabs>
          <w:tab w:leader="none" w:pos="2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know-how, and operating manuals;</w:t>
      </w:r>
    </w:p>
    <w:p>
      <w:pPr>
        <w:spacing w:after="0" w:line="210" w:lineRule="exact"/>
        <w:rPr>
          <w:rFonts w:ascii="Arial" w:cs="Arial" w:eastAsia="Arial" w:hAnsi="Arial"/>
          <w:sz w:val="17"/>
          <w:szCs w:val="17"/>
          <w:color w:val="auto"/>
        </w:rPr>
      </w:pPr>
    </w:p>
    <w:p>
      <w:pPr>
        <w:ind w:left="2580" w:hanging="845"/>
        <w:spacing w:after="0"/>
        <w:tabs>
          <w:tab w:leader="none" w:pos="2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firstLine="1735"/>
        <w:spacing w:after="0" w:line="308" w:lineRule="auto"/>
        <w:tabs>
          <w:tab w:leader="none" w:pos="2575"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6" w:lineRule="exact"/>
        <w:rPr>
          <w:rFonts w:ascii="Arial" w:cs="Arial" w:eastAsia="Arial" w:hAnsi="Arial"/>
          <w:sz w:val="17"/>
          <w:szCs w:val="17"/>
          <w:color w:val="auto"/>
        </w:rPr>
      </w:pPr>
    </w:p>
    <w:p>
      <w:pPr>
        <w:ind w:left="2560" w:hanging="825"/>
        <w:spacing w:after="0"/>
        <w:tabs>
          <w:tab w:leader="none" w:pos="2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Jennifer Good as of the Effective Date, and (b) Chief Financial Officer, who is Christopher Seiter as of the Effective Date.</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Leasehold Improvements</w:t>
      </w:r>
      <w:r>
        <w:rPr>
          <w:rFonts w:ascii="Arial" w:cs="Arial" w:eastAsia="Arial" w:hAnsi="Arial"/>
          <w:sz w:val="18"/>
          <w:szCs w:val="18"/>
          <w:color w:val="auto"/>
        </w:rPr>
        <w:t xml:space="preserve">” are those certain leasehold improvements of Borrower as described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that are subject to Liens in favor of 195 Church Street Associates, LLC.</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the Perfection Certificate, the Cash Pledge Agreement, any Control Agreement, any Bank Services Agreement, any subordination agreement, any note, or notes or guaranties executed by Borrower, and any other present or future agreement by Borrower with or for the benefit of Bank in connection with this Agreement or Bank Services, all as amended, restated, or otherwise modified.</w:t>
      </w:r>
    </w:p>
    <w:p>
      <w:pPr>
        <w:spacing w:after="0" w:line="18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w:t>
      </w:r>
      <w:r>
        <w:rPr>
          <w:rFonts w:ascii="Arial" w:cs="Arial" w:eastAsia="Arial" w:hAnsi="Arial"/>
          <w:sz w:val="18"/>
          <w:szCs w:val="18"/>
          <w:color w:val="auto"/>
        </w:rPr>
        <w:t>” is defined in Section 2.5(b).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5" w:name="page106"/>
    <w:bookmarkEnd w:id="105"/>
    <w:p>
      <w:pPr>
        <w:jc w:val="both"/>
        <w:ind w:firstLine="86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are Borrower’s obligations to pay when due any debts, principal, interest, fees, Bank Expenses, the Prepayment Premium, the Final Payment and other amounts Borrower owes Bank now or later, whether under this Agreement, the other Loan Documents, or otherwise, including, without limitation, all obligations relating to Bank Services and any interest accruing after Insolvency Proceedings begin and debts, liabilities, or obligations of Borrower assigned to Bank, and to perform Borrower’s duties under the Loan Documents</w:t>
      </w:r>
    </w:p>
    <w:p>
      <w:pPr>
        <w:spacing w:after="0" w:line="165"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spacing w:after="0" w:line="2" w:lineRule="exact"/>
        <w:rPr>
          <w:sz w:val="20"/>
          <w:szCs w:val="20"/>
          <w:color w:val="auto"/>
        </w:rPr>
      </w:pPr>
    </w:p>
    <w:p>
      <w:pPr>
        <w:ind w:right="20" w:firstLine="8"/>
        <w:spacing w:after="0" w:line="260" w:lineRule="auto"/>
        <w:tabs>
          <w:tab w:leader="none" w:pos="258"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such Person is a partnership, its partnership agreement (or similar agreement), each of the foregoing with all current amendments or modifications thereto.</w:t>
      </w:r>
    </w:p>
    <w:p>
      <w:pPr>
        <w:spacing w:after="0" w:line="181" w:lineRule="exact"/>
        <w:rPr>
          <w:sz w:val="20"/>
          <w:szCs w:val="20"/>
          <w:color w:val="auto"/>
        </w:rPr>
      </w:pPr>
    </w:p>
    <w:p>
      <w:pPr>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“Paydown Payment</w:t>
      </w:r>
      <w:r>
        <w:rPr>
          <w:rFonts w:ascii="Arial" w:cs="Arial" w:eastAsia="Arial" w:hAnsi="Arial"/>
          <w:sz w:val="18"/>
          <w:szCs w:val="18"/>
          <w:color w:val="auto"/>
        </w:rPr>
        <w:t>” is defined in Section 6.11.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15"/>
          <w:szCs w:val="15"/>
          <w:color w:val="auto"/>
        </w:rPr>
        <w:t>st</w:t>
      </w:r>
      <w:r>
        <w:rPr>
          <w:rFonts w:ascii="Arial" w:cs="Arial" w:eastAsia="Arial" w:hAnsi="Arial"/>
          <w:sz w:val="18"/>
          <w:szCs w:val="18"/>
          <w:color w:val="auto"/>
        </w:rPr>
        <w:t>) calendar day of each month.</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Account</w:t>
      </w:r>
      <w:r>
        <w:rPr>
          <w:rFonts w:ascii="Arial" w:cs="Arial" w:eastAsia="Arial" w:hAnsi="Arial"/>
          <w:sz w:val="18"/>
          <w:szCs w:val="18"/>
          <w:color w:val="auto"/>
        </w:rPr>
        <w:t>” is defined in Section 6.6(a).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2580" w:hanging="845"/>
        <w:spacing w:after="0"/>
        <w:tabs>
          <w:tab w:leader="none" w:pos="2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existing on the Effective Date which is shown on the Perfection Certificate;</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business;</w:t>
      </w:r>
    </w:p>
    <w:p>
      <w:pPr>
        <w:spacing w:after="0" w:line="236" w:lineRule="exact"/>
        <w:rPr>
          <w:rFonts w:ascii="Arial" w:cs="Arial" w:eastAsia="Arial" w:hAnsi="Arial"/>
          <w:sz w:val="17"/>
          <w:szCs w:val="17"/>
          <w:color w:val="auto"/>
        </w:rPr>
      </w:pPr>
    </w:p>
    <w:p>
      <w:pPr>
        <w:ind w:left="2560" w:hanging="825"/>
        <w:spacing w:after="0"/>
        <w:tabs>
          <w:tab w:leader="none" w:pos="25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Indebtedness secured by Liens permitted under clauses (a) and (c) of the definition of Permitted Liens hereunder;</w:t>
      </w:r>
    </w:p>
    <w:p>
      <w:pPr>
        <w:spacing w:after="0" w:line="236" w:lineRule="exact"/>
        <w:rPr>
          <w:rFonts w:ascii="Arial" w:cs="Arial" w:eastAsia="Arial" w:hAnsi="Arial"/>
          <w:sz w:val="17"/>
          <w:szCs w:val="17"/>
          <w:color w:val="auto"/>
        </w:rPr>
      </w:pPr>
    </w:p>
    <w:p>
      <w:pPr>
        <w:jc w:val="both"/>
        <w:ind w:firstLine="1735"/>
        <w:spacing w:after="0" w:line="286" w:lineRule="auto"/>
        <w:tabs>
          <w:tab w:leader="none" w:pos="2585"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Indebtedness owed to any person with respect to premiums payable for property, casualty, or other insurance, so long as such Indebtedness shall not be in excess of the amount of the unpaid cost of, and shall be incurred only to defer the cost of, such insurance for the year in which such Indebtedness is incurred and such Indebtedness shall be outstanding only during such year;</w:t>
      </w:r>
    </w:p>
    <w:p>
      <w:pPr>
        <w:spacing w:after="0" w:line="165" w:lineRule="exact"/>
        <w:rPr>
          <w:rFonts w:ascii="Arial" w:cs="Arial" w:eastAsia="Arial" w:hAnsi="Arial"/>
          <w:sz w:val="17"/>
          <w:szCs w:val="17"/>
          <w:color w:val="auto"/>
        </w:rPr>
      </w:pPr>
    </w:p>
    <w:p>
      <w:pPr>
        <w:ind w:left="2600" w:hanging="865"/>
        <w:spacing w:after="0"/>
        <w:tabs>
          <w:tab w:leader="none" w:pos="26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intercompany Indebtedness permitted as a Permitted Investment under clause (d) of the definition thereof;</w:t>
      </w:r>
    </w:p>
    <w:p>
      <w:pPr>
        <w:spacing w:after="0" w:line="225" w:lineRule="exact"/>
        <w:rPr>
          <w:rFonts w:ascii="Arial" w:cs="Arial" w:eastAsia="Arial" w:hAnsi="Arial"/>
          <w:sz w:val="18"/>
          <w:szCs w:val="18"/>
          <w:color w:val="auto"/>
        </w:rPr>
      </w:pPr>
    </w:p>
    <w:p>
      <w:pPr>
        <w:ind w:left="2560" w:hanging="825"/>
        <w:spacing w:after="0"/>
        <w:tabs>
          <w:tab w:leader="none" w:pos="2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other unsecured Indebtedness not to exceed One Hundred Thousand Dollars ($100,000.00) in the aggregate at any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6" w:name="page107"/>
    <w:bookmarkEnd w:id="106"/>
    <w:p>
      <w:pPr>
        <w:jc w:val="both"/>
        <w:ind w:firstLine="1735"/>
        <w:spacing w:after="0" w:line="263" w:lineRule="auto"/>
        <w:tabs>
          <w:tab w:leader="none" w:pos="25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(i) above, provided that the principal amount thereof is not increased or the terms thereof are not modified to impose more burdensome terms upon Borrower or its Subsidiary, as the case may be.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740"/>
        <w:spacing w:after="0"/>
        <w:tabs>
          <w:tab w:leader="none" w:pos="256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Investments (including, without limitation, Subsidiaries) existing on the Effective Date which are shown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Perfection Certificate;</w:t>
      </w:r>
    </w:p>
    <w:p>
      <w:pPr>
        <w:spacing w:after="0" w:line="211" w:lineRule="exact"/>
        <w:rPr>
          <w:sz w:val="20"/>
          <w:szCs w:val="20"/>
          <w:color w:val="auto"/>
        </w:rPr>
      </w:pPr>
    </w:p>
    <w:p>
      <w:pPr>
        <w:ind w:left="2600" w:hanging="865"/>
        <w:spacing w:after="0"/>
        <w:tabs>
          <w:tab w:leader="none" w:pos="2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83" w:lineRule="exact"/>
        <w:rPr>
          <w:rFonts w:ascii="Arial" w:cs="Arial" w:eastAsia="Arial" w:hAnsi="Arial"/>
          <w:sz w:val="18"/>
          <w:szCs w:val="18"/>
          <w:color w:val="auto"/>
        </w:rPr>
      </w:pPr>
    </w:p>
    <w:p>
      <w:pPr>
        <w:ind w:left="2600" w:hanging="865"/>
        <w:spacing w:after="0"/>
        <w:tabs>
          <w:tab w:leader="none" w:pos="2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Investments by one Borrower in another Borrower;</w:t>
      </w:r>
    </w:p>
    <w:p>
      <w:pPr>
        <w:spacing w:after="0" w:line="225" w:lineRule="exact"/>
        <w:rPr>
          <w:rFonts w:ascii="Arial" w:cs="Arial" w:eastAsia="Arial" w:hAnsi="Arial"/>
          <w:sz w:val="18"/>
          <w:szCs w:val="18"/>
          <w:color w:val="auto"/>
        </w:rPr>
      </w:pPr>
    </w:p>
    <w:p>
      <w:pPr>
        <w:ind w:firstLine="1735"/>
        <w:spacing w:after="0" w:line="277" w:lineRule="auto"/>
        <w:tabs>
          <w:tab w:leader="none" w:pos="25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Investments not otherwise permitted by Section 7.7, not exceeding One Hundred Thousand Dollars ($100,000.00) in the aggregate outstanding at any time.</w:t>
      </w:r>
    </w:p>
    <w:p>
      <w:pPr>
        <w:spacing w:after="0" w:line="170" w:lineRule="exact"/>
        <w:rPr>
          <w:rFonts w:ascii="Arial" w:cs="Arial" w:eastAsia="Arial" w:hAnsi="Arial"/>
          <w:sz w:val="18"/>
          <w:szCs w:val="18"/>
          <w:color w:val="auto"/>
        </w:rPr>
      </w:pPr>
    </w:p>
    <w:p>
      <w:pPr>
        <w:ind w:left="2560" w:hanging="825"/>
        <w:spacing w:after="0"/>
        <w:tabs>
          <w:tab w:leader="none" w:pos="2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ordinary course of business;</w:t>
      </w:r>
    </w:p>
    <w:p>
      <w:pPr>
        <w:spacing w:after="0" w:line="210" w:lineRule="exact"/>
        <w:rPr>
          <w:rFonts w:ascii="Arial" w:cs="Arial" w:eastAsia="Arial" w:hAnsi="Arial"/>
          <w:sz w:val="16"/>
          <w:szCs w:val="16"/>
          <w:color w:val="auto"/>
        </w:rPr>
      </w:pPr>
    </w:p>
    <w:p>
      <w:pPr>
        <w:ind w:firstLine="1735"/>
        <w:spacing w:after="0" w:line="277" w:lineRule="auto"/>
        <w:tabs>
          <w:tab w:leader="none" w:pos="25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Investments consisting of deposit accounts (only to the extent that Borrower is permitted to maintain such accounts pursuant to Section 6.6) in which Bank has a first priority perfected security interest to the extent required pursuant to Section 6.6;</w:t>
      </w:r>
    </w:p>
    <w:p>
      <w:pPr>
        <w:spacing w:after="0" w:line="170" w:lineRule="exact"/>
        <w:rPr>
          <w:rFonts w:ascii="Arial" w:cs="Arial" w:eastAsia="Arial" w:hAnsi="Arial"/>
          <w:sz w:val="18"/>
          <w:szCs w:val="18"/>
          <w:color w:val="auto"/>
        </w:rPr>
      </w:pPr>
    </w:p>
    <w:p>
      <w:pPr>
        <w:ind w:left="2600" w:hanging="865"/>
        <w:spacing w:after="0"/>
        <w:tabs>
          <w:tab w:leader="none" w:pos="2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5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Investments consisting of notes receivable of, or prepaid royalties and other credit extensions, to customers and suppliers who are not Affiliates, in the ordinary course of business; provided that this paragraph (i) shall not apply to Investments of Borrower in any Subsidiary; and</w:t>
      </w:r>
    </w:p>
    <w:p>
      <w:pPr>
        <w:spacing w:after="0" w:line="183" w:lineRule="exact"/>
        <w:rPr>
          <w:rFonts w:ascii="Arial" w:cs="Arial" w:eastAsia="Arial" w:hAnsi="Arial"/>
          <w:sz w:val="18"/>
          <w:szCs w:val="18"/>
          <w:color w:val="auto"/>
        </w:rPr>
      </w:pPr>
    </w:p>
    <w:p>
      <w:pPr>
        <w:ind w:firstLine="1735"/>
        <w:spacing w:after="0" w:line="308" w:lineRule="auto"/>
        <w:tabs>
          <w:tab w:leader="none" w:pos="2545"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2580" w:hanging="845"/>
        <w:spacing w:after="0"/>
        <w:tabs>
          <w:tab w:leader="none" w:pos="2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Loan Documents;</w:t>
      </w:r>
    </w:p>
    <w:p>
      <w:pPr>
        <w:spacing w:after="0" w:line="211" w:lineRule="exact"/>
        <w:rPr>
          <w:sz w:val="20"/>
          <w:szCs w:val="20"/>
          <w:color w:val="auto"/>
        </w:rPr>
      </w:pPr>
    </w:p>
    <w:p>
      <w:pPr>
        <w:jc w:val="both"/>
        <w:ind w:firstLine="1735"/>
        <w:spacing w:after="0" w:line="263" w:lineRule="auto"/>
        <w:tabs>
          <w:tab w:leader="none" w:pos="258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183" w:lineRule="exact"/>
        <w:rPr>
          <w:rFonts w:ascii="Arial" w:cs="Arial" w:eastAsia="Arial" w:hAnsi="Arial"/>
          <w:sz w:val="18"/>
          <w:szCs w:val="18"/>
          <w:color w:val="auto"/>
        </w:rPr>
      </w:pPr>
    </w:p>
    <w:p>
      <w:pPr>
        <w:jc w:val="both"/>
        <w:ind w:firstLine="1735"/>
        <w:spacing w:after="0" w:line="286" w:lineRule="auto"/>
        <w:tabs>
          <w:tab w:leader="none" w:pos="2575"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purchase money Liens or capital leases (i) on Equipment acquired or held by Borrower incurred for financing the acquisition of the Equipment securing no more than Two Hundred Fifty Thousand Dollars ($250,000.00) in the aggregate amount outstanding, or (ii) existing on Equipment when acquired,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the Lien is confined to the property and improvements and the proceeds of the Equipment;</w:t>
      </w:r>
    </w:p>
    <w:p>
      <w:pPr>
        <w:spacing w:after="0" w:line="165" w:lineRule="exact"/>
        <w:rPr>
          <w:rFonts w:ascii="Arial" w:cs="Arial" w:eastAsia="Arial" w:hAnsi="Arial"/>
          <w:sz w:val="17"/>
          <w:szCs w:val="17"/>
          <w:color w:val="auto"/>
        </w:rPr>
      </w:pPr>
    </w:p>
    <w:p>
      <w:pPr>
        <w:ind w:firstLine="1735"/>
        <w:spacing w:after="0" w:line="277" w:lineRule="auto"/>
        <w:tabs>
          <w:tab w:leader="none" w:pos="2585" w:val="left"/>
        </w:tabs>
        <w:numPr>
          <w:ilvl w:val="0"/>
          <w:numId w:val="96"/>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(or, if referring to another Person, in the ordinary course of such Person’s business), and leases, subleases,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7" w:name="page108"/>
    <w:bookmarkEnd w:id="107"/>
    <w:p>
      <w:pPr>
        <w:jc w:val="both"/>
        <w:spacing w:after="0" w:line="263" w:lineRule="auto"/>
        <w:rPr>
          <w:sz w:val="20"/>
          <w:szCs w:val="20"/>
          <w:color w:val="auto"/>
        </w:rPr>
      </w:pPr>
      <w:r>
        <w:rPr>
          <w:rFonts w:ascii="Arial" w:cs="Arial" w:eastAsia="Arial" w:hAnsi="Arial"/>
          <w:sz w:val="18"/>
          <w:szCs w:val="18"/>
          <w:color w:val="auto"/>
        </w:rPr>
        <w:t xml:space="preserve">exclusive licenses or sublicenses of personal property (other than Intellectual Property) granted in the ordinary course of Borrower’s business (or, if referring to another Person, in the ordinary course of such Person’s business),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leases, subleases, licenses and sublicenses do not prohibit granting Bank a security interest therein;</w:t>
      </w:r>
    </w:p>
    <w:p>
      <w:pPr>
        <w:spacing w:after="0" w:line="184" w:lineRule="exact"/>
        <w:rPr>
          <w:sz w:val="20"/>
          <w:szCs w:val="20"/>
          <w:color w:val="auto"/>
        </w:rPr>
      </w:pPr>
    </w:p>
    <w:p>
      <w:pPr>
        <w:jc w:val="both"/>
        <w:ind w:firstLine="1735"/>
        <w:spacing w:after="0" w:line="279" w:lineRule="auto"/>
        <w:tabs>
          <w:tab w:leader="none" w:pos="2575" w:val="left"/>
        </w:tabs>
        <w:numPr>
          <w:ilvl w:val="0"/>
          <w:numId w:val="97"/>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securing liabilities in the aggregate amount not to exceed One Hundred Thousand Dollars ($100,000.00),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1" w:lineRule="exact"/>
        <w:rPr>
          <w:rFonts w:ascii="Arial" w:cs="Arial" w:eastAsia="Arial" w:hAnsi="Arial"/>
          <w:sz w:val="17"/>
          <w:szCs w:val="17"/>
          <w:color w:val="auto"/>
        </w:rPr>
      </w:pPr>
    </w:p>
    <w:p>
      <w:pPr>
        <w:ind w:left="2560" w:hanging="825"/>
        <w:spacing w:after="0"/>
        <w:tabs>
          <w:tab w:leader="none" w:pos="25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non-exclusive licenses of Intellectual Property granted to third parties in the ordinary course of business;</w:t>
      </w:r>
    </w:p>
    <w:p>
      <w:pPr>
        <w:spacing w:after="0" w:line="225" w:lineRule="exact"/>
        <w:rPr>
          <w:rFonts w:ascii="Arial" w:cs="Arial" w:eastAsia="Arial" w:hAnsi="Arial"/>
          <w:sz w:val="18"/>
          <w:szCs w:val="18"/>
          <w:color w:val="auto"/>
        </w:rPr>
      </w:pPr>
    </w:p>
    <w:p>
      <w:pPr>
        <w:ind w:firstLine="1735"/>
        <w:spacing w:after="0" w:line="277" w:lineRule="auto"/>
        <w:tabs>
          <w:tab w:leader="none" w:pos="25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left="2600" w:hanging="865"/>
        <w:spacing w:after="0"/>
        <w:tabs>
          <w:tab w:leader="none" w:pos="26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Sections 8.4 and 8.7;</w:t>
      </w:r>
    </w:p>
    <w:p>
      <w:pPr>
        <w:spacing w:after="0" w:line="210" w:lineRule="exact"/>
        <w:rPr>
          <w:rFonts w:ascii="Arial" w:cs="Arial" w:eastAsia="Arial" w:hAnsi="Arial"/>
          <w:sz w:val="16"/>
          <w:szCs w:val="16"/>
          <w:color w:val="auto"/>
        </w:rPr>
      </w:pPr>
    </w:p>
    <w:p>
      <w:pPr>
        <w:jc w:val="both"/>
        <w:ind w:firstLine="1735"/>
        <w:spacing w:after="0" w:line="311" w:lineRule="auto"/>
        <w:tabs>
          <w:tab w:leader="none" w:pos="2545" w:val="left"/>
        </w:tabs>
        <w:numPr>
          <w:ilvl w:val="0"/>
          <w:numId w:val="97"/>
        </w:numPr>
        <w:rPr>
          <w:rFonts w:ascii="Arial" w:cs="Arial" w:eastAsia="Arial" w:hAnsi="Arial"/>
          <w:sz w:val="16"/>
          <w:szCs w:val="16"/>
          <w:color w:val="auto"/>
        </w:rPr>
      </w:pPr>
      <w:r>
        <w:rPr>
          <w:rFonts w:ascii="Arial" w:cs="Arial" w:eastAsia="Arial" w:hAnsi="Arial"/>
          <w:sz w:val="16"/>
          <w:szCs w:val="16"/>
          <w:color w:val="auto"/>
        </w:rPr>
        <w:t>Liens in favor of other financial institutions arising in connection with Borrower’s deposit and/or securities accounts held at such institutions, provided that (i) Bank has a first priority perfected security interest in the amounts held in such deposit and/or securities accounts to the extent required pursuant to Section 6.6 of this Agreement, and (ii) such accounts are permitted pursuant to Section 6.6 of this Agreement;</w:t>
      </w:r>
    </w:p>
    <w:p>
      <w:pPr>
        <w:spacing w:after="0" w:line="148" w:lineRule="exact"/>
        <w:rPr>
          <w:rFonts w:ascii="Arial" w:cs="Arial" w:eastAsia="Arial" w:hAnsi="Arial"/>
          <w:sz w:val="16"/>
          <w:szCs w:val="16"/>
          <w:color w:val="auto"/>
        </w:rPr>
      </w:pPr>
    </w:p>
    <w:p>
      <w:pPr>
        <w:ind w:left="2560" w:hanging="825"/>
        <w:spacing w:after="0"/>
        <w:tabs>
          <w:tab w:leader="none" w:pos="25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filing of financing statements solely as a precautionary measure in connection with operating leases;</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5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easements, zoning restrictions, rights-of-way, minor defects or irregularities of title and other similar encumbrances on real property imposed by law or arising in the ordinary course of business that do not secure any monetary obligations and do not interfere with the ordinary course of business Borrower’s business in any material respect;</w:t>
      </w:r>
    </w:p>
    <w:p>
      <w:pPr>
        <w:spacing w:after="0" w:line="183" w:lineRule="exact"/>
        <w:rPr>
          <w:rFonts w:ascii="Arial" w:cs="Arial" w:eastAsia="Arial" w:hAnsi="Arial"/>
          <w:sz w:val="18"/>
          <w:szCs w:val="18"/>
          <w:color w:val="auto"/>
        </w:rPr>
      </w:pPr>
    </w:p>
    <w:p>
      <w:pPr>
        <w:ind w:left="2560" w:hanging="825"/>
        <w:spacing w:after="0"/>
        <w:tabs>
          <w:tab w:leader="none" w:pos="25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Liens granted in the ordinary course of business securing the financing of insurance premiums; and</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6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(l),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80"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Phase 3 Event</w:t>
      </w:r>
      <w:r>
        <w:rPr>
          <w:rFonts w:ascii="Arial" w:cs="Arial" w:eastAsia="Arial" w:hAnsi="Arial"/>
          <w:sz w:val="18"/>
          <w:szCs w:val="18"/>
          <w:color w:val="auto"/>
        </w:rPr>
        <w:t>” occurs if and when (if ever) Bank confirms in writing that it has received evidence, satisfactory to Bank in its sole and absolute discretion, that Borrower has received (a) positive data for the PRISM Trial, sufficient to advance Borrower into a Phase 3 clinical trial with respect to Prurigo Nodularis (the “</w:t>
      </w:r>
      <w:r>
        <w:rPr>
          <w:rFonts w:ascii="Arial" w:cs="Arial" w:eastAsia="Arial" w:hAnsi="Arial"/>
          <w:sz w:val="18"/>
          <w:szCs w:val="18"/>
          <w:b w:val="1"/>
          <w:bCs w:val="1"/>
          <w:color w:val="auto"/>
        </w:rPr>
        <w:t>Phase 3 Trial</w:t>
      </w:r>
      <w:r>
        <w:rPr>
          <w:rFonts w:ascii="Arial" w:cs="Arial" w:eastAsia="Arial" w:hAnsi="Arial"/>
          <w:sz w:val="18"/>
          <w:szCs w:val="18"/>
          <w:color w:val="auto"/>
        </w:rPr>
        <w:t>”), and (b) after June 30, 2020, but on or prior to March 31, 2022, unrestricted and unencumbered net cash proceeds in satisfaction of clause (iv) of the definition of Equity Milestone Event.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Phase 3 Trial</w:t>
      </w:r>
      <w:r>
        <w:rPr>
          <w:rFonts w:ascii="Arial" w:cs="Arial" w:eastAsia="Arial" w:hAnsi="Arial"/>
          <w:sz w:val="18"/>
          <w:szCs w:val="18"/>
          <w:color w:val="auto"/>
        </w:rPr>
        <w:t>” is defined in the definition of Phase 3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8" w:name="page109"/>
    <w:bookmarkEnd w:id="108"/>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Prepayment Premium</w:t>
      </w:r>
      <w:r>
        <w:rPr>
          <w:rFonts w:ascii="Arial" w:cs="Arial" w:eastAsia="Arial" w:hAnsi="Arial"/>
          <w:sz w:val="17"/>
          <w:szCs w:val="17"/>
          <w:color w:val="auto"/>
        </w:rPr>
        <w:t>” shall be an additional fee, payable to Bank, with respect to the Term Loan Advance, in an amount equal to:</w:t>
      </w:r>
    </w:p>
    <w:p>
      <w:pPr>
        <w:spacing w:after="0" w:line="241" w:lineRule="exact"/>
        <w:rPr>
          <w:sz w:val="20"/>
          <w:szCs w:val="20"/>
          <w:color w:val="auto"/>
        </w:rPr>
      </w:pPr>
    </w:p>
    <w:p>
      <w:pPr>
        <w:ind w:right="180" w:firstLine="1735"/>
        <w:spacing w:after="0" w:line="308" w:lineRule="auto"/>
        <w:tabs>
          <w:tab w:leader="none" w:pos="2575"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for a prepayment of the Term Loan Advance made on or prior to the first (1</w:t>
      </w:r>
      <w:r>
        <w:rPr>
          <w:rFonts w:ascii="Arial" w:cs="Arial" w:eastAsia="Arial" w:hAnsi="Arial"/>
          <w:sz w:val="14"/>
          <w:szCs w:val="14"/>
          <w:color w:val="auto"/>
        </w:rPr>
        <w:t>st</w:t>
      </w:r>
      <w:r>
        <w:rPr>
          <w:rFonts w:ascii="Arial" w:cs="Arial" w:eastAsia="Arial" w:hAnsi="Arial"/>
          <w:sz w:val="17"/>
          <w:szCs w:val="17"/>
          <w:color w:val="auto"/>
        </w:rPr>
        <w:t>) anniversary of the Effective Date, three percent (3.0%) of the then outstanding principal amount of the Term Loan Advance immediately prior to the date of such prepayment;</w:t>
      </w:r>
    </w:p>
    <w:p>
      <w:pPr>
        <w:spacing w:after="0" w:line="146" w:lineRule="exact"/>
        <w:rPr>
          <w:rFonts w:ascii="Arial" w:cs="Arial" w:eastAsia="Arial" w:hAnsi="Arial"/>
          <w:sz w:val="17"/>
          <w:szCs w:val="17"/>
          <w:color w:val="auto"/>
        </w:rPr>
      </w:pPr>
    </w:p>
    <w:p>
      <w:pPr>
        <w:jc w:val="both"/>
        <w:ind w:right="80" w:firstLine="1735"/>
        <w:spacing w:after="0" w:line="263" w:lineRule="auto"/>
        <w:tabs>
          <w:tab w:leader="none" w:pos="25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a prepayment of the Term Loan Advance made after the first (1</w:t>
      </w:r>
      <w:r>
        <w:rPr>
          <w:rFonts w:ascii="Arial" w:cs="Arial" w:eastAsia="Arial" w:hAnsi="Arial"/>
          <w:sz w:val="15"/>
          <w:szCs w:val="15"/>
          <w:color w:val="auto"/>
        </w:rPr>
        <w:t>st</w:t>
      </w:r>
      <w:r>
        <w:rPr>
          <w:rFonts w:ascii="Arial" w:cs="Arial" w:eastAsia="Arial" w:hAnsi="Arial"/>
          <w:sz w:val="18"/>
          <w:szCs w:val="18"/>
          <w:color w:val="auto"/>
        </w:rPr>
        <w:t>) anniversary of the Effective Date, but on or prior to the second (2</w:t>
      </w:r>
      <w:r>
        <w:rPr>
          <w:rFonts w:ascii="Arial" w:cs="Arial" w:eastAsia="Arial" w:hAnsi="Arial"/>
          <w:sz w:val="15"/>
          <w:szCs w:val="15"/>
          <w:color w:val="auto"/>
        </w:rPr>
        <w:t>nd</w:t>
      </w:r>
      <w:r>
        <w:rPr>
          <w:rFonts w:ascii="Arial" w:cs="Arial" w:eastAsia="Arial" w:hAnsi="Arial"/>
          <w:sz w:val="18"/>
          <w:szCs w:val="18"/>
          <w:color w:val="auto"/>
        </w:rPr>
        <w:t>) anniversary of the 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two percent (2.0%) of the then outstanding principal amount of the Term Loan Advance immediately prior to the date of such prepayment; and</w:t>
      </w:r>
    </w:p>
    <w:p>
      <w:pPr>
        <w:spacing w:after="0" w:line="183" w:lineRule="exact"/>
        <w:rPr>
          <w:rFonts w:ascii="Arial" w:cs="Arial" w:eastAsia="Arial" w:hAnsi="Arial"/>
          <w:sz w:val="18"/>
          <w:szCs w:val="18"/>
          <w:color w:val="auto"/>
        </w:rPr>
      </w:pPr>
    </w:p>
    <w:p>
      <w:pPr>
        <w:ind w:firstLine="1735"/>
        <w:spacing w:after="0" w:line="263" w:lineRule="auto"/>
        <w:tabs>
          <w:tab w:leader="none" w:pos="2575"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a prepayment of the Term Loan Advance made after the second (2</w:t>
      </w:r>
      <w:r>
        <w:rPr>
          <w:rFonts w:ascii="Arial" w:cs="Arial" w:eastAsia="Arial" w:hAnsi="Arial"/>
          <w:sz w:val="15"/>
          <w:szCs w:val="15"/>
          <w:color w:val="auto"/>
        </w:rPr>
        <w:t>nd</w:t>
      </w:r>
      <w:r>
        <w:rPr>
          <w:rFonts w:ascii="Arial" w:cs="Arial" w:eastAsia="Arial" w:hAnsi="Arial"/>
          <w:sz w:val="18"/>
          <w:szCs w:val="18"/>
          <w:color w:val="auto"/>
        </w:rPr>
        <w:t>) anniversary of the Effective Date, but prior to the Term Loan Maturity Date, one percent (1.0%) of the then outstanding principal amount of the Term Loan Advance immediately prior to the date of such prepayment.</w:t>
      </w:r>
    </w:p>
    <w:p>
      <w:pPr>
        <w:spacing w:after="0" w:line="18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Notwithstanding the foregoing, provided no Event of Default has occurred and is continuing, the Prepayment Premium shall be waived by Bank, if Bank closes on the refinance of the Term Loan Advance and redocumentation of this Agreement (in its sole and absolute discretion) prior to the Term Loan Maturity Date.</w:t>
      </w:r>
    </w:p>
    <w:p>
      <w:pPr>
        <w:spacing w:after="0" w:line="180"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PRISM Trial</w:t>
      </w:r>
      <w:r>
        <w:rPr>
          <w:rFonts w:ascii="Arial" w:cs="Arial" w:eastAsia="Arial" w:hAnsi="Arial"/>
          <w:sz w:val="18"/>
          <w:szCs w:val="18"/>
          <w:color w:val="auto"/>
        </w:rPr>
        <w:t>” is Borrower’s Pruritus Relief through Itch-Scratch Modulation clinical trial to evaluate the efficacy of Nalbuphine ER.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is defined in Section 6.2(c).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9" w:name="page110"/>
    <w:bookmarkEnd w:id="109"/>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is defined in Section 2.1.1(a).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February 1, 2024.</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is defined in Section 6.11.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0" w:name="page111"/>
    <w:bookmarkEnd w:id="110"/>
    <w:p>
      <w:pPr>
        <w:ind w:firstLine="864"/>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a sealed instrument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as of the Effective Date.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TREVI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Chris Seiter</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r>
      <w:tr>
        <w:trPr>
          <w:trHeight w:val="190"/>
        </w:trPr>
        <w:tc>
          <w:tcPr>
            <w:tcW w:w="600" w:type="dxa"/>
            <w:vAlign w:val="bottom"/>
            <w:gridSpan w:val="2"/>
          </w:tcPr>
          <w:p>
            <w:pPr>
              <w:spacing w:after="0" w:line="189" w:lineRule="exact"/>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ind w:left="140"/>
              <w:spacing w:after="0" w:line="189" w:lineRule="exact"/>
              <w:rPr>
                <w:sz w:val="20"/>
                <w:szCs w:val="20"/>
                <w:color w:val="auto"/>
              </w:rPr>
            </w:pPr>
            <w:r>
              <w:rPr>
                <w:rFonts w:ascii="Arial" w:cs="Arial" w:eastAsia="Arial" w:hAnsi="Arial"/>
                <w:sz w:val="18"/>
                <w:szCs w:val="18"/>
                <w:color w:val="auto"/>
              </w:rPr>
              <w:t>Chris Seiter</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34201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Lauren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2829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2829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u w:val="single" w:color="auto"/>
          <w:color w:val="auto"/>
        </w:rPr>
        <w:t>EXHIBIT A – COLLATERAL DESCRIPTION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84" w:lineRule="exact"/>
        <w:rPr>
          <w:sz w:val="20"/>
          <w:szCs w:val="20"/>
          <w:color w:val="auto"/>
        </w:rPr>
      </w:pPr>
    </w:p>
    <w:p>
      <w:pPr>
        <w:jc w:val="both"/>
        <w:ind w:right="20" w:firstLine="864"/>
        <w:spacing w:after="0" w:line="291" w:lineRule="auto"/>
        <w:rPr>
          <w:sz w:val="20"/>
          <w:szCs w:val="20"/>
          <w:color w:val="auto"/>
        </w:rPr>
      </w:pPr>
      <w:r>
        <w:rPr>
          <w:rFonts w:ascii="Arial" w:cs="Arial" w:eastAsia="Arial" w:hAnsi="Arial"/>
          <w:sz w:val="16"/>
          <w:szCs w:val="16"/>
          <w:color w:val="auto"/>
        </w:rPr>
        <w:t>Notwithstanding the foregoing, the Collateral does not include any Intellectual Property; provided, however, the Collateral shall include all Accounts and all proceeds of Intellectual Property. Notwithstanding the foregoing, the Collateral does not include: (a) any Excluded Dormant Subsidiary;</w:t>
      </w:r>
    </w:p>
    <w:p>
      <w:pPr>
        <w:jc w:val="both"/>
        <w:ind w:firstLine="8"/>
        <w:spacing w:after="0" w:line="268" w:lineRule="auto"/>
        <w:tabs>
          <w:tab w:leader="none" w:pos="262"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interest of Borrower as a lessee or sublessee under a real property lease; (c) Leasehold Improvements; and (d) any property to the extent that such grant of security interest is prohibited by any Requirement of Law of a Governmental Authority or constitutes a breach or default under or results in the termination of or requires any consent not obtained under, any contract, license, agreement, instrument or other document evidencing or giving rise to such property, except to the extent that such Requirement of Law or the term in such contract, license, agreement, instrument or other document providing for such prohibition, breach, default or termination or requiring such consent is ineffective under Section 9-406, 9-407, 9-408 or 9-409 of the Code (or any successor provision or provisions) of any relevant jurisdiction or any other applicable law (including the Bankruptcy Code) or principles of equity; provided, however, that such security interest shall attach immediately at such time as such Requirement of Law is not effective or applicable, or such prohibition, breach, default or termination is no longer applicable or is waived, and to the extent severable, shall attach immediately to any portion of the Collateral that does not result in such consequences.</w:t>
      </w:r>
    </w:p>
    <w:p>
      <w:pPr>
        <w:spacing w:after="0" w:line="181" w:lineRule="exact"/>
        <w:rPr>
          <w:sz w:val="20"/>
          <w:szCs w:val="20"/>
          <w:color w:val="auto"/>
        </w:rPr>
      </w:pPr>
    </w:p>
    <w:p>
      <w:pPr>
        <w:ind w:right="40" w:firstLine="864"/>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720" w:type="dxa"/>
            <w:vAlign w:val="bottom"/>
          </w:tcPr>
          <w:p>
            <w:pPr>
              <w:spacing w:after="0"/>
              <w:rPr>
                <w:sz w:val="17"/>
                <w:szCs w:val="17"/>
                <w:color w:val="auto"/>
              </w:rPr>
            </w:pPr>
          </w:p>
        </w:tc>
      </w:tr>
      <w:tr>
        <w:trPr>
          <w:trHeight w:val="412"/>
        </w:trPr>
        <w:tc>
          <w:tcPr>
            <w:tcW w:w="6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COMPLIANCE STATEMENT</w:t>
            </w:r>
          </w:p>
        </w:tc>
      </w:tr>
      <w:tr>
        <w:trPr>
          <w:trHeight w:val="453"/>
        </w:trPr>
        <w:tc>
          <w:tcPr>
            <w:tcW w:w="620" w:type="dxa"/>
            <w:vAlign w:val="bottom"/>
          </w:tcPr>
          <w:p>
            <w:pPr>
              <w:spacing w:after="0"/>
              <w:rPr>
                <w:sz w:val="20"/>
                <w:szCs w:val="20"/>
                <w:color w:val="auto"/>
              </w:rPr>
            </w:pPr>
            <w:r>
              <w:rPr>
                <w:rFonts w:ascii="Arial" w:cs="Arial" w:eastAsia="Arial" w:hAnsi="Arial"/>
                <w:sz w:val="18"/>
                <w:szCs w:val="18"/>
                <w:color w:val="auto"/>
              </w:rPr>
              <w:t>TO:</w:t>
            </w:r>
          </w:p>
        </w:tc>
        <w:tc>
          <w:tcPr>
            <w:tcW w:w="6200" w:type="dxa"/>
            <w:vAlign w:val="bottom"/>
            <w:gridSpan w:val="4"/>
          </w:tcPr>
          <w:p>
            <w:pPr>
              <w:ind w:left="320"/>
              <w:spacing w:after="0"/>
              <w:rPr>
                <w:sz w:val="20"/>
                <w:szCs w:val="20"/>
                <w:color w:val="auto"/>
              </w:rPr>
            </w:pPr>
            <w:r>
              <w:rPr>
                <w:rFonts w:ascii="Arial" w:cs="Arial" w:eastAsia="Arial" w:hAnsi="Arial"/>
                <w:sz w:val="18"/>
                <w:szCs w:val="18"/>
                <w:color w:val="auto"/>
              </w:rPr>
              <w:t>SILICON VALLEY BANKDate:</w:t>
            </w:r>
          </w:p>
        </w:tc>
      </w:tr>
    </w:tbl>
    <w:p>
      <w:pPr>
        <w:spacing w:after="0"/>
        <w:rPr>
          <w:sz w:val="20"/>
          <w:szCs w:val="20"/>
          <w:color w:val="auto"/>
        </w:rPr>
      </w:pPr>
      <w:r>
        <w:rPr>
          <w:rFonts w:ascii="Arial" w:cs="Arial" w:eastAsia="Arial" w:hAnsi="Arial"/>
          <w:sz w:val="18"/>
          <w:szCs w:val="18"/>
          <w:color w:val="auto"/>
        </w:rPr>
        <w:t>FROM: TREVI THERAPEUTICS, INC.</w:t>
      </w:r>
    </w:p>
    <w:p>
      <w:pPr>
        <w:spacing w:after="0" w:line="211"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Under the terms and conditions of the Loan and Security Agreement between Borrower and Bank (the “Agreement”) Borrower is in complete compliance for the period ending _______________ with all required covenants except as noted below. Attached are the required documents evidencing</w:t>
      </w:r>
    </w:p>
    <w:p>
      <w:pPr>
        <w:jc w:val="both"/>
        <w:spacing w:after="0" w:line="277" w:lineRule="auto"/>
        <w:rPr>
          <w:sz w:val="20"/>
          <w:szCs w:val="20"/>
          <w:color w:val="auto"/>
        </w:rPr>
      </w:pPr>
      <w:r>
        <w:rPr>
          <w:rFonts w:ascii="Arial" w:cs="Arial" w:eastAsia="Arial" w:hAnsi="Arial"/>
          <w:sz w:val="17"/>
          <w:szCs w:val="17"/>
          <w:color w:val="auto"/>
        </w:rPr>
        <w:t>such compliance, setting forth calculations prepared in accordance with GAAP consistently applied from one period to the next except as explained in an accompanying letter or footnotes (except, with respect to unaudited financial statements, for the absence of footnotes and subject to year-end adjustments). Capitalized terms used but not otherwise defined herein shall have the meanings given them in the Agreement.</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23"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49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Reporting Covenants</w:t>
            </w:r>
          </w:p>
        </w:tc>
        <w:tc>
          <w:tcPr>
            <w:tcW w:w="3600" w:type="dxa"/>
            <w:vAlign w:val="bottom"/>
            <w:tcBorders>
              <w:top w:val="single" w:sz="8" w:color="auto"/>
              <w:right w:val="single" w:sz="8" w:color="auto"/>
            </w:tcBorders>
            <w:gridSpan w:val="3"/>
          </w:tcPr>
          <w:p>
            <w:pPr>
              <w:ind w:left="1440"/>
              <w:spacing w:after="0" w:line="189" w:lineRule="exact"/>
              <w:rPr>
                <w:sz w:val="20"/>
                <w:szCs w:val="20"/>
                <w:color w:val="auto"/>
              </w:rPr>
            </w:pPr>
            <w:r>
              <w:rPr>
                <w:rFonts w:ascii="Arial" w:cs="Arial" w:eastAsia="Arial" w:hAnsi="Arial"/>
                <w:sz w:val="18"/>
                <w:szCs w:val="18"/>
                <w:b w:val="1"/>
                <w:bCs w:val="1"/>
                <w:color w:val="auto"/>
              </w:rPr>
              <w:t>Required</w:t>
            </w:r>
          </w:p>
        </w:tc>
        <w:tc>
          <w:tcPr>
            <w:tcW w:w="2240" w:type="dxa"/>
            <w:vAlign w:val="bottom"/>
            <w:tcBorders>
              <w:top w:val="single" w:sz="8" w:color="auto"/>
              <w:right w:val="single" w:sz="8" w:color="auto"/>
            </w:tcBorders>
            <w:gridSpan w:val="4"/>
          </w:tcPr>
          <w:p>
            <w:pPr>
              <w:ind w:left="760"/>
              <w:spacing w:after="0" w:line="189" w:lineRule="exact"/>
              <w:rPr>
                <w:sz w:val="20"/>
                <w:szCs w:val="20"/>
                <w:color w:val="auto"/>
              </w:rPr>
            </w:pPr>
            <w:r>
              <w:rPr>
                <w:rFonts w:ascii="Arial" w:cs="Arial" w:eastAsia="Arial" w:hAnsi="Arial"/>
                <w:sz w:val="18"/>
                <w:szCs w:val="18"/>
                <w:b w:val="1"/>
                <w:bCs w:val="1"/>
                <w:color w:val="auto"/>
              </w:rPr>
              <w:t>Complies</w:t>
            </w:r>
          </w:p>
        </w:tc>
      </w:tr>
      <w:tr>
        <w:trPr>
          <w:trHeight w:val="34"/>
        </w:trPr>
        <w:tc>
          <w:tcPr>
            <w:tcW w:w="120" w:type="dxa"/>
            <w:vAlign w:val="bottom"/>
            <w:tcBorders>
              <w:left w:val="single" w:sz="8" w:color="auto"/>
              <w:bottom w:val="single" w:sz="8" w:color="auto"/>
            </w:tcBorders>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4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Monthly financial statements</w:t>
            </w:r>
          </w:p>
        </w:tc>
        <w:tc>
          <w:tcPr>
            <w:tcW w:w="36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Monthly within 30 days</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4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Monthly Compliance Statement</w:t>
            </w:r>
          </w:p>
        </w:tc>
        <w:tc>
          <w:tcPr>
            <w:tcW w:w="36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Monthly within 30 days</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4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Quarterly financial statements</w:t>
            </w:r>
          </w:p>
        </w:tc>
        <w:tc>
          <w:tcPr>
            <w:tcW w:w="36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Quarterly within 45 days</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4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Annual financial statements (CPA Audited)</w:t>
            </w:r>
          </w:p>
        </w:tc>
        <w:tc>
          <w:tcPr>
            <w:tcW w:w="36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FYE within 75 days</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195"/>
        </w:trPr>
        <w:tc>
          <w:tcPr>
            <w:tcW w:w="120" w:type="dxa"/>
            <w:vAlign w:val="bottom"/>
            <w:tcBorders>
              <w:left w:val="single" w:sz="8" w:color="auto"/>
            </w:tcBorders>
          </w:tcPr>
          <w:p>
            <w:pPr>
              <w:spacing w:after="0"/>
              <w:rPr>
                <w:sz w:val="16"/>
                <w:szCs w:val="16"/>
                <w:color w:val="auto"/>
              </w:rPr>
            </w:pPr>
          </w:p>
        </w:tc>
        <w:tc>
          <w:tcPr>
            <w:tcW w:w="494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Quarterly Compliance Statement</w:t>
            </w:r>
          </w:p>
        </w:tc>
        <w:tc>
          <w:tcPr>
            <w:tcW w:w="36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w w:val="92"/>
              </w:rPr>
              <w:t>Quarterly within 45 days; within 75 days for the</w:t>
            </w:r>
          </w:p>
        </w:tc>
        <w:tc>
          <w:tcPr>
            <w:tcW w:w="760" w:type="dxa"/>
            <w:vAlign w:val="bottom"/>
          </w:tcPr>
          <w:p>
            <w:pPr>
              <w:spacing w:after="0"/>
              <w:rPr>
                <w:sz w:val="16"/>
                <w:szCs w:val="16"/>
                <w:color w:val="auto"/>
              </w:rPr>
            </w:pPr>
          </w:p>
        </w:tc>
        <w:tc>
          <w:tcPr>
            <w:tcW w:w="380" w:type="dxa"/>
            <w:vAlign w:val="bottom"/>
          </w:tcPr>
          <w:p>
            <w:pPr>
              <w:ind w:left="40"/>
              <w:spacing w:after="0" w:line="195" w:lineRule="exact"/>
              <w:rPr>
                <w:sz w:val="20"/>
                <w:szCs w:val="20"/>
                <w:color w:val="auto"/>
              </w:rPr>
            </w:pPr>
            <w:r>
              <w:rPr>
                <w:rFonts w:ascii="Arial" w:cs="Arial" w:eastAsia="Arial" w:hAnsi="Arial"/>
                <w:sz w:val="18"/>
                <w:szCs w:val="18"/>
                <w:color w:val="auto"/>
              </w:rPr>
              <w:t>Yes</w:t>
            </w:r>
          </w:p>
        </w:tc>
        <w:tc>
          <w:tcPr>
            <w:tcW w:w="110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quarter ending December 31</w:t>
            </w: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494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Board projections</w:t>
            </w:r>
          </w:p>
        </w:tc>
        <w:tc>
          <w:tcPr>
            <w:tcW w:w="36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w w:val="98"/>
              </w:rPr>
              <w:t>FYE within 30 days and contemporaneously</w:t>
            </w:r>
          </w:p>
        </w:tc>
        <w:tc>
          <w:tcPr>
            <w:tcW w:w="760" w:type="dxa"/>
            <w:vAlign w:val="bottom"/>
          </w:tcPr>
          <w:p>
            <w:pPr>
              <w:spacing w:after="0"/>
              <w:rPr>
                <w:sz w:val="16"/>
                <w:szCs w:val="16"/>
                <w:color w:val="auto"/>
              </w:rPr>
            </w:pPr>
          </w:p>
        </w:tc>
        <w:tc>
          <w:tcPr>
            <w:tcW w:w="380" w:type="dxa"/>
            <w:vAlign w:val="bottom"/>
          </w:tcPr>
          <w:p>
            <w:pPr>
              <w:ind w:left="40"/>
              <w:spacing w:after="0" w:line="195" w:lineRule="exact"/>
              <w:rPr>
                <w:sz w:val="20"/>
                <w:szCs w:val="20"/>
                <w:color w:val="auto"/>
              </w:rPr>
            </w:pPr>
            <w:r>
              <w:rPr>
                <w:rFonts w:ascii="Arial" w:cs="Arial" w:eastAsia="Arial" w:hAnsi="Arial"/>
                <w:sz w:val="18"/>
                <w:szCs w:val="18"/>
                <w:color w:val="auto"/>
              </w:rPr>
              <w:t>Yes</w:t>
            </w:r>
          </w:p>
        </w:tc>
        <w:tc>
          <w:tcPr>
            <w:tcW w:w="110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2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3300" w:type="dxa"/>
            <w:vAlign w:val="bottom"/>
            <w:tcBorders>
              <w:right w:val="single" w:sz="8" w:color="auto"/>
            </w:tcBorders>
          </w:tcPr>
          <w:p>
            <w:pPr>
              <w:spacing w:after="0"/>
              <w:rPr>
                <w:sz w:val="20"/>
                <w:szCs w:val="20"/>
                <w:color w:val="auto"/>
              </w:rPr>
            </w:pPr>
          </w:p>
        </w:tc>
        <w:tc>
          <w:tcPr>
            <w:tcW w:w="3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with any updates or changes thereto</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r>
      <w:tr>
        <w:trPr>
          <w:trHeight w:val="68"/>
        </w:trPr>
        <w:tc>
          <w:tcPr>
            <w:tcW w:w="120" w:type="dxa"/>
            <w:vAlign w:val="bottom"/>
            <w:tcBorders>
              <w:left w:val="single" w:sz="8" w:color="auto"/>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330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4940" w:type="dxa"/>
            <w:vAlign w:val="bottom"/>
            <w:tcBorders>
              <w:bottom w:val="single" w:sz="8" w:color="auto"/>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 10</w:t>
            </w:r>
            <w:r>
              <w:rPr>
                <w:rFonts w:ascii="MS PGothic" w:cs="MS PGothic" w:eastAsia="MS PGothic" w:hAnsi="MS PGothic"/>
                <w:sz w:val="18"/>
                <w:szCs w:val="18"/>
                <w:color w:val="auto"/>
              </w:rPr>
              <w:t>‑</w:t>
            </w:r>
            <w:r>
              <w:rPr>
                <w:rFonts w:ascii="Arial" w:cs="Arial" w:eastAsia="Arial" w:hAnsi="Arial"/>
                <w:sz w:val="18"/>
                <w:szCs w:val="18"/>
                <w:color w:val="auto"/>
              </w:rPr>
              <w:t>K and 8-K</w:t>
            </w:r>
          </w:p>
        </w:tc>
        <w:tc>
          <w:tcPr>
            <w:tcW w:w="36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Within 5 days after filing with SEC</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bl>
    <w:p>
      <w:pPr>
        <w:spacing w:after="0" w:line="200" w:lineRule="exact"/>
        <w:rPr>
          <w:sz w:val="20"/>
          <w:szCs w:val="20"/>
          <w:color w:val="auto"/>
        </w:rPr>
      </w:pP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Other Matters</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8"/>
        </w:trPr>
        <w:tc>
          <w:tcPr>
            <w:tcW w:w="8280" w:type="dxa"/>
            <w:vAlign w:val="bottom"/>
            <w:gridSpan w:val="3"/>
          </w:tcPr>
          <w:p>
            <w:pPr>
              <w:spacing w:after="0"/>
              <w:rPr>
                <w:sz w:val="20"/>
                <w:szCs w:val="20"/>
                <w:color w:val="auto"/>
              </w:rPr>
            </w:pPr>
            <w:r>
              <w:rPr>
                <w:rFonts w:ascii="Arial" w:cs="Arial" w:eastAsia="Arial" w:hAnsi="Arial"/>
                <w:sz w:val="18"/>
                <w:szCs w:val="18"/>
                <w:color w:val="auto"/>
              </w:rPr>
              <w:t>Have there been any amendments of or other changes to the capitalization table of Borrower and to the</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280" w:type="dxa"/>
            <w:vAlign w:val="bottom"/>
            <w:gridSpan w:val="3"/>
          </w:tcPr>
          <w:p>
            <w:pPr>
              <w:spacing w:after="0"/>
              <w:rPr>
                <w:sz w:val="20"/>
                <w:szCs w:val="20"/>
                <w:color w:val="auto"/>
              </w:rPr>
            </w:pPr>
            <w:r>
              <w:rPr>
                <w:rFonts w:ascii="Arial" w:cs="Arial" w:eastAsia="Arial" w:hAnsi="Arial"/>
                <w:sz w:val="18"/>
                <w:szCs w:val="18"/>
                <w:color w:val="auto"/>
                <w:w w:val="95"/>
              </w:rPr>
              <w:t>Operating Documents of Borrower or any of its Subsidiaries? If yes, provide copies of any such amendments</w:t>
            </w:r>
          </w:p>
        </w:tc>
        <w:tc>
          <w:tcPr>
            <w:tcW w:w="1160" w:type="dxa"/>
            <w:vAlign w:val="bottom"/>
          </w:tcPr>
          <w:p>
            <w:pPr>
              <w:ind w:left="300"/>
              <w:spacing w:after="0"/>
              <w:rPr>
                <w:sz w:val="20"/>
                <w:szCs w:val="20"/>
                <w:color w:val="auto"/>
              </w:rPr>
            </w:pPr>
            <w:r>
              <w:rPr>
                <w:rFonts w:ascii="Arial" w:cs="Arial" w:eastAsia="Arial" w:hAnsi="Arial"/>
                <w:sz w:val="18"/>
                <w:szCs w:val="18"/>
                <w:color w:val="auto"/>
              </w:rPr>
              <w:t>Yes</w:t>
            </w:r>
          </w:p>
        </w:tc>
        <w:tc>
          <w:tcPr>
            <w:tcW w:w="840" w:type="dxa"/>
            <w:vAlign w:val="bottom"/>
          </w:tcPr>
          <w:p>
            <w:pPr>
              <w:ind w:left="620"/>
              <w:spacing w:after="0"/>
              <w:rPr>
                <w:sz w:val="20"/>
                <w:szCs w:val="20"/>
                <w:color w:val="auto"/>
              </w:rPr>
            </w:pPr>
            <w:r>
              <w:rPr>
                <w:rFonts w:ascii="Arial" w:cs="Arial" w:eastAsia="Arial" w:hAnsi="Arial"/>
                <w:sz w:val="18"/>
                <w:szCs w:val="18"/>
                <w:color w:val="auto"/>
                <w:w w:val="86"/>
              </w:rPr>
              <w:t>No</w:t>
            </w:r>
          </w:p>
        </w:tc>
      </w:tr>
      <w:tr>
        <w:trPr>
          <w:trHeight w:val="230"/>
        </w:trPr>
        <w:tc>
          <w:tcPr>
            <w:tcW w:w="8280" w:type="dxa"/>
            <w:vAlign w:val="bottom"/>
            <w:gridSpan w:val="3"/>
          </w:tcPr>
          <w:p>
            <w:pPr>
              <w:spacing w:after="0"/>
              <w:rPr>
                <w:sz w:val="20"/>
                <w:szCs w:val="20"/>
                <w:color w:val="auto"/>
              </w:rPr>
            </w:pPr>
            <w:r>
              <w:rPr>
                <w:rFonts w:ascii="Arial" w:cs="Arial" w:eastAsia="Arial" w:hAnsi="Arial"/>
                <w:sz w:val="18"/>
                <w:szCs w:val="18"/>
                <w:color w:val="auto"/>
              </w:rPr>
              <w:t>or changes with this Compliance Statement.</w:t>
            </w: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are the exceptions with respect to the statements above: (If no exceptions exist, state “No exceptions to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8"/>
          <w:szCs w:val="18"/>
          <w:b w:val="1"/>
          <w:bCs w:val="1"/>
          <w:u w:val="single" w:color="auto"/>
          <w:color w:val="auto"/>
        </w:rPr>
        <w:t>EXHIBIT C – LOAN PAYMENT/ADVANCE REQUEST FORM</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OON</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ASTERN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IME</w:t>
      </w:r>
    </w:p>
    <w:p>
      <w:pPr>
        <w:spacing w:after="0" w:line="200" w:lineRule="exact"/>
        <w:rPr>
          <w:sz w:val="20"/>
          <w:szCs w:val="20"/>
          <w:color w:val="auto"/>
        </w:r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Fax To:</w:t>
            </w:r>
          </w:p>
        </w:tc>
        <w:tc>
          <w:tcPr>
            <w:tcW w:w="1880" w:type="dxa"/>
            <w:vAlign w:val="bottom"/>
          </w:tcPr>
          <w:p>
            <w:pPr>
              <w:spacing w:after="0"/>
              <w:rPr>
                <w:sz w:val="20"/>
                <w:szCs w:val="20"/>
                <w:color w:val="auto"/>
              </w:rPr>
            </w:pPr>
          </w:p>
        </w:tc>
        <w:tc>
          <w:tcPr>
            <w:tcW w:w="5820" w:type="dxa"/>
            <w:vAlign w:val="bottom"/>
          </w:tcPr>
          <w:p>
            <w:pPr>
              <w:jc w:val="right"/>
              <w:ind w:right="1122"/>
              <w:spacing w:after="0"/>
              <w:rPr>
                <w:sz w:val="20"/>
                <w:szCs w:val="20"/>
                <w:color w:val="auto"/>
              </w:rPr>
            </w:pPr>
            <w:r>
              <w:rPr>
                <w:rFonts w:ascii="Arial" w:cs="Arial" w:eastAsia="Arial" w:hAnsi="Arial"/>
                <w:sz w:val="18"/>
                <w:szCs w:val="18"/>
                <w:color w:val="auto"/>
              </w:rPr>
              <w:t>Date: _____________________</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540" w:type="dxa"/>
            <w:vAlign w:val="bottom"/>
            <w:tcBorders>
              <w:lef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4"/>
                <w:szCs w:val="14"/>
                <w:b w:val="1"/>
                <w:bCs w:val="1"/>
                <w:color w:val="auto"/>
              </w:rPr>
              <w:t>:</w:t>
            </w:r>
          </w:p>
        </w:tc>
        <w:tc>
          <w:tcPr>
            <w:tcW w:w="18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w w:val="98"/>
              </w:rPr>
              <w:t>TREVI THERAPEUTICS, INC.</w:t>
            </w:r>
          </w:p>
        </w:tc>
        <w:tc>
          <w:tcPr>
            <w:tcW w:w="5820" w:type="dxa"/>
            <w:vAlign w:val="bottom"/>
            <w:tcBorders>
              <w:right w:val="single" w:sz="8" w:color="auto"/>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3540" w:type="dxa"/>
            <w:vAlign w:val="bottom"/>
            <w:tcBorders>
              <w:left w:val="single" w:sz="8" w:color="auto"/>
            </w:tcBorders>
            <w:vMerge w:val="continue"/>
          </w:tcPr>
          <w:p>
            <w:pPr>
              <w:spacing w:after="0"/>
              <w:rPr>
                <w:sz w:val="5"/>
                <w:szCs w:val="5"/>
                <w:color w:val="auto"/>
              </w:rPr>
            </w:pPr>
          </w:p>
        </w:tc>
        <w:tc>
          <w:tcPr>
            <w:tcW w:w="1880" w:type="dxa"/>
            <w:vAlign w:val="bottom"/>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354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w w:val="99"/>
              </w:rPr>
              <w:t>From Account #________________________________</w:t>
            </w:r>
          </w:p>
        </w:tc>
        <w:tc>
          <w:tcPr>
            <w:tcW w:w="7700" w:type="dxa"/>
            <w:vAlign w:val="bottom"/>
            <w:tcBorders>
              <w:right w:val="single" w:sz="8" w:color="auto"/>
            </w:tcBorders>
            <w:gridSpan w:val="2"/>
          </w:tcPr>
          <w:p>
            <w:pPr>
              <w:jc w:val="right"/>
              <w:ind w:right="2182"/>
              <w:spacing w:after="0"/>
              <w:rPr>
                <w:sz w:val="20"/>
                <w:szCs w:val="20"/>
                <w:color w:val="auto"/>
              </w:rPr>
            </w:pPr>
            <w:r>
              <w:rPr>
                <w:rFonts w:ascii="Arial" w:cs="Arial" w:eastAsia="Arial" w:hAnsi="Arial"/>
                <w:sz w:val="14"/>
                <w:szCs w:val="14"/>
                <w:color w:val="auto"/>
              </w:rPr>
              <w:t>To Account #_________________________________________</w:t>
            </w:r>
          </w:p>
        </w:tc>
        <w:tc>
          <w:tcPr>
            <w:tcW w:w="0" w:type="dxa"/>
            <w:vAlign w:val="bottom"/>
          </w:tcPr>
          <w:p>
            <w:pPr>
              <w:spacing w:after="0"/>
              <w:rPr>
                <w:sz w:val="1"/>
                <w:szCs w:val="1"/>
                <w:color w:val="auto"/>
              </w:rPr>
            </w:pPr>
          </w:p>
        </w:tc>
      </w:tr>
      <w:tr>
        <w:trPr>
          <w:trHeight w:val="182"/>
        </w:trPr>
        <w:tc>
          <w:tcPr>
            <w:tcW w:w="3540" w:type="dxa"/>
            <w:vAlign w:val="bottom"/>
            <w:tcBorders>
              <w:left w:val="single" w:sz="8" w:color="auto"/>
            </w:tcBorders>
          </w:tcPr>
          <w:p>
            <w:pPr>
              <w:ind w:left="1920"/>
              <w:spacing w:after="0"/>
              <w:rPr>
                <w:sz w:val="20"/>
                <w:szCs w:val="20"/>
                <w:color w:val="auto"/>
              </w:rPr>
            </w:pPr>
            <w:r>
              <w:rPr>
                <w:rFonts w:ascii="Arial" w:cs="Arial" w:eastAsia="Arial" w:hAnsi="Arial"/>
                <w:sz w:val="14"/>
                <w:szCs w:val="14"/>
                <w:color w:val="auto"/>
              </w:rPr>
              <w:t>(Deposit Account #)</w:t>
            </w:r>
          </w:p>
        </w:tc>
        <w:tc>
          <w:tcPr>
            <w:tcW w:w="1880" w:type="dxa"/>
            <w:vAlign w:val="bottom"/>
          </w:tcPr>
          <w:p>
            <w:pPr>
              <w:spacing w:after="0"/>
              <w:rPr>
                <w:sz w:val="15"/>
                <w:szCs w:val="15"/>
                <w:color w:val="auto"/>
              </w:rPr>
            </w:pPr>
          </w:p>
        </w:tc>
        <w:tc>
          <w:tcPr>
            <w:tcW w:w="5820" w:type="dxa"/>
            <w:vAlign w:val="bottom"/>
            <w:tcBorders>
              <w:right w:val="single" w:sz="8" w:color="auto"/>
            </w:tcBorders>
          </w:tcPr>
          <w:p>
            <w:pPr>
              <w:jc w:val="right"/>
              <w:ind w:right="3042"/>
              <w:spacing w:after="0"/>
              <w:rPr>
                <w:sz w:val="20"/>
                <w:szCs w:val="20"/>
                <w:color w:val="auto"/>
              </w:rPr>
            </w:pPr>
            <w:r>
              <w:rPr>
                <w:rFonts w:ascii="Arial" w:cs="Arial" w:eastAsia="Arial" w:hAnsi="Arial"/>
                <w:sz w:val="14"/>
                <w:szCs w:val="14"/>
                <w:color w:val="auto"/>
              </w:rPr>
              <w:t>(Loan Account #)</w:t>
            </w:r>
          </w:p>
        </w:tc>
        <w:tc>
          <w:tcPr>
            <w:tcW w:w="0" w:type="dxa"/>
            <w:vAlign w:val="bottom"/>
          </w:tcPr>
          <w:p>
            <w:pPr>
              <w:spacing w:after="0"/>
              <w:rPr>
                <w:sz w:val="1"/>
                <w:szCs w:val="1"/>
                <w:color w:val="auto"/>
              </w:rPr>
            </w:pPr>
          </w:p>
        </w:tc>
      </w:tr>
      <w:tr>
        <w:trPr>
          <w:trHeight w:val="263"/>
        </w:trPr>
        <w:tc>
          <w:tcPr>
            <w:tcW w:w="354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rPr>
              <w:t>Principal $____________________________________</w:t>
            </w:r>
          </w:p>
        </w:tc>
        <w:tc>
          <w:tcPr>
            <w:tcW w:w="7700" w:type="dxa"/>
            <w:vAlign w:val="bottom"/>
            <w:tcBorders>
              <w:right w:val="single" w:sz="8" w:color="auto"/>
            </w:tcBorders>
            <w:gridSpan w:val="2"/>
          </w:tcPr>
          <w:p>
            <w:pPr>
              <w:jc w:val="right"/>
              <w:ind w:right="2182"/>
              <w:spacing w:after="0"/>
              <w:rPr>
                <w:sz w:val="20"/>
                <w:szCs w:val="20"/>
                <w:color w:val="auto"/>
              </w:rPr>
            </w:pPr>
            <w:r>
              <w:rPr>
                <w:rFonts w:ascii="Arial" w:cs="Arial" w:eastAsia="Arial" w:hAnsi="Arial"/>
                <w:sz w:val="14"/>
                <w:szCs w:val="14"/>
                <w:color w:val="auto"/>
              </w:rPr>
              <w:t>and/or Interest $_______________________________________</w:t>
            </w:r>
          </w:p>
        </w:tc>
        <w:tc>
          <w:tcPr>
            <w:tcW w:w="0" w:type="dxa"/>
            <w:vAlign w:val="bottom"/>
          </w:tcPr>
          <w:p>
            <w:pPr>
              <w:spacing w:after="0"/>
              <w:rPr>
                <w:sz w:val="1"/>
                <w:szCs w:val="1"/>
                <w:color w:val="auto"/>
              </w:rPr>
            </w:pPr>
          </w:p>
        </w:tc>
      </w:tr>
      <w:tr>
        <w:trPr>
          <w:trHeight w:val="148"/>
        </w:trPr>
        <w:tc>
          <w:tcPr>
            <w:tcW w:w="3540" w:type="dxa"/>
            <w:vAlign w:val="bottom"/>
            <w:tcBorders>
              <w:left w:val="single" w:sz="8" w:color="auto"/>
            </w:tcBorders>
          </w:tcPr>
          <w:p>
            <w:pPr>
              <w:ind w:left="60"/>
              <w:spacing w:after="0" w:line="149" w:lineRule="exact"/>
              <w:rPr>
                <w:sz w:val="20"/>
                <w:szCs w:val="20"/>
                <w:color w:val="auto"/>
              </w:rPr>
            </w:pPr>
            <w:r>
              <w:rPr>
                <w:rFonts w:ascii="Arial" w:cs="Arial" w:eastAsia="Arial" w:hAnsi="Arial"/>
                <w:sz w:val="14"/>
                <w:szCs w:val="14"/>
                <w:color w:val="auto"/>
                <w:w w:val="93"/>
              </w:rPr>
              <w:t>Authorized Signature:______________________________</w:t>
            </w:r>
          </w:p>
        </w:tc>
        <w:tc>
          <w:tcPr>
            <w:tcW w:w="1880" w:type="dxa"/>
            <w:vAlign w:val="bottom"/>
          </w:tcPr>
          <w:p>
            <w:pPr>
              <w:spacing w:after="0"/>
              <w:rPr>
                <w:sz w:val="12"/>
                <w:szCs w:val="12"/>
                <w:color w:val="auto"/>
              </w:rPr>
            </w:pPr>
          </w:p>
        </w:tc>
        <w:tc>
          <w:tcPr>
            <w:tcW w:w="5820" w:type="dxa"/>
            <w:vAlign w:val="bottom"/>
            <w:tcBorders>
              <w:right w:val="single" w:sz="8" w:color="auto"/>
            </w:tcBorders>
          </w:tcPr>
          <w:p>
            <w:pPr>
              <w:jc w:val="right"/>
              <w:ind w:right="2162"/>
              <w:spacing w:after="0" w:line="149" w:lineRule="exact"/>
              <w:rPr>
                <w:sz w:val="20"/>
                <w:szCs w:val="20"/>
                <w:color w:val="auto"/>
              </w:rPr>
            </w:pPr>
            <w:r>
              <w:rPr>
                <w:rFonts w:ascii="Arial" w:cs="Arial" w:eastAsia="Arial" w:hAnsi="Arial"/>
                <w:sz w:val="14"/>
                <w:szCs w:val="14"/>
                <w:color w:val="auto"/>
              </w:rPr>
              <w:t>Phone Number:______________________________</w:t>
            </w:r>
          </w:p>
        </w:tc>
        <w:tc>
          <w:tcPr>
            <w:tcW w:w="0" w:type="dxa"/>
            <w:vAlign w:val="bottom"/>
          </w:tcPr>
          <w:p>
            <w:pPr>
              <w:spacing w:after="0"/>
              <w:rPr>
                <w:sz w:val="1"/>
                <w:szCs w:val="1"/>
                <w:color w:val="auto"/>
              </w:rPr>
            </w:pPr>
          </w:p>
        </w:tc>
      </w:tr>
      <w:tr>
        <w:trPr>
          <w:trHeight w:val="182"/>
        </w:trPr>
        <w:tc>
          <w:tcPr>
            <w:tcW w:w="3540" w:type="dxa"/>
            <w:vAlign w:val="bottom"/>
            <w:tcBorders>
              <w:left w:val="single" w:sz="8" w:color="auto"/>
            </w:tcBorders>
          </w:tcPr>
          <w:p>
            <w:pPr>
              <w:ind w:left="60"/>
              <w:spacing w:after="0"/>
              <w:rPr>
                <w:sz w:val="20"/>
                <w:szCs w:val="20"/>
                <w:color w:val="auto"/>
              </w:rPr>
            </w:pPr>
            <w:r>
              <w:rPr>
                <w:rFonts w:ascii="Arial" w:cs="Arial" w:eastAsia="Arial" w:hAnsi="Arial"/>
                <w:sz w:val="14"/>
                <w:szCs w:val="14"/>
                <w:color w:val="auto"/>
                <w:w w:val="94"/>
              </w:rPr>
              <w:t>Print Name/Title: _________________________________</w:t>
            </w:r>
          </w:p>
        </w:tc>
        <w:tc>
          <w:tcPr>
            <w:tcW w:w="1880" w:type="dxa"/>
            <w:vAlign w:val="bottom"/>
          </w:tcPr>
          <w:p>
            <w:pPr>
              <w:spacing w:after="0"/>
              <w:rPr>
                <w:sz w:val="15"/>
                <w:szCs w:val="15"/>
                <w:color w:val="auto"/>
              </w:rPr>
            </w:pPr>
          </w:p>
        </w:tc>
        <w:tc>
          <w:tcPr>
            <w:tcW w:w="5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540" w:type="dxa"/>
            <w:vAlign w:val="bottom"/>
            <w:tcBorders>
              <w:left w:val="single" w:sz="8" w:color="auto"/>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5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27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27762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DVANCE</w:t>
      </w:r>
      <w:r>
        <w:rPr>
          <w:rFonts w:ascii="Arial" w:cs="Arial" w:eastAsia="Arial" w:hAnsi="Arial"/>
          <w:sz w:val="14"/>
          <w:szCs w:val="14"/>
          <w:b w:val="1"/>
          <w:bCs w:val="1"/>
          <w:color w:val="auto"/>
        </w:rPr>
        <w: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Complete </w:t>
      </w:r>
      <w:r>
        <w:rPr>
          <w:rFonts w:ascii="Arial" w:cs="Arial" w:eastAsia="Arial" w:hAnsi="Arial"/>
          <w:sz w:val="14"/>
          <w:szCs w:val="14"/>
          <w:i w:val="1"/>
          <w:iCs w:val="1"/>
          <w:color w:val="auto"/>
        </w:rPr>
        <w:t>Outgoing Wire Request</w:t>
      </w:r>
      <w:r>
        <w:rPr>
          <w:rFonts w:ascii="Arial" w:cs="Arial" w:eastAsia="Arial" w:hAnsi="Arial"/>
          <w:sz w:val="14"/>
          <w:szCs w:val="14"/>
          <w:color w:val="auto"/>
        </w:rPr>
        <w:t xml:space="preserve"> section below if all or a portion of the funds from this loan advance are for an outgoing wire.</w:t>
      </w:r>
    </w:p>
    <w:p>
      <w:pPr>
        <w:ind w:left="60"/>
        <w:spacing w:after="0"/>
        <w:tabs>
          <w:tab w:leader="none" w:pos="5220" w:val="left"/>
        </w:tabs>
        <w:rPr>
          <w:sz w:val="20"/>
          <w:szCs w:val="20"/>
          <w:color w:val="auto"/>
        </w:rPr>
      </w:pPr>
      <w:r>
        <w:rPr>
          <w:rFonts w:ascii="Arial" w:cs="Arial" w:eastAsia="Arial" w:hAnsi="Arial"/>
          <w:sz w:val="14"/>
          <w:szCs w:val="14"/>
          <w:color w:val="auto"/>
        </w:rPr>
        <w:t>From Account #________________________________</w:t>
      </w:r>
      <w:r>
        <w:rPr>
          <w:sz w:val="20"/>
          <w:szCs w:val="20"/>
          <w:color w:val="auto"/>
        </w:rPr>
        <w:tab/>
      </w:r>
      <w:r>
        <w:rPr>
          <w:rFonts w:ascii="Arial" w:cs="Arial" w:eastAsia="Arial" w:hAnsi="Arial"/>
          <w:sz w:val="13"/>
          <w:szCs w:val="13"/>
          <w:color w:val="auto"/>
        </w:rPr>
        <w:t>To Account #_________________________________________</w:t>
      </w:r>
    </w:p>
    <w:p>
      <w:pPr>
        <w:ind w:left="1920"/>
        <w:spacing w:after="0"/>
        <w:tabs>
          <w:tab w:leader="none" w:pos="7080" w:val="left"/>
        </w:tabs>
        <w:rPr>
          <w:sz w:val="20"/>
          <w:szCs w:val="20"/>
          <w:color w:val="auto"/>
        </w:rPr>
      </w:pPr>
      <w:r>
        <w:rPr>
          <w:rFonts w:ascii="Arial" w:cs="Arial" w:eastAsia="Arial" w:hAnsi="Arial"/>
          <w:sz w:val="14"/>
          <w:szCs w:val="14"/>
          <w:color w:val="auto"/>
        </w:rPr>
        <w:t>(Loan Account #)</w:t>
      </w:r>
      <w:r>
        <w:rPr>
          <w:sz w:val="20"/>
          <w:szCs w:val="20"/>
          <w:color w:val="auto"/>
        </w:rPr>
        <w:tab/>
      </w:r>
      <w:r>
        <w:rPr>
          <w:rFonts w:ascii="Arial" w:cs="Arial" w:eastAsia="Arial" w:hAnsi="Arial"/>
          <w:sz w:val="13"/>
          <w:szCs w:val="13"/>
          <w:color w:val="auto"/>
        </w:rPr>
        <w:t>(Deposit Account #)</w:t>
      </w:r>
    </w:p>
    <w:p>
      <w:pPr>
        <w:ind w:left="60"/>
        <w:spacing w:after="0"/>
        <w:rPr>
          <w:sz w:val="20"/>
          <w:szCs w:val="20"/>
          <w:color w:val="auto"/>
        </w:rPr>
      </w:pPr>
      <w:r>
        <w:rPr>
          <w:rFonts w:ascii="Arial" w:cs="Arial" w:eastAsia="Arial" w:hAnsi="Arial"/>
          <w:sz w:val="14"/>
          <w:szCs w:val="14"/>
          <w:color w:val="auto"/>
        </w:rPr>
        <w:t>Amount of Credit Extension $_____________________________</w:t>
      </w:r>
    </w:p>
    <w:p>
      <w:pPr>
        <w:spacing w:after="0" w:line="1" w:lineRule="exact"/>
        <w:rPr>
          <w:sz w:val="20"/>
          <w:szCs w:val="20"/>
          <w:color w:val="auto"/>
        </w:rPr>
      </w:pPr>
    </w:p>
    <w:p>
      <w:pPr>
        <w:jc w:val="both"/>
        <w:ind w:left="60" w:right="100"/>
        <w:spacing w:after="0" w:line="320" w:lineRule="auto"/>
        <w:rPr>
          <w:sz w:val="20"/>
          <w:szCs w:val="20"/>
          <w:color w:val="auto"/>
        </w:rPr>
      </w:pPr>
      <w:r>
        <w:rPr>
          <w:rFonts w:ascii="Arial" w:cs="Arial" w:eastAsia="Arial" w:hAnsi="Arial"/>
          <w:sz w:val="13"/>
          <w:szCs w:val="13"/>
          <w:color w:val="auto"/>
        </w:rPr>
        <w:t>All Borrower’s representations and warranties in the Loan and Security Agreement are true, correct and complete in all material respects on the date of the request for a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92" w:lineRule="exact"/>
        <w:rPr>
          <w:sz w:val="20"/>
          <w:szCs w:val="20"/>
          <w:color w:val="auto"/>
        </w:rPr>
      </w:pPr>
    </w:p>
    <w:p>
      <w:pPr>
        <w:ind w:left="60"/>
        <w:spacing w:after="0"/>
        <w:tabs>
          <w:tab w:leader="none" w:pos="5900" w:val="left"/>
        </w:tabs>
        <w:rPr>
          <w:sz w:val="20"/>
          <w:szCs w:val="20"/>
          <w:color w:val="auto"/>
        </w:rPr>
      </w:pPr>
      <w:r>
        <w:rPr>
          <w:rFonts w:ascii="Arial" w:cs="Arial" w:eastAsia="Arial" w:hAnsi="Arial"/>
          <w:sz w:val="14"/>
          <w:szCs w:val="14"/>
          <w:color w:val="auto"/>
        </w:rPr>
        <w:t>Authorized Signature:______________________________</w:t>
      </w:r>
      <w:r>
        <w:rPr>
          <w:sz w:val="20"/>
          <w:szCs w:val="20"/>
          <w:color w:val="auto"/>
        </w:rPr>
        <w:tab/>
      </w:r>
      <w:r>
        <w:rPr>
          <w:rFonts w:ascii="Arial" w:cs="Arial" w:eastAsia="Arial" w:hAnsi="Arial"/>
          <w:sz w:val="13"/>
          <w:szCs w:val="13"/>
          <w:color w:val="auto"/>
        </w:rPr>
        <w:t>Phone Number:______________________________</w:t>
      </w:r>
    </w:p>
    <w:p>
      <w:pPr>
        <w:ind w:left="60"/>
        <w:spacing w:after="0"/>
        <w:rPr>
          <w:sz w:val="20"/>
          <w:szCs w:val="20"/>
          <w:color w:val="auto"/>
        </w:rPr>
      </w:pPr>
      <w:r>
        <w:rPr>
          <w:rFonts w:ascii="Arial" w:cs="Arial" w:eastAsia="Arial" w:hAnsi="Arial"/>
          <w:sz w:val="14"/>
          <w:szCs w:val="14"/>
          <w:color w:val="auto"/>
        </w:rPr>
        <w:t>Print Name/Title: 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659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65935"/>
                    </a:xfrm>
                    <a:prstGeom prst="rect">
                      <a:avLst/>
                    </a:prstGeom>
                    <a:noFill/>
                  </pic:spPr>
                </pic:pic>
              </a:graphicData>
            </a:graphic>
          </wp:anchor>
        </w:drawing>
      </w: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EQUEST</w:t>
      </w:r>
      <w:r>
        <w:rPr>
          <w:rFonts w:ascii="Arial" w:cs="Arial" w:eastAsia="Arial" w:hAnsi="Arial"/>
          <w:sz w:val="14"/>
          <w:szCs w:val="14"/>
          <w:b w:val="1"/>
          <w:bCs w:val="1"/>
          <w:color w:val="auto"/>
        </w:rPr>
        <w: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Complete only if all or a portion of funds from the loan advance above is to be wired.</w:t>
      </w:r>
    </w:p>
    <w:p>
      <w:pPr>
        <w:ind w:left="60"/>
        <w:spacing w:after="0"/>
        <w:rPr>
          <w:sz w:val="20"/>
          <w:szCs w:val="20"/>
          <w:color w:val="auto"/>
        </w:rPr>
      </w:pPr>
      <w:r>
        <w:rPr>
          <w:rFonts w:ascii="Arial" w:cs="Arial" w:eastAsia="Arial" w:hAnsi="Arial"/>
          <w:sz w:val="14"/>
          <w:szCs w:val="14"/>
          <w:color w:val="auto"/>
        </w:rPr>
        <w:t>Deadline for same day processing is noon, Eastern Time</w:t>
      </w:r>
    </w:p>
    <w:p>
      <w:pPr>
        <w:spacing w:after="0" w:line="124" w:lineRule="exact"/>
        <w:rPr>
          <w:sz w:val="20"/>
          <w:szCs w:val="20"/>
          <w:color w:val="auto"/>
        </w:rPr>
      </w:pPr>
    </w:p>
    <w:p>
      <w:pPr>
        <w:ind w:left="60"/>
        <w:spacing w:after="0"/>
        <w:tabs>
          <w:tab w:leader="none" w:pos="5200" w:val="left"/>
        </w:tabs>
        <w:rPr>
          <w:sz w:val="20"/>
          <w:szCs w:val="20"/>
          <w:color w:val="auto"/>
        </w:rPr>
      </w:pPr>
      <w:r>
        <w:rPr>
          <w:rFonts w:ascii="Arial" w:cs="Arial" w:eastAsia="Arial" w:hAnsi="Arial"/>
          <w:sz w:val="14"/>
          <w:szCs w:val="14"/>
          <w:color w:val="auto"/>
        </w:rPr>
        <w:t>Beneficiary Name: ________________________________</w:t>
      </w:r>
      <w:r>
        <w:rPr>
          <w:sz w:val="20"/>
          <w:szCs w:val="20"/>
          <w:color w:val="auto"/>
        </w:rPr>
        <w:tab/>
      </w:r>
      <w:r>
        <w:rPr>
          <w:rFonts w:ascii="Arial" w:cs="Arial" w:eastAsia="Arial" w:hAnsi="Arial"/>
          <w:sz w:val="13"/>
          <w:szCs w:val="13"/>
          <w:color w:val="auto"/>
        </w:rPr>
        <w:t>Amount of Wire: $ __________________________________________</w:t>
      </w:r>
    </w:p>
    <w:p>
      <w:pPr>
        <w:ind w:left="60"/>
        <w:spacing w:after="0"/>
        <w:tabs>
          <w:tab w:leader="none" w:pos="5200" w:val="left"/>
        </w:tabs>
        <w:rPr>
          <w:sz w:val="20"/>
          <w:szCs w:val="20"/>
          <w:color w:val="auto"/>
        </w:rPr>
      </w:pPr>
      <w:r>
        <w:rPr>
          <w:rFonts w:ascii="Arial" w:cs="Arial" w:eastAsia="Arial" w:hAnsi="Arial"/>
          <w:sz w:val="14"/>
          <w:szCs w:val="14"/>
          <w:color w:val="auto"/>
        </w:rPr>
        <w:t>Beneficiary Bank: _________________________________</w:t>
      </w:r>
      <w:r>
        <w:rPr>
          <w:sz w:val="20"/>
          <w:szCs w:val="20"/>
          <w:color w:val="auto"/>
        </w:rPr>
        <w:tab/>
      </w:r>
      <w:r>
        <w:rPr>
          <w:rFonts w:ascii="Arial" w:cs="Arial" w:eastAsia="Arial" w:hAnsi="Arial"/>
          <w:sz w:val="13"/>
          <w:szCs w:val="13"/>
          <w:color w:val="auto"/>
        </w:rPr>
        <w:t>Account Number: ___________________________________________</w:t>
      </w:r>
    </w:p>
    <w:p>
      <w:pPr>
        <w:ind w:left="60"/>
        <w:spacing w:after="0" w:line="221" w:lineRule="auto"/>
        <w:rPr>
          <w:sz w:val="20"/>
          <w:szCs w:val="20"/>
          <w:color w:val="auto"/>
        </w:rPr>
      </w:pPr>
      <w:r>
        <w:rPr>
          <w:rFonts w:ascii="Arial" w:cs="Arial" w:eastAsia="Arial" w:hAnsi="Arial"/>
          <w:sz w:val="14"/>
          <w:szCs w:val="14"/>
          <w:color w:val="auto"/>
        </w:rPr>
        <w:t>City and State: ____________________________________</w:t>
      </w:r>
    </w:p>
    <w:p>
      <w:pPr>
        <w:ind w:left="60"/>
        <w:spacing w:after="0"/>
        <w:tabs>
          <w:tab w:leader="none" w:pos="5180" w:val="left"/>
        </w:tabs>
        <w:rPr>
          <w:sz w:val="20"/>
          <w:szCs w:val="20"/>
          <w:color w:val="auto"/>
        </w:rPr>
      </w:pPr>
      <w:r>
        <w:rPr>
          <w:rFonts w:ascii="Arial" w:cs="Arial" w:eastAsia="Arial" w:hAnsi="Arial"/>
          <w:sz w:val="14"/>
          <w:szCs w:val="14"/>
          <w:color w:val="auto"/>
        </w:rPr>
        <w:t>Beneficiary Bank Transit (ABA) #:</w:t>
      </w:r>
      <w:r>
        <w:rPr>
          <w:sz w:val="20"/>
          <w:szCs w:val="20"/>
          <w:color w:val="auto"/>
        </w:rPr>
        <w:tab/>
      </w:r>
      <w:r>
        <w:rPr>
          <w:rFonts w:ascii="Arial" w:cs="Arial" w:eastAsia="Arial" w:hAnsi="Arial"/>
          <w:sz w:val="13"/>
          <w:szCs w:val="13"/>
          <w:color w:val="auto"/>
        </w:rPr>
        <w:t>Beneficiary Bank Code (Swift, Sort, Chip, etc.):</w:t>
      </w:r>
    </w:p>
    <w:p>
      <w:pPr>
        <w:ind w:left="5620"/>
        <w:spacing w:after="0" w:line="221" w:lineRule="auto"/>
        <w:rPr>
          <w:sz w:val="20"/>
          <w:szCs w:val="20"/>
          <w:color w:val="auto"/>
        </w:rPr>
      </w:pPr>
      <w:r>
        <w:rPr>
          <w:rFonts w:ascii="Arial" w:cs="Arial" w:eastAsia="Arial" w:hAnsi="Arial"/>
          <w:sz w:val="14"/>
          <w:szCs w:val="14"/>
          <w:b w:val="1"/>
          <w:bCs w:val="1"/>
          <w:color w:val="auto"/>
        </w:rPr>
        <w:t>(For International Wire Only)</w:t>
      </w:r>
    </w:p>
    <w:p>
      <w:pPr>
        <w:ind w:left="60"/>
        <w:spacing w:after="0"/>
        <w:tabs>
          <w:tab w:leader="none" w:pos="5200" w:val="left"/>
        </w:tabs>
        <w:rPr>
          <w:sz w:val="20"/>
          <w:szCs w:val="20"/>
          <w:color w:val="auto"/>
        </w:rPr>
      </w:pPr>
      <w:r>
        <w:rPr>
          <w:rFonts w:ascii="Arial" w:cs="Arial" w:eastAsia="Arial" w:hAnsi="Arial"/>
          <w:sz w:val="14"/>
          <w:szCs w:val="14"/>
          <w:color w:val="auto"/>
        </w:rPr>
        <w:t>Intermediary Bank: ________________________________</w:t>
      </w:r>
      <w:r>
        <w:rPr>
          <w:sz w:val="20"/>
          <w:szCs w:val="20"/>
          <w:color w:val="auto"/>
        </w:rPr>
        <w:tab/>
      </w:r>
      <w:r>
        <w:rPr>
          <w:rFonts w:ascii="Arial" w:cs="Arial" w:eastAsia="Arial" w:hAnsi="Arial"/>
          <w:sz w:val="13"/>
          <w:szCs w:val="13"/>
          <w:color w:val="auto"/>
        </w:rPr>
        <w:t>Transit (ABA) #:____________________________________________</w:t>
      </w:r>
    </w:p>
    <w:p>
      <w:pPr>
        <w:ind w:left="60"/>
        <w:spacing w:after="0" w:line="221" w:lineRule="auto"/>
        <w:rPr>
          <w:sz w:val="20"/>
          <w:szCs w:val="20"/>
          <w:color w:val="auto"/>
        </w:rPr>
      </w:pPr>
      <w:r>
        <w:rPr>
          <w:rFonts w:ascii="Arial" w:cs="Arial" w:eastAsia="Arial" w:hAnsi="Arial"/>
          <w:sz w:val="14"/>
          <w:szCs w:val="14"/>
          <w:color w:val="auto"/>
        </w:rPr>
        <w:t>For Further Credit to: ______________________________________________________________________________________________</w:t>
      </w:r>
    </w:p>
    <w:p>
      <w:pPr>
        <w:ind w:left="60"/>
        <w:spacing w:after="0"/>
        <w:rPr>
          <w:sz w:val="20"/>
          <w:szCs w:val="20"/>
          <w:color w:val="auto"/>
        </w:rPr>
      </w:pPr>
      <w:r>
        <w:rPr>
          <w:rFonts w:ascii="Arial" w:cs="Arial" w:eastAsia="Arial" w:hAnsi="Arial"/>
          <w:sz w:val="14"/>
          <w:szCs w:val="14"/>
          <w:color w:val="auto"/>
        </w:rPr>
        <w:t>Special Instruction: ________________________________________________________________________________________________</w:t>
      </w:r>
    </w:p>
    <w:p>
      <w:pPr>
        <w:spacing w:after="0" w:line="124" w:lineRule="exact"/>
        <w:rPr>
          <w:sz w:val="20"/>
          <w:szCs w:val="20"/>
          <w:color w:val="auto"/>
        </w:rPr>
      </w:pPr>
    </w:p>
    <w:p>
      <w:pPr>
        <w:jc w:val="both"/>
        <w:ind w:left="60" w:right="80"/>
        <w:spacing w:after="0" w:line="230" w:lineRule="auto"/>
        <w:rPr>
          <w:sz w:val="20"/>
          <w:szCs w:val="20"/>
          <w:color w:val="auto"/>
        </w:rPr>
      </w:pPr>
      <w:r>
        <w:rPr>
          <w:rFonts w:ascii="Arial" w:cs="Arial" w:eastAsia="Arial" w:hAnsi="Arial"/>
          <w:sz w:val="14"/>
          <w:szCs w:val="14"/>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tbl>
      <w:tblPr>
        <w:tblLayout w:type="fixed"/>
        <w:tblInd w:w="0" w:type="dxa"/>
        <w:tblCellMar>
          <w:top w:w="0" w:type="dxa"/>
          <w:left w:w="0" w:type="dxa"/>
          <w:bottom w:w="0" w:type="dxa"/>
          <w:right w:w="0" w:type="dxa"/>
        </w:tblCellMar>
      </w:tblPr>
      <w:tr>
        <w:trPr>
          <w:trHeight w:val="137"/>
        </w:trPr>
        <w:tc>
          <w:tcPr>
            <w:tcW w:w="4200" w:type="dxa"/>
            <w:vAlign w:val="bottom"/>
          </w:tcPr>
          <w:p>
            <w:pPr>
              <w:ind w:left="60"/>
              <w:spacing w:after="0" w:line="137" w:lineRule="exact"/>
              <w:rPr>
                <w:sz w:val="20"/>
                <w:szCs w:val="20"/>
                <w:color w:val="auto"/>
              </w:rPr>
            </w:pPr>
            <w:r>
              <w:rPr>
                <w:rFonts w:ascii="Arial" w:cs="Arial" w:eastAsia="Arial" w:hAnsi="Arial"/>
                <w:sz w:val="14"/>
                <w:szCs w:val="14"/>
                <w:color w:val="auto"/>
              </w:rPr>
              <w:t>Authorized Signature: _________________________</w:t>
            </w:r>
          </w:p>
        </w:tc>
        <w:tc>
          <w:tcPr>
            <w:tcW w:w="7060" w:type="dxa"/>
            <w:vAlign w:val="bottom"/>
          </w:tcPr>
          <w:p>
            <w:pPr>
              <w:ind w:left="1020"/>
              <w:spacing w:after="0" w:line="137" w:lineRule="exact"/>
              <w:rPr>
                <w:sz w:val="20"/>
                <w:szCs w:val="20"/>
                <w:color w:val="auto"/>
              </w:rPr>
            </w:pPr>
            <w:r>
              <w:rPr>
                <w:rFonts w:ascii="Arial" w:cs="Arial" w:eastAsia="Arial" w:hAnsi="Arial"/>
                <w:sz w:val="14"/>
                <w:szCs w:val="14"/>
                <w:color w:val="auto"/>
              </w:rPr>
              <w:t>2</w:t>
            </w:r>
            <w:r>
              <w:rPr>
                <w:rFonts w:ascii="Arial" w:cs="Arial" w:eastAsia="Arial" w:hAnsi="Arial"/>
                <w:sz w:val="12"/>
                <w:szCs w:val="12"/>
                <w:color w:val="auto"/>
              </w:rPr>
              <w:t>nd</w:t>
            </w:r>
            <w:r>
              <w:rPr>
                <w:rFonts w:ascii="Arial" w:cs="Arial" w:eastAsia="Arial" w:hAnsi="Arial"/>
                <w:sz w:val="14"/>
                <w:szCs w:val="14"/>
                <w:color w:val="auto"/>
              </w:rPr>
              <w:t xml:space="preserve"> Signature (if required): _____________________________</w:t>
            </w:r>
          </w:p>
        </w:tc>
      </w:tr>
      <w:tr>
        <w:trPr>
          <w:trHeight w:val="149"/>
        </w:trPr>
        <w:tc>
          <w:tcPr>
            <w:tcW w:w="4200" w:type="dxa"/>
            <w:vAlign w:val="bottom"/>
          </w:tcPr>
          <w:p>
            <w:pPr>
              <w:ind w:left="60"/>
              <w:spacing w:after="0" w:line="149" w:lineRule="exact"/>
              <w:rPr>
                <w:sz w:val="20"/>
                <w:szCs w:val="20"/>
                <w:color w:val="auto"/>
              </w:rPr>
            </w:pPr>
            <w:r>
              <w:rPr>
                <w:rFonts w:ascii="Arial" w:cs="Arial" w:eastAsia="Arial" w:hAnsi="Arial"/>
                <w:sz w:val="14"/>
                <w:szCs w:val="14"/>
                <w:color w:val="auto"/>
              </w:rPr>
              <w:t>Print Name/Title: ____________________________</w:t>
            </w:r>
          </w:p>
        </w:tc>
        <w:tc>
          <w:tcPr>
            <w:tcW w:w="7060" w:type="dxa"/>
            <w:vAlign w:val="bottom"/>
          </w:tcPr>
          <w:p>
            <w:pPr>
              <w:ind w:left="1020"/>
              <w:spacing w:after="0" w:line="149" w:lineRule="exact"/>
              <w:rPr>
                <w:sz w:val="20"/>
                <w:szCs w:val="20"/>
                <w:color w:val="auto"/>
              </w:rPr>
            </w:pPr>
            <w:r>
              <w:rPr>
                <w:rFonts w:ascii="Arial" w:cs="Arial" w:eastAsia="Arial" w:hAnsi="Arial"/>
                <w:sz w:val="14"/>
                <w:szCs w:val="14"/>
                <w:color w:val="auto"/>
              </w:rPr>
              <w:t>Print Name/Title: ____________________________________</w:t>
            </w:r>
          </w:p>
        </w:tc>
      </w:tr>
      <w:tr>
        <w:trPr>
          <w:trHeight w:val="182"/>
        </w:trPr>
        <w:tc>
          <w:tcPr>
            <w:tcW w:w="4200" w:type="dxa"/>
            <w:vAlign w:val="bottom"/>
          </w:tcPr>
          <w:p>
            <w:pPr>
              <w:ind w:left="60"/>
              <w:spacing w:after="0"/>
              <w:rPr>
                <w:sz w:val="20"/>
                <w:szCs w:val="20"/>
                <w:color w:val="auto"/>
              </w:rPr>
            </w:pPr>
            <w:r>
              <w:rPr>
                <w:rFonts w:ascii="Arial" w:cs="Arial" w:eastAsia="Arial" w:hAnsi="Arial"/>
                <w:sz w:val="14"/>
                <w:szCs w:val="14"/>
                <w:color w:val="auto"/>
              </w:rPr>
              <w:t>Telephone #:________________________________</w:t>
            </w:r>
          </w:p>
        </w:tc>
        <w:tc>
          <w:tcPr>
            <w:tcW w:w="7060" w:type="dxa"/>
            <w:vAlign w:val="bottom"/>
          </w:tcPr>
          <w:p>
            <w:pPr>
              <w:ind w:left="1020"/>
              <w:spacing w:after="0"/>
              <w:rPr>
                <w:sz w:val="20"/>
                <w:szCs w:val="20"/>
                <w:color w:val="auto"/>
              </w:rPr>
            </w:pPr>
            <w:r>
              <w:rPr>
                <w:rFonts w:ascii="Arial" w:cs="Arial" w:eastAsia="Arial" w:hAnsi="Arial"/>
                <w:sz w:val="14"/>
                <w:szCs w:val="14"/>
                <w:color w:val="auto"/>
              </w:rPr>
              <w:t>Telephone #: _______________________________________</w:t>
            </w:r>
          </w:p>
        </w:tc>
      </w:tr>
      <w:tr>
        <w:trPr>
          <w:trHeight w:val="735"/>
        </w:trPr>
        <w:tc>
          <w:tcPr>
            <w:tcW w:w="420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14" w:name="page115"/>
    <w:bookmarkEnd w:id="114"/>
    <w:p>
      <w:pPr>
        <w:jc w:val="center"/>
        <w:ind w:right="-899"/>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u w:val="single" w:color="auto"/>
          <w:color w:val="auto"/>
        </w:rPr>
        <w:t>Leasehold Improvements</w:t>
      </w:r>
    </w:p>
    <w:p>
      <w:pPr>
        <w:spacing w:after="0" w:line="222" w:lineRule="exact"/>
        <w:rPr>
          <w:sz w:val="20"/>
          <w:szCs w:val="20"/>
          <w:color w:val="auto"/>
        </w:rPr>
      </w:pPr>
    </w:p>
    <w:p>
      <w:pPr>
        <w:ind w:left="880" w:hanging="440"/>
        <w:spacing w:after="0"/>
        <w:tabs>
          <w:tab w:leader="none" w:pos="8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Renovations of office expansion space including construction of office space, meeting room and kitchen area.</w:t>
      </w:r>
    </w:p>
    <w:p>
      <w:pPr>
        <w:spacing w:after="0" w:line="240" w:lineRule="exact"/>
        <w:rPr>
          <w:rFonts w:ascii="Arial" w:cs="Arial" w:eastAsia="Arial" w:hAnsi="Arial"/>
          <w:sz w:val="19"/>
          <w:szCs w:val="19"/>
          <w:color w:val="auto"/>
        </w:rPr>
      </w:pPr>
    </w:p>
    <w:p>
      <w:pPr>
        <w:ind w:left="880" w:hanging="440"/>
        <w:spacing w:after="0"/>
        <w:tabs>
          <w:tab w:leader="none" w:pos="8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Workstations, desks, chairs, office furniture and related fixtures.</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Kitchen appliances, wall-cabinets, furniture and related fixtures.</w:t>
      </w:r>
    </w:p>
    <w:p>
      <w:pPr>
        <w:spacing w:after="0" w:line="206" w:lineRule="exact"/>
        <w:rPr>
          <w:rFonts w:ascii="Arial" w:cs="Arial" w:eastAsia="Arial" w:hAnsi="Arial"/>
          <w:sz w:val="22"/>
          <w:szCs w:val="22"/>
          <w:color w:val="auto"/>
        </w:rPr>
      </w:pPr>
    </w:p>
    <w:p>
      <w:pPr>
        <w:ind w:left="880" w:hanging="440"/>
        <w:spacing w:after="0"/>
        <w:tabs>
          <w:tab w:leader="none" w:pos="880" w:val="left"/>
        </w:tabs>
        <w:numPr>
          <w:ilvl w:val="0"/>
          <w:numId w:val="100"/>
        </w:numPr>
        <w:rPr>
          <w:rFonts w:ascii="Arial" w:cs="Arial" w:eastAsia="Arial" w:hAnsi="Arial"/>
          <w:sz w:val="20"/>
          <w:szCs w:val="20"/>
          <w:color w:val="auto"/>
        </w:rPr>
      </w:pPr>
      <w:r>
        <w:rPr>
          <w:rFonts w:ascii="Arial" w:cs="Arial" w:eastAsia="Arial" w:hAnsi="Arial"/>
          <w:sz w:val="22"/>
          <w:szCs w:val="22"/>
          <w:color w:val="auto"/>
        </w:rPr>
        <w:t>Office phones, IT panels, cables, wiring and related fixtures.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ny-1960981</w:t>
      </w:r>
    </w:p>
    <w:p>
      <w:pPr>
        <w:sectPr>
          <w:pgSz w:w="11900" w:h="16838" w:orient="portrait"/>
          <w:cols w:equalWidth="0" w:num="1">
            <w:col w:w="10360"/>
          </w:cols>
          <w:pgMar w:left="320" w:top="337" w:right="1219" w:bottom="1440" w:gutter="0" w:footer="0" w:header="0"/>
        </w:sectPr>
      </w:pPr>
    </w:p>
    <w:bookmarkStart w:id="115" w:name="page116"/>
    <w:bookmarkEnd w:id="115"/>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Jennifer L. Good, certify that:</w:t>
      </w:r>
    </w:p>
    <w:p>
      <w:pPr>
        <w:spacing w:after="0" w:line="225" w:lineRule="exact"/>
        <w:rPr>
          <w:sz w:val="20"/>
          <w:szCs w:val="20"/>
          <w:color w:val="auto"/>
        </w:rPr>
      </w:pPr>
    </w:p>
    <w:p>
      <w:pPr>
        <w:ind w:left="700" w:hanging="182"/>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18"/>
        <w:spacing w:after="0" w:line="277" w:lineRule="auto"/>
        <w:tabs>
          <w:tab w:leader="none" w:pos="69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340" w:firstLine="483"/>
        <w:spacing w:after="0" w:line="342" w:lineRule="auto"/>
        <w:tabs>
          <w:tab w:leader="none" w:pos="120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19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20" w:firstLine="518"/>
        <w:spacing w:after="0" w:line="308" w:lineRule="auto"/>
        <w:tabs>
          <w:tab w:leader="none" w:pos="69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7"/>
          <w:szCs w:val="17"/>
          <w:color w:val="auto"/>
        </w:rPr>
        <w:t>By: /s/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116" w:name="page117"/>
    <w:bookmarkEnd w:id="116"/>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Seiter, certify that:</w:t>
      </w:r>
    </w:p>
    <w:p>
      <w:pPr>
        <w:spacing w:after="0" w:line="225" w:lineRule="exact"/>
        <w:rPr>
          <w:sz w:val="20"/>
          <w:szCs w:val="20"/>
          <w:color w:val="auto"/>
        </w:rPr>
      </w:pPr>
    </w:p>
    <w:p>
      <w:pPr>
        <w:ind w:left="700" w:hanging="182"/>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Trevi Therapeutics,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18"/>
        <w:spacing w:after="0" w:line="277" w:lineRule="auto"/>
        <w:tabs>
          <w:tab w:leader="none" w:pos="69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520" w:right="20" w:firstLine="483"/>
        <w:spacing w:after="0" w:line="263" w:lineRule="auto"/>
        <w:tabs>
          <w:tab w:leader="none" w:pos="119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340" w:firstLine="483"/>
        <w:spacing w:after="0" w:line="342" w:lineRule="auto"/>
        <w:tabs>
          <w:tab w:leader="none" w:pos="1201"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20" w:firstLine="483"/>
        <w:spacing w:after="0" w:line="263" w:lineRule="auto"/>
        <w:tabs>
          <w:tab w:leader="none" w:pos="119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20" w:firstLine="518"/>
        <w:spacing w:after="0" w:line="308" w:lineRule="auto"/>
        <w:tabs>
          <w:tab w:leader="none" w:pos="69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60" w:firstLine="483"/>
        <w:spacing w:after="0" w:line="308" w:lineRule="auto"/>
        <w:tabs>
          <w:tab w:leader="none" w:pos="1191"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40" w:firstLine="483"/>
        <w:spacing w:after="0" w:line="277" w:lineRule="auto"/>
        <w:tabs>
          <w:tab w:leader="none" w:pos="120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7"/>
          <w:szCs w:val="17"/>
          <w:color w:val="auto"/>
        </w:rPr>
        <w:t>By: /s/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Christopher Seiter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6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connection with the Quarterly Report on Form 10-Q of Trevi Therapeutics, Inc. (the “Company”) for the period ended September 30, 2020,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7" w:lineRule="exact"/>
        <w:rPr>
          <w:sz w:val="20"/>
          <w:szCs w:val="20"/>
          <w:color w:val="auto"/>
        </w:rPr>
      </w:pPr>
    </w:p>
    <w:p>
      <w:pPr>
        <w:ind w:left="780" w:hanging="262"/>
        <w:spacing w:after="0"/>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Jennifer L. Good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In connection with the Quarterly Report on Form 10-Q of Trevi Therapeutics, Inc. (the “Company”) for the period ended September 30, 2020, as filed with the Securities and Exchange Commission on the date hereof (the “Report”), the undersigned, Christopher Seiter, Chief Financial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Christopher Seiter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2"/>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3"/>
    </w:lvl>
  </w:abstractNum>
  <w:abstractNum w:abstractNumId="7">
    <w:nsid w:val="275AC794"/>
    <w:multiLevelType w:val="hybridMultilevel"/>
    <w:lvl w:ilvl="0">
      <w:lvlJc w:val="left"/>
      <w:lvlText w:val="%1."/>
      <w:numFmt w:val="decimal"/>
      <w:start w:val="4"/>
    </w:lvl>
  </w:abstractNum>
  <w:abstractNum w:abstractNumId="8">
    <w:nsid w:val="39386575"/>
    <w:multiLevelType w:val="hybridMultilevel"/>
    <w:lvl w:ilvl="0">
      <w:lvlJc w:val="left"/>
      <w:lvlText w:val="%1."/>
      <w:numFmt w:val="decimal"/>
      <w:start w:val="5"/>
    </w:lvl>
  </w:abstractNum>
  <w:abstractNum w:abstractNumId="9">
    <w:nsid w:val="1CF10FD8"/>
    <w:multiLevelType w:val="hybridMultilevel"/>
    <w:lvl w:ilvl="0">
      <w:lvlJc w:val="left"/>
      <w:lvlText w:val="%1."/>
      <w:numFmt w:val="decimal"/>
      <w:start w:val="6"/>
    </w:lvl>
  </w:abstractNum>
  <w:abstractNum w:abstractNumId="10">
    <w:nsid w:val="180115BE"/>
    <w:multiLevelType w:val="hybridMultilevel"/>
    <w:lvl w:ilvl="0">
      <w:lvlJc w:val="left"/>
      <w:lvlText w:val="%1."/>
      <w:numFmt w:val="decimal"/>
      <w:start w:val="7"/>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1."/>
      <w:numFmt w:val="decimal"/>
      <w:start w:val="8"/>
    </w:lvl>
  </w:abstractNum>
  <w:abstractNum w:abstractNumId="13">
    <w:nsid w:val="354FE9F9"/>
    <w:multiLevelType w:val="hybridMultilevel"/>
    <w:lvl w:ilvl="0">
      <w:lvlJc w:val="left"/>
      <w:lvlText w:val="%1."/>
      <w:numFmt w:val="decimal"/>
      <w:start w:val="9"/>
    </w:lvl>
  </w:abstractNum>
  <w:abstractNum w:abstractNumId="14">
    <w:nsid w:val="15B5AF5C"/>
    <w:multiLevelType w:val="hybridMultilevel"/>
    <w:lvl w:ilvl="0">
      <w:lvlJc w:val="left"/>
      <w:lvlText w:val="%1."/>
      <w:numFmt w:val="decimal"/>
      <w:start w:val="10"/>
    </w:lvl>
  </w:abstractNum>
  <w:abstractNum w:abstractNumId="15">
    <w:nsid w:val="741226BB"/>
    <w:multiLevelType w:val="hybridMultilevel"/>
    <w:lvl w:ilvl="0">
      <w:lvlJc w:val="left"/>
      <w:lvlText w:val="%1."/>
      <w:numFmt w:val="decimal"/>
      <w:start w:val="11"/>
    </w:lvl>
  </w:abstractNum>
  <w:abstractNum w:abstractNumId="16">
    <w:nsid w:val="D34B6A8"/>
    <w:multiLevelType w:val="hybridMultilevel"/>
    <w:lvl w:ilvl="0">
      <w:lvlJc w:val="left"/>
      <w:lvlText w:val="(%1)"/>
      <w:numFmt w:val="upperLetter"/>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1)"/>
      <w:numFmt w:val="decimal"/>
      <w:start w:val="4"/>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1."/>
      <w:numFmt w:val="decimal"/>
      <w:start w:val="1"/>
    </w:lvl>
  </w:abstractNum>
  <w:abstractNum w:abstractNumId="48">
    <w:nsid w:val="BF72B14"/>
    <w:multiLevelType w:val="hybridMultilevel"/>
    <w:lvl w:ilvl="0">
      <w:lvlJc w:val="left"/>
      <w:lvlText w:val="%1."/>
      <w:numFmt w:val="decimal"/>
      <w:start w:val="2"/>
    </w:lvl>
  </w:abstractNum>
  <w:abstractNum w:abstractNumId="49">
    <w:nsid w:val="11447B73"/>
    <w:multiLevelType w:val="hybridMultilevel"/>
    <w:lvl w:ilvl="0">
      <w:lvlJc w:val="left"/>
      <w:lvlText w:val="(%1)"/>
      <w:numFmt w:val="lowerLetter"/>
      <w:start w:val="1"/>
    </w:lvl>
  </w:abstractNum>
  <w:abstractNum w:abstractNumId="50">
    <w:nsid w:val="42963E5A"/>
    <w:multiLevelType w:val="hybridMultilevel"/>
    <w:lvl w:ilvl="0">
      <w:lvlJc w:val="left"/>
      <w:lvlText w:val="%1"/>
      <w:numFmt w:val="upperLetter"/>
      <w:start w:val="1"/>
    </w:lvl>
    <w:lvl w:ilvl="1">
      <w:lvlJc w:val="left"/>
      <w:lvlText w:val="(%2)"/>
      <w:numFmt w:val="lowerLetter"/>
      <w:start w:val="1"/>
    </w:lvl>
  </w:abstractNum>
  <w:abstractNum w:abstractNumId="51">
    <w:nsid w:val="A0382C5"/>
    <w:multiLevelType w:val="hybridMultilevel"/>
    <w:lvl w:ilvl="0">
      <w:lvlJc w:val="left"/>
      <w:lvlText w:val="(%1)"/>
      <w:numFmt w:val="upperLetter"/>
      <w:start w:val="2"/>
    </w:lvl>
    <w:lvl w:ilvl="1">
      <w:lvlJc w:val="left"/>
      <w:lvlText w:val="(%2)"/>
      <w:numFmt w:val="lowerLetter"/>
      <w:start w:val="2"/>
    </w:lvl>
  </w:abstractNum>
  <w:abstractNum w:abstractNumId="52">
    <w:nsid w:val="8F2B15E"/>
    <w:multiLevelType w:val="hybridMultilevel"/>
    <w:lvl w:ilvl="0">
      <w:lvlJc w:val="left"/>
      <w:lvlText w:val="(%1)"/>
      <w:numFmt w:val="lowerLetter"/>
      <w:start w:val="1"/>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lowerLetter"/>
      <w:start w:val="2"/>
    </w:lvl>
  </w:abstractNum>
  <w:abstractNum w:abstractNumId="55">
    <w:nsid w:val="68EB2F63"/>
    <w:multiLevelType w:val="hybridMultilevel"/>
    <w:lvl w:ilvl="0">
      <w:lvlJc w:val="left"/>
      <w:lvlText w:val="%1"/>
      <w:numFmt w:val="decimal"/>
      <w:start w:val="1"/>
    </w:lvl>
    <w:lvl w:ilvl="1">
      <w:lvlJc w:val="left"/>
      <w:lvlText w:val="(%2)"/>
      <w:numFmt w:val="lowerLetter"/>
      <w:start w:val="1"/>
    </w:lvl>
  </w:abstractNum>
  <w:abstractNum w:abstractNumId="56">
    <w:nsid w:val="4962813B"/>
    <w:multiLevelType w:val="hybridMultilevel"/>
    <w:lvl w:ilvl="0">
      <w:lvlJc w:val="left"/>
      <w:lvlText w:val="%1."/>
      <w:numFmt w:val="decimal"/>
      <w:start w:val="3"/>
    </w:lvl>
    <w:lvl w:ilvl="1">
      <w:lvlJc w:val="left"/>
      <w:lvlText w:val="%2"/>
      <w:numFmt w:val="lowerLetter"/>
      <w:start w:val="1"/>
    </w:lvl>
  </w:abstractNum>
  <w:abstractNum w:abstractNumId="57">
    <w:nsid w:val="60B6DF70"/>
    <w:multiLevelType w:val="hybridMultilevel"/>
    <w:lvl w:ilvl="0">
      <w:lvlJc w:val="left"/>
      <w:lvlText w:val="(%1)"/>
      <w:numFmt w:val="lowerLetter"/>
      <w:start w:val="1"/>
    </w:lvl>
  </w:abstractNum>
  <w:abstractNum w:abstractNumId="58">
    <w:nsid w:val="6A5EE64"/>
    <w:multiLevelType w:val="hybridMultilevel"/>
    <w:lvl w:ilvl="0">
      <w:lvlJc w:val="left"/>
      <w:lvlText w:val="(%1)"/>
      <w:numFmt w:val="lowerLetter"/>
      <w:start w:val="5"/>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1."/>
      <w:numFmt w:val="decimal"/>
      <w:start w:val="4"/>
    </w:lvl>
  </w:abstractNum>
  <w:abstractNum w:abstractNumId="61">
    <w:nsid w:val="1A27709E"/>
    <w:multiLevelType w:val="hybridMultilevel"/>
    <w:lvl w:ilvl="0">
      <w:lvlJc w:val="left"/>
      <w:lvlText w:val="%1."/>
      <w:numFmt w:val="decimal"/>
      <w:start w:val="5"/>
    </w:lvl>
  </w:abstractNum>
  <w:abstractNum w:abstractNumId="62">
    <w:nsid w:val="71EA1109"/>
    <w:multiLevelType w:val="hybridMultilevel"/>
    <w:lvl w:ilvl="0">
      <w:lvlJc w:val="left"/>
      <w:lvlText w:val="(%1)"/>
      <w:numFmt w:val="lowerLetter"/>
      <w:start w:val="3"/>
    </w:lvl>
  </w:abstractNum>
  <w:abstractNum w:abstractNumId="63">
    <w:nsid w:val="100F59DC"/>
    <w:multiLevelType w:val="hybridMultilevel"/>
    <w:lvl w:ilvl="0">
      <w:lvlJc w:val="left"/>
      <w:lvlText w:val="%1."/>
      <w:numFmt w:val="decimal"/>
      <w:start w:val="6"/>
    </w:lvl>
  </w:abstractNum>
  <w:abstractNum w:abstractNumId="64">
    <w:nsid w:val="7FB7E0AA"/>
    <w:multiLevelType w:val="hybridMultilevel"/>
    <w:lvl w:ilvl="0">
      <w:lvlJc w:val="left"/>
      <w:lvlText w:val="(%1)"/>
      <w:numFmt w:val="lowerLetter"/>
      <w:start w:val="1"/>
    </w:lvl>
  </w:abstractNum>
  <w:abstractNum w:abstractNumId="65">
    <w:nsid w:val="6EB5BD4"/>
    <w:multiLevelType w:val="hybridMultilevel"/>
    <w:lvl w:ilvl="0">
      <w:lvlJc w:val="left"/>
      <w:lvlText w:val="(%1)"/>
      <w:numFmt w:val="lowerLetter"/>
      <w:start w:val="1"/>
    </w:lvl>
  </w:abstractNum>
  <w:abstractNum w:abstractNumId="66">
    <w:nsid w:val="6F6DD9AC"/>
    <w:multiLevelType w:val="hybridMultilevel"/>
    <w:lvl w:ilvl="0">
      <w:lvlJc w:val="left"/>
      <w:lvlText w:val="&amp;"/>
      <w:numFmt w:val="bullet"/>
      <w:start w:val="1"/>
    </w:lvl>
    <w:lvl w:ilvl="1">
      <w:lvlJc w:val="left"/>
      <w:lvlText w:val="(%2)"/>
      <w:numFmt w:val="lowerLetter"/>
      <w:start w:val="2"/>
    </w:lvl>
  </w:abstractNum>
  <w:abstractNum w:abstractNumId="67">
    <w:nsid w:val="94211F2"/>
    <w:multiLevelType w:val="hybridMultilevel"/>
    <w:lvl w:ilvl="0">
      <w:lvlJc w:val="left"/>
      <w:lvlText w:val="&amp;"/>
      <w:numFmt w:val="bullet"/>
      <w:start w:val="1"/>
    </w:lvl>
    <w:lvl w:ilvl="1">
      <w:lvlJc w:val="left"/>
      <w:lvlText w:val="(%2)"/>
      <w:numFmt w:val="lowerLetter"/>
      <w:start w:val="4"/>
    </w:lvl>
  </w:abstractNum>
  <w:abstractNum w:abstractNumId="68">
    <w:nsid w:val="885E1B"/>
    <w:multiLevelType w:val="hybridMultilevel"/>
    <w:lvl w:ilvl="0">
      <w:lvlJc w:val="left"/>
      <w:lvlText w:val="(%1)"/>
      <w:numFmt w:val="lowerLetter"/>
      <w:start w:val="10"/>
    </w:lvl>
  </w:abstractNum>
  <w:abstractNum w:abstractNumId="69">
    <w:nsid w:val="76272110"/>
    <w:multiLevelType w:val="hybridMultilevel"/>
    <w:lvl w:ilvl="0">
      <w:lvlJc w:val="left"/>
      <w:lvlText w:val="(%1)"/>
      <w:numFmt w:val="lowerLetter"/>
      <w:start w:val="3"/>
    </w:lvl>
  </w:abstractNum>
  <w:abstractNum w:abstractNumId="70">
    <w:nsid w:val="4C04A8AF"/>
    <w:multiLevelType w:val="hybridMultilevel"/>
    <w:lvl w:ilvl="0">
      <w:lvlJc w:val="left"/>
      <w:lvlText w:val="%1"/>
      <w:numFmt w:val="lowerLetter"/>
      <w:start w:val="1"/>
    </w:lvl>
    <w:lvl w:ilvl="1">
      <w:lvlJc w:val="left"/>
      <w:lvlText w:val="(%2)"/>
      <w:numFmt w:val="lowerLetter"/>
      <w:start w:val="1"/>
    </w:lvl>
  </w:abstractNum>
  <w:abstractNum w:abstractNumId="71">
    <w:nsid w:val="1716703B"/>
    <w:multiLevelType w:val="hybridMultilevel"/>
    <w:lvl w:ilvl="0">
      <w:lvlJc w:val="left"/>
      <w:lvlText w:val="(%1)"/>
      <w:numFmt w:val="lowerLetter"/>
      <w:start w:val="35"/>
    </w:lvl>
    <w:lvl w:ilvl="1">
      <w:lvlJc w:val="left"/>
      <w:lvlText w:val="(%2)"/>
      <w:numFmt w:val="lowerLetter"/>
      <w:start w:val="3"/>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lowerLetter"/>
      <w:start w:val="1"/>
    </w:lvl>
  </w:abstractNum>
  <w:abstractNum w:abstractNumId="74">
    <w:nsid w:val="74DE0EE3"/>
    <w:multiLevelType w:val="hybridMultilevel"/>
    <w:lvl w:ilvl="0">
      <w:lvlJc w:val="left"/>
      <w:lvlText w:val="%1."/>
      <w:numFmt w:val="decimal"/>
      <w:start w:val="7"/>
    </w:lvl>
  </w:abstractNum>
  <w:abstractNum w:abstractNumId="75">
    <w:nsid w:val="68EBC550"/>
    <w:multiLevelType w:val="hybridMultilevel"/>
    <w:lvl w:ilvl="0">
      <w:lvlJc w:val="left"/>
      <w:lvlText w:val="%1."/>
      <w:numFmt w:val="decimal"/>
      <w:start w:val="8"/>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lowerLetter"/>
      <w:start w:val="2"/>
    </w:lvl>
  </w:abstractNum>
  <w:abstractNum w:abstractNumId="78">
    <w:nsid w:val="4A2AC315"/>
    <w:multiLevelType w:val="hybridMultilevel"/>
    <w:lvl w:ilvl="0">
      <w:lvlJc w:val="left"/>
      <w:lvlText w:val="(%1)"/>
      <w:numFmt w:val="lowerLetter"/>
      <w:start w:val="1"/>
    </w:lvl>
  </w:abstractNum>
  <w:abstractNum w:abstractNumId="79">
    <w:nsid w:val="39EE015C"/>
    <w:multiLevelType w:val="hybridMultilevel"/>
    <w:lvl w:ilvl="0">
      <w:lvlJc w:val="left"/>
      <w:lvlText w:val="(%1)"/>
      <w:numFmt w:val="lowerLetter"/>
      <w:start w:val="2"/>
    </w:lvl>
  </w:abstractNum>
  <w:abstractNum w:abstractNumId="80">
    <w:nsid w:val="57FC4FBB"/>
    <w:multiLevelType w:val="hybridMultilevel"/>
    <w:lvl w:ilvl="0">
      <w:lvlJc w:val="left"/>
      <w:lvlText w:val="(%1)"/>
      <w:numFmt w:val="lowerRoman"/>
      <w:start w:val="2"/>
    </w:lvl>
  </w:abstractNum>
  <w:abstractNum w:abstractNumId="81">
    <w:nsid w:val="CC1016F"/>
    <w:multiLevelType w:val="hybridMultilevel"/>
    <w:lvl w:ilvl="0">
      <w:lvlJc w:val="left"/>
      <w:lvlText w:val="%1."/>
      <w:numFmt w:val="decimal"/>
      <w:start w:val="9"/>
    </w:lvl>
  </w:abstractNum>
  <w:abstractNum w:abstractNumId="82">
    <w:nsid w:val="43F18422"/>
    <w:multiLevelType w:val="hybridMultilevel"/>
    <w:lvl w:ilvl="0">
      <w:lvlJc w:val="left"/>
      <w:lvlText w:val="(%1)"/>
      <w:numFmt w:val="lowerLetter"/>
      <w:start w:val="1"/>
    </w:lvl>
  </w:abstractNum>
  <w:abstractNum w:abstractNumId="83">
    <w:nsid w:val="60EF0119"/>
    <w:multiLevelType w:val="hybridMultilevel"/>
    <w:lvl w:ilvl="0">
      <w:lvlJc w:val="left"/>
      <w:lvlText w:val="(%1)"/>
      <w:numFmt w:val="lowerLetter"/>
      <w:start w:val="10"/>
    </w:lvl>
  </w:abstractNum>
  <w:abstractNum w:abstractNumId="84">
    <w:nsid w:val="26F324BA"/>
    <w:multiLevelType w:val="hybridMultilevel"/>
    <w:lvl w:ilvl="0">
      <w:lvlJc w:val="left"/>
      <w:lvlText w:val="%1."/>
      <w:numFmt w:val="decimal"/>
      <w:start w:val="10"/>
    </w:lvl>
  </w:abstractNum>
  <w:abstractNum w:abstractNumId="85">
    <w:nsid w:val="7F01579B"/>
    <w:multiLevelType w:val="hybridMultilevel"/>
    <w:lvl w:ilvl="0">
      <w:lvlJc w:val="left"/>
      <w:lvlText w:val="%1."/>
      <w:numFmt w:val="decimal"/>
      <w:start w:val="11"/>
    </w:lvl>
  </w:abstractNum>
  <w:abstractNum w:abstractNumId="86">
    <w:nsid w:val="49DA307D"/>
    <w:multiLevelType w:val="hybridMultilevel"/>
    <w:lvl w:ilvl="0">
      <w:lvlJc w:val="left"/>
      <w:lvlText w:val="%1."/>
      <w:numFmt w:val="decimal"/>
      <w:start w:val="12"/>
    </w:lvl>
  </w:abstractNum>
  <w:abstractNum w:abstractNumId="87">
    <w:nsid w:val="7055A5F5"/>
    <w:multiLevelType w:val="hybridMultilevel"/>
    <w:lvl w:ilvl="0">
      <w:lvlJc w:val="left"/>
      <w:lvlText w:val="(%1)"/>
      <w:numFmt w:val="lowerLetter"/>
      <w:start w:val="5"/>
    </w:lvl>
  </w:abstractNum>
  <w:abstractNum w:abstractNumId="88">
    <w:nsid w:val="5FB8370B"/>
    <w:multiLevelType w:val="hybridMultilevel"/>
    <w:lvl w:ilvl="0">
      <w:lvlJc w:val="left"/>
      <w:lvlText w:val="%1."/>
      <w:numFmt w:val="decimal"/>
      <w:start w:val="13"/>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lowerLetter"/>
      <w:start w:val="3"/>
    </w:lvl>
  </w:abstractNum>
  <w:abstractNum w:abstractNumId="91">
    <w:nsid w:val="5FB8011C"/>
    <w:multiLevelType w:val="hybridMultilevel"/>
    <w:lvl w:ilvl="0">
      <w:lvlJc w:val="left"/>
      <w:lvlText w:val="(%1)"/>
      <w:numFmt w:val="lowerLetter"/>
      <w:start w:val="1"/>
    </w:lvl>
  </w:abstractNum>
  <w:abstractNum w:abstractNumId="92">
    <w:nsid w:val="6AA78F7F"/>
    <w:multiLevelType w:val="hybridMultilevel"/>
    <w:lvl w:ilvl="0">
      <w:lvlJc w:val="left"/>
      <w:lvlText w:val="(%1)"/>
      <w:numFmt w:val="lowerLetter"/>
      <w:start w:val="10"/>
    </w:lvl>
  </w:abstractNum>
  <w:abstractNum w:abstractNumId="93">
    <w:nsid w:val="7672BD23"/>
    <w:multiLevelType w:val="hybridMultilevel"/>
    <w:lvl w:ilvl="0">
      <w:lvlJc w:val="left"/>
      <w:lvlText w:val="(%1)"/>
      <w:numFmt w:val="lowerLetter"/>
      <w:start w:val="2"/>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lowerLetter"/>
      <w:start w:val="2"/>
    </w:lvl>
  </w:abstractNum>
  <w:abstractNum w:abstractNumId="96">
    <w:nsid w:val="7D5E18F8"/>
    <w:multiLevelType w:val="hybridMultilevel"/>
    <w:lvl w:ilvl="0">
      <w:lvlJc w:val="left"/>
      <w:lvlText w:val="(%1)"/>
      <w:numFmt w:val="lowerLetter"/>
      <w:start w:val="5"/>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lowerLetter"/>
      <w:start w:val="2"/>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2020-11-12T07:57:21Z</dcterms:created>
  <dcterms:modified xsi:type="dcterms:W3CDTF">2020-11-12T07:57:21Z</dcterms:modified>
</cp:coreProperties>
</file>