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83185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80" w:hanging="572"/>
        <w:spacing w:after="0" w:line="180" w:lineRule="auto"/>
        <w:tabs>
          <w:tab w:leader="none" w:pos="580" w:val="left"/>
        </w:tabs>
        <w:numPr>
          <w:ilvl w:val="0"/>
          <w:numId w:val="1"/>
        </w:numPr>
        <w:rPr>
          <w:rFonts w:ascii="MS PGothic" w:cs="MS PGothic" w:eastAsia="MS PGothic" w:hAnsi="MS PGothic"/>
          <w:sz w:val="30"/>
          <w:szCs w:val="30"/>
          <w:color w:val="auto"/>
          <w:highlight w:val="black"/>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80" w:hanging="572"/>
        <w:spacing w:after="0" w:line="182" w:lineRule="auto"/>
        <w:tabs>
          <w:tab w:leader="none" w:pos="580" w:val="left"/>
        </w:tabs>
        <w:numPr>
          <w:ilvl w:val="0"/>
          <w:numId w:val="2"/>
        </w:numPr>
        <w:rPr>
          <w:rFonts w:ascii="MS PGothic" w:cs="MS PGothic" w:eastAsia="MS PGothic" w:hAnsi="MS PGothic"/>
          <w:sz w:val="39"/>
          <w:szCs w:val="39"/>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 FOR THE</w:t>
      </w:r>
    </w:p>
    <w:p>
      <w:pPr>
        <w:spacing w:after="0" w:line="3" w:lineRule="exact"/>
        <w:rPr>
          <w:sz w:val="24"/>
          <w:szCs w:val="24"/>
          <w:color w:val="auto"/>
        </w:rPr>
      </w:pPr>
    </w:p>
    <w:p>
      <w:pPr>
        <w:ind w:left="580"/>
        <w:spacing w:after="0"/>
        <w:tabs>
          <w:tab w:leader="none" w:pos="40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68580</wp:posOffset>
            </wp:positionV>
            <wp:extent cx="548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TREVI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49" w:lineRule="exact"/>
        <w:rPr>
          <w:sz w:val="24"/>
          <w:szCs w:val="24"/>
          <w:color w:val="auto"/>
        </w:rPr>
      </w:pPr>
    </w:p>
    <w:tbl>
      <w:tblPr>
        <w:tblLayout w:type="fixed"/>
        <w:tblInd w:w="1780" w:type="dxa"/>
        <w:tblCellMar>
          <w:top w:w="0" w:type="dxa"/>
          <w:left w:w="0" w:type="dxa"/>
          <w:bottom w:w="0" w:type="dxa"/>
          <w:right w:w="0" w:type="dxa"/>
        </w:tblCellMar>
      </w:tblPr>
      <w:tr>
        <w:trPr>
          <w:trHeight w:val="198"/>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45-0834299</w:t>
            </w:r>
          </w:p>
        </w:tc>
      </w:tr>
      <w:tr>
        <w:trPr>
          <w:trHeight w:val="135"/>
        </w:trPr>
        <w:tc>
          <w:tcPr>
            <w:tcW w:w="4120" w:type="dxa"/>
            <w:vAlign w:val="bottom"/>
          </w:tcPr>
          <w:p>
            <w:pPr>
              <w:jc w:val="center"/>
              <w:ind w:right="1968"/>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89"/>
              </w:rPr>
              <w:t>Identification No.)</w:t>
            </w:r>
          </w:p>
        </w:tc>
      </w:tr>
      <w:tr>
        <w:trPr>
          <w:trHeight w:val="286"/>
        </w:trPr>
        <w:tc>
          <w:tcPr>
            <w:tcW w:w="4120" w:type="dxa"/>
            <w:vAlign w:val="bottom"/>
          </w:tcPr>
          <w:p>
            <w:pPr>
              <w:jc w:val="center"/>
              <w:ind w:right="1968"/>
              <w:spacing w:after="0" w:line="285" w:lineRule="exact"/>
              <w:rPr>
                <w:sz w:val="20"/>
                <w:szCs w:val="20"/>
                <w:color w:val="auto"/>
              </w:rPr>
            </w:pPr>
            <w:r>
              <w:rPr>
                <w:rFonts w:ascii="Arial" w:cs="Arial" w:eastAsia="Arial" w:hAnsi="Arial"/>
                <w:sz w:val="16"/>
                <w:szCs w:val="16"/>
                <w:b w:val="1"/>
                <w:bCs w:val="1"/>
                <w:color w:val="auto"/>
                <w:w w:val="90"/>
              </w:rPr>
              <w:t>195 Church Street, 14</w:t>
            </w:r>
            <w:r>
              <w:rPr>
                <w:rFonts w:ascii="Arial" w:cs="Arial" w:eastAsia="Arial" w:hAnsi="Arial"/>
                <w:sz w:val="27"/>
                <w:szCs w:val="27"/>
                <w:b w:val="1"/>
                <w:bCs w:val="1"/>
                <w:color w:val="auto"/>
                <w:w w:val="90"/>
                <w:vertAlign w:val="superscript"/>
              </w:rPr>
              <w:t>th</w:t>
            </w:r>
            <w:r>
              <w:rPr>
                <w:rFonts w:ascii="Arial" w:cs="Arial" w:eastAsia="Arial" w:hAnsi="Arial"/>
                <w:sz w:val="16"/>
                <w:szCs w:val="16"/>
                <w:b w:val="1"/>
                <w:bCs w:val="1"/>
                <w:color w:val="auto"/>
                <w:w w:val="90"/>
              </w:rPr>
              <w:t xml:space="preserve"> Floor</w:t>
            </w:r>
          </w:p>
        </w:tc>
        <w:tc>
          <w:tcPr>
            <w:tcW w:w="3020" w:type="dxa"/>
            <w:vAlign w:val="bottom"/>
          </w:tcPr>
          <w:p>
            <w:pPr>
              <w:spacing w:after="0"/>
              <w:rPr>
                <w:sz w:val="24"/>
                <w:szCs w:val="24"/>
                <w:color w:val="auto"/>
              </w:rPr>
            </w:pPr>
          </w:p>
        </w:tc>
      </w:tr>
      <w:tr>
        <w:trPr>
          <w:trHeight w:val="198"/>
        </w:trPr>
        <w:tc>
          <w:tcPr>
            <w:tcW w:w="4120" w:type="dxa"/>
            <w:vAlign w:val="bottom"/>
          </w:tcPr>
          <w:p>
            <w:pPr>
              <w:jc w:val="center"/>
              <w:ind w:right="1968"/>
              <w:spacing w:after="0"/>
              <w:rPr>
                <w:sz w:val="20"/>
                <w:szCs w:val="20"/>
                <w:color w:val="auto"/>
              </w:rPr>
            </w:pPr>
            <w:r>
              <w:rPr>
                <w:rFonts w:ascii="Arial" w:cs="Arial" w:eastAsia="Arial" w:hAnsi="Arial"/>
                <w:sz w:val="16"/>
                <w:szCs w:val="16"/>
                <w:b w:val="1"/>
                <w:bCs w:val="1"/>
                <w:color w:val="auto"/>
                <w:w w:val="92"/>
              </w:rPr>
              <w:t>New Haven, Connecticut</w:t>
            </w:r>
          </w:p>
        </w:tc>
        <w:tc>
          <w:tcPr>
            <w:tcW w:w="3020" w:type="dxa"/>
            <w:vAlign w:val="bottom"/>
          </w:tcPr>
          <w:p>
            <w:pPr>
              <w:jc w:val="right"/>
              <w:ind w:right="210"/>
              <w:spacing w:after="0"/>
              <w:rPr>
                <w:sz w:val="20"/>
                <w:szCs w:val="20"/>
                <w:color w:val="auto"/>
              </w:rPr>
            </w:pPr>
            <w:r>
              <w:rPr>
                <w:rFonts w:ascii="Arial" w:cs="Arial" w:eastAsia="Arial" w:hAnsi="Arial"/>
                <w:sz w:val="16"/>
                <w:szCs w:val="16"/>
                <w:b w:val="1"/>
                <w:bCs w:val="1"/>
                <w:color w:val="auto"/>
              </w:rPr>
              <w:t>06510</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90"/>
              </w:rPr>
              <w:t>(Zip Code)</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(203) 304-2499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5"/>
          <w:szCs w:val="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22225</wp:posOffset>
            </wp:positionV>
            <wp:extent cx="548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6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vMerge w:val="restart"/>
          </w:tcPr>
          <w:p>
            <w:pPr>
              <w:spacing w:after="0"/>
              <w:rPr>
                <w:sz w:val="14"/>
                <w:szCs w:val="14"/>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4"/>
                <w:szCs w:val="14"/>
                <w:color w:val="auto"/>
              </w:rPr>
            </w:pPr>
          </w:p>
        </w:tc>
        <w:tc>
          <w:tcPr>
            <w:tcW w:w="4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 $0.001 par value per share</w:t>
            </w:r>
          </w:p>
        </w:tc>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TRVI</w:t>
            </w:r>
          </w:p>
        </w:tc>
        <w:tc>
          <w:tcPr>
            <w:tcW w:w="426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26" w:lineRule="exact"/>
        <w:rPr>
          <w:sz w:val="24"/>
          <w:szCs w:val="24"/>
          <w:color w:val="auto"/>
        </w:rPr>
      </w:pPr>
    </w:p>
    <w:p>
      <w:pPr>
        <w:ind w:right="3120"/>
        <w:spacing w:after="0" w:line="27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40"/>
        <w:spacing w:after="0" w:line="20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ind w:right="140"/>
        <w:spacing w:after="0" w:line="20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8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Arial" w:cs="Arial" w:eastAsia="Arial" w:hAnsi="Arial"/>
                <w:sz w:val="15"/>
                <w:szCs w:val="15"/>
                <w:color w:val="auto"/>
              </w:rPr>
              <w:t>Smaller reporting compan</w:t>
            </w:r>
            <w:r>
              <w:rPr>
                <w:rFonts w:ascii="Arial" w:cs="Arial" w:eastAsia="Arial" w:hAnsi="Arial"/>
                <w:sz w:val="16"/>
                <w:szCs w:val="16"/>
                <w:color w:val="auto"/>
              </w:rPr>
              <w:t>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46" w:lineRule="exact"/>
        <w:rPr>
          <w:sz w:val="24"/>
          <w:szCs w:val="24"/>
          <w:color w:val="auto"/>
        </w:rPr>
      </w:pPr>
    </w:p>
    <w:p>
      <w:pPr>
        <w:ind w:right="60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109" w:lineRule="exact"/>
        <w:rPr>
          <w:sz w:val="24"/>
          <w:szCs w:val="24"/>
          <w:color w:val="auto"/>
        </w:rPr>
      </w:pPr>
    </w:p>
    <w:p>
      <w:pPr>
        <w:ind w:right="160"/>
        <w:spacing w:after="0" w:line="255" w:lineRule="auto"/>
        <w:rPr>
          <w:sz w:val="20"/>
          <w:szCs w:val="20"/>
          <w:color w:val="auto"/>
        </w:rPr>
      </w:pPr>
      <w:r>
        <w:rPr>
          <w:rFonts w:ascii="Arial" w:cs="Arial" w:eastAsia="Arial" w:hAnsi="Arial"/>
          <w:sz w:val="15"/>
          <w:szCs w:val="15"/>
          <w:color w:val="auto"/>
        </w:rPr>
        <w:t>As of June 28, 2019,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was $29.0 million.</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March 13, 2020 was 17,834,570.</w:t>
      </w:r>
    </w:p>
    <w:p>
      <w:pPr>
        <w:spacing w:after="0" w:line="71" w:lineRule="exact"/>
        <w:rPr>
          <w:sz w:val="24"/>
          <w:szCs w:val="24"/>
          <w:color w:val="auto"/>
        </w:rPr>
      </w:pPr>
    </w:p>
    <w:p>
      <w:pPr>
        <w:ind w:left="3960"/>
        <w:spacing w:after="0"/>
        <w:rPr>
          <w:sz w:val="20"/>
          <w:szCs w:val="20"/>
          <w:color w:val="auto"/>
        </w:rPr>
      </w:pPr>
      <w:r>
        <w:rPr>
          <w:rFonts w:ascii="Arial" w:cs="Arial" w:eastAsia="Arial" w:hAnsi="Arial"/>
          <w:sz w:val="15"/>
          <w:szCs w:val="15"/>
          <w:color w:val="auto"/>
        </w:rPr>
        <w:t>DOCUMENTS INCORPORATED BY REFERENCE</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Proxy Statement for the registrant’s 2020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660" w:type="dxa"/>
            <w:vAlign w:val="bottom"/>
            <w:gridSpan w:val="1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Properties</w:t>
              </w:r>
            </w:hyperlink>
          </w:p>
        </w:tc>
        <w:tc>
          <w:tcPr>
            <w:tcW w:w="72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0" w:lineRule="exact"/>
              <w:rPr>
                <w:rFonts w:ascii="Arial" w:cs="Arial" w:eastAsia="Arial" w:hAnsi="Arial"/>
                <w:sz w:val="18"/>
                <w:szCs w:val="18"/>
                <w:color w:val="0000EE"/>
              </w:rPr>
            </w:pPr>
            <w:hyperlink w:anchor="page97">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Selected Financial Data</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Quantitative and Qualitative Disclosures About Market Risk</w:t>
              </w:r>
            </w:hyperlink>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2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Controls and Procedures</w:t>
              </w:r>
            </w:hyperlink>
          </w:p>
        </w:tc>
        <w:tc>
          <w:tcPr>
            <w:tcW w:w="2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0" w:lineRule="exact"/>
              <w:rPr>
                <w:rFonts w:ascii="Arial" w:cs="Arial" w:eastAsia="Arial" w:hAnsi="Arial"/>
                <w:sz w:val="18"/>
                <w:szCs w:val="18"/>
                <w:color w:val="0000EE"/>
              </w:rPr>
            </w:pPr>
            <w:hyperlink w:anchor="page112">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Exhibits, Financial Statement Schedules</w:t>
              </w:r>
            </w:hyperlink>
          </w:p>
        </w:tc>
        <w:tc>
          <w:tcPr>
            <w:tcW w:w="6400" w:type="dxa"/>
            <w:vAlign w:val="bottom"/>
            <w:gridSpan w:val="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nalbuphine ER to treat serious neurologically mediated conditions. We are developing nalbuphine ER for the treatment of chronic pruritus, chronic cough in patients with idiopathic pulmonary fibrosis, or IPF, and levodopa-induced dyskinesia, or LID, in patients with Parkinson’s disease. These conditions share a common pathophysiology that is mediated through opioid receptors in the central and peripheral nervous systems. Due to nalbuphine’s mechanism of action as a modulator of opioid receptors, we believe it has the potential to be effective in treating each of these conditions. We are currently conducting a Phase 2b/3 clinical trial of nalbuphine ER, which we refer to as the PRISM trial, in patients with severe pruritus associated with prurigo nodularis, and expect to report top-line data from the trial in the second half of 2020. If successful, we expect that we will use the PRISM trial and an additional Phase 3 clinical trial that we plan to conduct to support the submission of a new drug application, or NDA, to the United States Food and Drug Administration, or FDA, and a marketing authorization application, or MAA, to the European Medicines Agency, or EMA, for nalbuphine ER for the treatment of pruritus associated with prurigo nodularis.</w:t>
      </w:r>
    </w:p>
    <w:p>
      <w:pPr>
        <w:spacing w:after="0" w:line="194"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Nalbuphine ER is an oral extended release formulation of nalbuphine. Nalbuphine is a mixed k-opioid receptor agonist and µ-opioid receptor antagonist that has been approved and marketed as an injectable for pain indications for more than 20 years in the United States and Europe. The k- and µ-opioid receptors are known to be critical mediators of itch, cough and certain movement disorders. Nalbuphine’s mechanism of action also mitigates the risk of abuse associated with µ-opioid agonists because it antagonizes, or blocks, the µ-opioid receptor. Nalbuphine is currently the only opioid approved for marketing that is not classified as a controlled substance in the United States and most of Europe.</w:t>
      </w:r>
    </w:p>
    <w:p>
      <w:pPr>
        <w:spacing w:after="0" w:line="176"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following table summarizes key information about our active clinical programs for nalbuphine ER. We have retained worldwide development and commercial rights for nalbuphine ER in all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240780" cy="2768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4078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hanging="572"/>
        <w:spacing w:after="0"/>
        <w:tabs>
          <w:tab w:leader="none" w:pos="58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Our prurigo nodularis program consists of our ongoing Phase 2b/3 clinical trial and an additional Phase 3 clinical trial that we plan to conduct.</w:t>
      </w:r>
    </w:p>
    <w:p>
      <w:pPr>
        <w:spacing w:after="0" w:line="1" w:lineRule="exact"/>
        <w:rPr>
          <w:rFonts w:ascii="Arial" w:cs="Arial" w:eastAsia="Arial" w:hAnsi="Arial"/>
          <w:sz w:val="25"/>
          <w:szCs w:val="25"/>
          <w:color w:val="auto"/>
          <w:vertAlign w:val="superscript"/>
        </w:rPr>
      </w:pPr>
    </w:p>
    <w:p>
      <w:pPr>
        <w:ind w:left="580" w:right="300" w:hanging="572"/>
        <w:spacing w:after="0" w:line="204" w:lineRule="auto"/>
        <w:tabs>
          <w:tab w:leader="none" w:pos="580" w:val="left"/>
        </w:tabs>
        <w:numPr>
          <w:ilvl w:val="0"/>
          <w:numId w:val="3"/>
        </w:numPr>
        <w:rPr>
          <w:rFonts w:ascii="Arial" w:cs="Arial" w:eastAsia="Arial" w:hAnsi="Arial"/>
          <w:sz w:val="26"/>
          <w:szCs w:val="26"/>
          <w:color w:val="auto"/>
          <w:vertAlign w:val="superscript"/>
        </w:rPr>
      </w:pPr>
      <w:r>
        <w:rPr>
          <w:rFonts w:ascii="Arial" w:cs="Arial" w:eastAsia="Arial" w:hAnsi="Arial"/>
          <w:sz w:val="18"/>
          <w:szCs w:val="18"/>
          <w:color w:val="auto"/>
        </w:rPr>
        <w:t>The dotted line segment indicates that we have not yet commenced any clinical trials for our LID program. The planned trials will be subject to regulatory input.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right="100" w:firstLine="589"/>
        <w:spacing w:after="0" w:line="269" w:lineRule="auto"/>
        <w:rPr>
          <w:sz w:val="20"/>
          <w:szCs w:val="20"/>
          <w:color w:val="auto"/>
        </w:rPr>
      </w:pPr>
      <w:r>
        <w:rPr>
          <w:rFonts w:ascii="Arial" w:cs="Arial" w:eastAsia="Arial" w:hAnsi="Arial"/>
          <w:sz w:val="17"/>
          <w:szCs w:val="17"/>
          <w:color w:val="auto"/>
        </w:rPr>
        <w:t>Chronic pruritus, defined as itching lasting longer than six weeks, causes a number of physical and psychological issues that can substantially impact patients’ daily well-being. The urge to scratch can be unbearable and the act of scratching can remove layers of skin and break the skin barrier, leading to bleeding and scarring and greatly increasing the risk of infection. Chronic pruritus can also lead to trouble sleeping, resulting in loss of work productivity and increased anxiety and depression as patients struggle to maintain self-control. Chronic pruritus is a hallmark of many dermatologic and systemic diseases and is the predominant reason that patients with these diseases experience so much discomfort. A recent report published in the Journal of the American Academy of Dermatology estimated that up to 26% of the worldwide population will suffer from chronic pruritus at some point in their lives. According to the Global Pruritus Therapeutic Market Research Report issued in 2017, the market for pruritus therapeutics was $10.8 billion in 2016 and is expected to grow to $14.3 billion in 2022. Despite the large market opportunity and the severity of chronic pruritus, there are no drugs approved in the United States or Europe for the treatment of moderate to severe pruritus. Nalbuphine ER’s dual mechanism of action targets opioid receptors located in both the central and peripheral nervous systems, each of which plays a role in modulating the sensation of itch. We believe this makes nalbuphine ER a promising potential therapy for the treatment of chronic pruritus.</w:t>
      </w:r>
    </w:p>
    <w:p>
      <w:pPr>
        <w:spacing w:after="0" w:line="18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have completed clinical trials in two distinct and serious pruritic conditions, uremic pruritus and pruritus associated with prurigo nodularis, with over 400 patients treated with different doses of nalbuphine ER in these trials. Uremic pruritus is a pruritic condition occurring in patients with chronic kidney disease typically receiving dialysis. Prurigo nodularis is an intensely pruritic dermatologic condition characterized by the presence of nodular pruriginous lesions such as papules or plaques. Among other endpoints, these trials measured the reduction in pruritus as reported on the worst itch numerical rating scale, or WI-NRS, which is a patient-reported assessment on an 11-point scale from 0 to 10 of the severity of the worst itch experienced in the last 24 hours.</w:t>
      </w:r>
    </w:p>
    <w:p>
      <w:pPr>
        <w:spacing w:after="0" w:line="19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In our Phase 2b/3 clinical trial in uremic pruritus, we enrolled 373 patients with moderate to severe uremic pruritus. Patients were randomized to one of three arms: either 108 mg or 54 mg of nalbuphine ER or placebo, each administered twice daily. The primary endpoint in the trial was the change from baseline in patients’ seven-day mean WI-NRS scores. The trial met its primary endpoint in the 108 mg arm, where patients reported a mean 3.49 point reduction in WI-NRS score from baseline to week eight as compared with a mean 2.80 point reduction in the placebo arm (p=0.017). Patients in the 54 mg arm reported a mean 3.10 point reduction in WI-NRS score from baseline, which was larger than the 2.80 point reduction in the placebo arm, although the difference was not statistically significant (p=0.441). The reduction in WI-NRS scores across the three arms of the trial demonstrated a dose response.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w:t>
      </w:r>
    </w:p>
    <w:p>
      <w:pPr>
        <w:spacing w:after="0" w:line="165"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In our Phase 2 clinical trial in prurigo nodularis, we enrolled 63 patients with prurigo nodularis who had moderate to severe pruritus. Patients were randomized to one of three arms: either 162 mg or 81 mg of nalbuphine ER or placebo, each administered twice daily. The primary endpoint of the trial was the proportion of patients reporting at least a 30% reduction from baseline to week 10 in seven-day mean WI-NRS scores, patients who were defined as responders. In the 162 mg arm, patients reported a mean 2.51 point reduction in WI-NRS score from baseline as compared with a mean 1.75 point reduction in the placebo arm (p=0.083), with 44% of the patients in the 162 mg arm constituting responders as compared to 36% of the patients in the placebo arm (p=0.323). In the 81 mg arm, patients reported a mean 2.14 point reduction in WI-NRS score from baseline, with 27% of the patients in the arm constituting responders (p=0.779). A key secondary endpoint of the trial was the proportion of patients reporting at least a 50% reduction in WI-NRS score from baseline. In the 162 mg arm, 33% of patients reported at least a 50% reduction in WI-NRS score as compared to 18% of patients in the placebo arm (p=0.083). The trial met a key secondary efficacy endpoint, reduction of ItchyQoL™ scores, in the 162 mg arm compared to the placebo arm (p=0.022). ItchyQoL measures quality of life improvements from pruritus reduction. The secondary endpoints of the trial were not powered for statistical significance.</w:t>
      </w:r>
    </w:p>
    <w:p>
      <w:pPr>
        <w:spacing w:after="0" w:line="182"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 xml:space="preserve">We conducted a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of the data from the 50 patients who completed the 10-week course of treatment in our Phase 2 clinical trial in prurigo nodularis. With the small number of patients enrolled in the trial, the number of patients discontinuing treatment prior to the end of the trial had a substantial impact on the results. Approximately 75% of the discontinuations in the nalbuphine ER arms occurred in an initial two-week titration period among patients who had not reached the target dose of nalbuphine ER. As a result, we believe that an analysis of the trial results in this subset of patients, whom we refer to as completers, provides informative data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line="301" w:lineRule="auto"/>
        <w:rPr>
          <w:sz w:val="20"/>
          <w:szCs w:val="20"/>
          <w:color w:val="auto"/>
        </w:rPr>
      </w:pPr>
      <w:r>
        <w:rPr>
          <w:rFonts w:ascii="Arial" w:cs="Arial" w:eastAsia="Arial" w:hAnsi="Arial"/>
          <w:sz w:val="16"/>
          <w:szCs w:val="16"/>
          <w:color w:val="auto"/>
        </w:rPr>
        <w:t>regarding nalbuphine ER because it eliminates the effects of patient discontinuations. In the trial, 50% of the completers in the 162 mg arm reported at least a 50% reduction in WI-NRS score from baseline, as compared to 20% of the completers in the placebo arm (p=0.028), although this analysis was not powered for statistical significance. As the patients in the 162 mg arm had a mean baseline WI-NRS score of 8.05, a 50% reduction in WI-NRS score from baseline for patients in this arm was comparable to a 4-point reduction in WI-NRS score, the primary efficacy endpoint of our PRISM trial.</w:t>
      </w:r>
    </w:p>
    <w:p>
      <w:pPr>
        <w:spacing w:after="0" w:line="157" w:lineRule="exact"/>
        <w:rPr>
          <w:sz w:val="20"/>
          <w:szCs w:val="20"/>
          <w:color w:val="auto"/>
        </w:rPr>
      </w:pPr>
    </w:p>
    <w:p>
      <w:pPr>
        <w:jc w:val="both"/>
        <w:ind w:right="20" w:firstLine="589"/>
        <w:spacing w:after="0" w:line="279" w:lineRule="auto"/>
        <w:rPr>
          <w:sz w:val="20"/>
          <w:szCs w:val="20"/>
          <w:color w:val="auto"/>
        </w:rPr>
      </w:pPr>
      <w:r>
        <w:rPr>
          <w:rFonts w:ascii="Arial" w:cs="Arial" w:eastAsia="Arial" w:hAnsi="Arial"/>
          <w:sz w:val="17"/>
          <w:szCs w:val="17"/>
          <w:color w:val="auto"/>
        </w:rPr>
        <w:t>Based on the results of our prurigo nodularis and uremic pruritus trials and open label extension trials in both indications, and discussions with the FDA and European regulatory authorities, in September 2018, we initiated our Phase 2b/3 Pruritus Relief through Itch Scratch Modulation, or PRISM, trial of nalbuphine ER 162 mg tablets in patients with severe pruritus associated with prurigo nodularis. We plan to conduct the trial at approximately 60 sites in the United States and Europe. To date, we have enrolled approximately 45% of the target number of patients.</w:t>
      </w:r>
    </w:p>
    <w:p>
      <w:pPr>
        <w:spacing w:after="0" w:line="17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PRISM trial consists of two parts. The first part of the trial is a randomized, double-blind, placebo-controlled, parallel, two-arm, 14-week treatment study that is evaluating the safety and anti-pruritic efficacy of nalbuphine ER 162 mg tablets. The second part of the trial is an open label extension to evaluate nalbuphine ER’s long-term safety profile as well as its effects on key prurigo nodularis parameters, including itch and skin healing, over a further 38 weeks, resulting in a 52-week overall treatment period. The trial is designed to be conducted in 240 patients. However, under the protocol for the trial, once 50% of the patients are evaluable for the primary efficacy endpoint, an unblinded statistician for the trial will review the available data, perform a sample size re-estimation and advise us on whether we should increase the size of the trial. We expect to reach 50% patient enrollment during the second quarter of 2020. Once all of these patients complete the primary efficacy endpoint, the sample size re-estimation analysis will occur. We expect this analysis will occur in mid-2020. Depending on the results of the sample size re-estimation, the trial may be increased to up to 360 patients. The primary efficacy endpoint for the trial is the proportion of patients achieving at least a 4-point improvement from baseline with respect to their worst itch at week 14 as measured by WI-NRS. The trial also includes several secondary endpoints, including mean changes from baseline to week 14 in skin healing assessments and quality of life measurements, such as ItchyQoL. In designing the statistical plan for the trial, we considered the rates of patient discontinuations we experienced in our earlier trials. We believe that these discontinuation rates can be reduced through increased patient and physician education prior to the commencement of dosing. We expect to report top-line data from the 14-week blinded treatment period of the PRISM trial in the second half of 2020. We will need to conduct an additional Phase 3 clinical trial to support the submission of an NDA to the FDA and an MAA to the EMA. We may initiate this trial before the PRISM trial is complete.</w:t>
      </w:r>
    </w:p>
    <w:p>
      <w:pPr>
        <w:spacing w:after="0" w:line="182"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We are conducting a Phase 1b clinical trial in patients with chronic liver disease to evaluate the safety and pharmacokinetics, or PK, of nalbuphine ER in this population. This trial was designed as an open label, non-randomized, parallel-group, single and multiple ascending dose trial in patients with mild, moderate and severe hepatic impairment. In the single ascending dosing portion of this trial in patients with mild and moderate hepatic impairment, which we completed, there were no serious adverse events reported. After reviewing the safety and PK data generated to date in the single ascending dose portion of the trial, we believe that these data are sufficient to support further investigation of nalbuphine ER in potential future safety and efficacy studies in patients with relevant liver diseases. We intend to start planning for a Phase 2 trial of nalbuphine ER in patients with pruritus associated with primary biliary cholangitis, or PBC. In addition, we intend to use the data from this trial to support an NDA submission for nalbuphine ER for pruritus in prurigo nodularis.</w:t>
      </w:r>
    </w:p>
    <w:p>
      <w:pPr>
        <w:spacing w:after="0" w:line="192"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We are not actively developing nalbuphine ER for uremic pruritus at this time based on our evaluation of the market dynamics, but may consider resuming development in the future.</w:t>
      </w:r>
    </w:p>
    <w:p>
      <w:pPr>
        <w:spacing w:after="0" w:line="170"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As a result of nalbuphine’s ability to modulate the k- and µ-opioid receptors, which are known to be involved in the pathophysiology of chronic cough in patients with IPF and in LID in patients with Parkinson’s disease, we are also pursuing the development of nalbuphine ER for each of these indications. We are conducting a Phase 2 clinical trial of nalbuphine ER to evaluate the safety of nalbuphine ER in patients with IPF, and make an initial assessment of its efficacy on cough, with data expected in the second half of 2020. We have written the protocol for a Phase 2 clinical trial to evaluate the effect of nalbuphine ER on LID in patients with Parkinson’s disease and plan to submit an investigational new drug, or IND, application in the upcoming months.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ind w:right="100" w:firstLine="589"/>
        <w:spacing w:after="0" w:line="263" w:lineRule="auto"/>
        <w:rPr>
          <w:sz w:val="20"/>
          <w:szCs w:val="20"/>
          <w:color w:val="auto"/>
        </w:rPr>
      </w:pPr>
      <w:r>
        <w:rPr>
          <w:rFonts w:ascii="Arial" w:cs="Arial" w:eastAsia="Arial" w:hAnsi="Arial"/>
          <w:sz w:val="18"/>
          <w:szCs w:val="18"/>
          <w:color w:val="auto"/>
        </w:rPr>
        <w:t>We are currently focusing our resources on completing the PRISM trial and Phase 2 trial for chronic cough in patients with IPF. We are continuing to prepare to conduct the Phase 2 trials for LID in patients with Parkinson’s disease and pruritus associated with PBC but plan to prioritize our cash and operational resources on our two lead clinical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are focused on the development and commercialization of nalbuphine ER to treat serious neurologically mediated conditions. The key elements of our strategy are:</w:t>
      </w:r>
    </w:p>
    <w:p>
      <w:pPr>
        <w:spacing w:after="0" w:line="62" w:lineRule="exact"/>
        <w:rPr>
          <w:sz w:val="20"/>
          <w:szCs w:val="20"/>
          <w:color w:val="auto"/>
        </w:rPr>
      </w:pPr>
    </w:p>
    <w:p>
      <w:pPr>
        <w:ind w:left="1020" w:right="80" w:hanging="432"/>
        <w:spacing w:after="0" w:line="273"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Complete the clinical development of nalbuphine ER for the treatment of pruritus associated with prurigo nodularis. </w:t>
      </w:r>
      <w:r>
        <w:rPr>
          <w:rFonts w:ascii="Arial" w:cs="Arial" w:eastAsia="Arial" w:hAnsi="Arial"/>
          <w:sz w:val="17"/>
          <w:szCs w:val="17"/>
          <w:color w:val="auto"/>
        </w:rPr>
        <w:t>We are conducting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PRISM trial to evaluate the safety and anti-pruritic efficacy of nalbuphine ER in patients with severe pruritus associated with prurigo nodularis. We expect to report top-line data from the blinded treatment period of the trial in the second half of 2020. In addition, the protocol for the PRISM trial provides for a sample size re-estimation analysis once 50% of the patients in the trial are evaluable for the primary endpoint. We expect the re-estimation analysis will occur in mid-2020. We will need to conduct an additional Phase 3 clinical trial to support the submission of an NDA to the FDA and an MAA to the EMA.</w:t>
      </w:r>
    </w:p>
    <w:p>
      <w:pPr>
        <w:spacing w:after="0" w:line="69" w:lineRule="exact"/>
        <w:rPr>
          <w:rFonts w:ascii="Arial" w:cs="Arial" w:eastAsia="Arial" w:hAnsi="Arial"/>
          <w:sz w:val="17"/>
          <w:szCs w:val="17"/>
          <w:color w:val="auto"/>
        </w:rPr>
      </w:pPr>
    </w:p>
    <w:p>
      <w:pPr>
        <w:ind w:left="1020" w:hanging="432"/>
        <w:spacing w:after="0" w:line="25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continued development of nalbuphine ER for additional pruritic conditions. </w:t>
      </w:r>
      <w:r>
        <w:rPr>
          <w:rFonts w:ascii="Arial" w:cs="Arial" w:eastAsia="Arial" w:hAnsi="Arial"/>
          <w:sz w:val="18"/>
          <w:szCs w:val="18"/>
          <w:color w:val="auto"/>
        </w:rPr>
        <w:t>Based on the proof of concept data in pruritus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trials in patients with prurigo nodularis and uremic pruritus, we plan to continue to develop nalbuphine ER for the treatment of other pruritic conditions. We are conducting a Phase 1b clinical trial in patients with chronic liver disease to evaluate the safety and PK of nalbuphine ER in these patients. After reviewing the safety and PK data generated to date in the single ascending dose portion of the trial, we believe that these data are sufficient to support further investigation on nalbuphine ER in potential future safety and efficacy studies in patients with relevant liver diseases. We intend to start planning a Phase 2 trial of nalbuphine ER in patients with pruritus associated with PBC. We may also seek to develop nalbuphine ER for the treatment of pruritus associated with additional dermatology, oncology, hematology and neurology related conditions.</w:t>
      </w:r>
    </w:p>
    <w:p>
      <w:pPr>
        <w:spacing w:after="0" w:line="79" w:lineRule="exact"/>
        <w:rPr>
          <w:rFonts w:ascii="Arial" w:cs="Arial" w:eastAsia="Arial" w:hAnsi="Arial"/>
          <w:sz w:val="18"/>
          <w:szCs w:val="18"/>
          <w:color w:val="auto"/>
        </w:rPr>
      </w:pPr>
    </w:p>
    <w:p>
      <w:pPr>
        <w:ind w:left="1020" w:right="60" w:hanging="432"/>
        <w:spacing w:after="0" w:line="274"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Leverage the dual mechanism of action of nalbuphine ER to pursue other neurologically mediated conditions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intend to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nalbuphine ER to treat other serious neurologically mediated conditions that share a common pathophysiology mediated through opioid receptors in the central and peripheral nervous systems. We are conducting a Phase 2 clinical trial to evaluate the safety of nalbuphine ER in patients with IPF, and make an initial assessment of its efficacy on cough, with data expected in the second half of 2020. We have written the protocol for a Phase 2 clinical trial to evaluate the effect of nalbuphine ER on LID in patients with Parkinson’s disease and plan to submit an IND application in the upcoming months.</w:t>
      </w:r>
    </w:p>
    <w:p>
      <w:pPr>
        <w:spacing w:after="0" w:line="69" w:lineRule="exact"/>
        <w:rPr>
          <w:rFonts w:ascii="Arial" w:cs="Arial" w:eastAsia="Arial" w:hAnsi="Arial"/>
          <w:sz w:val="17"/>
          <w:szCs w:val="17"/>
          <w:color w:val="auto"/>
        </w:rPr>
      </w:pPr>
    </w:p>
    <w:p>
      <w:pPr>
        <w:ind w:left="1020" w:right="20" w:hanging="432"/>
        <w:spacing w:after="0" w:line="296"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the commercial potential of nalbuphine ER. </w:t>
      </w:r>
      <w:r>
        <w:rPr>
          <w:rFonts w:ascii="Arial" w:cs="Arial" w:eastAsia="Arial" w:hAnsi="Arial"/>
          <w:sz w:val="16"/>
          <w:szCs w:val="16"/>
          <w:color w:val="auto"/>
        </w:rPr>
        <w:t>We have retained worldwide commercial rights for nalbuphine ER. If nalbuphine 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receives marketing approval from the FDA for any of the indications we are currently pursuing, we plan to commercialize nalbuphine ER in the United States with our own focused, specialty sales organization targeting the physicians specializing in these conditions. If nalbuphine ER receives marketing approval for any of these indications outside the United States, we expect to utilize a variety of collaboration, distribution and other marketing arrangements with one or more third parties to commercialize nalbuphine ER in such markets.</w:t>
      </w:r>
    </w:p>
    <w:p>
      <w:pPr>
        <w:spacing w:after="0" w:line="53" w:lineRule="exact"/>
        <w:rPr>
          <w:rFonts w:ascii="Arial" w:cs="Arial" w:eastAsia="Arial" w:hAnsi="Arial"/>
          <w:sz w:val="16"/>
          <w:szCs w:val="16"/>
          <w:color w:val="auto"/>
        </w:rPr>
      </w:pPr>
    </w:p>
    <w:p>
      <w:pPr>
        <w:ind w:left="1020" w:right="340" w:hanging="432"/>
        <w:spacing w:after="0" w:line="28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Evaluate business development opportunities and potential collaborations. </w:t>
      </w:r>
      <w:r>
        <w:rPr>
          <w:rFonts w:ascii="Arial" w:cs="Arial" w:eastAsia="Arial" w:hAnsi="Arial"/>
          <w:sz w:val="17"/>
          <w:szCs w:val="17"/>
          <w:color w:val="auto"/>
        </w:rPr>
        <w:t>We plan to evaluate the merits of entering into collaboration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with other pharmaceutical or biotechnology companies that may contribute to our ability to efficiently advance product candidates, build our product pipeline and concurrently advance a range of research and development programs.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Nalbuphine Mechanistic Rationale</w:t>
      </w:r>
    </w:p>
    <w:p>
      <w:pPr>
        <w:spacing w:after="0" w:line="121"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Nalbuphine is a mixed k-opioid receptor agonist and µ-opioid receptor antagonist. Drugs targeting opioid receptors have been studied for decades and the biology and pharmacology of these receptors are well-understood. There are three types of opioid receptors, mu (“µ”), kappa (“k”) and delta (“δ”), which are expressed in varying concentrations in many different tissues, including the central and peripheral nervous systems, airway and lung tissue, circulating immune and inflammatory cells and the skin.</w:t>
      </w:r>
    </w:p>
    <w:p>
      <w:pPr>
        <w:spacing w:after="0" w:line="18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Modulation of opioid receptors, either naturally or with opioid drugs, results in multiple signaling actions at the cellular level. The receptor dynamics are complex and receptor signaling differs depending on whether the receptor is being exposed to an agonist or antagonist opioid drug. Agonists activate the receptors to which they bind, and antagonists bind to receptors, and can block the activity of agonists. In addition, opioid drugs of the same class may have different effects depending on their pharmacological properties.</w:t>
      </w:r>
    </w:p>
    <w:p>
      <w:pPr>
        <w:spacing w:after="0" w:line="18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addition to the individual cellular dynamics, published research also supports the phenomena of network interaction dynamics, where activation of one type of opioid receptor type at one anatomical location can influence the activity of a different type of opiate receptor located at a different anatomical location. For example, published research has shown evidence of signaling between cell groups where k-receptor activation on specific cells can antagonize µ-opioid receptor activation on other cells. As a result of these apparent network interaction dynamics between the k- and µ-opioid receptors, we believe that simultaneously modulating both k- and µ-opioid receptors with a single drug offers significant therapeutic potential in diseases that are mediated through these receptors.</w:t>
      </w:r>
    </w:p>
    <w:p>
      <w:pPr>
        <w:spacing w:after="0" w:line="192"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Published research suggests that in certain diseases the concentration and expression of opioid receptors is different for people with the disease as compared to healthy individuals. For example, published research has shown that human skin tissue samples from patients with prurigo nodularis show a down regulation of µ-opioid receptor expression as compared to normal skin. In patients with Parkinson’s disease, multiple published studies have shown a reduction in opioid receptor density in the thalamus and basal ganglia regions of the brain in patients suffering from LID as compared to patients not suffering from dyskinesia. We believe these differences in opioid receptor concentration and expression between healthy individuals and people with disease suggest that opioid drugs targeting these receptors have the potential to offer therapeutic benefit to people suffering from these diseases.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ind w:right="20" w:firstLine="589"/>
        <w:spacing w:after="0" w:line="263" w:lineRule="auto"/>
        <w:rPr>
          <w:sz w:val="20"/>
          <w:szCs w:val="20"/>
          <w:color w:val="auto"/>
        </w:rPr>
      </w:pPr>
      <w:r>
        <w:rPr>
          <w:rFonts w:ascii="Arial" w:cs="Arial" w:eastAsia="Arial" w:hAnsi="Arial"/>
          <w:sz w:val="18"/>
          <w:szCs w:val="18"/>
          <w:color w:val="auto"/>
        </w:rPr>
        <w:t>As shown in the diagram below, k- and µ-opioid receptors are naturally concentrated in several areas of the body, including in the brain, brain stem, spinal cord, peripheral nerves, lungs and skin, which are the areas of the body involved in the physiology of chronic pruritus, chronic cough in IPF and 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142875</wp:posOffset>
            </wp:positionV>
            <wp:extent cx="4800600" cy="3909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0060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With respect to pruritus, the sensation of itch and the urge to scratch are known to be mediated by k- and µ-opioid receptor expression in the reward centers of the brain as well as the spinal cord, skin and peripheral nervous system. Published clinical trials of the µ-agonist nalfurafine have demonstrated effectiveness in reducing uremic pruritus and pruritus secondary to chronic hepatic disease. Nalfurafine is approved and marketed in Japan for both conditions. In addition, a number of published clinical trials have reported on the effectiveness of the µ-antagonist naltrexone in reducing pruritus related to hepatic disease and pruritus related to prurigo nodularis.</w:t>
      </w:r>
    </w:p>
    <w:p>
      <w:pPr>
        <w:spacing w:after="0" w:line="188"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With respect to cough, k- and µ-opioid receptors in the brain stem, lungs and the peripheral lung nerves are believed to be involved in mediating respiration and the cough reflex. While there are no approved opioid therapeutics for suppression of cough in humans, µ-agonist opioids have been used to suppress cough. In addition, the mixed k-agonist and µ-partial agonist butorphanol is approved and marketed for animals in a veterinary injection and tablet formulation for the relief of chronic non-productive cough and has been found to be 15 to 20 times more active in suppressing cough than either codeine or dextromethorphan. Further, in clinical trials both butorphanol and pentazocine, a mixed k-agonist and µ-antagonist, have demonstrated suppression of cough in fentanyl-induced cough during anesthetic induction in patients.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right="40" w:firstLine="589"/>
        <w:spacing w:after="0" w:line="254" w:lineRule="auto"/>
        <w:rPr>
          <w:sz w:val="20"/>
          <w:szCs w:val="20"/>
          <w:color w:val="auto"/>
        </w:rPr>
      </w:pPr>
      <w:r>
        <w:rPr>
          <w:rFonts w:ascii="Arial" w:cs="Arial" w:eastAsia="Arial" w:hAnsi="Arial"/>
          <w:sz w:val="18"/>
          <w:szCs w:val="18"/>
          <w:color w:val="auto"/>
        </w:rPr>
        <w:t>With respect to Parkinson’s disease, it is believed that opioid signaling in the thalamus and basal ganglia regions of the brain may play a role in mediating LID. Published research using a brain imaging technique has shown that Parkinson’s patients suffering from LID have reduced opioid receptor availability in the thalamus and the basal ganglia, as compared to Parkinson’s patients responding normally to levodopa therapy and not exhibiting LID. Additionally, there is an inverse correlation between the availability of these receptors and the severity of dyskinesia. This decrease in opioid receptor availability is believed to be due to heightened opioid transmission in these brain regions in patients with LID. In addition, a number of opioid components have been evaluated in preclinical animal models of LID and the data indicate that µ-antagonism has the most benefit, with k-agonism also having desirable effects.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Nalbuphine ER</w:t>
      </w:r>
    </w:p>
    <w:p>
      <w:pPr>
        <w:spacing w:after="0" w:line="121"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Nalbuphine ER is an oral extended release formulation of nalbuphine, a small molecule and a member of the opioid agonist-antagonist class of drugs. Nalbuphine acts as an agonist at the opioid k-receptor while competitively antagonizing the µ-opioid receptor. Nalbuphine is a marketed drug currently available only as nalbuphine hydrochloride for injection, a generic equivalent to Nubain, which has been approved in the United States and Europe for use in the relief of moderate to severe pain for more than 20 years. Nalbuphine is not currently classified as a controlled substance in the United States or Europe and is not commercially available in an oral dosage form. We are developing nalbuphine ER to treat serious neurologically mediated conditions, including chronic pruritus, chronic cough in patients with IPF and LID in patients with Parkinson’s disease.</w:t>
      </w:r>
    </w:p>
    <w:p>
      <w:pPr>
        <w:spacing w:after="0" w:line="178"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We have leveraged the known mechanism and proven biological activity of nalbuphine in pain to expedite the clinical development of nalbuphine ER. We have also drawn on the safety and tolerability data from eight prior clinical trials of nalbuphine ER conducted by Penwest, from which we have licensed rights to nalbuphine ER, including two Phase 2 clinical trials of nalbuphine ER for the treatment of pain, to support our clinical development efforts. We believe that the established efficacy and safety profile of nalbuphine and the clinical experience with nalbuphine ER provide a strong foundation for advancing nalbuphine ER into late-stage clinical trials.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Nalbuphine ER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Chronic Pruritus Programs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are developing nalbuphine ER for the treatment of chronic pruritus associated with various conditions. We have filed an IND with the FDA covering nalbuphine ER in pruritus in prurigo nodularis and uremic pruritus. We have completed two double-blind, placebo-controlled clinical trials in patients with moderate to severe uremic pruritus and moderate to severe pruritus associated with prurigo nodularis that have established proof of concept in these indications. We believe that the pruritus associated with multiple distinct conditions, including prurigo nodularis, pruritus in relevant liver diseases such as PBC, and uremic pruritus, involves activation of a common neuronal pathway for itch signaling.</w:t>
      </w:r>
    </w:p>
    <w:p>
      <w:pPr>
        <w:spacing w:after="0" w:line="176"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Chronic pruritus, defined as itching lasting longer than six weeks, causes a number of physical and psychological issues that can substantially impact patients’ daily well-being. The urge to scratch can be unbearable, and the act of scratching can remove layers of skin and break the skin barrier leading to bleeding, scarring and greatly increasing the risk of infection. Chronic pruritus can also lead to trouble sleeping, resulting in loss of work productivity and increased anxiety and depression as patients struggle to maintain self-control. Chronic pruritus is a hallmark of many dermatologic and systemic diseases and is the predominant reason that patients with these diseases experience so much discomfort. A recent report published in the Journal of the American Academy of Dermatology estimated that up to 26% of the worldwide population will suffer from chronic pruritus at some point in their lives.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 w:name="page10"/>
    <w:bookmarkEnd w:id="9"/>
    <w:p>
      <w:pPr>
        <w:ind w:firstLine="589"/>
        <w:spacing w:after="0" w:line="270" w:lineRule="auto"/>
        <w:rPr>
          <w:sz w:val="20"/>
          <w:szCs w:val="20"/>
          <w:color w:val="auto"/>
        </w:rPr>
      </w:pPr>
      <w:r>
        <w:rPr>
          <w:rFonts w:ascii="Arial" w:cs="Arial" w:eastAsia="Arial" w:hAnsi="Arial"/>
          <w:sz w:val="17"/>
          <w:szCs w:val="17"/>
          <w:color w:val="auto"/>
        </w:rPr>
        <w:t>Despite its prevalence, chronic pruritus is not well addressed by current treatment options. Pruritic skin diseases are commonly treated with a multi-prong therapeutic approach. Skin barrier restoration and maintenance through application of topical moisturizers and treatment of skin lesions locally through the use of topical corticosteroids or other topical anti-inflammatory agents are the predominant first-line therapies for many pruritic skin diseases. Phototherapy and systemic immunomodulators, including biologics, are frequently used for more severe disease conditions. These treatment options may reduce pruritus to some degree in addition to their effects on skin health and inflammation. Yet many patients with chronic pruritus still report high levels of pruritus despite active topical or systemic therapy. This significant medical need is reflected by the widespread use of therapies intended to address pruritus specifically, such as oral antihistamines, despite evidence demonstrating their relative lack of efficacy, as well as concerns regarding their safety and tolerability. According to the Global Pruritus Therapeutic Market Research Report issued in 2017, the market for pruritus therapeutics was $10.8 billion in 2016 and is expected to grow to $14.3 billion in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Prurigo Nodularis Program</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Prurigo nodularis is an intensely pruritic dermatologic condition that constitutes a distinct dermatologic diagnosis. The core symptoms and criteria for diagnosis of prurigo nodularis are chronic pruritus, a history and/or signs of repeated scratching, and the presence of multiple pruriginous lesions. The presence and persistence of these pruriginous lesions are hallmarks of prurigo nodularis and aid in its diagnosis. These lesions are generally symmetrically distributed, intensely itchy papules, nodules or plaques, which may be associated with excoriations and ulcerations. As illustrated below, prurigo nodularis can arise from itch caused by a number of pre-existing conditions, with the initial scratching beginning a vicious itch-scratch cycle that results in the nodules that are characteristic of the distinct and separate disease of prurigo nodularis.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147955</wp:posOffset>
            </wp:positionV>
            <wp:extent cx="3823335" cy="258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2333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 w:name="page11"/>
    <w:bookmarkEnd w:id="10"/>
    <w:p>
      <w:pPr>
        <w:ind w:right="100" w:firstLine="589"/>
        <w:spacing w:after="0" w:line="296" w:lineRule="auto"/>
        <w:rPr>
          <w:sz w:val="20"/>
          <w:szCs w:val="20"/>
          <w:color w:val="auto"/>
        </w:rPr>
      </w:pPr>
      <w:r>
        <w:rPr>
          <w:rFonts w:ascii="Arial" w:cs="Arial" w:eastAsia="Arial" w:hAnsi="Arial"/>
          <w:sz w:val="16"/>
          <w:szCs w:val="16"/>
          <w:color w:val="auto"/>
        </w:rPr>
        <w:t>The pruritus associated with prurigo nodularis is generally considered to be one of the most severe and treatment-resistant forms of pruritus. In a retrospective study of 108 prurigo nodularis patients published in 2013 in the Journal of the European Academy of Dermatology and Venereology, patients rating their most severe itch over the prior 24 hours on the WI-NRS reported a median WI-NRS score of 8 and a mean and median duration of prurigo nodularis of 77.5 and 36 months, respectively. As illustrated in the diagram below, the WI-NRS is a patient-reported assessment on an 11-point scale from 0 to 10 of the severity of the worst itch experienced in the last 24 hours, and scores of 7 or more are considered to indicate severe 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137160</wp:posOffset>
            </wp:positionV>
            <wp:extent cx="4243070" cy="128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4307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Patients with prurigo nodularis also typically experience a significant negative impact on their overall quality of life, including severe negative impacts on their confidence at work and in social activities. In a natural history study in 593 patients with prurigo nodularis at the Itch Center, University of Münster in Germany, it was shown that all of the patients in the study had a severe impairment of quality of life, as measured by the Dermatology Life Quality Index, or DLQI, a specific validated quality-of-life measurement that has been used in many different skin condition trials. With increasing intensity of pruritus, the quality of life worsened and DLQI values increased.</w:t>
      </w:r>
    </w:p>
    <w:p>
      <w:pPr>
        <w:spacing w:after="0" w:line="188"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believe that in 2016 there were approximately 250,000 prurigo nodularis patients in the United States and approximately 430,000 additional prurigo nodularis patients worldwide. No treatment for chronic pruritus associated with prurigo nodularis has been approved in the United States or Europe. Treatment of prurigo nodularis typically involves a multifaceted approach to treat the lesions and reduce pruritus. Therapies may include corticosteroids and other immunosuppressive or anti-inflammatory treatments, phototherapy and drugs such as gabapentin and Lyrica (pregabalin), prescription medicines approved for the treatment of seizures and neuropathic pain. Prurigo nodularis is often treatment-resistant with high recurrence rates.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have conducted a Phase 2 clinical trial and an open label extension study of nalbuphine ER in pruritus in patients with prurigo nodularis and are currently conducting our PRISM trial for nalbuphine ER for the treatment of pruritus associated with prurigo nodularis. If successful, we expect that we will use the PRISM trial and an additional Phase 3 clinical trial that we plan to conduct to support the submission of an NDA to the FDA and an MAA to the EMA. We may initiate this trial before the PRISM trial is complete.</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Phase 2 Clinical Trial</w:t>
      </w:r>
    </w:p>
    <w:p>
      <w:pPr>
        <w:spacing w:after="0" w:line="117"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We completed a Phase 2 clinical trial in August 2016 evaluating the safety and efficacy of nalbuphine ER as compared to placebo in patients with pruritus associated with prurigo nodularis. The trial was a multicenter, randomized, double-blind trial conducted at eight sites in the United States and Europe. The trial enrolled a total of 63 adult patients who had prurigo nodularis for at least six weeks and seven-day mean WI-NRS scores of at least 5, indicating moderate to severe pruritus. The patients were randomized across three treatment arms: either 162 mg or 81 mg of nalbuphine ER or placebo, each administered twice daily. The baseline seven-day mean WI-NRS scores for the three treatment arms were comparable: 8.05 for the 162 mg arm, 8.46 for the 81 mg arm and 7.96 for the placebo arm. There were three dosing periods in the trial, all of which were blinded: an initial two-week titration period during which patients received gradually increasing doses of nalbuphine ER or placebo, reaching the final assigned dose on day 15; an eight-week fixed dosing period; and a two-week off-treatment safety observation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 w:name="page12"/>
    <w:bookmarkEnd w:id="11"/>
    <w:p>
      <w:pPr>
        <w:ind w:left="600"/>
        <w:spacing w:after="0"/>
        <w:rPr>
          <w:sz w:val="20"/>
          <w:szCs w:val="20"/>
          <w:color w:val="auto"/>
        </w:rPr>
      </w:pPr>
      <w:r>
        <w:rPr>
          <w:rFonts w:ascii="Arial" w:cs="Arial" w:eastAsia="Arial" w:hAnsi="Arial"/>
          <w:sz w:val="16"/>
          <w:szCs w:val="16"/>
          <w:color w:val="auto"/>
        </w:rPr>
        <w:t>The primary endpoint of the trial was the proportion of patients reporting at least a 30% reduction from baseline to week 10 in seven-day mean WI-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NRS scores. We refer to these patients as 30% responders. Key secondary endpoints included:</w:t>
      </w:r>
    </w:p>
    <w:p>
      <w:pPr>
        <w:spacing w:after="0" w:line="103" w:lineRule="exact"/>
        <w:rPr>
          <w:sz w:val="20"/>
          <w:szCs w:val="20"/>
          <w:color w:val="auto"/>
        </w:rPr>
      </w:pPr>
    </w:p>
    <w:p>
      <w:pPr>
        <w:ind w:left="1020" w:hanging="43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mean change in seven-day mean WI-NRS scores from baseline to week 10;</w:t>
      </w:r>
    </w:p>
    <w:p>
      <w:pPr>
        <w:spacing w:after="0" w:line="117" w:lineRule="exact"/>
        <w:rPr>
          <w:rFonts w:ascii="Arial" w:cs="Arial" w:eastAsia="Arial" w:hAnsi="Arial"/>
          <w:sz w:val="18"/>
          <w:szCs w:val="18"/>
          <w:color w:val="auto"/>
        </w:rPr>
      </w:pPr>
    </w:p>
    <w:p>
      <w:pPr>
        <w:jc w:val="both"/>
        <w:ind w:left="1020" w:right="160" w:hanging="432"/>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proportion of patients reporting at least a 50% reduction in seven-day mean WI-NRS score from baseline to week 10, whom we refer to as 50% responders, which reduction was comparable to a 4-point reduction in WI-NRS score, the primary efficacy endpoint for our PRISM trial, for patients in the 162 mg arm due to such patients having a mean baseline WI-NRS score of 8.05; and</w:t>
      </w:r>
    </w:p>
    <w:p>
      <w:pPr>
        <w:spacing w:after="0" w:line="57" w:lineRule="exact"/>
        <w:rPr>
          <w:rFonts w:ascii="Arial" w:cs="Arial" w:eastAsia="Arial" w:hAnsi="Arial"/>
          <w:sz w:val="17"/>
          <w:szCs w:val="17"/>
          <w:color w:val="auto"/>
        </w:rPr>
      </w:pPr>
    </w:p>
    <w:p>
      <w:pPr>
        <w:ind w:left="1020" w:right="180" w:hanging="432"/>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mean change from baseline to week 10 in total ItchyQoL score, a 22-question assessment using a severity scale of 1 to 5 that measures how pruritus affects patients’ quality of life based on symptoms related to the pruritic condition, their functional limitations, their emotions and observations about their skin disease.</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Efficacy Results</w:t>
      </w:r>
    </w:p>
    <w:p>
      <w:pPr>
        <w:spacing w:after="0" w:line="117"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 xml:space="preserve">The following table summarizes the outcomes of the trial at week 10 for the primary endpoint and key secondary endpoints. The table below also includes results from a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analysis of the 50 patients who completed the 10-week course of treatment, who we refer to as completers. We believe this </w:t>
      </w:r>
      <w:r>
        <w:rPr>
          <w:rFonts w:ascii="Arial" w:cs="Arial" w:eastAsia="Arial" w:hAnsi="Arial"/>
          <w:sz w:val="17"/>
          <w:szCs w:val="17"/>
          <w:i w:val="1"/>
          <w:iCs w:val="1"/>
          <w:color w:val="auto"/>
        </w:rPr>
        <w:t xml:space="preserve">post hoc </w:t>
      </w:r>
      <w:r>
        <w:rPr>
          <w:rFonts w:ascii="Arial" w:cs="Arial" w:eastAsia="Arial" w:hAnsi="Arial"/>
          <w:sz w:val="17"/>
          <w:szCs w:val="17"/>
          <w:color w:val="auto"/>
        </w:rPr>
        <w:t>analysis provides informative data as it eliminates the effects of patient discontinuations. With the small number of patients enrolled in the trial,</w:t>
      </w:r>
      <w:r>
        <w:rPr>
          <w:rFonts w:ascii="Arial" w:cs="Arial" w:eastAsia="Arial" w:hAnsi="Arial"/>
          <w:sz w:val="17"/>
          <w:szCs w:val="17"/>
          <w:i w:val="1"/>
          <w:iCs w:val="1"/>
          <w:color w:val="auto"/>
        </w:rPr>
        <w:t xml:space="preserve"> </w:t>
      </w:r>
      <w:r>
        <w:rPr>
          <w:rFonts w:ascii="Arial" w:cs="Arial" w:eastAsia="Arial" w:hAnsi="Arial"/>
          <w:sz w:val="17"/>
          <w:szCs w:val="17"/>
          <w:color w:val="auto"/>
        </w:rPr>
        <w:t>the number of patients discontinuing treatment prior to the end of the trial had a substantial impact on the results, even though the number of discontinuations was small in absolute terms. Approximately 75% of the discontinuations in the nalbuphine ER arms occurred in the titration period among patients who had not reached the target dose of nalbuphine ER. During the trial, the discontinuation rate declined as enrollment progressed, which we believe was due to trial sites and investigators gaining experience with nalbuphine ER and the trial. We believe that these discontinuation rates can be reduced in future trials through increased patient and physician education prior to the commencement of dosing as the adverse events leading to these discontinuations were mild in nature and transient.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ind w:left="240"/>
              <w:spacing w:after="0"/>
              <w:rPr>
                <w:sz w:val="20"/>
                <w:szCs w:val="20"/>
                <w:color w:val="auto"/>
              </w:rPr>
            </w:pPr>
            <w:r>
              <w:rPr>
                <w:rFonts w:ascii="Arial" w:cs="Arial" w:eastAsia="Arial" w:hAnsi="Arial"/>
                <w:sz w:val="14"/>
                <w:szCs w:val="14"/>
                <w:b w:val="1"/>
                <w:bCs w:val="1"/>
                <w:color w:val="auto"/>
              </w:rPr>
              <w:t>Nalbuphine ER 162 mg</w:t>
            </w:r>
          </w:p>
        </w:tc>
        <w:tc>
          <w:tcPr>
            <w:tcW w:w="80" w:type="dxa"/>
            <w:vAlign w:val="bottom"/>
          </w:tcPr>
          <w:p>
            <w:pPr>
              <w:spacing w:after="0"/>
              <w:rPr>
                <w:sz w:val="14"/>
                <w:szCs w:val="14"/>
                <w:color w:val="auto"/>
              </w:rPr>
            </w:pPr>
          </w:p>
        </w:tc>
        <w:tc>
          <w:tcPr>
            <w:tcW w:w="2220" w:type="dxa"/>
            <w:vAlign w:val="bottom"/>
            <w:gridSpan w:val="4"/>
          </w:tcPr>
          <w:p>
            <w:pPr>
              <w:ind w:left="340"/>
              <w:spacing w:after="0"/>
              <w:rPr>
                <w:sz w:val="20"/>
                <w:szCs w:val="20"/>
                <w:color w:val="auto"/>
              </w:rPr>
            </w:pPr>
            <w:r>
              <w:rPr>
                <w:rFonts w:ascii="Arial" w:cs="Arial" w:eastAsia="Arial" w:hAnsi="Arial"/>
                <w:sz w:val="14"/>
                <w:szCs w:val="14"/>
                <w:b w:val="1"/>
                <w:bCs w:val="1"/>
                <w:color w:val="auto"/>
              </w:rPr>
              <w:t>Nalbuphine ER 81 mg</w:t>
            </w:r>
          </w:p>
        </w:tc>
        <w:tc>
          <w:tcPr>
            <w:tcW w:w="20" w:type="dxa"/>
            <w:vAlign w:val="bottom"/>
          </w:tcPr>
          <w:p>
            <w:pPr>
              <w:spacing w:after="0"/>
              <w:rPr>
                <w:sz w:val="14"/>
                <w:szCs w:val="14"/>
                <w:color w:val="auto"/>
              </w:rPr>
            </w:pPr>
          </w:p>
        </w:tc>
        <w:tc>
          <w:tcPr>
            <w:tcW w:w="1220" w:type="dxa"/>
            <w:vAlign w:val="bottom"/>
          </w:tcPr>
          <w:p>
            <w:pPr>
              <w:ind w:left="660"/>
              <w:spacing w:after="0"/>
              <w:rPr>
                <w:sz w:val="20"/>
                <w:szCs w:val="20"/>
                <w:color w:val="auto"/>
              </w:rPr>
            </w:pPr>
            <w:r>
              <w:rPr>
                <w:rFonts w:ascii="Arial" w:cs="Arial" w:eastAsia="Arial" w:hAnsi="Arial"/>
                <w:sz w:val="14"/>
                <w:szCs w:val="14"/>
                <w:b w:val="1"/>
                <w:bCs w:val="1"/>
                <w:color w:val="auto"/>
              </w:rPr>
              <w:t>Placebo</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Endpoint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n=18</w:t>
            </w:r>
          </w:p>
        </w:tc>
        <w:tc>
          <w:tcPr>
            <w:tcW w:w="80" w:type="dxa"/>
            <w:vAlign w:val="bottom"/>
          </w:tcPr>
          <w:p>
            <w:pPr>
              <w:spacing w:after="0"/>
              <w:rPr>
                <w:sz w:val="12"/>
                <w:szCs w:val="12"/>
                <w:color w:val="auto"/>
              </w:rPr>
            </w:pPr>
          </w:p>
        </w:tc>
        <w:tc>
          <w:tcPr>
            <w:tcW w:w="1280" w:type="dxa"/>
            <w:vAlign w:val="bottom"/>
          </w:tcPr>
          <w:p>
            <w:pPr>
              <w:ind w:left="38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n=22</w:t>
            </w:r>
          </w:p>
        </w:tc>
        <w:tc>
          <w:tcPr>
            <w:tcW w:w="20" w:type="dxa"/>
            <w:vAlign w:val="bottom"/>
          </w:tcPr>
          <w:p>
            <w:pPr>
              <w:spacing w:after="0"/>
              <w:rPr>
                <w:sz w:val="12"/>
                <w:szCs w:val="12"/>
                <w:color w:val="auto"/>
              </w:rPr>
            </w:pPr>
          </w:p>
        </w:tc>
        <w:tc>
          <w:tcPr>
            <w:tcW w:w="1220" w:type="dxa"/>
            <w:vAlign w:val="bottom"/>
          </w:tcPr>
          <w:p>
            <w:pPr>
              <w:ind w:left="26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8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w w:val="94"/>
              </w:rPr>
              <w:t>n=22</w:t>
            </w:r>
          </w:p>
        </w:tc>
        <w:tc>
          <w:tcPr>
            <w:tcW w:w="0" w:type="dxa"/>
            <w:vAlign w:val="bottom"/>
          </w:tcPr>
          <w:p>
            <w:pPr>
              <w:spacing w:after="0"/>
              <w:rPr>
                <w:sz w:val="1"/>
                <w:szCs w:val="1"/>
                <w:color w:val="auto"/>
              </w:rPr>
            </w:pPr>
          </w:p>
        </w:tc>
      </w:tr>
      <w:tr>
        <w:trPr>
          <w:trHeight w:val="167"/>
        </w:trPr>
        <w:tc>
          <w:tcPr>
            <w:tcW w:w="4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Completers</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n=12</w:t>
            </w:r>
          </w:p>
        </w:tc>
        <w:tc>
          <w:tcPr>
            <w:tcW w:w="80" w:type="dxa"/>
            <w:vAlign w:val="bottom"/>
          </w:tcPr>
          <w:p>
            <w:pPr>
              <w:spacing w:after="0"/>
              <w:rPr>
                <w:sz w:val="14"/>
                <w:szCs w:val="14"/>
                <w:color w:val="auto"/>
              </w:rPr>
            </w:pPr>
          </w:p>
        </w:tc>
        <w:tc>
          <w:tcPr>
            <w:tcW w:w="1280" w:type="dxa"/>
            <w:vAlign w:val="bottom"/>
          </w:tcPr>
          <w:p>
            <w:pPr>
              <w:ind w:left="360"/>
              <w:spacing w:after="0"/>
              <w:rPr>
                <w:sz w:val="20"/>
                <w:szCs w:val="20"/>
                <w:color w:val="auto"/>
              </w:rPr>
            </w:pPr>
            <w:r>
              <w:rPr>
                <w:rFonts w:ascii="Arial" w:cs="Arial" w:eastAsia="Arial" w:hAnsi="Arial"/>
                <w:sz w:val="14"/>
                <w:szCs w:val="14"/>
                <w:color w:val="auto"/>
                <w:w w:val="95"/>
              </w:rPr>
              <w:t>Completers</w:t>
            </w:r>
            <w:r>
              <w:rPr>
                <w:rFonts w:ascii="Arial" w:cs="Arial" w:eastAsia="Arial" w:hAnsi="Arial"/>
                <w:sz w:val="12"/>
                <w:szCs w:val="12"/>
                <w:color w:val="auto"/>
                <w:w w:val="95"/>
              </w:rPr>
              <w:t>(2)</w:t>
            </w:r>
            <w:r>
              <w:rPr>
                <w:rFonts w:ascii="Arial" w:cs="Arial" w:eastAsia="Arial" w:hAnsi="Arial"/>
                <w:sz w:val="14"/>
                <w:szCs w:val="14"/>
                <w:color w:val="auto"/>
                <w:w w:val="95"/>
              </w:rPr>
              <w:t xml:space="preserve"> :</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rPr>
              <w:t>n=18</w:t>
            </w:r>
          </w:p>
        </w:tc>
        <w:tc>
          <w:tcPr>
            <w:tcW w:w="20" w:type="dxa"/>
            <w:vAlign w:val="bottom"/>
          </w:tcPr>
          <w:p>
            <w:pPr>
              <w:spacing w:after="0"/>
              <w:rPr>
                <w:sz w:val="14"/>
                <w:szCs w:val="14"/>
                <w:color w:val="auto"/>
              </w:rPr>
            </w:pPr>
          </w:p>
        </w:tc>
        <w:tc>
          <w:tcPr>
            <w:tcW w:w="1220" w:type="dxa"/>
            <w:vAlign w:val="bottom"/>
          </w:tcPr>
          <w:p>
            <w:pPr>
              <w:ind w:left="240"/>
              <w:spacing w:after="0"/>
              <w:rPr>
                <w:sz w:val="20"/>
                <w:szCs w:val="20"/>
                <w:color w:val="auto"/>
              </w:rPr>
            </w:pPr>
            <w:r>
              <w:rPr>
                <w:rFonts w:ascii="Arial" w:cs="Arial" w:eastAsia="Arial" w:hAnsi="Arial"/>
                <w:sz w:val="14"/>
                <w:szCs w:val="14"/>
                <w:color w:val="auto"/>
              </w:rPr>
              <w:t>Completers</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800" w:type="dxa"/>
            <w:vAlign w:val="bottom"/>
            <w:gridSpan w:val="3"/>
          </w:tcPr>
          <w:p>
            <w:pPr>
              <w:jc w:val="right"/>
              <w:ind w:right="460"/>
              <w:spacing w:after="0"/>
              <w:rPr>
                <w:sz w:val="20"/>
                <w:szCs w:val="20"/>
                <w:color w:val="auto"/>
              </w:rPr>
            </w:pPr>
            <w:r>
              <w:rPr>
                <w:rFonts w:ascii="Arial" w:cs="Arial" w:eastAsia="Arial" w:hAnsi="Arial"/>
                <w:sz w:val="14"/>
                <w:szCs w:val="14"/>
                <w:color w:val="auto"/>
              </w:rPr>
              <w:t>n=20</w:t>
            </w:r>
          </w:p>
        </w:tc>
        <w:tc>
          <w:tcPr>
            <w:tcW w:w="0" w:type="dxa"/>
            <w:vAlign w:val="bottom"/>
          </w:tcPr>
          <w:p>
            <w:pPr>
              <w:spacing w:after="0"/>
              <w:rPr>
                <w:sz w:val="1"/>
                <w:szCs w:val="1"/>
                <w:color w:val="auto"/>
              </w:rPr>
            </w:pPr>
          </w:p>
        </w:tc>
      </w:tr>
      <w:tr>
        <w:trPr>
          <w:trHeight w:val="155"/>
        </w:trPr>
        <w:tc>
          <w:tcPr>
            <w:tcW w:w="4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2"/>
          </w:tcPr>
          <w:p>
            <w:pPr>
              <w:ind w:left="1260"/>
              <w:spacing w:after="0" w:line="155"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2"/>
                <w:szCs w:val="12"/>
                <w:i w:val="1"/>
                <w:iCs w:val="1"/>
                <w:color w:val="auto"/>
              </w:rPr>
              <w:t>(3)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2"/>
                <w:szCs w:val="12"/>
                <w:i w:val="1"/>
                <w:iCs w:val="1"/>
                <w:color w:val="auto"/>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Responder Analyses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30% responders in mITT population</w:t>
            </w:r>
            <w:r>
              <w:rPr>
                <w:rFonts w:ascii="Arial" w:cs="Arial" w:eastAsia="Arial" w:hAnsi="Arial"/>
                <w:sz w:val="15"/>
                <w:szCs w:val="15"/>
                <w:color w:val="auto"/>
              </w:rPr>
              <w:t>(4)</w:t>
            </w:r>
          </w:p>
        </w:tc>
        <w:tc>
          <w:tcPr>
            <w:tcW w:w="1420" w:type="dxa"/>
            <w:vAlign w:val="bottom"/>
            <w:gridSpan w:val="3"/>
          </w:tcPr>
          <w:p>
            <w:pPr>
              <w:jc w:val="right"/>
              <w:ind w:right="308"/>
              <w:spacing w:after="0"/>
              <w:rPr>
                <w:sz w:val="20"/>
                <w:szCs w:val="20"/>
                <w:color w:val="auto"/>
              </w:rPr>
            </w:pPr>
            <w:r>
              <w:rPr>
                <w:rFonts w:ascii="Arial" w:cs="Arial" w:eastAsia="Arial" w:hAnsi="Arial"/>
                <w:sz w:val="18"/>
                <w:szCs w:val="18"/>
                <w:color w:val="auto"/>
              </w:rPr>
              <w:t>44%</w:t>
            </w:r>
          </w:p>
        </w:tc>
        <w:tc>
          <w:tcPr>
            <w:tcW w:w="860" w:type="dxa"/>
            <w:vAlign w:val="bottom"/>
            <w:gridSpan w:val="3"/>
          </w:tcPr>
          <w:p>
            <w:pPr>
              <w:ind w:left="140"/>
              <w:spacing w:after="0"/>
              <w:rPr>
                <w:sz w:val="20"/>
                <w:szCs w:val="20"/>
                <w:color w:val="auto"/>
              </w:rPr>
            </w:pPr>
            <w:r>
              <w:rPr>
                <w:rFonts w:ascii="Arial" w:cs="Arial" w:eastAsia="Arial" w:hAnsi="Arial"/>
                <w:sz w:val="18"/>
                <w:szCs w:val="18"/>
                <w:color w:val="auto"/>
              </w:rPr>
              <w:t>p=0.323</w:t>
            </w: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27%</w:t>
            </w:r>
          </w:p>
        </w:tc>
        <w:tc>
          <w:tcPr>
            <w:tcW w:w="940" w:type="dxa"/>
            <w:vAlign w:val="bottom"/>
            <w:gridSpan w:val="3"/>
          </w:tcPr>
          <w:p>
            <w:pPr>
              <w:ind w:left="220"/>
              <w:spacing w:after="0"/>
              <w:rPr>
                <w:sz w:val="20"/>
                <w:szCs w:val="20"/>
                <w:color w:val="auto"/>
              </w:rPr>
            </w:pPr>
            <w:r>
              <w:rPr>
                <w:rFonts w:ascii="Arial" w:cs="Arial" w:eastAsia="Arial" w:hAnsi="Arial"/>
                <w:sz w:val="18"/>
                <w:szCs w:val="18"/>
                <w:color w:val="auto"/>
              </w:rPr>
              <w:t>p=0.779</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30% responders in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completer population</w:t>
            </w:r>
          </w:p>
        </w:tc>
        <w:tc>
          <w:tcPr>
            <w:tcW w:w="1420" w:type="dxa"/>
            <w:vAlign w:val="bottom"/>
            <w:gridSpan w:val="3"/>
            <w:shd w:val="clear" w:color="auto" w:fill="CFF0FC"/>
          </w:tcPr>
          <w:p>
            <w:pPr>
              <w:jc w:val="right"/>
              <w:ind w:right="308"/>
              <w:spacing w:after="0"/>
              <w:rPr>
                <w:sz w:val="20"/>
                <w:szCs w:val="20"/>
                <w:color w:val="auto"/>
              </w:rPr>
            </w:pPr>
            <w:r>
              <w:rPr>
                <w:rFonts w:ascii="Arial" w:cs="Arial" w:eastAsia="Arial" w:hAnsi="Arial"/>
                <w:sz w:val="18"/>
                <w:szCs w:val="18"/>
                <w:color w:val="auto"/>
              </w:rPr>
              <w:t>75%</w:t>
            </w:r>
          </w:p>
        </w:tc>
        <w:tc>
          <w:tcPr>
            <w:tcW w:w="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p=0.026</w:t>
            </w:r>
          </w:p>
        </w:tc>
        <w:tc>
          <w:tcPr>
            <w:tcW w:w="136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33%</w:t>
            </w:r>
          </w:p>
        </w:tc>
        <w:tc>
          <w:tcPr>
            <w:tcW w:w="9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p=0.723</w:t>
            </w:r>
          </w:p>
        </w:tc>
        <w:tc>
          <w:tcPr>
            <w:tcW w:w="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50% responders in mITT population</w:t>
            </w:r>
          </w:p>
        </w:tc>
        <w:tc>
          <w:tcPr>
            <w:tcW w:w="1420" w:type="dxa"/>
            <w:vAlign w:val="bottom"/>
            <w:gridSpan w:val="3"/>
          </w:tcPr>
          <w:p>
            <w:pPr>
              <w:jc w:val="right"/>
              <w:ind w:right="308"/>
              <w:spacing w:after="0"/>
              <w:rPr>
                <w:sz w:val="20"/>
                <w:szCs w:val="20"/>
                <w:color w:val="auto"/>
              </w:rPr>
            </w:pPr>
            <w:r>
              <w:rPr>
                <w:rFonts w:ascii="Arial" w:cs="Arial" w:eastAsia="Arial" w:hAnsi="Arial"/>
                <w:sz w:val="18"/>
                <w:szCs w:val="18"/>
                <w:color w:val="auto"/>
              </w:rPr>
              <w:t>33%</w:t>
            </w:r>
          </w:p>
        </w:tc>
        <w:tc>
          <w:tcPr>
            <w:tcW w:w="860" w:type="dxa"/>
            <w:vAlign w:val="bottom"/>
            <w:gridSpan w:val="3"/>
          </w:tcPr>
          <w:p>
            <w:pPr>
              <w:ind w:left="140"/>
              <w:spacing w:after="0"/>
              <w:rPr>
                <w:sz w:val="20"/>
                <w:szCs w:val="20"/>
                <w:color w:val="auto"/>
              </w:rPr>
            </w:pPr>
            <w:r>
              <w:rPr>
                <w:rFonts w:ascii="Arial" w:cs="Arial" w:eastAsia="Arial" w:hAnsi="Arial"/>
                <w:sz w:val="18"/>
                <w:szCs w:val="18"/>
                <w:color w:val="auto"/>
              </w:rPr>
              <w:t>p=0.083</w:t>
            </w: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14%</w:t>
            </w:r>
          </w:p>
        </w:tc>
        <w:tc>
          <w:tcPr>
            <w:tcW w:w="940" w:type="dxa"/>
            <w:vAlign w:val="bottom"/>
            <w:gridSpan w:val="3"/>
          </w:tcPr>
          <w:p>
            <w:pPr>
              <w:ind w:left="220"/>
              <w:spacing w:after="0"/>
              <w:rPr>
                <w:sz w:val="20"/>
                <w:szCs w:val="20"/>
                <w:color w:val="auto"/>
              </w:rPr>
            </w:pPr>
            <w:r>
              <w:rPr>
                <w:rFonts w:ascii="Arial" w:cs="Arial" w:eastAsia="Arial" w:hAnsi="Arial"/>
                <w:sz w:val="18"/>
                <w:szCs w:val="18"/>
                <w:color w:val="auto"/>
              </w:rPr>
              <w:t>p=0.981</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50% responders in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completer population (comparable in 162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mg arm to a 4-point reduction in WI-NRS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score)</w:t>
            </w:r>
          </w:p>
        </w:tc>
        <w:tc>
          <w:tcPr>
            <w:tcW w:w="1420" w:type="dxa"/>
            <w:vAlign w:val="bottom"/>
            <w:gridSpan w:val="3"/>
            <w:shd w:val="clear" w:color="auto" w:fill="CFF0FC"/>
          </w:tcPr>
          <w:p>
            <w:pPr>
              <w:jc w:val="right"/>
              <w:ind w:right="308"/>
              <w:spacing w:after="0"/>
              <w:rPr>
                <w:sz w:val="20"/>
                <w:szCs w:val="20"/>
                <w:color w:val="auto"/>
              </w:rPr>
            </w:pPr>
            <w:r>
              <w:rPr>
                <w:rFonts w:ascii="Arial" w:cs="Arial" w:eastAsia="Arial" w:hAnsi="Arial"/>
                <w:sz w:val="18"/>
                <w:szCs w:val="18"/>
                <w:color w:val="auto"/>
              </w:rPr>
              <w:t>50%</w:t>
            </w:r>
          </w:p>
        </w:tc>
        <w:tc>
          <w:tcPr>
            <w:tcW w:w="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p=0.028</w:t>
            </w:r>
          </w:p>
        </w:tc>
        <w:tc>
          <w:tcPr>
            <w:tcW w:w="136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11%</w:t>
            </w:r>
          </w:p>
        </w:tc>
        <w:tc>
          <w:tcPr>
            <w:tcW w:w="9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p=0.649</w:t>
            </w:r>
          </w:p>
        </w:tc>
        <w:tc>
          <w:tcPr>
            <w:tcW w:w="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6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ind w:left="340"/>
              <w:spacing w:after="0"/>
              <w:rPr>
                <w:sz w:val="20"/>
                <w:szCs w:val="20"/>
                <w:color w:val="auto"/>
              </w:rPr>
            </w:pPr>
            <w:r>
              <w:rPr>
                <w:rFonts w:ascii="Arial" w:cs="Arial" w:eastAsia="Arial" w:hAnsi="Arial"/>
                <w:sz w:val="14"/>
                <w:szCs w:val="14"/>
                <w:b w:val="1"/>
                <w:bCs w:val="1"/>
                <w:color w:val="auto"/>
              </w:rPr>
              <w:t>Nalbuphine ER 162 mg</w:t>
            </w:r>
          </w:p>
        </w:tc>
        <w:tc>
          <w:tcPr>
            <w:tcW w:w="80" w:type="dxa"/>
            <w:vAlign w:val="bottom"/>
          </w:tcPr>
          <w:p>
            <w:pPr>
              <w:spacing w:after="0"/>
              <w:rPr>
                <w:sz w:val="24"/>
                <w:szCs w:val="24"/>
                <w:color w:val="auto"/>
              </w:rPr>
            </w:pPr>
          </w:p>
        </w:tc>
        <w:tc>
          <w:tcPr>
            <w:tcW w:w="2220" w:type="dxa"/>
            <w:vAlign w:val="bottom"/>
            <w:gridSpan w:val="4"/>
          </w:tcPr>
          <w:p>
            <w:pPr>
              <w:ind w:left="400"/>
              <w:spacing w:after="0"/>
              <w:rPr>
                <w:sz w:val="20"/>
                <w:szCs w:val="20"/>
                <w:color w:val="auto"/>
              </w:rPr>
            </w:pPr>
            <w:r>
              <w:rPr>
                <w:rFonts w:ascii="Arial" w:cs="Arial" w:eastAsia="Arial" w:hAnsi="Arial"/>
                <w:sz w:val="14"/>
                <w:szCs w:val="14"/>
                <w:b w:val="1"/>
                <w:bCs w:val="1"/>
                <w:color w:val="auto"/>
              </w:rPr>
              <w:t>Nalbuphine ER 81mg</w:t>
            </w:r>
          </w:p>
        </w:tc>
        <w:tc>
          <w:tcPr>
            <w:tcW w:w="2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Arial" w:cs="Arial" w:eastAsia="Arial" w:hAnsi="Arial"/>
                <w:sz w:val="14"/>
                <w:szCs w:val="14"/>
                <w:b w:val="1"/>
                <w:bCs w:val="1"/>
                <w:color w:val="auto"/>
                <w:w w:val="93"/>
              </w:rPr>
              <w:t>Placebo</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Endpoint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n=18</w:t>
            </w:r>
          </w:p>
        </w:tc>
        <w:tc>
          <w:tcPr>
            <w:tcW w:w="80" w:type="dxa"/>
            <w:vAlign w:val="bottom"/>
          </w:tcPr>
          <w:p>
            <w:pPr>
              <w:spacing w:after="0"/>
              <w:rPr>
                <w:sz w:val="12"/>
                <w:szCs w:val="12"/>
                <w:color w:val="auto"/>
              </w:rPr>
            </w:pPr>
          </w:p>
        </w:tc>
        <w:tc>
          <w:tcPr>
            <w:tcW w:w="12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n=22</w:t>
            </w:r>
          </w:p>
        </w:tc>
        <w:tc>
          <w:tcPr>
            <w:tcW w:w="20" w:type="dxa"/>
            <w:vAlign w:val="bottom"/>
          </w:tcPr>
          <w:p>
            <w:pPr>
              <w:spacing w:after="0"/>
              <w:rPr>
                <w:sz w:val="12"/>
                <w:szCs w:val="12"/>
                <w:color w:val="auto"/>
              </w:rPr>
            </w:pPr>
          </w:p>
        </w:tc>
        <w:tc>
          <w:tcPr>
            <w:tcW w:w="1220" w:type="dxa"/>
            <w:vAlign w:val="bottom"/>
          </w:tcPr>
          <w:p>
            <w:pPr>
              <w:ind w:left="30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8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n=22</w:t>
            </w:r>
          </w:p>
        </w:tc>
        <w:tc>
          <w:tcPr>
            <w:tcW w:w="0" w:type="dxa"/>
            <w:vAlign w:val="bottom"/>
          </w:tcPr>
          <w:p>
            <w:pPr>
              <w:spacing w:after="0"/>
              <w:rPr>
                <w:sz w:val="1"/>
                <w:szCs w:val="1"/>
                <w:color w:val="auto"/>
              </w:rPr>
            </w:pPr>
          </w:p>
        </w:tc>
      </w:tr>
      <w:tr>
        <w:trPr>
          <w:trHeight w:val="167"/>
        </w:trPr>
        <w:tc>
          <w:tcPr>
            <w:tcW w:w="4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Completers</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860" w:type="dxa"/>
            <w:vAlign w:val="bottom"/>
            <w:gridSpan w:val="3"/>
          </w:tcPr>
          <w:p>
            <w:pPr>
              <w:ind w:left="140"/>
              <w:spacing w:after="0"/>
              <w:rPr>
                <w:sz w:val="20"/>
                <w:szCs w:val="20"/>
                <w:color w:val="auto"/>
              </w:rPr>
            </w:pPr>
            <w:r>
              <w:rPr>
                <w:rFonts w:ascii="Arial" w:cs="Arial" w:eastAsia="Arial" w:hAnsi="Arial"/>
                <w:sz w:val="14"/>
                <w:szCs w:val="14"/>
                <w:color w:val="auto"/>
              </w:rPr>
              <w:t>n=12</w:t>
            </w:r>
          </w:p>
        </w:tc>
        <w:tc>
          <w:tcPr>
            <w:tcW w:w="80" w:type="dxa"/>
            <w:vAlign w:val="bottom"/>
          </w:tcPr>
          <w:p>
            <w:pPr>
              <w:spacing w:after="0"/>
              <w:rPr>
                <w:sz w:val="14"/>
                <w:szCs w:val="14"/>
                <w:color w:val="auto"/>
              </w:rPr>
            </w:pPr>
          </w:p>
        </w:tc>
        <w:tc>
          <w:tcPr>
            <w:tcW w:w="2220" w:type="dxa"/>
            <w:vAlign w:val="bottom"/>
            <w:gridSpan w:val="4"/>
          </w:tcPr>
          <w:p>
            <w:pPr>
              <w:ind w:left="380"/>
              <w:spacing w:after="0"/>
              <w:rPr>
                <w:sz w:val="20"/>
                <w:szCs w:val="20"/>
                <w:color w:val="auto"/>
              </w:rPr>
            </w:pPr>
            <w:r>
              <w:rPr>
                <w:rFonts w:ascii="Arial" w:cs="Arial" w:eastAsia="Arial" w:hAnsi="Arial"/>
                <w:sz w:val="14"/>
                <w:szCs w:val="14"/>
                <w:color w:val="auto"/>
              </w:rPr>
              <w:t>Completers</w:t>
            </w:r>
            <w:r>
              <w:rPr>
                <w:rFonts w:ascii="Arial" w:cs="Arial" w:eastAsia="Arial" w:hAnsi="Arial"/>
                <w:sz w:val="12"/>
                <w:szCs w:val="12"/>
                <w:color w:val="auto"/>
              </w:rPr>
              <w:t>(2 )</w:t>
            </w:r>
            <w:r>
              <w:rPr>
                <w:rFonts w:ascii="Arial" w:cs="Arial" w:eastAsia="Arial" w:hAnsi="Arial"/>
                <w:sz w:val="14"/>
                <w:szCs w:val="14"/>
                <w:color w:val="auto"/>
              </w:rPr>
              <w:t xml:space="preserve"> :  n=18</w:t>
            </w:r>
          </w:p>
        </w:tc>
        <w:tc>
          <w:tcPr>
            <w:tcW w:w="2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Arial" w:cs="Arial" w:eastAsia="Arial" w:hAnsi="Arial"/>
                <w:sz w:val="14"/>
                <w:szCs w:val="14"/>
                <w:color w:val="auto"/>
                <w:w w:val="97"/>
              </w:rPr>
              <w:t>Completers</w:t>
            </w:r>
            <w:r>
              <w:rPr>
                <w:rFonts w:ascii="Arial" w:cs="Arial" w:eastAsia="Arial" w:hAnsi="Arial"/>
                <w:sz w:val="12"/>
                <w:szCs w:val="12"/>
                <w:color w:val="auto"/>
                <w:w w:val="97"/>
              </w:rPr>
              <w:t>(2)</w:t>
            </w:r>
            <w:r>
              <w:rPr>
                <w:rFonts w:ascii="Arial" w:cs="Arial" w:eastAsia="Arial" w:hAnsi="Arial"/>
                <w:sz w:val="14"/>
                <w:szCs w:val="14"/>
                <w:color w:val="auto"/>
                <w:w w:val="97"/>
              </w:rPr>
              <w:t xml:space="preserve"> :</w:t>
            </w:r>
          </w:p>
        </w:tc>
        <w:tc>
          <w:tcPr>
            <w:tcW w:w="800" w:type="dxa"/>
            <w:vAlign w:val="bottom"/>
            <w:gridSpan w:val="3"/>
          </w:tcPr>
          <w:p>
            <w:pPr>
              <w:jc w:val="right"/>
              <w:ind w:right="420"/>
              <w:spacing w:after="0"/>
              <w:rPr>
                <w:sz w:val="20"/>
                <w:szCs w:val="20"/>
                <w:color w:val="auto"/>
              </w:rPr>
            </w:pPr>
            <w:r>
              <w:rPr>
                <w:rFonts w:ascii="Arial" w:cs="Arial" w:eastAsia="Arial" w:hAnsi="Arial"/>
                <w:sz w:val="14"/>
                <w:szCs w:val="14"/>
                <w:color w:val="auto"/>
              </w:rPr>
              <w:t>n=20</w:t>
            </w:r>
          </w:p>
        </w:tc>
        <w:tc>
          <w:tcPr>
            <w:tcW w:w="0" w:type="dxa"/>
            <w:vAlign w:val="bottom"/>
          </w:tcPr>
          <w:p>
            <w:pPr>
              <w:spacing w:after="0"/>
              <w:rPr>
                <w:sz w:val="1"/>
                <w:szCs w:val="1"/>
                <w:color w:val="auto"/>
              </w:rPr>
            </w:pPr>
          </w:p>
        </w:tc>
      </w:tr>
      <w:tr>
        <w:trPr>
          <w:trHeight w:val="155"/>
        </w:trPr>
        <w:tc>
          <w:tcPr>
            <w:tcW w:w="4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2"/>
                <w:szCs w:val="12"/>
                <w:i w:val="1"/>
                <w:iCs w:val="1"/>
                <w:color w:val="auto"/>
              </w:rPr>
              <w:t>(3)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2"/>
                <w:szCs w:val="12"/>
                <w:i w:val="1"/>
                <w:iCs w:val="1"/>
                <w:color w:val="auto"/>
              </w:rPr>
              <w:t>(3)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Other Key Analyses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gridSpan w:val="2"/>
          </w:tcPr>
          <w:p>
            <w:pPr>
              <w:spacing w:after="0"/>
              <w:rPr>
                <w:sz w:val="20"/>
                <w:szCs w:val="20"/>
                <w:color w:val="auto"/>
              </w:rPr>
            </w:pPr>
            <w:r>
              <w:rPr>
                <w:rFonts w:ascii="Arial" w:cs="Arial" w:eastAsia="Arial" w:hAnsi="Arial"/>
                <w:sz w:val="18"/>
                <w:szCs w:val="18"/>
                <w:color w:val="auto"/>
              </w:rPr>
              <w:t>Mean change in seven-day mean WI-NRS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scores in mITT population</w:t>
            </w:r>
          </w:p>
        </w:tc>
        <w:tc>
          <w:tcPr>
            <w:tcW w:w="1420" w:type="dxa"/>
            <w:vAlign w:val="bottom"/>
            <w:gridSpan w:val="3"/>
          </w:tcPr>
          <w:p>
            <w:pPr>
              <w:jc w:val="right"/>
              <w:ind w:right="268"/>
              <w:spacing w:after="0"/>
              <w:rPr>
                <w:sz w:val="20"/>
                <w:szCs w:val="20"/>
                <w:color w:val="auto"/>
              </w:rPr>
            </w:pPr>
            <w:r>
              <w:rPr>
                <w:rFonts w:ascii="Arial" w:cs="Arial" w:eastAsia="Arial" w:hAnsi="Arial"/>
                <w:sz w:val="18"/>
                <w:szCs w:val="18"/>
                <w:color w:val="auto"/>
              </w:rPr>
              <w:t>(2.51)</w:t>
            </w:r>
          </w:p>
        </w:tc>
        <w:tc>
          <w:tcPr>
            <w:tcW w:w="860" w:type="dxa"/>
            <w:vAlign w:val="bottom"/>
            <w:gridSpan w:val="3"/>
          </w:tcPr>
          <w:p>
            <w:pPr>
              <w:ind w:left="220"/>
              <w:spacing w:after="0"/>
              <w:rPr>
                <w:sz w:val="20"/>
                <w:szCs w:val="20"/>
                <w:color w:val="auto"/>
              </w:rPr>
            </w:pPr>
            <w:r>
              <w:rPr>
                <w:rFonts w:ascii="Arial" w:cs="Arial" w:eastAsia="Arial" w:hAnsi="Arial"/>
                <w:sz w:val="18"/>
                <w:szCs w:val="18"/>
                <w:color w:val="auto"/>
                <w:w w:val="94"/>
              </w:rPr>
              <w:t>p=0.083</w:t>
            </w:r>
          </w:p>
        </w:tc>
        <w:tc>
          <w:tcPr>
            <w:tcW w:w="1360" w:type="dxa"/>
            <w:vAlign w:val="bottom"/>
            <w:gridSpan w:val="2"/>
          </w:tcPr>
          <w:p>
            <w:pPr>
              <w:jc w:val="right"/>
              <w:ind w:right="268"/>
              <w:spacing w:after="0"/>
              <w:rPr>
                <w:sz w:val="20"/>
                <w:szCs w:val="20"/>
                <w:color w:val="auto"/>
              </w:rPr>
            </w:pPr>
            <w:r>
              <w:rPr>
                <w:rFonts w:ascii="Arial" w:cs="Arial" w:eastAsia="Arial" w:hAnsi="Arial"/>
                <w:sz w:val="18"/>
                <w:szCs w:val="18"/>
                <w:color w:val="auto"/>
              </w:rPr>
              <w:t>(2.14)</w:t>
            </w:r>
          </w:p>
        </w:tc>
        <w:tc>
          <w:tcPr>
            <w:tcW w:w="940" w:type="dxa"/>
            <w:vAlign w:val="bottom"/>
            <w:gridSpan w:val="3"/>
          </w:tcPr>
          <w:p>
            <w:pPr>
              <w:ind w:left="240"/>
              <w:spacing w:after="0"/>
              <w:rPr>
                <w:sz w:val="20"/>
                <w:szCs w:val="20"/>
                <w:color w:val="auto"/>
              </w:rPr>
            </w:pPr>
            <w:r>
              <w:rPr>
                <w:rFonts w:ascii="Arial" w:cs="Arial" w:eastAsia="Arial" w:hAnsi="Arial"/>
                <w:sz w:val="18"/>
                <w:szCs w:val="18"/>
                <w:color w:val="auto"/>
              </w:rPr>
              <w:t>p=0.354</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mean change in seven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-day mean WI-NRS scores in completer</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population</w:t>
            </w:r>
          </w:p>
        </w:tc>
        <w:tc>
          <w:tcPr>
            <w:tcW w:w="1420" w:type="dxa"/>
            <w:vAlign w:val="bottom"/>
            <w:gridSpan w:val="3"/>
            <w:shd w:val="clear" w:color="auto" w:fill="CFF0FC"/>
          </w:tcPr>
          <w:p>
            <w:pPr>
              <w:jc w:val="right"/>
              <w:ind w:right="268"/>
              <w:spacing w:after="0"/>
              <w:rPr>
                <w:sz w:val="20"/>
                <w:szCs w:val="20"/>
                <w:color w:val="auto"/>
              </w:rPr>
            </w:pPr>
            <w:r>
              <w:rPr>
                <w:rFonts w:ascii="Arial" w:cs="Arial" w:eastAsia="Arial" w:hAnsi="Arial"/>
                <w:sz w:val="18"/>
                <w:szCs w:val="18"/>
                <w:color w:val="auto"/>
              </w:rPr>
              <w:t>(3.43)</w:t>
            </w:r>
          </w:p>
        </w:tc>
        <w:tc>
          <w:tcPr>
            <w:tcW w:w="8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w w:val="94"/>
              </w:rPr>
              <w:t>p=0.025</w:t>
            </w:r>
          </w:p>
        </w:tc>
        <w:tc>
          <w:tcPr>
            <w:tcW w:w="136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(2.52)</w:t>
            </w:r>
          </w:p>
        </w:tc>
        <w:tc>
          <w:tcPr>
            <w:tcW w:w="9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p=0.491</w:t>
            </w:r>
          </w:p>
        </w:tc>
        <w:tc>
          <w:tcPr>
            <w:tcW w:w="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5"/>
        </w:trPr>
        <w:tc>
          <w:tcPr>
            <w:tcW w:w="4620" w:type="dxa"/>
            <w:vAlign w:val="bottom"/>
            <w:gridSpan w:val="2"/>
          </w:tcPr>
          <w:p>
            <w:pPr>
              <w:spacing w:after="0"/>
              <w:rPr>
                <w:sz w:val="20"/>
                <w:szCs w:val="20"/>
                <w:color w:val="auto"/>
              </w:rPr>
            </w:pPr>
            <w:r>
              <w:rPr>
                <w:rFonts w:ascii="Arial" w:cs="Arial" w:eastAsia="Arial" w:hAnsi="Arial"/>
                <w:sz w:val="18"/>
                <w:szCs w:val="18"/>
                <w:color w:val="auto"/>
              </w:rPr>
              <w:t>Mean change in total ItchyQoL score 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mITT population</w:t>
            </w:r>
          </w:p>
        </w:tc>
        <w:tc>
          <w:tcPr>
            <w:tcW w:w="1420" w:type="dxa"/>
            <w:vAlign w:val="bottom"/>
            <w:gridSpan w:val="3"/>
          </w:tcPr>
          <w:p>
            <w:pPr>
              <w:jc w:val="right"/>
              <w:ind w:right="268"/>
              <w:spacing w:after="0"/>
              <w:rPr>
                <w:sz w:val="20"/>
                <w:szCs w:val="20"/>
                <w:color w:val="auto"/>
              </w:rPr>
            </w:pPr>
            <w:r>
              <w:rPr>
                <w:rFonts w:ascii="Arial" w:cs="Arial" w:eastAsia="Arial" w:hAnsi="Arial"/>
                <w:sz w:val="18"/>
                <w:szCs w:val="18"/>
                <w:color w:val="auto"/>
              </w:rPr>
              <w:t>(13.83)</w:t>
            </w:r>
          </w:p>
        </w:tc>
        <w:tc>
          <w:tcPr>
            <w:tcW w:w="860" w:type="dxa"/>
            <w:vAlign w:val="bottom"/>
            <w:gridSpan w:val="3"/>
          </w:tcPr>
          <w:p>
            <w:pPr>
              <w:ind w:left="220"/>
              <w:spacing w:after="0"/>
              <w:rPr>
                <w:sz w:val="20"/>
                <w:szCs w:val="20"/>
                <w:color w:val="auto"/>
              </w:rPr>
            </w:pPr>
            <w:r>
              <w:rPr>
                <w:rFonts w:ascii="Arial" w:cs="Arial" w:eastAsia="Arial" w:hAnsi="Arial"/>
                <w:sz w:val="18"/>
                <w:szCs w:val="18"/>
                <w:color w:val="auto"/>
                <w:w w:val="94"/>
              </w:rPr>
              <w:t>p=0.022</w:t>
            </w:r>
          </w:p>
        </w:tc>
        <w:tc>
          <w:tcPr>
            <w:tcW w:w="1360" w:type="dxa"/>
            <w:vAlign w:val="bottom"/>
            <w:gridSpan w:val="2"/>
          </w:tcPr>
          <w:p>
            <w:pPr>
              <w:jc w:val="right"/>
              <w:ind w:right="268"/>
              <w:spacing w:after="0"/>
              <w:rPr>
                <w:sz w:val="20"/>
                <w:szCs w:val="20"/>
                <w:color w:val="auto"/>
              </w:rPr>
            </w:pPr>
            <w:r>
              <w:rPr>
                <w:rFonts w:ascii="Arial" w:cs="Arial" w:eastAsia="Arial" w:hAnsi="Arial"/>
                <w:sz w:val="18"/>
                <w:szCs w:val="18"/>
                <w:color w:val="auto"/>
              </w:rPr>
              <w:t>(7.79)</w:t>
            </w:r>
          </w:p>
        </w:tc>
        <w:tc>
          <w:tcPr>
            <w:tcW w:w="940" w:type="dxa"/>
            <w:vAlign w:val="bottom"/>
            <w:gridSpan w:val="3"/>
          </w:tcPr>
          <w:p>
            <w:pPr>
              <w:ind w:left="240"/>
              <w:spacing w:after="0"/>
              <w:rPr>
                <w:sz w:val="20"/>
                <w:szCs w:val="20"/>
                <w:color w:val="auto"/>
              </w:rPr>
            </w:pPr>
            <w:r>
              <w:rPr>
                <w:rFonts w:ascii="Arial" w:cs="Arial" w:eastAsia="Arial" w:hAnsi="Arial"/>
                <w:sz w:val="18"/>
                <w:szCs w:val="18"/>
                <w:color w:val="auto"/>
              </w:rPr>
              <w:t>p=0.373</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the modified intention to treat population, which consists of all of the patients who were randomized and commenced dosing.</w:t>
      </w:r>
    </w:p>
    <w:p>
      <w:pPr>
        <w:spacing w:after="0" w:line="236"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the patients who completed the 10-week course of treatment.</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p-values compare treatment group to placebo. Only the primary endpoint was powered for statistical significance.</w:t>
      </w:r>
    </w:p>
    <w:p>
      <w:pPr>
        <w:spacing w:after="0" w:line="9" w:lineRule="exact"/>
        <w:rPr>
          <w:rFonts w:ascii="Arial" w:cs="Arial" w:eastAsia="Arial" w:hAnsi="Arial"/>
          <w:sz w:val="18"/>
          <w:szCs w:val="18"/>
          <w:color w:val="auto"/>
        </w:rPr>
      </w:pPr>
    </w:p>
    <w:p>
      <w:pPr>
        <w:ind w:left="600" w:right="8560" w:hanging="592"/>
        <w:spacing w:after="0" w:line="492" w:lineRule="auto"/>
        <w:tabs>
          <w:tab w:leader="none" w:pos="59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Primary endpoint of the trial. </w:t>
      </w:r>
      <w:r>
        <w:rPr>
          <w:rFonts w:ascii="Arial" w:cs="Arial" w:eastAsia="Arial" w:hAnsi="Arial"/>
          <w:sz w:val="18"/>
          <w:szCs w:val="18"/>
          <w:i w:val="1"/>
          <w:iCs w:val="1"/>
          <w:color w:val="auto"/>
        </w:rPr>
        <w:t>Safety Results</w:t>
      </w:r>
    </w:p>
    <w:p>
      <w:pPr>
        <w:spacing w:after="0" w:line="1"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Nalbuphine ER was well tolerated in the trial. No serious adverse events, or SAEs, were assessed as definitely, probably or possibly related to nalbuphine ER. Two patients experienced SAEs that were assessed as unlikely to be related to nalbuphine ER, including one patient in the nalbuphine ER 81 mg arm of the trial whose SAEs occurred in connection with a car accident and one patient in the placebo arm with acute myeloid leukemia by bone marrow who experienced leukocytosis. The majority of treatment emergent adverse events, or TEAEs, occurred during the titration period. During the titration period, 73% of nalbuphine ER-treated patients experienced one or more adverse events, as compared to 46% of patients receiving placebo.</w:t>
      </w:r>
    </w:p>
    <w:p>
      <w:pPr>
        <w:spacing w:after="0" w:line="161"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The following table summarizes the most common TEAEs experienced by patients in the trial, indicating the percentage of the modified intention to treat, or mITT, population of each arm that reported each such TEAE, subdivided by the grade of the reported TEAEs. Grade refers to the severity of the TEAE, with grade 1 TEAEs generally including mild or asymptomatic conditions or clinical or diagnostic observations only, grade 2 TEAEs generally including moderate events or minimal, local or noninvasive intervention events and grade 3 TEAEs generally including severe or medically significant events that are not immediately life-threatening, events requiring hospitalization or prolongation of hospitalization or disabling events. There were no grade 4 or grade 5 TEAEs reported in the trial, which would generally include life-threatening or urgent intervention events and deaths. Patients were able to report multiple TEAEs and, as a result, the percentages specified below for each arm or grade do not necessarily represent the percentage of patients in the arm that experienced any TEAE or any grade of any TEAE.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TEAE</w:t>
            </w:r>
          </w:p>
        </w:tc>
        <w:tc>
          <w:tcPr>
            <w:tcW w:w="226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Nalbuphine ER 162 mg</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Nalbuphine ER 81 mg</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jc w:val="right"/>
              <w:ind w:right="515"/>
              <w:spacing w:after="0"/>
              <w:rPr>
                <w:sz w:val="20"/>
                <w:szCs w:val="20"/>
                <w:color w:val="auto"/>
              </w:rPr>
            </w:pPr>
            <w:r>
              <w:rPr>
                <w:rFonts w:ascii="Arial" w:cs="Arial" w:eastAsia="Arial" w:hAnsi="Arial"/>
                <w:sz w:val="14"/>
                <w:szCs w:val="14"/>
                <w:b w:val="1"/>
                <w:bCs w:val="1"/>
                <w:color w:val="auto"/>
              </w:rPr>
              <w:t>Placebo</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633"/>
              <w:spacing w:after="0"/>
              <w:rPr>
                <w:sz w:val="20"/>
                <w:szCs w:val="20"/>
                <w:color w:val="auto"/>
              </w:rPr>
            </w:pPr>
            <w:r>
              <w:rPr>
                <w:rFonts w:ascii="Arial" w:cs="Arial" w:eastAsia="Arial" w:hAnsi="Arial"/>
                <w:sz w:val="14"/>
                <w:szCs w:val="14"/>
                <w:b w:val="1"/>
                <w:bCs w:val="1"/>
                <w:color w:val="auto"/>
              </w:rPr>
              <w:t>(n=18)</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633"/>
              <w:spacing w:after="0"/>
              <w:rPr>
                <w:sz w:val="20"/>
                <w:szCs w:val="20"/>
                <w:color w:val="auto"/>
              </w:rPr>
            </w:pPr>
            <w:r>
              <w:rPr>
                <w:rFonts w:ascii="Arial" w:cs="Arial" w:eastAsia="Arial" w:hAnsi="Arial"/>
                <w:sz w:val="14"/>
                <w:szCs w:val="14"/>
                <w:b w:val="1"/>
                <w:bCs w:val="1"/>
                <w:color w:val="auto"/>
              </w:rPr>
              <w:t>(n=22)</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(n=22)</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Grade</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233"/>
              <w:spacing w:after="0"/>
              <w:rPr>
                <w:sz w:val="20"/>
                <w:szCs w:val="20"/>
                <w:color w:val="auto"/>
              </w:rPr>
            </w:pPr>
            <w:r>
              <w:rPr>
                <w:rFonts w:ascii="Arial" w:cs="Arial" w:eastAsia="Arial" w:hAnsi="Arial"/>
                <w:sz w:val="18"/>
                <w:szCs w:val="18"/>
                <w:color w:val="auto"/>
              </w:rPr>
              <w:t>1</w:t>
            </w:r>
          </w:p>
        </w:tc>
        <w:tc>
          <w:tcPr>
            <w:tcW w:w="1260" w:type="dxa"/>
            <w:vAlign w:val="bottom"/>
            <w:tcBorders>
              <w:top w:val="single" w:sz="8" w:color="auto"/>
            </w:tcBorders>
            <w:shd w:val="clear" w:color="auto" w:fill="CFF0FC"/>
          </w:tcPr>
          <w:p>
            <w:pPr>
              <w:jc w:val="right"/>
              <w:ind w:right="493"/>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213"/>
              <w:spacing w:after="0"/>
              <w:rPr>
                <w:sz w:val="20"/>
                <w:szCs w:val="20"/>
                <w:color w:val="auto"/>
              </w:rPr>
            </w:pPr>
            <w:r>
              <w:rPr>
                <w:rFonts w:ascii="Arial" w:cs="Arial" w:eastAsia="Arial" w:hAnsi="Arial"/>
                <w:sz w:val="18"/>
                <w:szCs w:val="18"/>
                <w:color w:val="auto"/>
              </w:rPr>
              <w:t>1</w:t>
            </w:r>
          </w:p>
        </w:tc>
        <w:tc>
          <w:tcPr>
            <w:tcW w:w="1260" w:type="dxa"/>
            <w:vAlign w:val="bottom"/>
            <w:tcBorders>
              <w:top w:val="single" w:sz="8" w:color="auto"/>
            </w:tcBorders>
            <w:shd w:val="clear" w:color="auto" w:fill="CFF0FC"/>
          </w:tcPr>
          <w:p>
            <w:pPr>
              <w:jc w:val="right"/>
              <w:ind w:right="493"/>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1180" w:type="dxa"/>
            <w:vAlign w:val="bottom"/>
            <w:tcBorders>
              <w:top w:val="single" w:sz="8" w:color="auto"/>
            </w:tcBorders>
            <w:shd w:val="clear" w:color="auto" w:fill="CFF0FC"/>
          </w:tcPr>
          <w:p>
            <w:pPr>
              <w:jc w:val="right"/>
              <w:ind w:right="375"/>
              <w:spacing w:after="0"/>
              <w:rPr>
                <w:sz w:val="20"/>
                <w:szCs w:val="20"/>
                <w:color w:val="auto"/>
              </w:rPr>
            </w:pPr>
            <w:r>
              <w:rPr>
                <w:rFonts w:ascii="Arial" w:cs="Arial" w:eastAsia="Arial" w:hAnsi="Arial"/>
                <w:sz w:val="18"/>
                <w:szCs w:val="18"/>
                <w:color w:val="auto"/>
              </w:rPr>
              <w:t>2</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spacing w:after="0"/>
              <w:rPr>
                <w:sz w:val="20"/>
                <w:szCs w:val="20"/>
                <w:color w:val="auto"/>
              </w:rPr>
            </w:pPr>
            <w:r>
              <w:rPr>
                <w:rFonts w:ascii="Arial" w:cs="Arial" w:eastAsia="Arial" w:hAnsi="Arial"/>
                <w:sz w:val="18"/>
                <w:szCs w:val="18"/>
                <w:color w:val="auto"/>
              </w:rPr>
              <w:t>Dizziness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1260" w:type="dxa"/>
            <w:vAlign w:val="bottom"/>
          </w:tcPr>
          <w:p>
            <w:pPr>
              <w:jc w:val="right"/>
              <w:ind w:right="333"/>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1260" w:type="dxa"/>
            <w:vAlign w:val="bottom"/>
          </w:tcPr>
          <w:p>
            <w:pPr>
              <w:jc w:val="right"/>
              <w:ind w:right="333"/>
              <w:spacing w:after="0"/>
              <w:rPr>
                <w:sz w:val="20"/>
                <w:szCs w:val="20"/>
                <w:color w:val="auto"/>
              </w:rPr>
            </w:pPr>
            <w:r>
              <w:rPr>
                <w:rFonts w:ascii="Arial" w:cs="Arial" w:eastAsia="Arial" w:hAnsi="Arial"/>
                <w:sz w:val="18"/>
                <w:szCs w:val="18"/>
                <w:color w:val="auto"/>
              </w:rPr>
              <w:t>9%</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18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Nausea</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w:t>
            </w:r>
          </w:p>
        </w:tc>
        <w:tc>
          <w:tcPr>
            <w:tcW w:w="126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w:t>
            </w:r>
          </w:p>
        </w:tc>
        <w:tc>
          <w:tcPr>
            <w:tcW w:w="126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9%</w:t>
            </w: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gridSpan w:val="2"/>
          </w:tcPr>
          <w:p>
            <w:pPr>
              <w:spacing w:after="0"/>
              <w:rPr>
                <w:sz w:val="20"/>
                <w:szCs w:val="20"/>
                <w:color w:val="auto"/>
              </w:rPr>
            </w:pPr>
            <w:r>
              <w:rPr>
                <w:rFonts w:ascii="Arial" w:cs="Arial" w:eastAsia="Arial" w:hAnsi="Arial"/>
                <w:sz w:val="18"/>
                <w:szCs w:val="18"/>
                <w:color w:val="auto"/>
              </w:rPr>
              <w:t>Headache</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1260" w:type="dxa"/>
            <w:vAlign w:val="bottom"/>
          </w:tcPr>
          <w:p>
            <w:pPr>
              <w:jc w:val="right"/>
              <w:ind w:right="333"/>
              <w:spacing w:after="0"/>
              <w:rPr>
                <w:sz w:val="20"/>
                <w:szCs w:val="20"/>
                <w:color w:val="auto"/>
              </w:rPr>
            </w:pPr>
            <w:r>
              <w:rPr>
                <w:rFonts w:ascii="Arial" w:cs="Arial" w:eastAsia="Arial" w:hAnsi="Arial"/>
                <w:sz w:val="18"/>
                <w:szCs w:val="18"/>
                <w:color w:val="auto"/>
              </w:rPr>
              <w:t>17%</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1260" w:type="dxa"/>
            <w:vAlign w:val="bottom"/>
          </w:tcPr>
          <w:p>
            <w:pPr>
              <w:jc w:val="right"/>
              <w:ind w:right="333"/>
              <w:spacing w:after="0"/>
              <w:rPr>
                <w:sz w:val="20"/>
                <w:szCs w:val="20"/>
                <w:color w:val="auto"/>
              </w:rPr>
            </w:pPr>
            <w:r>
              <w:rPr>
                <w:rFonts w:ascii="Arial" w:cs="Arial" w:eastAsia="Arial" w:hAnsi="Arial"/>
                <w:sz w:val="18"/>
                <w:szCs w:val="18"/>
                <w:color w:val="auto"/>
              </w:rPr>
              <w:t>18%</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180" w:type="dxa"/>
            <w:vAlign w:val="bottom"/>
          </w:tcPr>
          <w:p>
            <w:pPr>
              <w:jc w:val="right"/>
              <w:ind w:right="215"/>
              <w:spacing w:after="0"/>
              <w:rPr>
                <w:sz w:val="20"/>
                <w:szCs w:val="20"/>
                <w:color w:val="auto"/>
              </w:rPr>
            </w:pPr>
            <w:r>
              <w:rPr>
                <w:rFonts w:ascii="Arial" w:cs="Arial" w:eastAsia="Arial" w:hAnsi="Arial"/>
                <w:sz w:val="18"/>
                <w:szCs w:val="18"/>
                <w:color w:val="auto"/>
              </w:rPr>
              <w:t>5%</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Fatigue</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w:t>
            </w:r>
          </w:p>
        </w:tc>
        <w:tc>
          <w:tcPr>
            <w:tcW w:w="1260" w:type="dxa"/>
            <w:vAlign w:val="bottom"/>
            <w:shd w:val="clear" w:color="auto" w:fill="CFF0FC"/>
          </w:tcPr>
          <w:p>
            <w:pPr>
              <w:jc w:val="right"/>
              <w:ind w:right="49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w:t>
            </w:r>
          </w:p>
        </w:tc>
        <w:tc>
          <w:tcPr>
            <w:tcW w:w="126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5%</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9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Open Label Extension Study</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completed a one-year open label extension study of our Phase 2 clinical trial in patients with prurigo nodularis in July 2017. Patients who completed the Phase 2 clinical trial were able to enroll in the extension study following a safety washout period. Patients who enrolled in the extension study who had WI-NRS scores of at least 5 were immediately admitted to the active treatment period of the study. Patients with WI-NRS scores of less than 5 entered an observation period for up to 12 weeks. Patients in this observation period began to receive active treatment only following their first reported WI-NRS score of at least 5, or if they reached the end of the 12-week observation period and their WI-NRS scores remained below 5, they were required to leave the study.</w:t>
      </w:r>
    </w:p>
    <w:p>
      <w:pPr>
        <w:spacing w:after="0" w:line="192"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Patients in the active treatment period received nalbuphine ER at a dose determined by self-titration (both up and down) to tolerance, ranging from 27 mg, once daily, up to 162 mg, twice daily, for up to 50 weeks. The variable-length observation period resulted in an active treatment period that could range from 38 to 50 weeks, depending on when the patient moved from the observation period to the active treatment period. The open label extension study enrolled 41 patients and of these 36 were admitted to the active treatment period. Of the patients admitted to the active treatment period, 20 patients completed at least 26 weeks of treatment and 16 patients completed 50 weeks of treatment, which are periods that correspond to guidelines of the International Council for Harmonisation of Technical Requirements for the Registration of Pharmaceuticals for Human Use to assess safety over periods of approximately six months and one year.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right="40" w:firstLine="589"/>
        <w:spacing w:after="0" w:line="269" w:lineRule="auto"/>
        <w:rPr>
          <w:sz w:val="20"/>
          <w:szCs w:val="20"/>
          <w:color w:val="auto"/>
        </w:rPr>
      </w:pPr>
      <w:r>
        <w:rPr>
          <w:rFonts w:ascii="Arial" w:cs="Arial" w:eastAsia="Arial" w:hAnsi="Arial"/>
          <w:sz w:val="17"/>
          <w:szCs w:val="17"/>
          <w:color w:val="auto"/>
        </w:rPr>
        <w:t>We observed mean changes in WI-NRS score from commencement of the active treatment period to week 26 and week 50 of -3.9 and -4.2, respectively, and a mean change in total ItchyQoL score from commencement of the active treatment period to week 26 and week 50 of -16.0 and -12.5, respectively. In the Verbal Rating Scale, a patient self-assessment of the presence and intensity of three distinct skin sensations (itching, burning and stinging) on a 5-category numeric assessment scale ranging from 0 to 4, over half of the patients reported at least a 1-category improvement from commencement of the active treatment period to their last observed study visit. In addition, we observed improvement at weeks 26 and 50 with respect to pruriginous lesions observed in Prurigo Activity Score, or PAS, assessments, which include physician assessments of skin lesions on a 0% to 100% scale, divided into five categories of 20% each, with respect to each of two parameters: percentage of excoriations/crusting and percentage of healed lesions. For the subsets of patients who completed 26 or 50 weeks of treatment and who had a PAS exam reported at both baseline and week 26 or 50, 13 of 19 patients at week 26, and 9 of 15 patients at week 50, showed at a least a 1-category improvement in excoriations/crusts; and 11 of 19 patients at week 26, and 7 of 15 patients at week 50, showed at least a 1-category improvement in healed lesions. We believe these data suggest that with continued longer-term treatment, both ongoing reduction in pruritus and improvement in the pruriginous lesions themselves may be observed in a meaningful proportion of patients.</w:t>
      </w:r>
    </w:p>
    <w:p>
      <w:pPr>
        <w:spacing w:after="0" w:line="179" w:lineRule="exact"/>
        <w:rPr>
          <w:sz w:val="20"/>
          <w:szCs w:val="20"/>
          <w:color w:val="auto"/>
        </w:rPr>
      </w:pPr>
    </w:p>
    <w:p>
      <w:pPr>
        <w:ind w:right="360" w:firstLine="589"/>
        <w:spacing w:after="0" w:line="259" w:lineRule="auto"/>
        <w:rPr>
          <w:sz w:val="20"/>
          <w:szCs w:val="20"/>
          <w:color w:val="auto"/>
        </w:rPr>
      </w:pPr>
      <w:r>
        <w:rPr>
          <w:rFonts w:ascii="Arial" w:cs="Arial" w:eastAsia="Arial" w:hAnsi="Arial"/>
          <w:sz w:val="18"/>
          <w:szCs w:val="18"/>
          <w:color w:val="auto"/>
        </w:rPr>
        <w:t>Nalbuphine ER was well-tolerated in the open label extension study. The most frequent adverse events related to study drug were nausea and dizziness, which were reported in seven patients (19%) each, and fatigue, which was reported in six patients (17%). There were no treatment emergent SAEs reported that were considered related to study drug and the majority of adverse events were grade 1 or grade 2 in severity. There were no deaths reported in the study.</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Ongoing PRISM Clinical Trial</w:t>
      </w:r>
    </w:p>
    <w:p>
      <w:pPr>
        <w:spacing w:after="0" w:line="11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Following completion of the Phase 2 clinical trial described above, we met with the FDA and European regulatory authorities to discuss the registration pathway for nalbuphine ER for pruritus associated with prurigo nodularis and the design of our Phase 2b/3 PRISM trial, including the target population, dose, duration and primary efficacy endpoint. Based on these discussions and the results of our prurigo nodularis and uremic pruritus trials, in September 2018 we initiated our Phase 2b/3 PRISM trial of nalbuphine ER 162 mg tablets in patients with severe pruritus associated with prurigo nodularis. We plan to conduct the trial at approximately 60 sites in the United States and Europe. To date, we have enrolled approximately 45% of the target number of patients. The pace of enrollment has been slower than anticipated primarily due to competition from other clinical trials and slower than planned site start-ups in Europe.</w:t>
      </w:r>
    </w:p>
    <w:p>
      <w:pPr>
        <w:spacing w:after="0" w:line="195"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The PRISM trial consists of two parts. The first part of the trial is a randomized, double-blind, placebo-controlled, parallel, two-arm, 14-week treatment study that is evaluating the safety and anti-pruritic efficacy of nalbuphine ER 162 mg tablets. The second part of the trial is an open label extension to evaluate nalbuphine ER’s long-term safety profile as well as its effects on key prurigo nodularis parameters, including itch and skin healing, over a further 38 weeks, resulting in a 52-week overall treatment period. The trial is designed to be conducted in 240 patients. However, under the protocol for the trial, once 50% of the patients are evaluable for the primary efficacy endpoint, an unblinded statistician for the trial will review the available data, perform a sample size re-estimation and advise us on whether we should increase the size of the trial. We expect to reach 50% patient enrollment during the second quarter of 2020. Once all of these patients complete the primary efficacy endpoint, the sample size re-estimation analysis will occur. We expect this analysis will occur in mid-2020. Depending on the results of the sample size re-estimation, the trial may be increased to up to 360 patients. If we increase the target number of patients in the trial as a result of the re-estimation analysis, the timing of our report of top-line data may be delayed. Eligible patients for this trial are adults with prurigo nodularis, defined by having at least ten pruriginous nodules, with predominantly nodular lesions overall, over at least two anatomically distinct body areas, with baseline seven-day mean WI-NRS scores of at least 7, indicating severe pruritus.</w:t>
      </w:r>
    </w:p>
    <w:p>
      <w:pPr>
        <w:spacing w:after="0" w:line="17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Patients will be dosed over two periods in the blinded portion of the trial: an initial two-week titration period during which patients receive gradually increasing doses of nalbuphine ER or placebo, reaching the final assigned dose on day 15, followed by a 12-week fixed-dosing period. Following the initial 14-week treatment period, patients will continue into another two-week blinded titration period during which patients from the placebo arm will cross over to active drug with a standard escalating titration schedule, while patients from the nalbuphine ER arm remain at a stable dose of 162 mg twice daily. This blinded two-week period will be followed by 36 weeks of stable dosing at 162 mg twice daily of open label nalbuphine ER for all participants. The open label extension will conclude with a final two-week off-treatment washout and safety observation period for all patients.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4" w:name="page15"/>
    <w:bookmarkEnd w:id="14"/>
    <w:p>
      <w:pPr>
        <w:ind w:right="20" w:firstLine="589"/>
        <w:spacing w:after="0" w:line="301" w:lineRule="auto"/>
        <w:rPr>
          <w:sz w:val="20"/>
          <w:szCs w:val="20"/>
          <w:color w:val="auto"/>
        </w:rPr>
      </w:pPr>
      <w:r>
        <w:rPr>
          <w:rFonts w:ascii="Arial" w:cs="Arial" w:eastAsia="Arial" w:hAnsi="Arial"/>
          <w:sz w:val="16"/>
          <w:szCs w:val="16"/>
          <w:color w:val="auto"/>
        </w:rPr>
        <w:t>The primary efficacy endpoint for the trial is the proportion of patients achieving at least a 4-point improvement from baseline with respect to their worst itch at week 14 as measured by WI-NRS. Key secondary endpoints include the mean changes from baseline to week 14 in WI-NRS and ItchyQoL scores and the difference in percentage of patients having a 1-category improvement in the percentage of pruriginous lesions with excoriations or crusts on the PAS at week 14. We expect to report top-line data from the 14-week blinded treatment period of the PRISM trial in the second half of 2020.</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If the results of the PRISM trial and the additional Phase 3 clinical trial that we need to conduct are positive, and the data from the other required supportive trials are also favorable, we would plan to seek approval for nalbuphine ER for pruritus associated with prurigo nodularis by submitting to the FDA a Section 505(b)(2) New Drug Application, which would rely on the FDA’s previous findings for the safety and effectiveness of nalbuphine, in addition to the data we generate regarding nalbuphine ER.</w:t>
      </w:r>
    </w:p>
    <w:p>
      <w:pPr>
        <w:spacing w:after="0" w:line="18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have also obtained scientific guidance from regulatory authorities in two European countries, Sweden and Germany with respect to regulatory paths supporting submission of an MAA for pruritus associated with prurigo nodularis. We have also initiated development of a Pediatric Investigational Plan with European health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Pruritus in Chronic Liver Disease Program</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Based upon nalbuphine ER’s dual mechanism of action that targets k- and µ-opioid receptors and the anti-pruritic effect demonstrated in our clinical trials for the treatment of prurigo nodularis and uremic pruritus, we are developing nalbuphine ER for pruritus associated with chronic liver disease. This condition causes severe whole-body itch. It is an intense, intractable, debilitating condition that significantly disrupts patients’ daily activities and sleep, and consequently impairs their quality of life. Pruritus tends to be the most common in cholestatic liver diseases, such as PBC and primary sclerosing cholangitis, or PSC. Chronic pruritus also occurs in connection with other liver diseases, including chronic hepatitis C.</w:t>
      </w:r>
    </w:p>
    <w:p>
      <w:pPr>
        <w:spacing w:after="0" w:line="176"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According to a 2018 article published by the American Association for the Study of Liver Diseases, there were approximately 130,000 PBC patients in the United States in 2017. We estimate that the worldwide prevalence of PBC is between 2 and 40 per 100,000 persons and that the prevalence of pruritus in patients with PBC ranges between 37% and 55%. Based on this prevalence, we estimate that in 2017 there were 150,000 or more diagnosed patients with PBC and pruritus worldwide, including approximately 65,000 in the United States. We estimate that the prevalence of PSC is between 1 and 16 per 100,000 persons worldwide and there are 30,000 or more patients with PSC in the United States.</w:t>
      </w:r>
    </w:p>
    <w:p>
      <w:pPr>
        <w:spacing w:after="0" w:line="176"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No treatment for pruritus associated with chronic liver disease has been approved in the United States or Europe, but nalfurafine (marketed as Remitch) is approved in Japan for pruritus associated with chronic liver disease. Treatment of pruritus associated with chronic liver disease may include off-label treatment with bile acid sequestrants, such as cholestyramine, which typically provide only modest relief. Cholestyramine is marketed as Questran in the United States and as Colestyr, Efensol, Ipocol, Kolestran, Lipocol, Olestyr, Prevalite or Quantalan in various other countries. Treatment of pruritus associated with chronic liver disease may also include the antibiotic rifampicin, naltrexone, the anti-depressant sertraline, phototherapy and drugs such as gabapentin and Lyrica (pregabalin), prescription medicines approved for the treatment of seizures and neuropathic pain.</w:t>
      </w:r>
    </w:p>
    <w:p>
      <w:pPr>
        <w:spacing w:after="0" w:line="27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are conducting a Phase 1b clinical trial in patients with chronic liver disease to evaluate the safety and PK of nalbuphine ER in this population. This trial was designed as an open label, non-randomized, parallel-group, single and multiple ascending dose trial in patients with mild, moderate and severe hepatic impairment. We completed the single ascending dosing portion of this trial in patients with mild and moderate hepatic impairment and there were no serious adverse events reported in the trial. After reviewing the safety and PK data generated to date in the single ascending dose portion of the trial, we believe that these data are sufficient to support further investigation of nalbuphine ER in potential future safety and efficacy studies in patients with relevant liver diseases. We intend to start planning for a Phase 2 trial of nalbuphine ER in patients with pruritus associated with PBC, a form of chronic liver disease.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Chronic Cough in Idiopathic Pulmonary Fibrosis Program</w:t>
      </w:r>
    </w:p>
    <w:p>
      <w:pPr>
        <w:spacing w:after="0" w:line="117"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Idiopathic pulmonary fibrosis, or IPF, is a rare, chronic, progressive lung disease, characterized by scarring and thickening of lung tissue leading to an irreversible loss of lung function and reduced life expectancy. Most patients diagnosed with IPF suffer from a dry, non-productive chronic cough that interrupts their daily living and significantly contributes to poor quality of life. Chronic coughing can have a debilitating physical and psychosocial burden, exacerbate concomitant respiratory disease, cause loss of sleep and reduce mobility. Cough is an independent predictor of disease progression in IPF, and therefore we believe cough may contribute to the progression of the underlying disease.</w:t>
      </w:r>
    </w:p>
    <w:p>
      <w:pPr>
        <w:spacing w:after="0" w:line="176" w:lineRule="exact"/>
        <w:rPr>
          <w:sz w:val="20"/>
          <w:szCs w:val="20"/>
          <w:color w:val="auto"/>
        </w:rPr>
      </w:pPr>
    </w:p>
    <w:p>
      <w:pPr>
        <w:ind w:right="440" w:firstLine="589"/>
        <w:spacing w:after="0" w:line="263" w:lineRule="auto"/>
        <w:rPr>
          <w:sz w:val="20"/>
          <w:szCs w:val="20"/>
          <w:color w:val="auto"/>
        </w:rPr>
      </w:pPr>
      <w:r>
        <w:rPr>
          <w:rFonts w:ascii="Arial" w:cs="Arial" w:eastAsia="Arial" w:hAnsi="Arial"/>
          <w:sz w:val="18"/>
          <w:szCs w:val="18"/>
          <w:color w:val="auto"/>
        </w:rPr>
        <w:t>Approximately 130,000 adults in the United States and 3 million adults worldwide are believed to have IPF. In addition, 70% to 85% of IPF patients are reported to suffer from chronic cough. These patients can cough over 50 times per hour, which can lead to other morbidities. There are no approved therapies for the treatment of chronic cough in patients suffering with IPF.</w:t>
      </w:r>
    </w:p>
    <w:p>
      <w:pPr>
        <w:spacing w:after="0" w:line="184"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opioid class of drugs has demonstrated the ability to suppress cough and is used in the clinical management of cough. There is also preclinical and clinical evidence that mixed agonist-antagonist drugs can also be effective in treating cough. We believe nalbuphine ER has the potential to be an effective treatment for chronic cough in patients with IPF. We are conducting a Phase 2 clinical trial of nalbuphine ER for chronic cough in patients with IPF. This Phase 2 clinical trial is a randomized, double-blind, placebo controlled, two-treatment, two-period, crossover study designed to evaluate the efficacy, safety, tolerability and dosing of nalbuphine ER for chronic cough in up to 56 patients diagnosed with IPF at approximately 12 sites in the United Kingdom Patients will be randomized into one of two treatment arms. The patients in the first treatment arm will receive nalbuphine ER for three weeks, which period will be followed by a two-week washout period and then a three-week treatment period during which they will receive placebo. The patients in the second treatment arm will receive placebo during the first three-week treatment period, and following a two-week washout period, will receive nalbuphine ER during the second three-week treatment period. During the active treatment periods, nalbuphine ER will be studied over a dosing range starting at 27 mg once daily and titrated in steps to 162 mg twice daily. The primary efficacy endpoint of the trial is mean percent change in daytime cough frequency as measured by a cough monitor as compared in the nalbuphine ER treatment periods and the placebo treatment periods. Secondary endpoints in the trial include assessments of fatigue, dyspnea or shortness of breath and cough severity. We expect to report top-line data from the trial in the second half of 2020.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Levodopa-Induced Dyskinesia in Parkinson’s Disease</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Parkinson’s disease is a chronic neurodegenerative disorder that primarily affects motor function. Levodopa, which replaces lost dopamine, is considered the “gold standard” and the most effective therapy for Parkinson’s disease. Over time, patients with Parkinson’s disease require increasingly higher or more frequent doses of levodopa to avoid recurrent periods when levodopa therapy is ineffective, which are characterized by slowness of movement, rigidity, impaired walking, tremors, and postural instability, and during which the underlying symptoms of Parkinson’s disease return. Extended treatment of Parkinson’s disease with levodopa frequently results in dyskinesia, which is characterized by involuntary movements that are non-rhythmic, purposeless and unpredictable, negatively impacting patients’ daily lives.</w:t>
      </w:r>
    </w:p>
    <w:p>
      <w:pPr>
        <w:spacing w:after="0" w:line="178" w:lineRule="exact"/>
        <w:rPr>
          <w:sz w:val="20"/>
          <w:szCs w:val="20"/>
          <w:color w:val="auto"/>
        </w:rPr>
      </w:pPr>
    </w:p>
    <w:p>
      <w:pPr>
        <w:ind w:right="240" w:firstLine="589"/>
        <w:spacing w:after="0" w:line="300" w:lineRule="auto"/>
        <w:rPr>
          <w:sz w:val="20"/>
          <w:szCs w:val="20"/>
          <w:color w:val="auto"/>
        </w:rPr>
      </w:pPr>
      <w:r>
        <w:rPr>
          <w:rFonts w:ascii="Arial" w:cs="Arial" w:eastAsia="Arial" w:hAnsi="Arial"/>
          <w:sz w:val="16"/>
          <w:szCs w:val="16"/>
          <w:color w:val="auto"/>
        </w:rPr>
        <w:t>According to the Parkinson’s Foundation, Parkinson’s disease affects approximately one million patients in the United States and 10 million patients worldwide. Approximately 62% of Parkinson’s disease patients in the United States are treated with levodopa, and as Parkinson’s disease progresses, approximately 50% and 90% of patients on levodopa therapy experience debilitating dyskinesia after five and 15 years of levodopa therapy, respectively. We estimate that there are approximately 150,000 patients with LID in the United States. The only approved treatments for the treatment of LID in patients with Parkinson’s disease are amantadine, Gocovri, an extended release capsule formulation of amantadine marketed by Adamas Pharmaceuticals, and Osmolex, an extended release capsule formulation of amantadine marketed by Osmotica Pharmaceuticals.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6" w:name="page17"/>
    <w:bookmarkEnd w:id="16"/>
    <w:p>
      <w:pPr>
        <w:ind w:right="20" w:firstLine="589"/>
        <w:spacing w:after="0" w:line="255" w:lineRule="auto"/>
        <w:rPr>
          <w:sz w:val="20"/>
          <w:szCs w:val="20"/>
          <w:color w:val="auto"/>
        </w:rPr>
      </w:pPr>
      <w:r>
        <w:rPr>
          <w:rFonts w:ascii="Arial" w:cs="Arial" w:eastAsia="Arial" w:hAnsi="Arial"/>
          <w:sz w:val="18"/>
          <w:szCs w:val="18"/>
          <w:color w:val="auto"/>
        </w:rPr>
        <w:t>There is significant preclinical evidence in animal models that stimulating k-opioid receptors and antagonizing µ-opioid receptors represses LID. In the same preclinical model in non-human primates that showed the effect of Gocovri on LID, nalbuphine demonstrated statistically significant reduction of dyskinesia in non-human primates, maintaining anti-LID activity with chronic administration and in a dose dependent manner, and was safe and well tolerated. We believe the dual mechanism of action of nalbuphine ER could be effective in treating LID in patients with Parkinson’s disease. We have written the protocol for a Phase 2 clinical trial to evaluate the effect of nalbuphine ER on LID in patients with Parkinson’s disease and plan to submit an IND application in the upcoming months.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Chronic Pruritus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Uremic Pruritus Program</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Chronic kidney disease-associated pruritus, also known as uremic pruritus, can occur in patients with chronic kidney disease and is most often seen in patients receiving hemodialysis. Uremic pruritus is one of the most common conditions affecting end-stage renal disease, or ESRD, patients undergoing hemodialysis. Studies report that itchy and dry skin, symptoms of pruritus, affect 40% to 90% of ESRD patients. Yet, in clinical practice the condition is often underdiagnosed resulting in inadequate management and an underappreciated impact on patient outcomes. Data from the Dialysis Outcomes and Practice Patterns Study, or DOPPS, in 2017 demonstrated that 70% of hemodialysis patients experienced some pruritus, with 42% reporting moderate to extreme pruritus. The DOPPS started in 1996 and has tracked over 120,000 patients on hemodialysis and pertoneal dialysis and with chronic kidney disease over 20 countries.</w:t>
      </w:r>
    </w:p>
    <w:p>
      <w:pPr>
        <w:spacing w:after="0" w:line="195" w:lineRule="exact"/>
        <w:rPr>
          <w:sz w:val="20"/>
          <w:szCs w:val="20"/>
          <w:color w:val="auto"/>
        </w:rPr>
      </w:pPr>
    </w:p>
    <w:p>
      <w:pPr>
        <w:ind w:right="340" w:firstLine="589"/>
        <w:spacing w:after="0" w:line="342" w:lineRule="auto"/>
        <w:rPr>
          <w:sz w:val="20"/>
          <w:szCs w:val="20"/>
          <w:color w:val="auto"/>
        </w:rPr>
      </w:pPr>
      <w:r>
        <w:rPr>
          <w:rFonts w:ascii="Arial" w:cs="Arial" w:eastAsia="Arial" w:hAnsi="Arial"/>
          <w:sz w:val="16"/>
          <w:szCs w:val="16"/>
          <w:color w:val="auto"/>
        </w:rPr>
        <w:t>We estimate that there are more than 650,000 patients in the United States and approximately 2 million patients worldwide who are affected by ESRD and that, among these patients, approximately 260,000 patients in the United States and 800,000 patients worldwide suffer from pruritus.</w:t>
      </w:r>
    </w:p>
    <w:p>
      <w:pPr>
        <w:spacing w:after="0" w:line="124"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No treatment for uremic pruritus has been approved in the United States or Europe, but nalfurafine (marketed as Remitch) is approved in Japan for uremic pruritus. Treatment of uremic pruritus may include optimizing dialysis procedures as well as off-label treatments such as corticosteroids and other immunosuppressive or anti-inflammatory treatments, phototherapy and drugs such as gabapentin and Lyrica (pregabalin), prescription medicines approved for the treatment of seizures and neuropathic pain.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We have conducted three clinical trials of nalbuphine ER in patients with uremic pruritus, including a Phase 2b/3 clinical trial in 373 patients with moderate to severe uremic pruritus, an open label extension of the Phase 2b/3 clinical trial and a Phase 1b clinical trial in 14 hemodialysis patients with uremic pruritus and eight healthy subjects.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Phase 2b/3 Clinical Trial</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completed a Phase 2b/3 clinical trial in June 2015 to evaluate the safety and efficacy of nalbuphine ER versus placebo in patients with uremic pruritus. The trial was a multicenter, randomized, double-blind trial conducted at 41 sites in the United States and Europe. The trial enrolled a total of 373 adult patients who had uremic pruritus, had been receiving in-center hemodialysis for at least three months, were on a schedule of three dialysis visits per week and had mean WI-NRS scores of at least 4.5 (indicating moderate to severe pruritus) over their last three dialysis visits. The patients were randomized across three treatment arms: either 108 mg or 54 mg of nalbuphine ER or placebo, each administered twice daily. The baseline mean WI-NRS scores for the three treatment arms were comparable: 6.94 for the 108 mg arm, 6.87 for the 54 mg arm and 6.75 for the placebo arm. There were three dosing periods in the trial, all of which were blinded: an initial two-week titration period during which patients received gradually increasing doses of nalbuphine ER or placebo, reaching the final assigned dose on day 15; a six-week fixed-dosing period; and a two-week off-treatment safety observation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160" w:firstLine="589"/>
        <w:spacing w:after="0" w:line="308" w:lineRule="auto"/>
        <w:rPr>
          <w:sz w:val="20"/>
          <w:szCs w:val="20"/>
          <w:color w:val="auto"/>
        </w:rPr>
      </w:pPr>
      <w:r>
        <w:rPr>
          <w:rFonts w:ascii="Arial" w:cs="Arial" w:eastAsia="Arial" w:hAnsi="Arial"/>
          <w:sz w:val="17"/>
          <w:szCs w:val="17"/>
          <w:color w:val="auto"/>
        </w:rPr>
        <w:t>The primary endpoint of the trial was the mean change in WI-NRS score at baseline to WI-NRS score over the last two weeks of the fixed-dosing period (weeks seven and eight), which we refer to as the Evaluation Period. Key secondary endpoint analyses included the following:</w:t>
      </w:r>
    </w:p>
    <w:p>
      <w:pPr>
        <w:spacing w:after="0" w:line="38" w:lineRule="exact"/>
        <w:rPr>
          <w:sz w:val="20"/>
          <w:szCs w:val="20"/>
          <w:color w:val="auto"/>
        </w:rPr>
      </w:pPr>
    </w:p>
    <w:p>
      <w:pPr>
        <w:ind w:left="1020" w:right="80" w:hanging="432"/>
        <w:spacing w:after="0" w:line="286"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 from baseline to the Evaluation Period in total Skindex-10 score, which is a questionnaire-based score assessing quality of life across 10 questions, grouped into three categories, or domains, with three questions relating to disease symptoms, three questions relating to mood and emotional distress and four questions relating to effects on social functioning; and</w:t>
      </w:r>
    </w:p>
    <w:p>
      <w:pPr>
        <w:spacing w:after="0" w:line="57" w:lineRule="exact"/>
        <w:rPr>
          <w:rFonts w:ascii="Arial" w:cs="Arial" w:eastAsia="Arial" w:hAnsi="Arial"/>
          <w:sz w:val="17"/>
          <w:szCs w:val="17"/>
          <w:color w:val="auto"/>
        </w:rPr>
      </w:pPr>
    </w:p>
    <w:p>
      <w:pPr>
        <w:ind w:left="1020" w:right="140" w:hanging="432"/>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from baseline to the Evaluation Period in Itch Medical Outcomes Study, or IMOS, Sleep Scale score, which is a questionnaire-based score developed for hemodialysis patients assessing overall quality of sleep.</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Efficacy Results</w:t>
      </w:r>
    </w:p>
    <w:p>
      <w:pPr>
        <w:spacing w:after="0" w:line="11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 xml:space="preserve">The following table summarizes the outcomes of the trial for the primary endpoint and key secondary endpoints. The table below also includes results from a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of change from baseline to the Evaluation Period in score for only the disease domain questions of the Skindex-10 assessment and a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of the subset of patients who entered the trial with severe itch, defined as a baseline WI-NRS score of at least 7, which we believe is notable as it shows a greater response in patients with more severe itch.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ind w:left="360"/>
              <w:spacing w:after="0"/>
              <w:rPr>
                <w:sz w:val="20"/>
                <w:szCs w:val="20"/>
                <w:color w:val="auto"/>
              </w:rPr>
            </w:pPr>
            <w:r>
              <w:rPr>
                <w:rFonts w:ascii="Arial" w:cs="Arial" w:eastAsia="Arial" w:hAnsi="Arial"/>
                <w:sz w:val="14"/>
                <w:szCs w:val="14"/>
                <w:b w:val="1"/>
                <w:bCs w:val="1"/>
                <w:color w:val="auto"/>
              </w:rPr>
              <w:t>Nalbuphine ER 108mg</w:t>
            </w:r>
          </w:p>
        </w:tc>
        <w:tc>
          <w:tcPr>
            <w:tcW w:w="2240" w:type="dxa"/>
            <w:vAlign w:val="bottom"/>
            <w:gridSpan w:val="3"/>
          </w:tcPr>
          <w:p>
            <w:pPr>
              <w:ind w:left="380"/>
              <w:spacing w:after="0"/>
              <w:rPr>
                <w:sz w:val="20"/>
                <w:szCs w:val="20"/>
                <w:color w:val="auto"/>
              </w:rPr>
            </w:pPr>
            <w:r>
              <w:rPr>
                <w:rFonts w:ascii="Arial" w:cs="Arial" w:eastAsia="Arial" w:hAnsi="Arial"/>
                <w:sz w:val="14"/>
                <w:szCs w:val="14"/>
                <w:b w:val="1"/>
                <w:bCs w:val="1"/>
                <w:color w:val="auto"/>
              </w:rPr>
              <w:t>Nalbuphine ER 54 mg</w:t>
            </w:r>
          </w:p>
        </w:tc>
        <w:tc>
          <w:tcPr>
            <w:tcW w:w="1220" w:type="dxa"/>
            <w:vAlign w:val="bottom"/>
          </w:tcPr>
          <w:p>
            <w:pPr>
              <w:ind w:left="700"/>
              <w:spacing w:after="0"/>
              <w:rPr>
                <w:sz w:val="20"/>
                <w:szCs w:val="20"/>
                <w:color w:val="auto"/>
              </w:rPr>
            </w:pPr>
            <w:r>
              <w:rPr>
                <w:rFonts w:ascii="Arial" w:cs="Arial" w:eastAsia="Arial" w:hAnsi="Arial"/>
                <w:sz w:val="14"/>
                <w:szCs w:val="14"/>
                <w:b w:val="1"/>
                <w:bCs w:val="1"/>
                <w:color w:val="auto"/>
                <w:w w:val="93"/>
              </w:rPr>
              <w:t>Placebo</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Endpoint</w:t>
            </w:r>
          </w:p>
        </w:tc>
        <w:tc>
          <w:tcPr>
            <w:tcW w:w="1300" w:type="dxa"/>
            <w:vAlign w:val="bottom"/>
          </w:tcPr>
          <w:p>
            <w:pPr>
              <w:jc w:val="right"/>
              <w:ind w:right="316"/>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n=120</w:t>
            </w:r>
          </w:p>
        </w:tc>
        <w:tc>
          <w:tcPr>
            <w:tcW w:w="1280" w:type="dxa"/>
            <w:vAlign w:val="bottom"/>
          </w:tcPr>
          <w:p>
            <w:pPr>
              <w:ind w:left="38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n=128</w:t>
            </w:r>
          </w:p>
        </w:tc>
        <w:tc>
          <w:tcPr>
            <w:tcW w:w="1220" w:type="dxa"/>
            <w:vAlign w:val="bottom"/>
          </w:tcPr>
          <w:p>
            <w:pPr>
              <w:ind w:left="26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n=123</w:t>
            </w:r>
          </w:p>
        </w:tc>
        <w:tc>
          <w:tcPr>
            <w:tcW w:w="0" w:type="dxa"/>
            <w:vAlign w:val="bottom"/>
          </w:tcPr>
          <w:p>
            <w:pPr>
              <w:spacing w:after="0"/>
              <w:rPr>
                <w:sz w:val="1"/>
                <w:szCs w:val="1"/>
                <w:color w:val="auto"/>
              </w:rPr>
            </w:pPr>
          </w:p>
        </w:tc>
      </w:tr>
      <w:tr>
        <w:trPr>
          <w:trHeight w:val="167"/>
        </w:trPr>
        <w:tc>
          <w:tcPr>
            <w:tcW w:w="4740" w:type="dxa"/>
            <w:vAlign w:val="bottom"/>
            <w:gridSpan w:val="2"/>
            <w:vMerge w:val="continue"/>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Severe itch</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n=61</w:t>
            </w:r>
          </w:p>
        </w:tc>
        <w:tc>
          <w:tcPr>
            <w:tcW w:w="1280" w:type="dxa"/>
            <w:vAlign w:val="bottom"/>
          </w:tcPr>
          <w:p>
            <w:pPr>
              <w:jc w:val="right"/>
              <w:spacing w:after="0"/>
              <w:rPr>
                <w:sz w:val="20"/>
                <w:szCs w:val="20"/>
                <w:color w:val="auto"/>
              </w:rPr>
            </w:pPr>
            <w:r>
              <w:rPr>
                <w:rFonts w:ascii="Arial" w:cs="Arial" w:eastAsia="Arial" w:hAnsi="Arial"/>
                <w:sz w:val="14"/>
                <w:szCs w:val="14"/>
                <w:color w:val="auto"/>
              </w:rPr>
              <w:t>Severe itch</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n=63</w:t>
            </w:r>
          </w:p>
        </w:tc>
        <w:tc>
          <w:tcPr>
            <w:tcW w:w="1220" w:type="dxa"/>
            <w:vAlign w:val="bottom"/>
          </w:tcPr>
          <w:p>
            <w:pPr>
              <w:ind w:left="300"/>
              <w:spacing w:after="0"/>
              <w:rPr>
                <w:sz w:val="20"/>
                <w:szCs w:val="20"/>
                <w:color w:val="auto"/>
              </w:rPr>
            </w:pPr>
            <w:r>
              <w:rPr>
                <w:rFonts w:ascii="Arial" w:cs="Arial" w:eastAsia="Arial" w:hAnsi="Arial"/>
                <w:sz w:val="14"/>
                <w:szCs w:val="14"/>
                <w:color w:val="auto"/>
                <w:w w:val="97"/>
              </w:rPr>
              <w:t>Severe itch</w:t>
            </w:r>
            <w:r>
              <w:rPr>
                <w:rFonts w:ascii="Arial" w:cs="Arial" w:eastAsia="Arial" w:hAnsi="Arial"/>
                <w:sz w:val="12"/>
                <w:szCs w:val="12"/>
                <w:color w:val="auto"/>
                <w:w w:val="97"/>
              </w:rPr>
              <w:t>(2)</w:t>
            </w:r>
            <w:r>
              <w:rPr>
                <w:rFonts w:ascii="Arial" w:cs="Arial" w:eastAsia="Arial" w:hAnsi="Arial"/>
                <w:sz w:val="14"/>
                <w:szCs w:val="14"/>
                <w:color w:val="auto"/>
                <w:w w:val="97"/>
              </w:rPr>
              <w:t xml:space="preserve"> :</w:t>
            </w: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n=55</w:t>
            </w:r>
          </w:p>
        </w:tc>
        <w:tc>
          <w:tcPr>
            <w:tcW w:w="0" w:type="dxa"/>
            <w:vAlign w:val="bottom"/>
          </w:tcPr>
          <w:p>
            <w:pPr>
              <w:spacing w:after="0"/>
              <w:rPr>
                <w:sz w:val="1"/>
                <w:szCs w:val="1"/>
                <w:color w:val="auto"/>
              </w:rPr>
            </w:pPr>
          </w:p>
        </w:tc>
      </w:tr>
      <w:tr>
        <w:trPr>
          <w:trHeight w:val="156"/>
        </w:trPr>
        <w:tc>
          <w:tcPr>
            <w:tcW w:w="4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i w:val="1"/>
                <w:iCs w:val="1"/>
                <w:color w:val="auto"/>
              </w:rPr>
              <w:t>p-value(3)</w:t>
            </w:r>
          </w:p>
        </w:tc>
        <w:tc>
          <w:tcPr>
            <w:tcW w:w="1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i w:val="1"/>
                <w:iCs w:val="1"/>
                <w:color w:val="auto"/>
              </w:rPr>
              <w:t>p-value(3)</w:t>
            </w: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Primary Endpoint</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color w:val="auto"/>
              </w:rPr>
              <w:t>Mean change in WI-NRS score from baseline</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to Evaluation Period in mITT population</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(3.49)</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p=0.017</w:t>
            </w:r>
          </w:p>
        </w:tc>
        <w:tc>
          <w:tcPr>
            <w:tcW w:w="1280" w:type="dxa"/>
            <w:vAlign w:val="bottom"/>
          </w:tcPr>
          <w:p>
            <w:pPr>
              <w:jc w:val="right"/>
              <w:ind w:right="256"/>
              <w:spacing w:after="0"/>
              <w:rPr>
                <w:sz w:val="20"/>
                <w:szCs w:val="20"/>
                <w:color w:val="auto"/>
              </w:rPr>
            </w:pPr>
            <w:r>
              <w:rPr>
                <w:rFonts w:ascii="Arial" w:cs="Arial" w:eastAsia="Arial" w:hAnsi="Arial"/>
                <w:sz w:val="18"/>
                <w:szCs w:val="18"/>
                <w:color w:val="auto"/>
              </w:rPr>
              <w:t>(3.10)</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p=0.441</w:t>
            </w:r>
          </w:p>
        </w:tc>
        <w:tc>
          <w:tcPr>
            <w:tcW w:w="1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Post Hoc Analyses and Key Secondary</w:t>
            </w: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i w:val="1"/>
                <w:iCs w:val="1"/>
                <w:color w:val="auto"/>
              </w:rPr>
              <w:t>Endpoints</w:t>
            </w:r>
          </w:p>
        </w:tc>
        <w:tc>
          <w:tcPr>
            <w:tcW w:w="13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mean change in WI-NRS</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scores from baseline to Evaluation Period</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in severe itch population</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(4.48)</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p=0.007</w:t>
            </w:r>
          </w:p>
        </w:tc>
        <w:tc>
          <w:tcPr>
            <w:tcW w:w="1280" w:type="dxa"/>
            <w:vAlign w:val="bottom"/>
          </w:tcPr>
          <w:p>
            <w:pPr>
              <w:jc w:val="right"/>
              <w:ind w:right="256"/>
              <w:spacing w:after="0"/>
              <w:rPr>
                <w:sz w:val="20"/>
                <w:szCs w:val="20"/>
                <w:color w:val="auto"/>
              </w:rPr>
            </w:pPr>
            <w:r>
              <w:rPr>
                <w:rFonts w:ascii="Arial" w:cs="Arial" w:eastAsia="Arial" w:hAnsi="Arial"/>
                <w:sz w:val="18"/>
                <w:szCs w:val="18"/>
                <w:color w:val="auto"/>
              </w:rPr>
              <w:t>(3.44)</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p=0.521</w:t>
            </w:r>
          </w:p>
        </w:tc>
        <w:tc>
          <w:tcPr>
            <w:tcW w:w="1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from baseline to Evaluation Period in</w:t>
            </w: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Skindex-10 score in mITT population</w:t>
            </w:r>
          </w:p>
        </w:tc>
        <w:tc>
          <w:tcPr>
            <w:tcW w:w="130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(16.99)</w:t>
            </w:r>
          </w:p>
        </w:tc>
        <w:tc>
          <w:tcPr>
            <w:tcW w:w="9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p=0.246</w:t>
            </w:r>
          </w:p>
        </w:tc>
        <w:tc>
          <w:tcPr>
            <w:tcW w:w="128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(13.82)</w:t>
            </w:r>
          </w:p>
        </w:tc>
        <w:tc>
          <w:tcPr>
            <w:tcW w:w="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p=0.863</w:t>
            </w:r>
          </w:p>
        </w:tc>
        <w:tc>
          <w:tcPr>
            <w:tcW w:w="1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change from baseline to</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Evaluation Period in Skindex-10 disease</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domain sub-score in mITT population</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(6.40)</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p=0.053</w:t>
            </w:r>
          </w:p>
        </w:tc>
        <w:tc>
          <w:tcPr>
            <w:tcW w:w="1280" w:type="dxa"/>
            <w:vAlign w:val="bottom"/>
          </w:tcPr>
          <w:p>
            <w:pPr>
              <w:jc w:val="right"/>
              <w:ind w:right="256"/>
              <w:spacing w:after="0"/>
              <w:rPr>
                <w:sz w:val="20"/>
                <w:szCs w:val="20"/>
                <w:color w:val="auto"/>
              </w:rPr>
            </w:pPr>
            <w:r>
              <w:rPr>
                <w:rFonts w:ascii="Arial" w:cs="Arial" w:eastAsia="Arial" w:hAnsi="Arial"/>
                <w:sz w:val="18"/>
                <w:szCs w:val="18"/>
                <w:color w:val="auto"/>
              </w:rPr>
              <w:t>(5.32)</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p=0.456</w:t>
            </w:r>
          </w:p>
        </w:tc>
        <w:tc>
          <w:tcPr>
            <w:tcW w:w="1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IMOS Sleep Scale score from</w:t>
            </w: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baseline to the Evaluation Period in mITT</w:t>
            </w: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population</w:t>
            </w:r>
          </w:p>
        </w:tc>
        <w:tc>
          <w:tcPr>
            <w:tcW w:w="130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(15.99)</w:t>
            </w:r>
          </w:p>
        </w:tc>
        <w:tc>
          <w:tcPr>
            <w:tcW w:w="9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p=0.062</w:t>
            </w:r>
          </w:p>
        </w:tc>
        <w:tc>
          <w:tcPr>
            <w:tcW w:w="128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(13.85)</w:t>
            </w:r>
          </w:p>
        </w:tc>
        <w:tc>
          <w:tcPr>
            <w:tcW w:w="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p=0.893</w:t>
            </w:r>
          </w:p>
        </w:tc>
        <w:tc>
          <w:tcPr>
            <w:tcW w:w="1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mean change in IMOS</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Sleep Scale score from baseline to the</w:t>
            </w: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Evaluation Period in severe itch population</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(21.59)</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p=0.006</w:t>
            </w:r>
          </w:p>
        </w:tc>
        <w:tc>
          <w:tcPr>
            <w:tcW w:w="1280" w:type="dxa"/>
            <w:vAlign w:val="bottom"/>
          </w:tcPr>
          <w:p>
            <w:pPr>
              <w:jc w:val="right"/>
              <w:ind w:right="256"/>
              <w:spacing w:after="0"/>
              <w:rPr>
                <w:sz w:val="20"/>
                <w:szCs w:val="20"/>
                <w:color w:val="auto"/>
              </w:rPr>
            </w:pPr>
            <w:r>
              <w:rPr>
                <w:rFonts w:ascii="Arial" w:cs="Arial" w:eastAsia="Arial" w:hAnsi="Arial"/>
                <w:sz w:val="18"/>
                <w:szCs w:val="18"/>
                <w:color w:val="auto"/>
              </w:rPr>
              <w:t>(15.02)</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p=0.506</w:t>
            </w:r>
          </w:p>
        </w:tc>
        <w:tc>
          <w:tcPr>
            <w:tcW w:w="1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modified intention to treat population, which consists of all of the patients who were randomized and commenced dosing.</w:t>
      </w:r>
    </w:p>
    <w:p>
      <w:pPr>
        <w:spacing w:after="0" w:line="34" w:lineRule="exact"/>
        <w:rPr>
          <w:rFonts w:ascii="Arial" w:cs="Arial" w:eastAsia="Arial" w:hAnsi="Arial"/>
          <w:sz w:val="17"/>
          <w:szCs w:val="17"/>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with a baseline WI-NRS score of at least 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p-values compare treatment group to placebo. Only the primary endpoint was powered for statistical significance.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600"/>
        <w:spacing w:after="0"/>
        <w:rPr>
          <w:sz w:val="20"/>
          <w:szCs w:val="20"/>
          <w:color w:val="auto"/>
        </w:rPr>
      </w:pPr>
      <w:r>
        <w:rPr>
          <w:rFonts w:ascii="Arial" w:cs="Arial" w:eastAsia="Arial" w:hAnsi="Arial"/>
          <w:sz w:val="18"/>
          <w:szCs w:val="18"/>
          <w:i w:val="1"/>
          <w:iCs w:val="1"/>
          <w:color w:val="auto"/>
        </w:rPr>
        <w:t>Safety Results</w:t>
      </w:r>
    </w:p>
    <w:p>
      <w:pPr>
        <w:spacing w:after="0" w:line="11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The overall profile of the safety observations in the trial reflected the high rates of concomitant disease in the patient population, which is common for patients suffering from chronic renal failure. At baseline, the patient population had the following rates of serious concomitant diseases: hypertension, 98%; dyslipidemia/hyperlipidemia, 58%; diabetes, 52%; congestive heart failure, 29%; peripheral neuropathy, 28%; history of supraventricular tachycardia, 16%; history of peripheral vascular disease, 14%; history of prior myocardial infarction, 12%; and history of prior stroke, 10%.</w:t>
      </w:r>
    </w:p>
    <w:p>
      <w:pPr>
        <w:spacing w:after="0" w:line="15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this trial, SAEs were frequent but were primarily related to the serious concomitant diseases associated with patients on hemodialysis or to procedural complications related to hemodialysis. During the trial, one patient on placebo died from sepsis; no other deaths occurred. Overall, 43 patients experienced at least one SAE during the eight weeks of trial dosing. Of the SAEs reported, a case of grade 3 vertigo was the only SAE considered related to study drug. The most common SAEs that were considered unrelated to study drug included congestive cardiac failure, non-cardiac chest pain, fluid overload, chronic obstructive pulmonary disease, gastrointestinal hemorrhage and hypotension. TEAEs occurred in 73%, 75% and 61% of the patients in the 108 mg, 54 mg and placebo arms, respectively. The higher rates of TEAEs in the nalbuphine ER arms as compared to placebo appeared to be primarily attributable to higher rates of TEAEs in the nalbuphine ER arms during the initial two-week titration period. During the titration period, 55% of nalbuphine ER-treated patients experienced TEAEs, as compared to 28% of patients receiving placebo. During the eight-week fixed-dosing period, 37% of nalbuphine ER-treated patients experienced TEAEs, as compared to 42% of patients receiving placebo.</w:t>
      </w:r>
    </w:p>
    <w:p>
      <w:pPr>
        <w:spacing w:after="0" w:line="166"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following table summarizes the most common TEAEs experienced by patients in each of the two weeks of the titration period, as well as in the fixed-dosing period, indicating the percentage of the mITT population of each arm that reported each such TEAE.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First Week of Titration Period</w:t>
            </w:r>
          </w:p>
        </w:tc>
        <w:tc>
          <w:tcPr>
            <w:tcW w:w="30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Second Week of Titration Period</w:t>
            </w:r>
          </w:p>
        </w:tc>
        <w:tc>
          <w:tcPr>
            <w:tcW w:w="580" w:type="dxa"/>
            <w:vAlign w:val="bottom"/>
          </w:tcPr>
          <w:p>
            <w:pPr>
              <w:spacing w:after="0"/>
              <w:rPr>
                <w:sz w:val="14"/>
                <w:szCs w:val="14"/>
                <w:color w:val="auto"/>
              </w:rPr>
            </w:pPr>
          </w:p>
        </w:tc>
        <w:tc>
          <w:tcPr>
            <w:tcW w:w="1380" w:type="dxa"/>
            <w:vAlign w:val="bottom"/>
            <w:gridSpan w:val="4"/>
          </w:tcPr>
          <w:p>
            <w:pPr>
              <w:jc w:val="center"/>
              <w:ind w:left="34"/>
              <w:spacing w:after="0"/>
              <w:rPr>
                <w:sz w:val="20"/>
                <w:szCs w:val="20"/>
                <w:color w:val="auto"/>
              </w:rPr>
            </w:pPr>
            <w:r>
              <w:rPr>
                <w:rFonts w:ascii="Arial" w:cs="Arial" w:eastAsia="Arial" w:hAnsi="Arial"/>
                <w:sz w:val="14"/>
                <w:szCs w:val="14"/>
                <w:b w:val="1"/>
                <w:bCs w:val="1"/>
                <w:color w:val="auto"/>
                <w:w w:val="92"/>
              </w:rPr>
              <w:t>Fixed-Dosing Period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TEAE</w:t>
            </w:r>
          </w:p>
        </w:tc>
        <w:tc>
          <w:tcPr>
            <w:tcW w:w="120" w:type="dxa"/>
            <w:vAlign w:val="bottom"/>
            <w:vMerge w:val="restart"/>
          </w:tcPr>
          <w:p>
            <w:pPr>
              <w:spacing w:after="0"/>
              <w:rPr>
                <w:sz w:val="11"/>
                <w:szCs w:val="11"/>
                <w:color w:val="auto"/>
              </w:rPr>
            </w:pPr>
          </w:p>
        </w:tc>
        <w:tc>
          <w:tcPr>
            <w:tcW w:w="96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108 mg</w:t>
            </w:r>
          </w:p>
        </w:tc>
        <w:tc>
          <w:tcPr>
            <w:tcW w:w="98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54 mg</w:t>
            </w:r>
          </w:p>
        </w:tc>
        <w:tc>
          <w:tcPr>
            <w:tcW w:w="720" w:type="dxa"/>
            <w:vAlign w:val="bottom"/>
            <w:tcBorders>
              <w:top w:val="single" w:sz="8" w:color="auto"/>
            </w:tcBorders>
          </w:tcPr>
          <w:p>
            <w:pPr>
              <w:jc w:val="right"/>
              <w:ind w:right="36"/>
              <w:spacing w:after="0" w:line="133" w:lineRule="exact"/>
              <w:rPr>
                <w:sz w:val="20"/>
                <w:szCs w:val="20"/>
                <w:color w:val="auto"/>
              </w:rPr>
            </w:pPr>
            <w:r>
              <w:rPr>
                <w:rFonts w:ascii="Arial" w:cs="Arial" w:eastAsia="Arial" w:hAnsi="Arial"/>
                <w:sz w:val="14"/>
                <w:szCs w:val="14"/>
                <w:b w:val="1"/>
                <w:bCs w:val="1"/>
                <w:color w:val="auto"/>
              </w:rPr>
              <w:t>Placebo</w:t>
            </w:r>
          </w:p>
        </w:tc>
        <w:tc>
          <w:tcPr>
            <w:tcW w:w="280" w:type="dxa"/>
            <w:vAlign w:val="bottom"/>
          </w:tcPr>
          <w:p>
            <w:pPr>
              <w:spacing w:after="0"/>
              <w:rPr>
                <w:sz w:val="11"/>
                <w:szCs w:val="11"/>
                <w:color w:val="auto"/>
              </w:rPr>
            </w:pPr>
          </w:p>
        </w:tc>
        <w:tc>
          <w:tcPr>
            <w:tcW w:w="100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108 mg</w:t>
            </w:r>
          </w:p>
        </w:tc>
        <w:tc>
          <w:tcPr>
            <w:tcW w:w="100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54 mg</w:t>
            </w:r>
          </w:p>
        </w:tc>
        <w:tc>
          <w:tcPr>
            <w:tcW w:w="700" w:type="dxa"/>
            <w:vAlign w:val="bottom"/>
            <w:tcBorders>
              <w:top w:val="single" w:sz="8" w:color="auto"/>
            </w:tcBorders>
          </w:tcPr>
          <w:p>
            <w:pPr>
              <w:jc w:val="right"/>
              <w:ind w:right="36"/>
              <w:spacing w:after="0" w:line="133" w:lineRule="exact"/>
              <w:rPr>
                <w:sz w:val="20"/>
                <w:szCs w:val="20"/>
                <w:color w:val="auto"/>
              </w:rPr>
            </w:pPr>
            <w:r>
              <w:rPr>
                <w:rFonts w:ascii="Arial" w:cs="Arial" w:eastAsia="Arial" w:hAnsi="Arial"/>
                <w:sz w:val="14"/>
                <w:szCs w:val="14"/>
                <w:b w:val="1"/>
                <w:bCs w:val="1"/>
                <w:color w:val="auto"/>
              </w:rPr>
              <w:t>Placebo</w:t>
            </w:r>
          </w:p>
        </w:tc>
        <w:tc>
          <w:tcPr>
            <w:tcW w:w="300" w:type="dxa"/>
            <w:vAlign w:val="bottom"/>
          </w:tcPr>
          <w:p>
            <w:pPr>
              <w:spacing w:after="0"/>
              <w:rPr>
                <w:sz w:val="11"/>
                <w:szCs w:val="11"/>
                <w:color w:val="auto"/>
              </w:rPr>
            </w:pPr>
          </w:p>
        </w:tc>
        <w:tc>
          <w:tcPr>
            <w:tcW w:w="580" w:type="dxa"/>
            <w:vAlign w:val="bottom"/>
            <w:tcBorders>
              <w:top w:val="single" w:sz="8" w:color="auto"/>
            </w:tcBorders>
          </w:tcPr>
          <w:p>
            <w:pPr>
              <w:ind w:left="120"/>
              <w:spacing w:after="0" w:line="133" w:lineRule="exact"/>
              <w:rPr>
                <w:sz w:val="20"/>
                <w:szCs w:val="20"/>
                <w:color w:val="auto"/>
              </w:rPr>
            </w:pPr>
            <w:r>
              <w:rPr>
                <w:rFonts w:ascii="Arial" w:cs="Arial" w:eastAsia="Arial" w:hAnsi="Arial"/>
                <w:sz w:val="14"/>
                <w:szCs w:val="14"/>
                <w:b w:val="1"/>
                <w:bCs w:val="1"/>
                <w:color w:val="auto"/>
                <w:w w:val="91"/>
              </w:rPr>
              <w:t>108 mg</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54 mg</w:t>
            </w:r>
          </w:p>
        </w:tc>
        <w:tc>
          <w:tcPr>
            <w:tcW w:w="700" w:type="dxa"/>
            <w:vAlign w:val="bottom"/>
            <w:tcBorders>
              <w:top w:val="single" w:sz="8" w:color="auto"/>
            </w:tcBorders>
          </w:tcPr>
          <w:p>
            <w:pPr>
              <w:jc w:val="right"/>
              <w:ind w:right="36"/>
              <w:spacing w:after="0" w:line="133" w:lineRule="exact"/>
              <w:rPr>
                <w:sz w:val="20"/>
                <w:szCs w:val="20"/>
                <w:color w:val="auto"/>
              </w:rPr>
            </w:pPr>
            <w:r>
              <w:rPr>
                <w:rFonts w:ascii="Arial" w:cs="Arial" w:eastAsia="Arial" w:hAnsi="Arial"/>
                <w:sz w:val="14"/>
                <w:szCs w:val="14"/>
                <w:b w:val="1"/>
                <w:bCs w:val="1"/>
                <w:color w:val="auto"/>
              </w:rPr>
              <w:t>Placebo</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(n=120)</w:t>
            </w: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(n=128)</w:t>
            </w:r>
          </w:p>
        </w:tc>
        <w:tc>
          <w:tcPr>
            <w:tcW w:w="2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(n=123)</w:t>
            </w: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(n=120)</w:t>
            </w:r>
          </w:p>
        </w:tc>
        <w:tc>
          <w:tcPr>
            <w:tcW w:w="3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(n=128)</w:t>
            </w:r>
          </w:p>
        </w:tc>
        <w:tc>
          <w:tcPr>
            <w:tcW w:w="3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(n=123)</w:t>
            </w:r>
          </w:p>
        </w:tc>
        <w:tc>
          <w:tcPr>
            <w:tcW w:w="3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3"/>
              </w:rPr>
              <w:t>(n=120)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(n=128)</w:t>
            </w: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(n=123)</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Nausea</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2"/>
              </w:rPr>
              <w:t>9%</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color w:val="auto"/>
              </w:rPr>
              <w:t>Vomiting</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Somnolence</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2"/>
              </w:rPr>
              <w:t>1%</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Dizziness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20" w:firstLine="589"/>
        <w:spacing w:after="0" w:line="342" w:lineRule="auto"/>
        <w:rPr>
          <w:sz w:val="20"/>
          <w:szCs w:val="20"/>
          <w:color w:val="auto"/>
        </w:rPr>
      </w:pPr>
      <w:r>
        <w:rPr>
          <w:rFonts w:ascii="Arial" w:cs="Arial" w:eastAsia="Arial" w:hAnsi="Arial"/>
          <w:sz w:val="16"/>
          <w:szCs w:val="16"/>
          <w:color w:val="auto"/>
        </w:rPr>
        <w:t>While we believe that this trial established proof of concept for nalbuphine ER in the treatment of pruritus, we are not actively developing nalbuphine ER for uremic pruritus at this time based on our evaluation of the market dynamics, but may consider resuming development in the future.</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Open Label Extension Study</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completed a six-month (24-week) open label extension study of our Phase 2b/3 clinical trial in patients with uremic pruritus in November 2015. Patients who completed the Phase 2b/3 clinical trial were able to enroll in the extension study following a safety washout period. Patients who enrolled in the extension study who had WI-NRS scores of greater than 2 were immediately admitted to the active treatment period of the study. Patients with WI-NRS scores of 2 or less entered an observation period for up to 12 weeks. Patients in this observation period began to receive active treatment only following their first WI-NRS score that was greater than 2; if they reached the end of the 12-week observation period and their WI-NRS scores remained at or below 2, they were required to leave the study.</w:t>
      </w:r>
    </w:p>
    <w:p>
      <w:pPr>
        <w:spacing w:after="0" w:line="192"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Patients in the active treatment period received nalbuphine ER with an initial titration over three weeks according to the evolution of their itch response, at doses ranging from 27 mg, once daily, up to a maximum dose of 108 mg, twice daily, followed by up to 21 additional weeks of treatment. The variable-length observation period resulted in an active treatment period that could range from 12 to 24 weeks (including the initial titration period), depending on when the patient moved from the observation period to the active treatment period. After the initial titration period, patients were permitted one down-titration, and if their itch increased with the reduced dose, they could then return to their initial fixed dose in the study. The open label extension study enrolled 184 patients. Of these, 167 were admitted to the active treatment cohort and 51 of these patients had WI-NRS scores of at least 7, indicative of severe itch, a group we refer to as the severe itch population. Of the patients admitted to the active treatment cohort, 101 completed the open label extension study, including 31 of the patients in the severe itch population.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120" w:firstLine="589"/>
        <w:spacing w:after="0" w:line="259" w:lineRule="auto"/>
        <w:rPr>
          <w:sz w:val="20"/>
          <w:szCs w:val="20"/>
          <w:color w:val="auto"/>
        </w:rPr>
      </w:pPr>
      <w:r>
        <w:rPr>
          <w:rFonts w:ascii="Arial" w:cs="Arial" w:eastAsia="Arial" w:hAnsi="Arial"/>
          <w:sz w:val="18"/>
          <w:szCs w:val="18"/>
          <w:color w:val="auto"/>
        </w:rPr>
        <w:t>The patients admitted to the active treatment cohort had a mean baseline WI-NRS score of 5.59 (recorded in 166 of the 167 patients admitted) and the mean WI-NRS score at week 24 of the patients who completed the study was 2.78, amounting to a reduction of 2.70. The severe itch population had a mean baseline WI-NRS score of 8.27 and the mean WI-NRS score at week 24 of the patients in the severe itch population who completed the study was 3.48, amounting to a reduction of 4.73.</w:t>
      </w:r>
    </w:p>
    <w:p>
      <w:pPr>
        <w:spacing w:after="0" w:line="18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patients admitted to the active treatment cohort had a mean baseline total Skindex-10 score of 27.63 (recorded in 166 of the 167 patients admitted) and the mean total Skindex-10 score at week 24 of the patients who completed the study was 16.61, amounting to a reduction of 10.56. The severe itch population had a mean baseline total Skindex-10 score of 40.29 and the mean total Skindex-10 score at week 24 of the patients in the severe itch population who completed the study was 18.58, amounting to a reduction of 19.97.</w:t>
      </w:r>
    </w:p>
    <w:p>
      <w:pPr>
        <w:spacing w:after="0" w:line="18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patients admitted to the active treatment cohort had a mean baseline IMOS Sleep Scale score of 48.50 (recorded in 165 of the 167 patients admitted) and the mean IMOS Sleep Scale score at week 24 of the patients who completed the study was 38.54, amounting to a reduction of 8.75. The severe itch population had a mean Sleep Scale score at week 24 of the patients in the severe itch population who completed the study was 43.47, amounting to a reduction of 18.42.</w:t>
      </w:r>
    </w:p>
    <w:p>
      <w:pPr>
        <w:spacing w:after="0" w:line="18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We also assessed changes from baseline to week 24 in mean score for the depression-related questions of the Hospital Anxiety and Depression Scale, or HADS, which is a questionnaire-based 4-category numeric assessment scale ranging from 0 to 3 over 14 questions, with seven questions relating to anxiety and seven questions relating to depression. The patients admitted to the active treatment cohort had a mean baseline HADS depression subscale score of 6.03 (recorded in 165 of the 167 patients admitted) and the mean HADS depression subscale score at week 24 of the patients who completed the study was 4.78, amounting to a reduction of 1.15. The severe itch population had a mean baseline HADS depression subscale score of 6.80 and the mean HADS depression subscale score at week 24 of the patients in the severe itch population who completed the study was 4.77, amounting to a reduction of 1.71.</w:t>
      </w:r>
    </w:p>
    <w:p>
      <w:pPr>
        <w:spacing w:after="0" w:line="195" w:lineRule="exact"/>
        <w:rPr>
          <w:sz w:val="20"/>
          <w:szCs w:val="20"/>
          <w:color w:val="auto"/>
        </w:rPr>
      </w:pPr>
    </w:p>
    <w:p>
      <w:pPr>
        <w:ind w:right="140" w:firstLine="589"/>
        <w:spacing w:after="0" w:line="289" w:lineRule="auto"/>
        <w:rPr>
          <w:sz w:val="20"/>
          <w:szCs w:val="20"/>
          <w:color w:val="auto"/>
        </w:rPr>
      </w:pPr>
      <w:r>
        <w:rPr>
          <w:rFonts w:ascii="Arial" w:cs="Arial" w:eastAsia="Arial" w:hAnsi="Arial"/>
          <w:sz w:val="16"/>
          <w:szCs w:val="16"/>
          <w:color w:val="auto"/>
        </w:rPr>
        <w:t>Safety observations in the extension study reflected the underlying severity of illness in the patients in the study, all of whom were on hemodialysis. Four deaths occurred during the study among the 184 enrolled patients. The primary causes of death in these four patients were: cardiac arrest, sudden death, myocardial infarction and hypertensive emergency and massive cerebral hemorrhage in the basal ganglia. The overall mortality rate, and incidence of cardiac deaths specifically, observed in the trial was consistent with the normal rates for this patient population. Among the 54 patients who reported one or more SAEs, three patients reported SAEs that were considered possibly related to study drug: one case of grade 2 gastritis that occurred in association with systemic inflammatory response syndrome; one case of grade 2 constipation that occurred in the setting of associated fluid overload; and one case of grade 2 headache that occurred in the setting of grade 2 hypotension. None of these patients died. Of the adverse effects that are commonly associated with the opiate drug class use (vertigo, constipation, nausea, vomiting, dizziness, somnolence and sedation), only nausea (occurring in 25.7% of patients) and vomiting (occurring in 19.8% of patients), occurred in greater than 10% of patients.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Ongoing Development Work</w:t>
      </w:r>
    </w:p>
    <w:p>
      <w:pPr>
        <w:spacing w:after="0" w:line="117"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We plan to conduct a human abuse liability study to further characterize the abuse potential of nalbuphine. We also anticipate conducting additional standard pharmacokinetics studies required for any NDA submission including studies in specific populations, cardiovascular safety, food effect and dose proportionality studies, and other studies as needed to support marketing applications for regulatory approval in the United States and Europe.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The biopharmaceutical industry is intensely competitive and is subject to rapid and significant change. While we believe that our technology, knowledge, experience and scientific resources provide us with competitive advantages, we face potential competition from many sources, including major pharmaceutical, specialty pharmaceutical and biotechnology companies. If we are able to successfully develop and commercialize nalbuphine ER, it would compete with existing therapies and new therapies that may become available in the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Chronic Pruritus</w:t>
      </w:r>
    </w:p>
    <w:p>
      <w:pPr>
        <w:spacing w:after="0" w:line="117"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are developing nalbuphine ER for the treatment of pruritus associated with prurigo nodularis. Currently, there are no products approved in the United States or Europe for the treatment of pruritus associated with prurigo nodularis, however there are many products that are used to help manage pruritus associated with prurigo nodularis with which we expect that nalbuphine ER would compete if it is approved in this indication. The most common of these agents are anti-itch creams and emollients as well as oral or injectable antihistamines. All of these products have limited degrees of efficacy and are available generically. Additionally, patients may try several other agents such as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generally with limited success. If approved for the treatment of pruritus associated with prurigo nodularis, we expect that nalbuphine ER might also compete with product candidates currently in clinical development in this indication, including serlopitant, an oral neurokinin-1 receptor antagonist being developed by Menlo Therapeutics that is in Phase 3 clinical trials; nemolizumab, an anti-interleukin-31 receptor A humanized monoclonal antibody being developed by Galderma; and KPL-716, a monoclonal antibody targeting oncostatin M receptor beta being developed by Kiniksa Pharmaceuticals. In addition, a number of other product candidates are currently in clinical development to treat other pruritic conditions and nalbuphine ER, if approved for the treatment of pruritus associated with prurigo nodularis or another pruritic condition, could face competition from these product candidates, including tradipitant, an oral neurokinin-1 receptor antagonist being developed by Vanda Pharmaceuticals that is in Phase 3 clinical trials for chronic pruritus in patients with atopic dermatitis.</w:t>
      </w:r>
    </w:p>
    <w:p>
      <w:pPr>
        <w:spacing w:after="0" w:line="18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approved for the treatment of pruritus associated with PBC, nalbuphine ER may also compete with bile acid sequestrants, such as cholestyramine, which are used off label and generally as first-line therapy, although they typically provide only modest relief. Cholestyramine is marketed as Questran in the United States and as Colestyr, Efensol, Ipocol, Kolestran, Lipocol, Olestyr, Prevalite or Quantalan in various other countries. Nalbuphine ER may also complete with second-line therapies such as the antibiotic rifampicin, naltrexone, the anti-depressant sertraline, as well as phototherapy and drugs such as gabapentin and Lyrica (pregabalin), which are approved for the treatment of seizures and neuropathic pain. We also expect that nalbuphine ER might compete with product candidates currently in clinical development in this indication, including Korsuva (difelikefalin), an orally administered κ-opioid receptor agonist being developed by Cara Therapeutics, and linerixibat, an ileal bile acid transporter inhibitor being developed by GlaxoSmithKline, both of which are in Phase 2 clinical trials for pruritus associated with PBC. In addition, it is possible that therapies to reduce chronic liver disease, such as ursodeoxycholic acid, which is approved for the treatment of PBC, could reduce the need for therapies to treat pruritus associated with chronic liver disease, including PBC.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Cough in Idiopathic Pulmonary Fibrosis</w:t>
      </w:r>
    </w:p>
    <w:p>
      <w:pPr>
        <w:spacing w:after="0" w:line="117" w:lineRule="exact"/>
        <w:rPr>
          <w:sz w:val="20"/>
          <w:szCs w:val="20"/>
          <w:color w:val="auto"/>
        </w:rPr>
      </w:pPr>
    </w:p>
    <w:p>
      <w:pPr>
        <w:ind w:right="120" w:firstLine="589"/>
        <w:spacing w:after="0" w:line="265" w:lineRule="auto"/>
        <w:rPr>
          <w:sz w:val="20"/>
          <w:szCs w:val="20"/>
          <w:color w:val="auto"/>
        </w:rPr>
      </w:pPr>
      <w:r>
        <w:rPr>
          <w:rFonts w:ascii="Arial" w:cs="Arial" w:eastAsia="Arial" w:hAnsi="Arial"/>
          <w:sz w:val="18"/>
          <w:szCs w:val="18"/>
          <w:color w:val="auto"/>
        </w:rPr>
        <w:t>If nalbuphine ER is approved for the treatment of chronic cough associated with IPF, we expect that it would compete with RVT-1601, a formulation of cromolyn sodium being developed by Respivant Sciences, and expect that it might also compete with other product candidates currently in development for the treatment of chronic cough by companies including Merck, Shionogi, Bellus Therapeutics and Nerre Therapeutics. In addition, it is possible that product candidates currently in development for the treatment of IPF could, if approved, reduce the need for therapies to treat chronic cough associated with IPF.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Levodopa-Induced Dyskinesia in Parkinson’s Disease</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If nalbuphine ER is approved for the treatment of LID in patients with Parkinson’s disease, we expect that it would compete with amantadine as well as Gocovri and Osmolex which are extended release capsule formulations of amantadine marketed by Adamas Pharmaceuticals and Osmotica, respectively, and expect that it might also compete with other product candidates currently in development for the treatment of LID by companies including Lundbeck, Addex Therapeutics and IRLAB Therapeutics. In addition, it is possible that product candidates currently in development for the treatment of Parkinson’s disease by companies could, if approved, reduce the need for therapies to treat LID.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ind w:firstLine="589"/>
        <w:spacing w:after="0" w:line="272" w:lineRule="auto"/>
        <w:rPr>
          <w:sz w:val="20"/>
          <w:szCs w:val="20"/>
          <w:color w:val="auto"/>
        </w:rPr>
      </w:pPr>
      <w:r>
        <w:rPr>
          <w:rFonts w:ascii="Arial" w:cs="Arial" w:eastAsia="Arial" w:hAnsi="Arial"/>
          <w:sz w:val="17"/>
          <w:szCs w:val="17"/>
          <w:color w:val="auto"/>
        </w:rPr>
        <w:t>Many of our competitors and potential competitors, either alone or with their strategic partners, have substantially greater financial, technical and human resources and significantly greater experience in the discovery and development of product candidates, obtaining FDA and other regulatory approvals of products and commercializing products than we do.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enrolling patients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7" w:lineRule="exact"/>
        <w:rPr>
          <w:sz w:val="20"/>
          <w:szCs w:val="20"/>
          <w:color w:val="auto"/>
        </w:rPr>
      </w:pPr>
    </w:p>
    <w:p>
      <w:pPr>
        <w:ind w:right="460" w:firstLine="589"/>
        <w:spacing w:after="0" w:line="263" w:lineRule="auto"/>
        <w:rPr>
          <w:sz w:val="20"/>
          <w:szCs w:val="20"/>
          <w:color w:val="auto"/>
        </w:rPr>
      </w:pPr>
      <w:r>
        <w:rPr>
          <w:rFonts w:ascii="Arial" w:cs="Arial" w:eastAsia="Arial" w:hAnsi="Arial"/>
          <w:sz w:val="18"/>
          <w:szCs w:val="18"/>
          <w:color w:val="auto"/>
        </w:rPr>
        <w:t>We expect that nalbuphine ER, if approved for marketing, will compete on the basis of, among other things, efficacy, safety, health-economic benefit, convenience of administration and delivery, price, the level of generic competition and the availability of adequate reimbursement from government and other third-party payors.</w:t>
      </w:r>
    </w:p>
    <w:p>
      <w:pPr>
        <w:spacing w:after="0" w:line="184"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nalbuphine ER. Our competitors also may obtain FDA or other regulatory approval for their products more rapidly than we may obtain approval for nalbuphine ER, which could result in our competitors establishing a strong market position before we are able to enter the market.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 with Endo Pharmaceuticals</w:t>
      </w:r>
    </w:p>
    <w:p>
      <w:pPr>
        <w:spacing w:after="0" w:line="117"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In May 2011, we entered into an agreement with Penwest (subsequently merged into its parent, Endo Pharmaceuticals Inc., or Endo) for an exclusive, worldwide, sublicenseable license under certain patent rights and know-how controlled by Penwest to develop and commercialize products incorporating nalbuphine hydrochloride in any formulation, including an extended release formulation such as nalbuphine ER, in all fields and for any use.</w:t>
      </w:r>
    </w:p>
    <w:p>
      <w:pPr>
        <w:spacing w:after="0" w:line="149"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Under the license agreement, we paid Penwest a non-creditable, non-refundable upfront license fee of $25,000. We may also become obligated to make milestone payments to Endo of $250,000, which would become due upon the successful completion of the first Phase 3 clinical trial of a licensed product candidate, such as our PRISM trial, and $750,000, which would become due upon the marketing approval of a licensed product in the United States, and to pay mid-single-digit royalties based on net sales of the licensed products by us, our affiliates and sublicensees. In addition, we are obligated to pay Endo a low-to-mid double-digit percentage of certain income we receive from sublicensees, based on the date of the definitive agreement under which the sublicense was granted.</w:t>
      </w:r>
    </w:p>
    <w:p>
      <w:pPr>
        <w:spacing w:after="0" w:line="192"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Our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we are thereafter obligated to pay a low single-digit know-how and trademark royalty.</w:t>
      </w:r>
    </w:p>
    <w:p>
      <w:pPr>
        <w:spacing w:after="0" w:line="188"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Under the agreement, we have granted Endo a non-exclusive, royalty-free (except for pass-through payments to third parties), sublicenseable license under our relevant patent rights, to use any improvement we make to Endo’s controlled release technology, for any product other than the products under which we are licensed by Endo.</w:t>
      </w:r>
    </w:p>
    <w:p>
      <w:pPr>
        <w:spacing w:after="0" w:line="184"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Both we and Endo have the right to terminate the agreement if the other party materially breaches the agreement and fails to cure the breach within specified cure periods. Endo also has the right to terminate in the event we undergo specified bankruptcy, insolvency or liquidation events, and we have the right to terminate the agreement for our convenience at any time on 180 days’ notice to Endo. Additionally, if we or any of our sublicensees challenge the validity or enforceability of any licensed patent rights covering a licensed product, and that challenge is not terminated within a specified period, the agreement will immediately terminate and all licenses granted under the agreement will be revoked.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ind w:right="60" w:firstLine="589"/>
        <w:spacing w:after="0" w:line="275" w:lineRule="auto"/>
        <w:rPr>
          <w:sz w:val="20"/>
          <w:szCs w:val="20"/>
          <w:color w:val="auto"/>
        </w:rPr>
      </w:pPr>
      <w:r>
        <w:rPr>
          <w:rFonts w:ascii="Arial" w:cs="Arial" w:eastAsia="Arial" w:hAnsi="Arial"/>
          <w:sz w:val="17"/>
          <w:szCs w:val="17"/>
          <w:color w:val="auto"/>
        </w:rPr>
        <w:t>Upon termination of the agreement, we must transfer to Endo all regulatory filings and approvals relating to the development, manufacture or commercialization of the licensed products and all trademarks, other than our corporate trademarks, then being used in connection with the licensed products. If the agreement is terminated under certain specified circumstances, we will be deemed to have granted Endo a perpetual, royalty-free (except for pass-through payments to third parties), worldwide, exclusive, sublicensable license, under any improvements we made to the licensed know-how, and any related patent rights we have, to manufacture and commercialize the licensed products.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In November 2018, we entered into an agreement with Rutgers, The State University of New Jersey, or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14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Under the license agreement, we paid Rutgers a minimal upfront license issue fee and agreed to pay Rutgers a minimal annual license fee. We may become obligated to make milestone payments to Rutgers in the aggregate of up to $330,500 based on the achievement of certain clinical, regulatory and sales milestones. We have also agreed to pay Rutgers a low single-digit percentage of certain income we receive from sublicensees and to pay tiered low single-digit royalties based on net sales of licensed products by us, our affiliates and sublicensees.</w:t>
      </w:r>
    </w:p>
    <w:p>
      <w:pPr>
        <w:spacing w:after="0" w:line="171"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Our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us under the agreement shall become perpetual, fully paid-up, irrevocable and royalty-free in such country. The royalty is subject to reduction in certain circumstances.</w:t>
      </w:r>
    </w:p>
    <w:p>
      <w:pPr>
        <w:spacing w:after="0" w:line="192"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Under the agreement, Rutgers retains the right to practice under the patent rights for its own non-commercial educational and research purposes, including the right to provide the patent rights to governmental laboratories and to perform research for non-commercial purposes (provided such research is not sponsored by any for-profit entity), and to publish the research results.</w:t>
      </w:r>
    </w:p>
    <w:p>
      <w:pPr>
        <w:spacing w:after="0" w:line="184"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Both we and Rutgers have the right to terminate the agreement upon a specified period of written notice if the other party breaches the agreement and fails to cure the breach within such specified cure period. Rutgers also has the right to terminate the agreement in the event we undergo specified bankruptcy, insolvency or liquidation events, and we have the right to terminate the agreement for our convenience at any time on 90 days’ written notice to Rutgers.</w:t>
      </w:r>
    </w:p>
    <w:p>
      <w:pPr>
        <w:spacing w:after="0" w:line="187"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We have diligence and reporting obligations under the agreement that require us to use commercially reasonable efforts to commercialize at least one licensed product in one major market country. In addition, if we do not meet certain clinical milestones within the specified time frames, we may extend the diligence period by making a payment of a low five-digit dollar amount to Rutgers. Thereafter, if we do not fulfill such clinical milestones within the specified time frames, Rutgers may terminate the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We currently contract with third parties for the supply of nalbuphine hydrochloride drug substance and the manufacture of nalbuphine ER tablets for clinical trials and intend to do so for clinical and commercial supply in the future. We do not own or operate facilities for the production of clinical or commercial quantities of drug substance or drug product. We currently have no plans to build our own clinical or commercial scale manufacturing capabilities. Although we rely on contract manufacturers, we have personnel with experience to oversee our relationships with contract manufacturers.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3" w:name="page24"/>
    <w:bookmarkEnd w:id="23"/>
    <w:p>
      <w:pPr>
        <w:jc w:val="both"/>
        <w:ind w:right="480" w:firstLine="589"/>
        <w:spacing w:after="0" w:line="311" w:lineRule="auto"/>
        <w:rPr>
          <w:sz w:val="20"/>
          <w:szCs w:val="20"/>
          <w:color w:val="auto"/>
        </w:rPr>
      </w:pPr>
      <w:r>
        <w:rPr>
          <w:rFonts w:ascii="Arial" w:cs="Arial" w:eastAsia="Arial" w:hAnsi="Arial"/>
          <w:sz w:val="16"/>
          <w:szCs w:val="16"/>
          <w:color w:val="auto"/>
        </w:rPr>
        <w:t>Nalbuphine ER is manufactured from readily available starting materials using established, scalable processes that do not require any special equipment or technology. Nalbuphine hydrochloride drug substance is commercially available and manufactured at production scale. Nalbuphine ER tablets are currently manufactured at a scale sufficient for use in clinical trials. Process development work is also being planned.</w:t>
      </w:r>
    </w:p>
    <w:p>
      <w:pPr>
        <w:spacing w:after="0" w:line="14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believe that our current suppliers and manufacturers have the capacity to support commercial scale production of nalbuphine ER, however we have no formal agreements with them to cover commercial production and we may seek to pursue supply or manufacturing arrangements with additional or alternative parties in the future. While we believe there are alternate sources of supply that can satisfy our clinical requirements and any future commercial requirements, replacing or adding a supplier or manufacturer could result in additional cost or delay.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Operations</w:t>
      </w:r>
    </w:p>
    <w:p>
      <w:pPr>
        <w:spacing w:after="0" w:line="121"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light of our stage of development, we have not yet established a marketing and sales organization. We have retained worldwide development and commercial rights for nalbuphine ER. If nalbuphine ER is approved by the FDA for any of our target indications, we intend to market and commercialize nalbuphine ER in the United States by developing our own focused, specialty sales organization targeting the physicians specializing in such conditions. In the case of prurigo nodularis, we expect that we would target a small subset of the dermatologists in the United States. For pruritus associated with PBC, we expect that we would seek to market directly to hepatologists and high-volume gastroenterologists in the United States. For chronic cough related to IPF, we expect that we would target the pulmonologists who specialize in IPF from among the 12,000 pulmonologists practicing in the United States. For LID in patients with Parkinson’s disease, we expect that we would target the movement disorders specialists and high-volume neurologists in the United States. For markets outside of the United States, we expect to utilize a variety of types of collaboration, distribution and other marketing arrangements with one or more third parties to commercialize nalbuphine 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Our commercial success depends in part on our ability to obtain and maintain proprietary protection for nalbuphine ER and our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16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As of December 31, 2019, we owned four U.S. patents, two foreign patents and multiple pending U.S. and foreign patent applications that include claims relating to methods of use of nalbuphine ER. The issued patents expire between 2032 and 2033 and the patent applications, if issued as patents, would expire between 2032 and 2039.</w:t>
      </w:r>
    </w:p>
    <w:p>
      <w:pPr>
        <w:spacing w:after="0" w:line="184"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addition, we are party to an exclusive license agreement with Endo under we have licensed patent rights and know-how to develop and commercialize products incorporating nalbuphine hydrochloride in any formulation, including nalbuphine ER. As of December 31, 2019, the intellectual property in-licensed under this agreement included five U.S. patents, three foreign patents, which include granted European patent rights that have been validated in various E.U. member states, one pending U.S. patent application (which has been allowed by the United States Patent and Trademark Office, or USPTO) and one pending foreign patent application. The licensed patents from Endo include claims relating to the formulation of nalbuphine ER. These patents expire between 2026 and 2029 and these patent applications, if issued as patents, would expire in 2026.</w:t>
      </w:r>
    </w:p>
    <w:p>
      <w:pPr>
        <w:spacing w:after="0" w:line="164"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In addition, under our exclusive license agreement with Rutgers, we have in-licensed two issued U.S. patents and one issued Japanese patent, and additional pending applications in the United States, Europe and Canada. These patents relate to the use of nalbuphine in various movement disorders, including LID. The U.S. patents expire in 2032 and the patent applications, if granted, will expire in 2032. The Japanese patent expires in 2032.</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own or exclusively license any composition of matter patents for nalbuphine 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right="120" w:firstLine="589"/>
        <w:spacing w:after="0" w:line="257" w:lineRule="auto"/>
        <w:rPr>
          <w:sz w:val="20"/>
          <w:szCs w:val="20"/>
          <w:color w:val="auto"/>
        </w:rPr>
      </w:pPr>
      <w:r>
        <w:rPr>
          <w:rFonts w:ascii="Arial" w:cs="Arial" w:eastAsia="Arial" w:hAnsi="Arial"/>
          <w:sz w:val="18"/>
          <w:szCs w:val="18"/>
          <w:color w:val="auto"/>
        </w:rPr>
        <w:t>The terms of individual patents depend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88"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Similar provisions are available in the European Union and certain other non-U.S. jurisdictions to extend the term of a patent that covers an approved drug. The expiration dates referred to above are without regard to potential patent term extension or other market exclusivity that may be available to us. However, we cannot provide any assurances that any such patent term extension of a non-U.S. patent will be obtained and, if obtained, the duration of such extension. 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78"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Our commercial success will also depend in part on not infringing the proprietary rights of third parties. It is uncertain whether the issuance of any third-party patent would require us to alter our development or commercial strategies, alter our processes, obtain licenses or cease certain activities. Our breach of any license agreements or failure to obtain a license to proprietary rights that we may require to develop or commercialize nalbuphine ER or any future product candidate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European Union,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117" w:lineRule="exact"/>
        <w:rPr>
          <w:sz w:val="20"/>
          <w:szCs w:val="20"/>
          <w:color w:val="auto"/>
        </w:rPr>
      </w:pPr>
    </w:p>
    <w:p>
      <w:pPr>
        <w:ind w:right="160" w:firstLine="589"/>
        <w:spacing w:after="0" w:line="291" w:lineRule="auto"/>
        <w:rPr>
          <w:sz w:val="20"/>
          <w:szCs w:val="20"/>
          <w:color w:val="auto"/>
        </w:rPr>
      </w:pPr>
      <w:r>
        <w:rPr>
          <w:rFonts w:ascii="Arial" w:cs="Arial" w:eastAsia="Arial" w:hAnsi="Arial"/>
          <w:sz w:val="16"/>
          <w:szCs w:val="16"/>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the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the Department of Justice or other government entities, including state agencies.</w:t>
      </w:r>
    </w:p>
    <w:p>
      <w:pPr>
        <w:spacing w:after="0" w:line="166"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FDA will consider approving the product candidate:</w:t>
      </w:r>
    </w:p>
    <w:p>
      <w:pPr>
        <w:spacing w:after="0" w:line="62" w:lineRule="exact"/>
        <w:rPr>
          <w:sz w:val="20"/>
          <w:szCs w:val="20"/>
          <w:color w:val="auto"/>
        </w:rPr>
      </w:pPr>
    </w:p>
    <w:p>
      <w:pPr>
        <w:ind w:left="1020" w:right="80" w:hanging="432"/>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62" w:lineRule="exact"/>
        <w:rPr>
          <w:rFonts w:ascii="Arial" w:cs="Arial" w:eastAsia="Arial" w:hAnsi="Arial"/>
          <w:sz w:val="18"/>
          <w:szCs w:val="18"/>
          <w:color w:val="auto"/>
        </w:rPr>
      </w:pPr>
    </w:p>
    <w:p>
      <w:pPr>
        <w:ind w:left="1020" w:right="220" w:hanging="432"/>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128" w:lineRule="exact"/>
        <w:rPr>
          <w:rFonts w:ascii="Arial" w:cs="Arial" w:eastAsia="Arial" w:hAnsi="Arial"/>
          <w:sz w:val="17"/>
          <w:szCs w:val="17"/>
          <w:color w:val="auto"/>
        </w:rPr>
      </w:pPr>
    </w:p>
    <w:p>
      <w:pPr>
        <w:ind w:left="1020" w:hanging="43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62" w:lineRule="exact"/>
        <w:rPr>
          <w:rFonts w:ascii="Arial" w:cs="Arial" w:eastAsia="Arial" w:hAnsi="Arial"/>
          <w:sz w:val="18"/>
          <w:szCs w:val="18"/>
          <w:color w:val="auto"/>
        </w:rPr>
      </w:pPr>
    </w:p>
    <w:p>
      <w:pPr>
        <w:ind w:left="1020" w:right="280" w:hanging="432"/>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and submission to the FDA of an NDA for a drug product which includes not only the results of the clinical trials, but also, detailed information on the chemistry of and manufacture and quality controls for the product candidate and proposed labelling for one or more proposed indication(s);</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17" w:lineRule="exact"/>
        <w:rPr>
          <w:rFonts w:ascii="Arial" w:cs="Arial" w:eastAsia="Arial" w:hAnsi="Arial"/>
          <w:sz w:val="18"/>
          <w:szCs w:val="18"/>
          <w:color w:val="auto"/>
        </w:rPr>
      </w:pPr>
    </w:p>
    <w:p>
      <w:pPr>
        <w:ind w:left="1020" w:right="80" w:hanging="432"/>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75" w:lineRule="exact"/>
        <w:rPr>
          <w:rFonts w:ascii="Arial" w:cs="Arial" w:eastAsia="Arial" w:hAnsi="Arial"/>
          <w:sz w:val="18"/>
          <w:szCs w:val="18"/>
          <w:color w:val="auto"/>
        </w:rPr>
      </w:pPr>
    </w:p>
    <w:p>
      <w:pPr>
        <w:ind w:left="1020" w:right="400" w:hanging="43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GCPs and the integrity of clinical data in support of the NDA;</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117" w:lineRule="exact"/>
        <w:rPr>
          <w:rFonts w:ascii="Arial" w:cs="Arial" w:eastAsia="Arial" w:hAnsi="Arial"/>
          <w:sz w:val="18"/>
          <w:szCs w:val="18"/>
          <w:color w:val="auto"/>
        </w:rPr>
      </w:pPr>
    </w:p>
    <w:p>
      <w:pPr>
        <w:ind w:left="1020" w:right="620" w:hanging="432"/>
        <w:spacing w:after="0" w:line="30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Before an applicant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preclinical testing, together with manufacturing information, analytical data, any available clinical data or literature and plans for clinical trials, among other information,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ind w:firstLine="589"/>
        <w:spacing w:after="0" w:line="254" w:lineRule="auto"/>
        <w:rPr>
          <w:sz w:val="20"/>
          <w:szCs w:val="20"/>
          <w:color w:val="auto"/>
        </w:rPr>
      </w:pPr>
      <w:r>
        <w:rPr>
          <w:rFonts w:ascii="Arial" w:cs="Arial" w:eastAsia="Arial" w:hAnsi="Arial"/>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19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IND requirements must be met unless waived by the FDA.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IND as support for an IND or an NDA. The final rule provides that such studies must be conducted in accordance with GCP, including undergoing review and receiving approval by an independent ethics committee, or IEC, and seeking and receiving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81"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subjects.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2"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 or DSMB. This group provides authorization as to whether or not a trial may move forward at designated checkpoints based on review of available data from the study, to which only the DSMB maintains access. Suspension or termination of development during any phase of a clinical trial can occur if the DSMB determines that the participants or patients are being exposed to an unacceptable health risk. Other reasons for suspension or termination may be made by us based on evolving business objectives and/or competitive climate.</w:t>
      </w:r>
    </w:p>
    <w:p>
      <w:pPr>
        <w:spacing w:after="0" w:line="176"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Information about clinical trials must be submitted within specific timeframes to the National Institutes of Health, or NIH, for public dissemination on its ClinicalTrials.gov website. Similar requirements for posting clinical trial information are present in the European Union (EudraCT) and other countries, as well.</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17"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right="60" w:firstLine="589"/>
        <w:spacing w:after="0" w:line="293"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64" w:lineRule="exact"/>
        <w:rPr>
          <w:sz w:val="20"/>
          <w:szCs w:val="20"/>
          <w:color w:val="auto"/>
        </w:rPr>
      </w:pPr>
    </w:p>
    <w:p>
      <w:pPr>
        <w:ind w:right="100" w:firstLine="589"/>
        <w:spacing w:after="0" w:line="300" w:lineRule="auto"/>
        <w:rPr>
          <w:sz w:val="20"/>
          <w:szCs w:val="20"/>
          <w:color w:val="auto"/>
        </w:rPr>
      </w:pPr>
      <w:r>
        <w:rPr>
          <w:rFonts w:ascii="Arial" w:cs="Arial" w:eastAsia="Arial" w:hAnsi="Arial"/>
          <w:sz w:val="16"/>
          <w:szCs w:val="16"/>
          <w:color w:val="auto"/>
        </w:rPr>
        <w:t>There is no obligation for a sponsor to make its drug products available for expanded access; however, as required by the 21st Century Cures Act , or Cures Act, passed in 2016, if a sponsor has a policy regarding how it responds to expanded access requests, it must make that policy publicly available.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159"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1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5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70" w:lineRule="exact"/>
        <w:rPr>
          <w:sz w:val="20"/>
          <w:szCs w:val="20"/>
          <w:color w:val="auto"/>
        </w:rPr>
      </w:pPr>
    </w:p>
    <w:p>
      <w:pPr>
        <w:ind w:right="480" w:firstLine="589"/>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in patients. During Phase 1 clinical trials, information about the product candidate’s pharmacokinetics and pharmacological effects may be obtained to permit the design of well-controlled and scientifically valid Phase 2 clinical trials.</w:t>
      </w:r>
    </w:p>
    <w:p>
      <w:pPr>
        <w:spacing w:after="0" w:line="18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well-controlled and closely monitored.</w:t>
      </w:r>
    </w:p>
    <w:p>
      <w:pPr>
        <w:spacing w:after="0" w:line="18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clinical trials are referred to as “pivotal” trials.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120" w:firstLine="589"/>
        <w:spacing w:after="0" w:line="257"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trials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FDA approval for products.</w:t>
      </w:r>
    </w:p>
    <w:p>
      <w:pPr>
        <w:spacing w:after="0" w:line="188"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The FDA will typically inspect one or more clinical sites to assure compliance with GCP and the integrity of the clinical data submitted.</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Review and Approval of an NDA</w:t>
      </w:r>
    </w:p>
    <w:p>
      <w:pPr>
        <w:spacing w:after="0" w:line="117"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In order to obtain approval to market a drug product in the United States, a marketing application must be submitted to the FDA that provides sufficient data establishing the safety, purity and potency of the product candidate for its intended indication. The application must include all relevant data available from pertinent preclinical and clinical trials, including negative or ambiguous results as well as positive findings, together with detailed information relating to the product candidate’s chemistry, manufacturing, controls and proposed labeling, among other things. Data can come from company-sponsored clinical trials intended to test the safety and effectiveness of the use of a product candidate,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right="140" w:firstLine="589"/>
        <w:spacing w:after="0" w:line="275" w:lineRule="auto"/>
        <w:rPr>
          <w:sz w:val="20"/>
          <w:szCs w:val="20"/>
          <w:color w:val="auto"/>
        </w:rPr>
      </w:pPr>
      <w:r>
        <w:rPr>
          <w:rFonts w:ascii="Arial" w:cs="Arial" w:eastAsia="Arial" w:hAnsi="Arial"/>
          <w:sz w:val="17"/>
          <w:szCs w:val="17"/>
          <w:color w:val="auto"/>
        </w:rPr>
        <w:t>The NDA is a vehicle through which applicants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which for federal fiscal year 2020 is $2,942,965 for an application requiring clinical data. The sponsor of an approved NDA is also subject to an annual program fee, which for fiscal year 2020 is $325,424. Certain exceptions and waivers are available for some of these fees, such as a waiver for certain small businesses.</w:t>
      </w:r>
    </w:p>
    <w:p>
      <w:pPr>
        <w:spacing w:after="0" w:line="17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Following submission of an NDA, the FDA conducts a preliminary review of the application generally within 60 calendar days of its receipt and strives to inform the sponsor by the 74</w:t>
      </w:r>
      <w:r>
        <w:rPr>
          <w:rFonts w:ascii="Arial" w:cs="Arial" w:eastAsia="Arial" w:hAnsi="Arial"/>
          <w:sz w:val="14"/>
          <w:szCs w:val="14"/>
          <w:color w:val="auto"/>
        </w:rPr>
        <w:t>th</w:t>
      </w:r>
      <w:r>
        <w:rPr>
          <w:rFonts w:ascii="Arial" w:cs="Arial" w:eastAsia="Arial" w:hAnsi="Arial"/>
          <w:sz w:val="17"/>
          <w:szCs w:val="17"/>
          <w:color w:val="auto"/>
        </w:rPr>
        <w:t xml:space="preserve"> day after the FDA’s receipt of the submission whether the application is sufficiently complete to permit substantive review. The FDA may request additional information rather than accept the application for filing. In this event, the application must be resubmitted with the requested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10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10-month and six-month review periods run from the date that the FDA receives the application.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18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of which there is a shortage or those for which approval is dependent on remediation of conditions identified in the inspection report.</w:t>
      </w:r>
    </w:p>
    <w:p>
      <w:pPr>
        <w:spacing w:after="0" w:line="16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w:t>
      </w:r>
    </w:p>
    <w:p>
      <w:pPr>
        <w:spacing w:after="0" w:line="18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20" w:firstLine="589"/>
        <w:spacing w:after="0" w:line="290"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65" w:lineRule="exact"/>
        <w:rPr>
          <w:sz w:val="20"/>
          <w:szCs w:val="20"/>
          <w:color w:val="auto"/>
        </w:rPr>
      </w:pPr>
    </w:p>
    <w:p>
      <w:pPr>
        <w:ind w:right="180" w:firstLine="589"/>
        <w:spacing w:after="0" w:line="293"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4"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w:t>
      </w:r>
    </w:p>
    <w:p>
      <w:pPr>
        <w:spacing w:after="0" w:line="19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and potential eligibility for priority review and accelerated approval based on surrogate or intermediate endpoints.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to a product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40" w:firstLine="589"/>
        <w:spacing w:after="0" w:line="254"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9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 Thus,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95"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of the product on the relevant clinical endpoints. Failure to conduct required post-approval studies, or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On the basis of the FDA’s evaluation of an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If the FDA approves a new product, it may limit the approved indications for use of the product. The agency may also require testing and surveillance programs to monitor the product after the initiation of commercialization, or impose other conditions, including distribution restrictions or other risk management mechanisms, such as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left="60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If regulatory approval for marketing of a product or a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96"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Finally, the FDA will conduct laboratory research related to the safety, purity, potency and effectiveness of pharmaceutical products.</w:t>
      </w:r>
    </w:p>
    <w:p>
      <w:pPr>
        <w:spacing w:after="0" w:line="176"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80" w:lineRule="exact"/>
        <w:rPr>
          <w:sz w:val="20"/>
          <w:szCs w:val="20"/>
          <w:color w:val="auto"/>
        </w:rPr>
      </w:pPr>
    </w:p>
    <w:p>
      <w:pPr>
        <w:ind w:left="1020" w:hanging="432"/>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ind w:firstLine="589"/>
        <w:spacing w:after="0" w:line="273"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Section 505(b)(2) NDAs</w:t>
      </w:r>
    </w:p>
    <w:p>
      <w:pPr>
        <w:spacing w:after="0" w:line="11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that were previously conducted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95"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Thus, Section 505(b)(2) authorizes the FDA to approve an NDA based on safety and effectiveness data that were not developed by or for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30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or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right="20" w:firstLine="589"/>
        <w:spacing w:after="0" w:line="290"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the patient.</w:t>
      </w:r>
    </w:p>
    <w:p>
      <w:pPr>
        <w:spacing w:after="0" w:line="165"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Under the Hatch-Waxman Act, the FDA may not approve an ANDA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8"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7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new legislation also authorizes FDA to expedite review of ‘‘competitor generic therapies’’ or drugs with inadequate generic competition, including holding meetings with or providing advice to the drug sponsor prior to submission of the application.</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Hatch-Waxman Act Patent Certification and the 30-Month Stay</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1" w:lineRule="exact"/>
        <w:rPr>
          <w:sz w:val="20"/>
          <w:szCs w:val="20"/>
          <w:color w:val="auto"/>
        </w:rPr>
      </w:pPr>
    </w:p>
    <w:p>
      <w:pPr>
        <w:ind w:right="160" w:firstLine="8"/>
        <w:spacing w:after="0" w:line="260"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is invalid, is unenforceable or will not be infringed by the new product.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right="100" w:firstLine="589"/>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of the listed patents claiming the referenced product have expired (other than method of use patents involving indications for which the applicant is not seeking approval).</w:t>
      </w:r>
    </w:p>
    <w:p>
      <w:pPr>
        <w:spacing w:after="0" w:line="187"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earliest of 30 months after the receipt of the Paragraph IV notice, expiration of the patent and a decision in the infringement case that is favorable to the ANDA applicant.</w:t>
      </w:r>
    </w:p>
    <w:p>
      <w:pPr>
        <w:spacing w:after="0" w:line="176" w:lineRule="exact"/>
        <w:rPr>
          <w:sz w:val="20"/>
          <w:szCs w:val="20"/>
          <w:color w:val="auto"/>
        </w:rPr>
      </w:pPr>
    </w:p>
    <w:p>
      <w:pPr>
        <w:ind w:right="300" w:firstLine="589"/>
        <w:spacing w:after="0" w:line="273" w:lineRule="auto"/>
        <w:rPr>
          <w:sz w:val="20"/>
          <w:szCs w:val="20"/>
          <w:color w:val="auto"/>
        </w:rPr>
      </w:pPr>
      <w:r>
        <w:rPr>
          <w:rFonts w:ascii="Arial" w:cs="Arial" w:eastAsia="Arial" w:hAnsi="Arial"/>
          <w:sz w:val="17"/>
          <w:szCs w:val="17"/>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earliest of 30 months, settlement of the lawsuit and a decision in the infringement case that is favorable to the Section 505(b)(2) applicant.</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submitting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In addition, certain products that have received orphan drug designation are exempt from the requirements of the Pediatric Research Equity Act of 2003.</w:t>
      </w:r>
    </w:p>
    <w:p>
      <w:pPr>
        <w:spacing w:after="0" w:line="166"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For drugs intended to treat a serious or life-threatening disease or condition, the FDA must, upon the request of an applicant, meet to discuss preparation of the initial pediatric study plan or deferral or waiver of pediatric assessments. In addition, the FDA will meet with sponsors early in the development process to discuss pediatric study plans and the FDA must meet with sponsors by no later than the end-of-phase 1 meeting for serious or life-threatening diseases and by no later than 90 days after the FDA’s receipt of the study plan.</w:t>
      </w:r>
    </w:p>
    <w:p>
      <w:pPr>
        <w:spacing w:after="0" w:line="18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w:t>
      </w:r>
    </w:p>
    <w:p>
      <w:pPr>
        <w:spacing w:after="0" w:line="165"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an NDA three years after the date of enactment of that statute must submit pediatric assessments with the NDA if the drug is intended for the treatment of an adult cancer and is directed at a molecular target that the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firstLine="589"/>
        <w:spacing w:after="0" w:line="272"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a similar product.</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A patent claiming a new drug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of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117" w:lineRule="exact"/>
        <w:rPr>
          <w:sz w:val="20"/>
          <w:szCs w:val="20"/>
          <w:color w:val="auto"/>
        </w:rPr>
      </w:pPr>
    </w:p>
    <w:p>
      <w:pPr>
        <w:ind w:right="260" w:firstLine="589"/>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63" w:lineRule="exact"/>
        <w:rPr>
          <w:sz w:val="20"/>
          <w:szCs w:val="20"/>
          <w:color w:val="auto"/>
        </w:rPr>
      </w:pPr>
    </w:p>
    <w:p>
      <w:pPr>
        <w:ind w:left="1020" w:right="40" w:hanging="432"/>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78" w:lineRule="exact"/>
        <w:rPr>
          <w:rFonts w:ascii="Arial" w:cs="Arial" w:eastAsia="Arial" w:hAnsi="Arial"/>
          <w:sz w:val="18"/>
          <w:szCs w:val="18"/>
          <w:color w:val="auto"/>
        </w:rPr>
      </w:pPr>
    </w:p>
    <w:p>
      <w:pPr>
        <w:ind w:left="1020" w:right="240" w:hanging="432"/>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78" w:lineRule="exact"/>
        <w:rPr>
          <w:rFonts w:ascii="Arial" w:cs="Arial" w:eastAsia="Arial" w:hAnsi="Arial"/>
          <w:sz w:val="18"/>
          <w:szCs w:val="18"/>
          <w:color w:val="auto"/>
        </w:rPr>
      </w:pPr>
    </w:p>
    <w:p>
      <w:pPr>
        <w:jc w:val="both"/>
        <w:ind w:left="1020" w:right="480" w:hanging="432"/>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75" w:lineRule="exact"/>
        <w:rPr>
          <w:rFonts w:ascii="Arial" w:cs="Arial" w:eastAsia="Arial" w:hAnsi="Arial"/>
          <w:sz w:val="18"/>
          <w:szCs w:val="18"/>
          <w:color w:val="auto"/>
        </w:rPr>
      </w:pPr>
    </w:p>
    <w:p>
      <w:pPr>
        <w:ind w:left="1020" w:right="60" w:hanging="432"/>
        <w:spacing w:after="0" w:line="28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57" w:lineRule="exact"/>
        <w:rPr>
          <w:rFonts w:ascii="Arial" w:cs="Arial" w:eastAsia="Arial" w:hAnsi="Arial"/>
          <w:sz w:val="17"/>
          <w:szCs w:val="17"/>
          <w:color w:val="auto"/>
        </w:rPr>
      </w:pPr>
    </w:p>
    <w:p>
      <w:pPr>
        <w:ind w:left="1020" w:right="180" w:hanging="432"/>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jc w:val="both"/>
        <w:ind w:left="1020" w:right="200" w:hanging="432"/>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5" w:lineRule="exact"/>
        <w:rPr>
          <w:rFonts w:ascii="Arial" w:cs="Arial" w:eastAsia="Arial" w:hAnsi="Arial"/>
          <w:sz w:val="16"/>
          <w:szCs w:val="16"/>
          <w:color w:val="auto"/>
        </w:rPr>
      </w:pPr>
    </w:p>
    <w:p>
      <w:pPr>
        <w:ind w:left="1020" w:hanging="432"/>
        <w:spacing w:after="0" w:line="296"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53" w:lineRule="exact"/>
        <w:rPr>
          <w:rFonts w:ascii="Arial" w:cs="Arial" w:eastAsia="Arial" w:hAnsi="Arial"/>
          <w:sz w:val="16"/>
          <w:szCs w:val="16"/>
          <w:color w:val="auto"/>
        </w:rPr>
      </w:pPr>
    </w:p>
    <w:p>
      <w:pPr>
        <w:ind w:left="1020" w:right="100" w:hanging="43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70"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5"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5"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8" w:name="page39"/>
    <w:bookmarkEnd w:id="38"/>
    <w:p>
      <w:pPr>
        <w:ind w:right="200" w:firstLine="589"/>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84"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In March 2010, the United States Congress enacted the ACA, which, among other things, included changes to the coverage and payment for drug products under government health care programs. The ACA effected the following changes of importance to our potential product candidates:</w:t>
      </w:r>
    </w:p>
    <w:p>
      <w:pPr>
        <w:spacing w:after="0" w:line="16" w:lineRule="exact"/>
        <w:rPr>
          <w:sz w:val="20"/>
          <w:szCs w:val="20"/>
          <w:color w:val="auto"/>
        </w:rPr>
      </w:pPr>
    </w:p>
    <w:p>
      <w:pPr>
        <w:ind w:left="1020" w:right="4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20" w:right="120" w:hanging="432"/>
        <w:spacing w:after="0" w:line="34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5" w:lineRule="exact"/>
        <w:rPr>
          <w:rFonts w:ascii="Arial" w:cs="Arial" w:eastAsia="Arial" w:hAnsi="Arial"/>
          <w:sz w:val="16"/>
          <w:szCs w:val="16"/>
          <w:color w:val="auto"/>
        </w:rPr>
      </w:pPr>
    </w:p>
    <w:p>
      <w:pPr>
        <w:jc w:val="both"/>
        <w:ind w:left="1020" w:right="180" w:hanging="432"/>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75" w:lineRule="exact"/>
        <w:rPr>
          <w:rFonts w:ascii="Arial" w:cs="Arial" w:eastAsia="Arial" w:hAnsi="Arial"/>
          <w:sz w:val="18"/>
          <w:szCs w:val="18"/>
          <w:color w:val="auto"/>
        </w:rPr>
      </w:pPr>
    </w:p>
    <w:p>
      <w:pPr>
        <w:ind w:left="1020" w:right="24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17" w:lineRule="exact"/>
        <w:rPr>
          <w:rFonts w:ascii="Arial" w:cs="Arial" w:eastAsia="Arial" w:hAnsi="Arial"/>
          <w:sz w:val="18"/>
          <w:szCs w:val="18"/>
          <w:color w:val="auto"/>
        </w:rPr>
      </w:pPr>
    </w:p>
    <w:p>
      <w:pPr>
        <w:ind w:left="1020" w:hanging="432"/>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75" w:lineRule="exact"/>
        <w:rPr>
          <w:rFonts w:ascii="Arial" w:cs="Arial" w:eastAsia="Arial" w:hAnsi="Arial"/>
          <w:sz w:val="18"/>
          <w:szCs w:val="18"/>
          <w:color w:val="auto"/>
        </w:rPr>
      </w:pPr>
    </w:p>
    <w:p>
      <w:pPr>
        <w:ind w:left="1020" w:right="80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8" w:lineRule="exact"/>
        <w:rPr>
          <w:sz w:val="20"/>
          <w:szCs w:val="20"/>
          <w:color w:val="auto"/>
        </w:rPr>
      </w:pPr>
    </w:p>
    <w:p>
      <w:pPr>
        <w:ind w:right="140" w:firstLine="589"/>
        <w:spacing w:after="0" w:line="253" w:lineRule="auto"/>
        <w:rPr>
          <w:sz w:val="20"/>
          <w:szCs w:val="20"/>
          <w:color w:val="auto"/>
        </w:rPr>
      </w:pPr>
      <w:r>
        <w:rPr>
          <w:rFonts w:ascii="Arial" w:cs="Arial" w:eastAsia="Arial" w:hAnsi="Arial"/>
          <w:sz w:val="18"/>
          <w:szCs w:val="18"/>
          <w:color w:val="auto"/>
        </w:rPr>
        <w:t>Since enactment of the ACA, there have been, and continue to be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replace elements of the ACA during the next Congressional session.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left="600"/>
        <w:spacing w:after="0"/>
        <w:rPr>
          <w:sz w:val="20"/>
          <w:szCs w:val="20"/>
          <w:color w:val="auto"/>
        </w:rPr>
      </w:pPr>
      <w:r>
        <w:rPr>
          <w:rFonts w:ascii="Arial" w:cs="Arial" w:eastAsia="Arial" w:hAnsi="Arial"/>
          <w:sz w:val="16"/>
          <w:szCs w:val="16"/>
          <w:color w:val="auto"/>
        </w:rPr>
        <w:t>In addition, on December 14, 2018, a U.S. District Court judge in the Northern District of Texas ruled that the individual mandate portion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ACA is an essential and inseverable feature of the ACA, and therefore because the mandate was repealed as part of the Tax Cuts and Jobs Act,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remaining provisions of the ACA are invalid as well. The current presidential administration and the Centers for Medicare &amp; Medicaid Services have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stated that the ruling will have no immediate effect, and on December 30, 2018 the same judge issued an order staying the judgment pending appeal.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presidential administration recently represented to the Court of Appeals considering this judgment that it does not oppose the lower court’s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ruling. On July 10, 2019, the Court of Appeals for the Fifth Circuit heard oral argument in this case. On December 18, 2019, that court affirmed the lower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court’s ruling that the individual mandate portion of the ACA is unconstitutional and it remanded the case to the district court for reconsideration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severability question and additional analysis of the provisions of the ACA. On January 21, 2020, the U.S. Supreme Court declined to review this decision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an expedited basis. Litigation and legislation over the ACA are likely to continue, with unpredictable and uncertain results.</w:t>
      </w:r>
    </w:p>
    <w:p>
      <w:pPr>
        <w:spacing w:after="0" w:line="211"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The current presidential administration has also taken executive actions to undermine or delay implementation of the ACA. In January 2017, the President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current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administration’s budget proposal for fiscal year 2020 contains further drug price control measures that could be enacted during the 2020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current presidential administration have each indicated that it will continue to seek new legislative and/or administrative measures to control drug costs. In addition, on December 23, 2019, the current presidential administration published a proposed rulemaking that, if finalized,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168"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117" w:lineRule="exact"/>
        <w:rPr>
          <w:sz w:val="20"/>
          <w:szCs w:val="20"/>
          <w:color w:val="auto"/>
        </w:rPr>
      </w:pPr>
    </w:p>
    <w:p>
      <w:pPr>
        <w:ind w:right="160" w:firstLine="589"/>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European Union.</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The Clinical Trials Directive 2001/20/EC, the Directive 2005/28/EC on Good Clinical Practice, or GCP, and the related national implementing provisions of the individual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77"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In April 2014, the new Clinical Trials Regulation, (EU) No 536/2014, or the Clinical Trials Regulation, was adopted. The Clinical Trials Regulation was published on June 16, 2014 but has not become effective. The Clinical Trials Regulation will be directly applicable in all the E.U. Member States, repealing the current Directive 2001/20/EC and replacing any national legislation that was put in place to implement the Directive.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66"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new Clinical Trials Regulation aims to simplify and streamline the approval of clinical trials in the European Union.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E.U. Member State, whose assessment report is submitted for review by the sponsor and all other competent authorities of all E.U. Member States in which an application for authorization of a clinical trial has been submitted, or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19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As of January 1, 2020, the website of the European Commission reported that the implementation of the new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 The website indicated that the audit was expected to commence in December 2020.</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PRIME Designation in the European Union</w:t>
      </w:r>
    </w:p>
    <w:p>
      <w:pPr>
        <w:spacing w:after="0" w:line="117" w:lineRule="exact"/>
        <w:rPr>
          <w:sz w:val="20"/>
          <w:szCs w:val="20"/>
          <w:color w:val="auto"/>
        </w:rPr>
      </w:pPr>
    </w:p>
    <w:p>
      <w:pPr>
        <w:ind w:right="200" w:firstLine="589"/>
        <w:spacing w:after="0" w:line="289"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Committee for Human Medicinal Products, or CHMP, or the Committee for Advanced Therapies, or CAT, is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(either a decentralized procedure, national procedure or mutual recognition procedure). A marketing authorization may be granted only to an applicant established in the European Union.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(i) a product-specific waiver, (ii) a class waiver or (iii) a deferral for one or more of the measures included in the PIP.</w:t>
      </w:r>
    </w:p>
    <w:p>
      <w:pPr>
        <w:spacing w:after="0" w:line="164"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across the European Economic Area (i.e. the European Union,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also be used in certain other cases at the request of the applicant. We anticipate that the centralized procedure will be mandatory for the product candidates we are developing.</w:t>
      </w:r>
    </w:p>
    <w:p>
      <w:pPr>
        <w:spacing w:after="0" w:line="19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Under the centralized procedure,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European Union law into account. Before arriving at a final decision on an application for centralized authorization of a medicinal product the European Commission must consult the Standing Committee on Medicinal Products for Human Use, or the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20" w:firstLine="589"/>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70" w:lineRule="exact"/>
        <w:rPr>
          <w:sz w:val="20"/>
          <w:szCs w:val="20"/>
          <w:color w:val="auto"/>
        </w:rPr>
      </w:pPr>
    </w:p>
    <w:p>
      <w:pPr>
        <w:ind w:left="1020" w:right="160" w:hanging="43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62" w:lineRule="exact"/>
        <w:rPr>
          <w:rFonts w:ascii="Arial" w:cs="Arial" w:eastAsia="Arial" w:hAnsi="Arial"/>
          <w:sz w:val="18"/>
          <w:szCs w:val="18"/>
          <w:color w:val="auto"/>
        </w:rPr>
      </w:pPr>
    </w:p>
    <w:p>
      <w:pPr>
        <w:ind w:left="1020" w:right="240" w:hanging="432"/>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8" w:lineRule="exact"/>
        <w:rPr>
          <w:rFonts w:ascii="Arial" w:cs="Arial" w:eastAsia="Arial" w:hAnsi="Arial"/>
          <w:sz w:val="17"/>
          <w:szCs w:val="17"/>
          <w:color w:val="auto"/>
        </w:rPr>
      </w:pPr>
    </w:p>
    <w:p>
      <w:pPr>
        <w:ind w:left="1020" w:right="200" w:hanging="43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9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85"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66"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left="600"/>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Patent Term Extensions in the European Union and Other Jurisdictions</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European Union, sponsors must apply on a country-by-country basis. Similar patent term extension rights exist in certain other foreign jurisdictions outside the European Union.</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a company actually complied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left="60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117" w:lineRule="exact"/>
        <w:rPr>
          <w:sz w:val="20"/>
          <w:szCs w:val="20"/>
          <w:color w:val="auto"/>
        </w:rPr>
      </w:pPr>
    </w:p>
    <w:p>
      <w:pPr>
        <w:ind w:right="60" w:firstLine="589"/>
        <w:spacing w:after="0" w:line="308" w:lineRule="auto"/>
        <w:rPr>
          <w:sz w:val="20"/>
          <w:szCs w:val="20"/>
          <w:color w:val="auto"/>
        </w:rPr>
      </w:pPr>
      <w:r>
        <w:rPr>
          <w:rFonts w:ascii="Arial" w:cs="Arial" w:eastAsia="Arial" w:hAnsi="Arial"/>
          <w:sz w:val="17"/>
          <w:szCs w:val="17"/>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38" w:lineRule="exact"/>
        <w:rPr>
          <w:sz w:val="20"/>
          <w:szCs w:val="20"/>
          <w:color w:val="auto"/>
        </w:rPr>
      </w:pPr>
    </w:p>
    <w:p>
      <w:pPr>
        <w:ind w:left="1020" w:right="100" w:hanging="43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62" w:lineRule="exact"/>
        <w:rPr>
          <w:rFonts w:ascii="Arial" w:cs="Arial" w:eastAsia="Arial" w:hAnsi="Arial"/>
          <w:sz w:val="18"/>
          <w:szCs w:val="18"/>
          <w:color w:val="auto"/>
        </w:rPr>
      </w:pPr>
    </w:p>
    <w:p>
      <w:pPr>
        <w:ind w:left="1020" w:right="80" w:hanging="432"/>
        <w:spacing w:after="0" w:line="25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84" w:lineRule="exact"/>
        <w:rPr>
          <w:rFonts w:ascii="Arial" w:cs="Arial" w:eastAsia="Arial" w:hAnsi="Arial"/>
          <w:sz w:val="18"/>
          <w:szCs w:val="18"/>
          <w:color w:val="auto"/>
        </w:rPr>
      </w:pPr>
    </w:p>
    <w:p>
      <w:pPr>
        <w:ind w:left="1020" w:right="20" w:hanging="432"/>
        <w:spacing w:after="0" w:line="31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 Direct-to-consumer advertising of prescription medicines is prohibited across the European Union.</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7"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 The Prime Minister has also indicated that the United Kingdom will not accept high regulatory alignment with the European Union.</w:t>
      </w:r>
    </w:p>
    <w:p>
      <w:pPr>
        <w:spacing w:after="0" w:line="166"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collection, use, disclosure, transfer or other processing of personal data of individuals in the European Union, including personal health data, is governed by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Compliance with the GDPR will be a rigorous and time-intensive process that may increase our cost of doing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left="600"/>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the E.U.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 care expenditures, especially in light of the severe fiscal and debt crises experienced by many countries in the European Union. The downward pressure on health care costs in general, particularly with respect to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As of December 31, 2019, we had 17 employees, with ten employees engaged in research and development and the remaining seven engaged in general management and administration, including finance and facilities. None of our employees are represented by labor unions or covered by collective bargaining agreements. We believe that we maintain good relations with our employees.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right="80" w:firstLine="589"/>
        <w:spacing w:after="0" w:line="279" w:lineRule="auto"/>
        <w:rPr>
          <w:sz w:val="20"/>
          <w:szCs w:val="20"/>
          <w:color w:val="auto"/>
        </w:rPr>
      </w:pPr>
      <w:r>
        <w:rPr>
          <w:rFonts w:ascii="Arial" w:cs="Arial" w:eastAsia="Arial" w:hAnsi="Arial"/>
          <w:sz w:val="17"/>
          <w:szCs w:val="17"/>
          <w:color w:val="auto"/>
        </w:rPr>
        <w:t>We were incorporated under the laws of the State of Delaware on March 17, 2011 under the name Trevi Therapeutics, Inc. Our principal executive offices are located at 195 Church Street, 14</w:t>
      </w:r>
      <w:r>
        <w:rPr>
          <w:rFonts w:ascii="Arial" w:cs="Arial" w:eastAsia="Arial" w:hAnsi="Arial"/>
          <w:sz w:val="14"/>
          <w:szCs w:val="14"/>
          <w:color w:val="auto"/>
        </w:rPr>
        <w:t>th</w:t>
      </w:r>
      <w:r>
        <w:rPr>
          <w:rFonts w:ascii="Arial" w:cs="Arial" w:eastAsia="Arial" w:hAnsi="Arial"/>
          <w:sz w:val="17"/>
          <w:szCs w:val="17"/>
          <w:color w:val="auto"/>
        </w:rPr>
        <w:t xml:space="preserve"> Floor, New Haven, Connecticut 06510, and our telephone number is (203) 304-2499. Our website address is www.trevitherapeutics.com. The information contained on, or that can be accessed through, our website is not a part of this Annual Report on Form 10-K. We have included our website address in this Annual Report on Form 10-K solely as an inactive textual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We have incurred significant annual net losses every year since our inception. We expect to continue to incur significant and increasing net losses for at least the next several years. Our net losses were $26.1 million, $20.5 million and $12.9 million for the years ended December 31, 2019, 2018 and 2017, respectively. As of December 31, 2019, we had an accumulated deficit of $114.2 million. We have not generated any revenues from product sales, have not completed the development of any product candidate and may never have a product candidate approved for commercialization. We have financed our operations to date primarily through our initial public offering and private placements of our convertible preferred stock prior to our initial public offering. We have devoted substantially all of our financial resources and efforts to the clinical development of our product candidate nalbuphine ER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78"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1020" w:right="100" w:hanging="432"/>
        <w:spacing w:after="0" w:line="286"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to develop and conduct clinical trials of nalbuphine ER, including our ongoing Phase 2b/3 trial of nalbuphine ER for the treatment of pruritus associated with prurigo nodularis, which we refer to as our PRISM trial, and our other ongoing clinical trials of nalbuphine ER in other serious neurologically mediated conditions, including our Phase 2 trial for chronic cough in patients with IPF;</w:t>
      </w:r>
    </w:p>
    <w:p>
      <w:pPr>
        <w:spacing w:after="0" w:line="57" w:lineRule="exact"/>
        <w:rPr>
          <w:rFonts w:ascii="Arial" w:cs="Arial" w:eastAsia="Arial" w:hAnsi="Arial"/>
          <w:sz w:val="17"/>
          <w:szCs w:val="17"/>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significantly increase the number of patients in the PRISM trial to the extent required by the sample size re-estimation analysis;</w:t>
      </w:r>
    </w:p>
    <w:p>
      <w:pPr>
        <w:spacing w:after="0" w:line="117" w:lineRule="exact"/>
        <w:rPr>
          <w:rFonts w:ascii="Arial" w:cs="Arial" w:eastAsia="Arial" w:hAnsi="Arial"/>
          <w:sz w:val="18"/>
          <w:szCs w:val="18"/>
          <w:color w:val="auto"/>
        </w:rPr>
      </w:pPr>
    </w:p>
    <w:p>
      <w:pPr>
        <w:ind w:left="1020" w:hanging="432"/>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new drug application, or NDA, with the U.S. Food and Drug Administration, or FDA, and the filing of a marketing authorization application, or MAA, with the European Medicines Agency, or EMA, for nalbuphine ER for the treatment of pruritus associated with prurigo nodularis, including completing our PRISM trial and at least one additional Phase 3 clinical trial in this indication;</w:t>
      </w:r>
    </w:p>
    <w:p>
      <w:pPr>
        <w:spacing w:after="0" w:line="78" w:lineRule="exact"/>
        <w:rPr>
          <w:rFonts w:ascii="Arial" w:cs="Arial" w:eastAsia="Arial" w:hAnsi="Arial"/>
          <w:sz w:val="18"/>
          <w:szCs w:val="18"/>
          <w:color w:val="auto"/>
        </w:rPr>
      </w:pPr>
    </w:p>
    <w:p>
      <w:pPr>
        <w:ind w:left="1020" w:hanging="432"/>
        <w:spacing w:after="0" w:line="308"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seek regulatory and marketing approvals for nalbuphine ER for the treatment of pruritus associated with prurigo nodularis or for other serious neurologically mediated conditions or for any future product candidate that successfully completes clinical trials, if any;</w:t>
      </w:r>
    </w:p>
    <w:p>
      <w:pPr>
        <w:spacing w:after="0" w:line="38" w:lineRule="exact"/>
        <w:rPr>
          <w:rFonts w:ascii="Arial" w:cs="Arial" w:eastAsia="Arial" w:hAnsi="Arial"/>
          <w:sz w:val="17"/>
          <w:szCs w:val="17"/>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 any post-approval commitments, including a pediatric development plan;</w:t>
      </w:r>
    </w:p>
    <w:p>
      <w:pPr>
        <w:spacing w:after="0" w:line="117" w:lineRule="exact"/>
        <w:rPr>
          <w:rFonts w:ascii="Arial" w:cs="Arial" w:eastAsia="Arial" w:hAnsi="Arial"/>
          <w:sz w:val="18"/>
          <w:szCs w:val="18"/>
          <w:color w:val="auto"/>
        </w:rPr>
      </w:pPr>
    </w:p>
    <w:p>
      <w:pPr>
        <w:ind w:left="1020" w:right="700" w:hanging="43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1020" w:right="460" w:hanging="43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the manufacture of larger quantities of nalbuphine ER or any future product candidate for clinical development and, potentially, commercialization;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117"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 equipment and physical infrastructure to support our development program for nalbuphine ER and for any future product candidates.</w:t>
      </w:r>
    </w:p>
    <w:p>
      <w:pPr>
        <w:spacing w:after="0" w:line="248"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Our ability to become and remain profitable depends on our ability to generate revenue. We do not expect to generate significant revenue unless and until we are able to obtain marketing approval for, and successfully commercialize, nalbuphine ER or any future product candidate. Successful commercialization will require achievement of key milestones, including completing clinical trials of nalbuphine ER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nalbuphine ER for the treatment of pruritus associated with prurigo nodularis, we will be required, at a minimum, to successfully complete our ongoing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were founded and commenced operations in 2011. Our operations to date have been limited to financing and staffing our company and conducting preclinical and clinical development of nalbuphine ER.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77" w:lineRule="exact"/>
        <w:rPr>
          <w:sz w:val="20"/>
          <w:szCs w:val="20"/>
          <w:color w:val="auto"/>
        </w:rPr>
      </w:pPr>
    </w:p>
    <w:p>
      <w:pPr>
        <w:ind w:right="320" w:firstLine="589"/>
        <w:spacing w:after="0" w:line="311"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If we are able to obtain marketing approval for nalbuphine ER or any future product candidate, we will need to transition from a company focused on clinical development to a company capable of supporting commercial activities. We may not be successful in effectuating such a transition.</w:t>
      </w:r>
    </w:p>
    <w:p>
      <w:pPr>
        <w:spacing w:after="0" w:line="149"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8" w:name="page49"/>
    <w:bookmarkEnd w:id="48"/>
    <w:p>
      <w:pPr>
        <w:ind w:right="38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years ended December 31, 2019, 2018 and 2017, we used net cash of $23.1 million, $18.3 million and $8.0 million, respectively, in our operating activities, substantially all of which related to development activities for nalbuphine ER. As of December 31, 2019, our cash and cash equivalents were $57.3 million. We expect our expenses to increase substantially in connection with our ongoing activities, particularly as we continue to develop and conduct clinical trials of nalbuphine ER, including our ongoing PRISM trial and the additional Phase 3 clinical trial we will need to conduct for nalbuphine ER for the treatment of pruritus associated with prurigo nodularis and our other ongoing clinical trials, acquire or in-license rights to other potential product candidates or technologies and seek regulatory and marketing approvals for nalbuphine ER or any future product candidate that successfully completes clinical trials, if any. In addition, if we obtain marketing approval for nalbuphine ER or any future product candidate, we may incur significant commercialization expenses related to product sales, marketing, manufacturing and distribution. For instance, we currently intend to commercialize nalbuphine ER in the United States ourselves by developing a focused, specialty sales, marketing and distribution organization. Furthermore, we expect to incur significant additional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84"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We plan to use our existing cash and cash equivalents, to fund the development of nalbuphine ER for the treatment of pruritus associated with prurigo nodularis and the treatment of chronic cough in patients with IPF, to fund the development of nalbuphine ER for other serious neurologically mediated conditions and for working capital and other general corporate purposes. We will be required to expend significant funds in order to advance the development of nalbuphine ER in multiple indications, as well as any future product candidates we may seek to develop. Our existing cash and cash equivalents will not be sufficient to complete development of nalbuphine ER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81"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third quarter of 2021.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84" w:lineRule="exact"/>
        <w:rPr>
          <w:sz w:val="20"/>
          <w:szCs w:val="20"/>
          <w:color w:val="auto"/>
        </w:rPr>
      </w:pPr>
    </w:p>
    <w:p>
      <w:pPr>
        <w:ind w:left="1020" w:hanging="432"/>
        <w:spacing w:after="0" w:line="30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nalbuphine ER for the treatment of pruritus associated with prurigo nodularis, including the results of the sample size re-estimation for our ongoing Phase 2b/3 PRISM trial that we expect will take place in mid-2020 as well as the scope, progress, timing, costs and results of clinical trials of nalbuphine ER for other serious neurologically mediated conditions, including our ongoing Phase 2 trial for chronic cough in patients with IPF, as well as any future product candidates;</w:t>
      </w:r>
    </w:p>
    <w:p>
      <w:pPr>
        <w:spacing w:after="0" w:line="49" w:lineRule="exact"/>
        <w:rPr>
          <w:rFonts w:ascii="Arial" w:cs="Arial" w:eastAsia="Arial" w:hAnsi="Arial"/>
          <w:sz w:val="16"/>
          <w:szCs w:val="16"/>
          <w:color w:val="auto"/>
        </w:rPr>
      </w:pPr>
    </w:p>
    <w:p>
      <w:pPr>
        <w:ind w:left="1020" w:right="620" w:hanging="43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nalbuphine ER or any future product candidates, and their respective development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left="1020" w:right="60" w:hanging="432"/>
        <w:spacing w:after="0" w:line="30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38" w:lineRule="exact"/>
        <w:rPr>
          <w:rFonts w:ascii="Arial" w:cs="Arial" w:eastAsia="Arial" w:hAnsi="Arial"/>
          <w:sz w:val="17"/>
          <w:szCs w:val="17"/>
          <w:color w:val="auto"/>
        </w:rPr>
      </w:pPr>
    </w:p>
    <w:p>
      <w:pPr>
        <w:ind w:left="1020" w:right="10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nalbuphine ER or any future product candidate for clinical development in connection with regulatory submissions;</w:t>
      </w:r>
    </w:p>
    <w:p>
      <w:pPr>
        <w:spacing w:after="0" w:line="62" w:lineRule="exact"/>
        <w:rPr>
          <w:rFonts w:ascii="Arial" w:cs="Arial" w:eastAsia="Arial" w:hAnsi="Arial"/>
          <w:sz w:val="18"/>
          <w:szCs w:val="18"/>
          <w:color w:val="auto"/>
        </w:rPr>
      </w:pPr>
    </w:p>
    <w:p>
      <w:pPr>
        <w:jc w:val="both"/>
        <w:ind w:left="1020" w:right="200" w:hanging="432"/>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1020" w:right="340" w:hanging="432"/>
        <w:spacing w:after="0" w:line="342"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15" w:lineRule="exact"/>
        <w:rPr>
          <w:rFonts w:ascii="Arial" w:cs="Arial" w:eastAsia="Arial" w:hAnsi="Arial"/>
          <w:sz w:val="16"/>
          <w:szCs w:val="16"/>
          <w:color w:val="auto"/>
        </w:rPr>
      </w:pPr>
    </w:p>
    <w:p>
      <w:pPr>
        <w:ind w:left="1020" w:right="380" w:hanging="432"/>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1020" w:right="14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We expect our expenses to increase substantially in connection with our planned operations, particularly as we conduct our ongoing PRISM trial and our other ongoing clinical trials as well as the additional Phase 3 clinical trial we will need to conduct for nalbuphine ER for the treatment of pruritus associated with prurigo nodularis and develop nalbuphine ER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Securing financing could also require a substantial amount of time from our management and may divert a disproportionate amount of their attention away from daily activities, which may adversely affect our management’s ability to oversee the development of nalbuphine ER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the Development and Commercialization of Nalbuphine ER and Any Future Product Candidates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nalbuphine ER, our sole product candidate. If we are unable to complete the clinical development of, obtain marketing approval for or successfully commercialize nalbuphine ER, or if we experience significant delays in doing so, our business would be substantially harmed.</w:t>
      </w:r>
    </w:p>
    <w:p>
      <w:pPr>
        <w:spacing w:after="0" w:line="76"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We currently have no products approved for sale and are investing substantially all of our efforts and financial resources to fund the development of nalbuphine ER for multiple serious neurologically mediated conditions. Our prospects are dependent on our ability to develop, obtain marketing approval for and successfully commercialize nalbuphine ER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18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Our most advanced program for nalbuphine ER is our program to develop nalbuphine ER for the treatment of pruritus associated with prurigo nodularis, as our efforts to develop nalbuphine ER for other serious neurologically mediated conditions are only at an early stage. As a result, if our efforts to develop and commercialize nalbuphine ER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success of nalbuphine ER for the treatment of pruritus associated with prurigo nodularis, as well as for other serious neurologically mediated conditions, will depend on several factors, including the following:</w:t>
      </w:r>
    </w:p>
    <w:p>
      <w:pPr>
        <w:spacing w:after="0" w:line="62" w:lineRule="exact"/>
        <w:rPr>
          <w:sz w:val="20"/>
          <w:szCs w:val="20"/>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our PRISM trial;</w:t>
      </w:r>
    </w:p>
    <w:p>
      <w:pPr>
        <w:spacing w:after="0" w:line="117" w:lineRule="exact"/>
        <w:rPr>
          <w:rFonts w:ascii="Arial" w:cs="Arial" w:eastAsia="Arial" w:hAnsi="Arial"/>
          <w:sz w:val="18"/>
          <w:szCs w:val="18"/>
          <w:color w:val="auto"/>
        </w:rPr>
      </w:pPr>
    </w:p>
    <w:p>
      <w:pPr>
        <w:ind w:left="1020" w:right="100" w:hanging="432"/>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initiating and successfully recruiting, enrolling and retaining patients in and completing additional clinical and nonclinical trials, including the additional Phase 3 clinical trial we will need to conduct for nalbuphine ER for the treatment of pruritus associated with prurigo nodularis and other supportive clinical studies such as our planned HAL study and TQT studies;</w:t>
      </w:r>
    </w:p>
    <w:p>
      <w:pPr>
        <w:spacing w:after="0" w:line="75" w:lineRule="exact"/>
        <w:rPr>
          <w:rFonts w:ascii="Arial" w:cs="Arial" w:eastAsia="Arial" w:hAnsi="Arial"/>
          <w:sz w:val="18"/>
          <w:szCs w:val="18"/>
          <w:color w:val="auto"/>
        </w:rPr>
      </w:pPr>
    </w:p>
    <w:p>
      <w:pPr>
        <w:ind w:left="1020" w:right="8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nalbuphine ER;</w:t>
      </w:r>
    </w:p>
    <w:p>
      <w:pPr>
        <w:spacing w:after="0" w:line="117" w:lineRule="exact"/>
        <w:rPr>
          <w:rFonts w:ascii="Arial" w:cs="Arial" w:eastAsia="Arial" w:hAnsi="Arial"/>
          <w:sz w:val="18"/>
          <w:szCs w:val="18"/>
          <w:color w:val="auto"/>
        </w:rPr>
      </w:pPr>
    </w:p>
    <w:p>
      <w:pPr>
        <w:jc w:val="both"/>
        <w:ind w:left="1020" w:right="820" w:hanging="432"/>
        <w:spacing w:after="0" w:line="342"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establishing and maintaining arrangements with third-party manufacturers of nalbuphine ER, including developing, validating and maintaining a commercially viable manufacturing process that is compliant with current good manufacturing practices, or cGMPs;</w:t>
      </w:r>
    </w:p>
    <w:p>
      <w:pPr>
        <w:spacing w:after="0" w:line="15" w:lineRule="exact"/>
        <w:rPr>
          <w:rFonts w:ascii="Arial" w:cs="Arial" w:eastAsia="Arial" w:hAnsi="Arial"/>
          <w:sz w:val="16"/>
          <w:szCs w:val="16"/>
          <w:color w:val="auto"/>
        </w:rPr>
      </w:pPr>
    </w:p>
    <w:p>
      <w:pPr>
        <w:ind w:left="1020" w:hanging="43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obtaining, maintaining and protecting our patents, trade secrets and regulatory exclusivity in the United States and other countries;</w:t>
      </w:r>
    </w:p>
    <w:p>
      <w:pPr>
        <w:spacing w:after="0" w:line="128" w:lineRule="exact"/>
        <w:rPr>
          <w:rFonts w:ascii="Arial" w:cs="Arial" w:eastAsia="Arial" w:hAnsi="Arial"/>
          <w:sz w:val="17"/>
          <w:szCs w:val="17"/>
          <w:color w:val="auto"/>
        </w:rPr>
      </w:pPr>
    </w:p>
    <w:p>
      <w:pPr>
        <w:ind w:left="102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 focused, specialty sales organization in the United States and successfully launching commercial sales following any marketing approval;</w:t>
      </w:r>
    </w:p>
    <w:p>
      <w:pPr>
        <w:spacing w:after="0" w:line="62"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340" w:firstLine="589"/>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nalbuphine ER, or if we experience delays as a result of any of these factors or otherwise, our business would be substantially harmed.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Our approach to the development and commercialization of nalbuphine ER to treat serious neurologically mediated conditions is unproven.</w:t>
      </w:r>
    </w:p>
    <w:p>
      <w:pPr>
        <w:spacing w:after="0" w:line="140"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We are currently focused on the development and commercialization of nalbuphine ER to treat serious neurologically mediated conditions. Nalbuphine ER is an oral extended release formulation of nalbuphine, which is a mixed κ-opioid receptor agonist and μ-opioid receptor antagonist that has been approved and marketed as an injectable for pain indications for more than 20 years in the United States and Europe. Nalbuphine is currently not commercially available in an oral dosage form, such as nalbuphine ER. While we believe that nalbuphine’s dual mechanism of action, which targets both the central and peripheral nervous systems, makes nalbuphine ER a promising potential therapy for the treatment of chronic pruritus and other serious neurologically mediated conditions, and that nalbuphine ER has the potential to be safe and well-tolerated, nalbuphine has not been approved in any indications other than pain. Additionally, nalbuphine ER has not been approved in any indication, including the treatment of pruritus associated with prurigo nodularis, the lead indication for which we are pursuing clinical development of nalbuphine ER. No therapies have been approved in the United States or Europe for the treatment of moderate to severe pruritus, and we can provide no assurance that either nalbuphine ER or any other future product candidate that we may seek to develop for this indication or for any other serious neurologically mediated condition will be effective or safe, obtain regulatory approval or be commercially successful.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nalbuphine ER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nalbuphine ER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nalbuphine ER or any future product candidate, including:</w:t>
      </w:r>
    </w:p>
    <w:p>
      <w:pPr>
        <w:spacing w:after="0" w:line="79" w:lineRule="exact"/>
        <w:rPr>
          <w:sz w:val="20"/>
          <w:szCs w:val="20"/>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17"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1020" w:right="260" w:hanging="432"/>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may be larger than we anticipate, patient enrollment in these clinical trials may be slower than we anticipate or participants may discontinue their participation in these clinical trials at a higher rate than we anticipate, as we experienced in our Phase 2 clinical trial of nalbuphine ER for the treatment of pruritus associated with prurigo nodularis;</w:t>
      </w:r>
    </w:p>
    <w:p>
      <w:pPr>
        <w:spacing w:after="0" w:line="57" w:lineRule="exact"/>
        <w:rPr>
          <w:rFonts w:ascii="Arial" w:cs="Arial" w:eastAsia="Arial" w:hAnsi="Arial"/>
          <w:sz w:val="17"/>
          <w:szCs w:val="17"/>
          <w:color w:val="auto"/>
        </w:rPr>
      </w:pPr>
    </w:p>
    <w:p>
      <w:pPr>
        <w:ind w:left="1020" w:right="30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target number of patients in our PRISM trial may need to be increased as a result of the sample size re-estimation analysis, which may delay the timing of our report of the top-line data from this trial;</w:t>
      </w:r>
    </w:p>
    <w:p>
      <w:pPr>
        <w:spacing w:after="0" w:line="62" w:lineRule="exact"/>
        <w:rPr>
          <w:rFonts w:ascii="Arial" w:cs="Arial" w:eastAsia="Arial" w:hAnsi="Arial"/>
          <w:sz w:val="18"/>
          <w:szCs w:val="18"/>
          <w:color w:val="auto"/>
        </w:rPr>
      </w:pPr>
    </w:p>
    <w:p>
      <w:pPr>
        <w:ind w:left="1020" w:right="240" w:hanging="432"/>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 of planned clinical trials may be greater than we anticipate, as we have experienced in our Phase 2b/3 PRISM trial as we added additional sites, enrollment took longer than expected and we used additional incentive strategies to address site activation and enrollment;</w:t>
      </w:r>
    </w:p>
    <w:p>
      <w:pPr>
        <w:spacing w:after="0" w:line="15" w:lineRule="exact"/>
        <w:rPr>
          <w:rFonts w:ascii="Arial" w:cs="Arial" w:eastAsia="Arial" w:hAnsi="Arial"/>
          <w:sz w:val="16"/>
          <w:szCs w:val="16"/>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17" w:lineRule="exact"/>
        <w:rPr>
          <w:rFonts w:ascii="Arial" w:cs="Arial" w:eastAsia="Arial" w:hAnsi="Arial"/>
          <w:sz w:val="18"/>
          <w:szCs w:val="18"/>
          <w:color w:val="auto"/>
        </w:rPr>
      </w:pPr>
    </w:p>
    <w:p>
      <w:pPr>
        <w:ind w:left="1020" w:right="260" w:hanging="432"/>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5" w:lineRule="exact"/>
        <w:rPr>
          <w:rFonts w:ascii="Arial" w:cs="Arial" w:eastAsia="Arial" w:hAnsi="Arial"/>
          <w:sz w:val="18"/>
          <w:szCs w:val="18"/>
          <w:color w:val="auto"/>
        </w:rPr>
      </w:pPr>
    </w:p>
    <w:p>
      <w:pPr>
        <w:ind w:left="1020" w:right="16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left="1020" w:right="720" w:hanging="43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20" w:right="160" w:hanging="432"/>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75" w:lineRule="exact"/>
        <w:rPr>
          <w:rFonts w:ascii="Arial" w:cs="Arial" w:eastAsia="Arial" w:hAnsi="Arial"/>
          <w:sz w:val="18"/>
          <w:szCs w:val="18"/>
          <w:color w:val="auto"/>
        </w:rPr>
      </w:pPr>
    </w:p>
    <w:p>
      <w:pPr>
        <w:ind w:left="1020" w:right="180" w:hanging="432"/>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to delay, suspend or terminate clinical trials for various reasons, including a finding that the participants are being exposed to unacceptable health risks, undesirable side effects, insufficient efficacy at any planned statistical re-estimations, or other unexpected characteristics of a product candidate;</w:t>
      </w:r>
    </w:p>
    <w:p>
      <w:pPr>
        <w:spacing w:after="0" w:line="75" w:lineRule="exact"/>
        <w:rPr>
          <w:rFonts w:ascii="Arial" w:cs="Arial" w:eastAsia="Arial" w:hAnsi="Arial"/>
          <w:sz w:val="18"/>
          <w:szCs w:val="18"/>
          <w:color w:val="auto"/>
        </w:rPr>
      </w:pPr>
    </w:p>
    <w:p>
      <w:pPr>
        <w:ind w:left="1020" w:right="160" w:hanging="432"/>
        <w:spacing w:after="0" w:line="27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63" w:lineRule="exact"/>
        <w:rPr>
          <w:rFonts w:ascii="Arial" w:cs="Arial" w:eastAsia="Arial" w:hAnsi="Arial"/>
          <w:sz w:val="17"/>
          <w:szCs w:val="17"/>
          <w:color w:val="auto"/>
        </w:rPr>
      </w:pPr>
    </w:p>
    <w:p>
      <w:pPr>
        <w:ind w:left="1020" w:right="760" w:hanging="43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1020" w:right="340" w:hanging="432"/>
        <w:spacing w:after="0" w:line="30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1020" w:right="180" w:hanging="432"/>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5"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to obtain marketing approvals; and</w:t>
      </w:r>
    </w:p>
    <w:p>
      <w:pPr>
        <w:spacing w:after="0" w:line="62" w:lineRule="exact"/>
        <w:rPr>
          <w:rFonts w:ascii="Arial" w:cs="Arial" w:eastAsia="Arial" w:hAnsi="Arial"/>
          <w:sz w:val="18"/>
          <w:szCs w:val="18"/>
          <w:color w:val="auto"/>
        </w:rPr>
      </w:pPr>
    </w:p>
    <w:p>
      <w:pPr>
        <w:ind w:left="1020" w:right="400" w:hanging="432"/>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8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Under the protocol for our ongoing Phase 2b/3 PRISM trial, once 50% of the patients are evaluable for the primary efficacy endpoint, an unblinded statistician for the trial will review the appropriate data, perform a sample size re-estimation and advise us on whether we should increase the number of patients in the trial or if we should stop the trial due to insufficient efficacy. If we determine to increase the number of patients in the trial based on the re-estimation, the costs of the trial may increase, the results of the trial may be delayed, and we may need to raise additional funds or divert resources from and delay our other programs to complete the trial.</w:t>
      </w:r>
    </w:p>
    <w:p>
      <w:pPr>
        <w:spacing w:after="0" w:line="188"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nalbuphine ER or any future product candidate beyond the trials and testing that we contemplate, we are unable to successfully and timely complete clinical trials or other testing of nalbuphine ER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1020" w:hanging="43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28" w:lineRule="exact"/>
        <w:rPr>
          <w:rFonts w:ascii="Arial" w:cs="Arial" w:eastAsia="Arial" w:hAnsi="Arial"/>
          <w:sz w:val="17"/>
          <w:szCs w:val="17"/>
          <w:color w:val="auto"/>
        </w:rPr>
      </w:pPr>
    </w:p>
    <w:p>
      <w:pPr>
        <w:ind w:left="1020" w:right="240" w:hanging="432"/>
        <w:spacing w:after="0" w:line="26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ind w:left="1020" w:right="420" w:hanging="43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failure to successfully and timely complete clinical trials of nalbuphine ER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2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nalbuphine ER or any future product candidates, which would likely prevent or delay regulatory approval and commercialization.</w:t>
      </w:r>
    </w:p>
    <w:p>
      <w:pPr>
        <w:spacing w:after="0" w:line="62"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Before obtaining regulatory approvals for the commercial sale of nalbuphine ER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nalbuphine ER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nalbuphine ER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nalbuphine ER or any future product candidate that is greater than the actual positive effect, if any. Similarly, in our clinical trials we may fail to detect toxicity of, or intolerability caused by, nalbuphine ER or any future product candidate, or mistakenly believe that nalbuphine ER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nalbuphine ER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84"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In addition, even if the clinical trials we plan are successfully completed and nalbuphine ER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nalbuphine ER for the treatment of pruritus associated with prurigo nodularis, the FDA raised the need to adequately isolate a patient population with pruritus associated with prurigo nodularis for our planned Phase 3 clinical trials. While the inclusion criteria in our PRISM trial require that enrolled patients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nalbuphine ER does not achieve the primary endpoint in our PRISM trial, or the FDA does not otherwise believe that the results of the trial are sufficiently supportive of an application for marketing approval, the FDA may require us to conduct another Phase 3 clinical trial in addition to the PRISM trial and the additional Phase 3 clinical trial we plan to conduct, which would cause us to incur substantial additional costs and significantly delay our development of nalbuphine ER for the treatment of pruritus associated with prurigo nodularis.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ind w:right="20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nalbuphine ER or adversely impact our clinical trials.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Due to the difficulty of objectively measuring pruritus, the assessment of pruritus in clinical trials typically involves the use of PROs. Our clinical trials evaluating the efficacy of nalbuphine ER in pruritus indications have used PROs as primary endpoints. For example, the primary endpoint of our Phase 2 clinical trial of nalbuphine ER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85"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In addition, PROs for the assessment of pruritus have historically been observed to have high placebo group response rates. We observed this in some of our clinical trials of nalbuphine ER. For example, in our Phase 2 clinical trial of nalbuphine ER for the treatment of pruritus associated with prurigo nodularis, we observed a mean reduction from baseline in WI-NRS score for the trial’s modified intention-to-treat population of 1.75 points for placebo as compared to 2.14 points for nalbuphine ER dosed twice-daily at 81 mg and 2.51 points for nalbuphine ER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9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nalbuphine ER. The FDA could also require changes in the PROs we are currently using or indicate that the PROs we are using are insufficient for demonstrating efficacy in pruritus, potentially delaying clinical development of nalbuphine ER, increasing our costs and making additional clinical trials necessary.</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may not be able to initiate or continue clinical trials for nalbuphine ER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17" w:lineRule="exact"/>
        <w:rPr>
          <w:rFonts w:ascii="Arial" w:cs="Arial" w:eastAsia="Arial" w:hAnsi="Arial"/>
          <w:sz w:val="18"/>
          <w:szCs w:val="18"/>
          <w:color w:val="auto"/>
        </w:rPr>
      </w:pPr>
    </w:p>
    <w:p>
      <w:pPr>
        <w:ind w:left="1020" w:right="580" w:hanging="432"/>
        <w:spacing w:after="0" w:line="30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40" w:firstLine="589"/>
        <w:spacing w:after="0" w:line="288" w:lineRule="auto"/>
        <w:rPr>
          <w:sz w:val="20"/>
          <w:szCs w:val="20"/>
          <w:color w:val="auto"/>
        </w:rPr>
      </w:pPr>
      <w:r>
        <w:rPr>
          <w:rFonts w:ascii="Arial" w:cs="Arial" w:eastAsia="Arial" w:hAnsi="Arial"/>
          <w:sz w:val="16"/>
          <w:szCs w:val="16"/>
          <w:color w:val="auto"/>
        </w:rPr>
        <w:t>In particular, the successful completion of our clinical development program for nalbuphine ER for the treatment of pruritus associated with prurigo nodularis is dependent upon our ability to enroll a sufficient number of patients with this severe condition. We have experienced delays and difficulties in the enrollment of patients in our clinical trials, including our PRISM trial and our Phase 2 clinical trial for chronic cough in patients with IPF, which have delayed the completion of our trials. We have taken actions to increase enrollment, including increasing the number of clinical sites, providing sites with additional trial management staff and closing underperforming sites. However, these actions may not be successful. Other companies are conducting clinical trials or have announced plans for future clinical trials that are seeking, or are likely to seek, to enroll patients with prurigo nodularis in the case of our PRISM trial and patients with IPF in the case of our Phase 2 clinical trial for chronic cough in patients with IPF, and patients are generally only able to enroll in a single trial at a time. In addition, 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6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nalbuphine ER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3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face risks related to health epidemics and other widespread outbreaks of contagious disease, including the novel coronavirus, or COVID-19, which could significantly disrupt our operations and impact our financial results.</w:t>
      </w:r>
    </w:p>
    <w:p>
      <w:pPr>
        <w:spacing w:after="0" w:line="62"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Significant outbreaks of contagious diseases, and other adverse public health developments, could have a material impact on our business operations and operating results. For example, the spread of COVID-19 has affected segments of the global economy and could affect our operations, including the potential interruption of our clinical trial activities and our supply chain. The recent outbreak of COVID-19 originated in Wuhan, China, in December 2019 and has since spread to multiple countries in Europe in which we have active clinical trial sites, which has resulted in one of those sites postponing enrollment of new patients and another site requiring remote monitoring of patients, and other sites could take similar actions. The continued spread of COVID-19 globally could also adversely affect our clinical trial operations in the United States and elsewhere, including our ability to recruit and retain patients and principal investigators and site staff who, as healthcare providers, may have heightened exposure to COVID-19 if an outbreak occurs in their geography. Further, the COVID-19 outbreak could result in delays in our clinical trials due to prioritization of hospital resources toward the outbreak, restrictions in travel, potential unwillingness of patients to enroll in trials at this time, or the inability of patients to comply with clinical trial protocols if quarantines or travel restrictions impede patient movement or interrupt healthcare services.</w:t>
      </w:r>
    </w:p>
    <w:p>
      <w:pPr>
        <w:spacing w:after="0" w:line="168"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COVID-19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may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92"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240"/>
        <w:spacing w:after="0" w:line="375" w:lineRule="auto"/>
        <w:rPr>
          <w:sz w:val="20"/>
          <w:szCs w:val="20"/>
          <w:color w:val="auto"/>
        </w:rPr>
      </w:pPr>
      <w:r>
        <w:rPr>
          <w:rFonts w:ascii="Arial" w:cs="Arial" w:eastAsia="Arial" w:hAnsi="Arial"/>
          <w:sz w:val="15"/>
          <w:szCs w:val="15"/>
          <w:b w:val="1"/>
          <w:bCs w:val="1"/>
          <w:i w:val="1"/>
          <w:iCs w:val="1"/>
          <w:color w:val="auto"/>
        </w:rPr>
        <w:t>Adverse events or undesirable side effects caused by, or other unexpected properties of, nalbuphine ER or any future product candidate may be identified during development and could delay or prevent the marketing approval or limit the use of nalbuphine ER or any future product candidate.</w:t>
      </w:r>
    </w:p>
    <w:p>
      <w:pPr>
        <w:spacing w:after="0" w:line="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Adverse events or undesirable side effects caused by, or other unexpected properties of, nalbuphine ER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61" w:lineRule="exact"/>
        <w:rPr>
          <w:sz w:val="20"/>
          <w:szCs w:val="20"/>
          <w:color w:val="auto"/>
        </w:rPr>
      </w:pPr>
    </w:p>
    <w:p>
      <w:pPr>
        <w:ind w:right="60" w:firstLine="589"/>
        <w:spacing w:after="0" w:line="268" w:lineRule="auto"/>
        <w:rPr>
          <w:sz w:val="20"/>
          <w:szCs w:val="20"/>
          <w:color w:val="auto"/>
        </w:rPr>
      </w:pPr>
      <w:r>
        <w:rPr>
          <w:rFonts w:ascii="Arial" w:cs="Arial" w:eastAsia="Arial" w:hAnsi="Arial"/>
          <w:sz w:val="17"/>
          <w:szCs w:val="17"/>
          <w:color w:val="auto"/>
        </w:rPr>
        <w:t>In addition, nalbuphine ER,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nalbuphine ER to date. μ-opioid receptor antagonists have the potential to precipitate withdrawal effects in patients, including drug addicts, and are associated with respiratory depression and potential cardiac risk. The drug label for nalbuphine, the active ingredient in nalbuphine ER, carries an opioid class label warning for serious, life-threatening or fatal respiratory depression, and nalbuphine ER, if approved for marketing in any indication, will likely carry a similar opioid class label. To support our planned submission of an NDA to the FDA for nalbuphine ER, we will be required to conduct a clinical trial of nalbuphine ER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84"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In our Phase 2 clinical trial of nalbuphine ER for the treatment of pruritus associated with prurigo nodularis, the most frequently reported adverse events associated with nalbuphine ER were nausea, dizziness and headache. In the open label extension of the trial, nausea, dizziness and fatigue were reported. Across both the Phase 2 clinical trial of nalbuphine ER for the treatment of pruritus associated with prurigo nodularis and the open label extension, a total of four patients reported SAEs, but none of these events was attributed to nalbuphine ER.</w:t>
      </w:r>
    </w:p>
    <w:p>
      <w:pPr>
        <w:spacing w:after="0" w:line="171"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In our Phase 2b/3 trial of nalbuphine ER in patients with uremic pruritus, the most frequently reported adverse events attributed to nalbuphine ER were nausea, vomiting, somnolence and dizziness. In patients with uremic pruritus, SAEs were frequent but were primarily related to associated underlying diseases or to procedural complications related to hemodialysis.</w:t>
      </w:r>
    </w:p>
    <w:p>
      <w:pPr>
        <w:spacing w:after="0" w:line="184"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If nalbuphine ER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nalbuphine ER, could potentially restrict its use and harm our ability to generate profits.</w:t>
      </w:r>
    </w:p>
    <w:p>
      <w:pPr>
        <w:spacing w:after="0" w:line="6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nalbuphine ER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nalbuphine ER may carry risks of misuse, abuse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right="80"/>
        <w:spacing w:after="0" w:line="273" w:lineRule="auto"/>
        <w:rPr>
          <w:sz w:val="20"/>
          <w:szCs w:val="20"/>
          <w:color w:val="auto"/>
        </w:rPr>
      </w:pPr>
      <w:r>
        <w:rPr>
          <w:rFonts w:ascii="Arial" w:cs="Arial" w:eastAsia="Arial" w:hAnsi="Arial"/>
          <w:sz w:val="17"/>
          <w:szCs w:val="17"/>
          <w:color w:val="auto"/>
        </w:rPr>
        <w:t>addiction, or even if the trial indicates that nalbuphine ER does not carry such risks, the FDA may require us to implement a REMS program in connection with any commercialization of nalbuphine ER. We cannot predict whether a REMS program would be required as part of FDA approval of nalbuphine ER and, if required, what requirements it might entail. Any limitations on approval or marketing could restrict the commercial promotion, distribution, prescription or dispensation of nalbuphine ER, if approved. If a REMS program is required, depending on the extent of the REMS requirements, the program might significantly increase our costs to commercialize nalbuphine ER. Furthermore, risks of nalbuphine ER that are not adequately addressed through a proposed REMS program for nalbuphine ER may also prevent or delay any approval for commercialization.</w:t>
      </w:r>
    </w:p>
    <w:p>
      <w:pPr>
        <w:spacing w:after="0" w:line="178"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In addition, while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nalbuphine ER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nalbuphine ER as a controlled substance under different, but potentially no less burdensome, regulations.</w:t>
      </w:r>
    </w:p>
    <w:p>
      <w:pPr>
        <w:spacing w:after="0" w:line="17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If nalbuphine ER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nalbuphine ER is classified as a controlled substance, there is a risk that such regulations could limit its supply for use in clinical trials and, in the future, limit our ability to produce and distribute nalbuphine ER in the volume needed to meet potential commercial demand.</w:t>
      </w:r>
    </w:p>
    <w:p>
      <w:pPr>
        <w:spacing w:after="0" w:line="192"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nalbuphine ER is classified as a controlled substance, failure to obtain and maintain required registrations or comply with any applicable regulations could delay or preclude us from developing and commercializing nalbuphine ER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nalbuphine ER is classified as a controlled substance, depending on how it is scheduled, its commercial prospects could be limited.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nalbuphine ER or any future product candidate may fail to show the desired safety and efficacy in clinical development despite demonstrating positive results in preclinical studies or successfully advancing through Phase 1 and Phase 2 clinical trials.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ind w:right="100" w:firstLine="589"/>
        <w:spacing w:after="0" w:line="273" w:lineRule="auto"/>
        <w:rPr>
          <w:sz w:val="20"/>
          <w:szCs w:val="20"/>
          <w:color w:val="auto"/>
        </w:rPr>
      </w:pPr>
      <w:r>
        <w:rPr>
          <w:rFonts w:ascii="Arial" w:cs="Arial" w:eastAsia="Arial" w:hAnsi="Arial"/>
          <w:sz w:val="17"/>
          <w:szCs w:val="17"/>
          <w:color w:val="auto"/>
        </w:rPr>
        <w:t>At a meeting with the FDA following the completion of our Phase 2 clinical trial of nalbuphine ER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PRISM trial.</w:t>
      </w:r>
    </w:p>
    <w:p>
      <w:pPr>
        <w:spacing w:after="0" w:line="178"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PRISM trial based on an assumed discontinuation rate that takes into account observed discontinuation rates in our Phase 2 clinical trial of nalbuphine ER for the treatment of pruritus associated with prurigo nodularis. If enrolled patients withdraw from our PRISM trial at a rate that is higher than expected, as occurred in our Phase 2 clinical trial of nalbuphine ER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nalbuphine ER or any future product candidate warrant marketing approval, the FDA or comparable foreign regulatory authorities may disagree and may not grant marketing approval of the product candidate.</w:t>
      </w:r>
    </w:p>
    <w:p>
      <w:pPr>
        <w:spacing w:after="0" w:line="172"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 xml:space="preserve">In addition, some of our data for nalbuphine ER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nalbuphine ER in patients with prurigo nodularis and uremic pruritus. While we believe these data may be useful in informing the design of our PRISM trial and other future Phase 3 clinical trials for nalbuphine ER,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nalbuphine ER or any future product candidate, the development timeline and regulatory approval and commercialization prospects for those product candidates and, correspondingly, our business and financial prospects would be negatively impacted.</w:t>
      </w:r>
    </w:p>
    <w:p>
      <w:pPr>
        <w:spacing w:after="0" w:line="269"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b w:val="1"/>
          <w:bCs w:val="1"/>
          <w:i w:val="1"/>
          <w:iCs w:val="1"/>
          <w:color w:val="auto"/>
        </w:rPr>
        <w:t>Even if nalbuphine ER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left="1020" w:hanging="432"/>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33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Even if nalbuphine ER or any future product candidate receives marketing approval, it may fail to achieve the degree of market acceptance by physicians, patients, third-party payors and others in the medical community necessary for commercial success, in which case the market opportunity for nalbuphine ER may be smaller than we estimate and we may not generate significant revenues or become profitable.</w:t>
      </w:r>
    </w:p>
    <w:p>
      <w:pPr>
        <w:spacing w:after="0" w:line="41"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We have never commercialized a product, and even if nalbuphine ER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78"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Efforts to educate the medical community and third-party payors on the benefits of nalbuphine ER or any future product candidate may require significant resources and may not be successful. If nalbuphine ER or any future product candidate is approved but does not achieve an adequate level of market acceptance, we may not generate significant revenues and we may not become profitable. The degree of market acceptance of nalbuphine ER or any future product candidate, if approved for commercial sale, will depend on a number of factors, including:</w:t>
      </w:r>
    </w:p>
    <w:p>
      <w:pPr>
        <w:spacing w:after="0" w:line="63" w:lineRule="exact"/>
        <w:rPr>
          <w:sz w:val="20"/>
          <w:szCs w:val="20"/>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that the DEA could determine that nalbuphine ER should be classified as a controlled substance;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3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nalbuphine ER for the treatment of pruritus associated with prurigo nodularis as our lead program. However, the development of nalbuphine ER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9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nalbuphine ER or any future product candidates if and when they are approved.</w:t>
      </w:r>
    </w:p>
    <w:p>
      <w:pPr>
        <w:spacing w:after="0" w:line="16"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nalbuphine ER receives marketing approval from the FDA in any of our target indications, we believe we will have the opportunity to commercialize it in the United States directly through our own focused, specialty sales organization. If nalbuphine ER receives marketing approval outside the United States, we may develop a variety of collaboration, distribution and other marketing arrangements with one or more third parties to commercialize the product in those markets.</w:t>
      </w:r>
    </w:p>
    <w:p>
      <w:pPr>
        <w:spacing w:after="0" w:line="192"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right="20" w:firstLine="589"/>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nalbuphine ER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92" w:lineRule="exact"/>
        <w:rPr>
          <w:sz w:val="20"/>
          <w:szCs w:val="20"/>
          <w:color w:val="auto"/>
        </w:rPr>
      </w:pPr>
    </w:p>
    <w:p>
      <w:pPr>
        <w:ind w:right="700" w:firstLine="589"/>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nalbuphine ER or any future product candidate that we may seek to develop or commercialize. Our competitors may succeed in developing, acquiring or licensing technologies and products that are more effective, have fewer or more tolerable side effects or are more convenient or less costly than nalbuphine ER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9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If nalbuphine ER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We also expect that nalbuphine ER might compete with product candidates currently in clinical development in this indication, including serlopitant, an oral neurokinin-1 receptor antagonist being developed by Menlo Therapeutics that is in Phase 3 clinical trials; nemolizumab, an anti-interleukin-31 receptor A humanized monoclonal antibody being developed by Galderma; and KPL-716, a monoclonal antibody targeting oncostatin M receptor beta being developed by Kiniksa Pharmaceuticals. In addition, a number of other product candidates are currently in clinical development to treat other pruritic conditions and nalbuphine ER, if approved for the treatment of pruritus associated with prurigo nodularis could face competition from these product candidates, including tradipitant, an oral neurokinin-1 receptor antagonist being developed by Vanda Pharmaceuticals that is in Phase 3 clinical trials for chronic pruritus in patients with atopic dermatitis.</w:t>
      </w:r>
    </w:p>
    <w:p>
      <w:pPr>
        <w:spacing w:after="0" w:line="182" w:lineRule="exact"/>
        <w:rPr>
          <w:sz w:val="20"/>
          <w:szCs w:val="20"/>
          <w:color w:val="auto"/>
        </w:rPr>
      </w:pPr>
    </w:p>
    <w:p>
      <w:pPr>
        <w:jc w:val="both"/>
        <w:ind w:right="320" w:firstLine="589"/>
        <w:spacing w:after="0" w:line="287" w:lineRule="auto"/>
        <w:rPr>
          <w:sz w:val="20"/>
          <w:szCs w:val="20"/>
          <w:color w:val="auto"/>
        </w:rPr>
      </w:pPr>
      <w:r>
        <w:rPr>
          <w:rFonts w:ascii="Arial" w:cs="Arial" w:eastAsia="Arial" w:hAnsi="Arial"/>
          <w:sz w:val="16"/>
          <w:szCs w:val="16"/>
          <w:color w:val="auto"/>
        </w:rPr>
        <w:t>If nalbuphine ER is approved for the treatment of pruritus associated with primary biliary cholangitis, or PBC, we expect that it would compete with a number of therapeutics that are used off-label to treat pruritus associated with chronic liver disease, including PBC, which may include bile acid sequestrants, such as cholestyramine, which are used off-label and generally as first-line therapy, although they typically provide only modest relief.</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Cholestyramine is marketed as Questran in the United States and as Colestyr, Efensol, Ipocol, Kolestran, Lipocol, Olestyr, Prevalite or Quantalan in various other countries. Treatment of pruritus associated with chronic liver disease, including PBC, may also include second-line therapies such as the antibiotic rifampicin, naltrexone, the anti-depressant sertraline, as well as phototherapy and drugs such as gabapentin and Lyrica (pregabalin), which are prescription medicines approved for the treatment of seizures and neuropathic pain. We also expect that nalbuphine ER might compete with product candidates currently in clinical development in this indication, including Korsuva (difelikefalin), an orally administered κ-opioid receptor agonist being developed by Cara Therapeutics, and linerixibat, an ileal bile acid transporter inhibitor being developed by GlaxoSmithKline, both of which are in Phase 2 clinical trials for pruritus associated with PBC. In addition, it is possible that therapies to reduce chronic liver disease, such as ursodeoxycholic acid, which is approved for the treatment of PBC, could reduce the need for therapies to treat pruritus associated with chronic liver disease, including PBC.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firstLine="589"/>
        <w:spacing w:after="0" w:line="255" w:lineRule="auto"/>
        <w:rPr>
          <w:sz w:val="20"/>
          <w:szCs w:val="20"/>
          <w:color w:val="auto"/>
        </w:rPr>
      </w:pPr>
      <w:r>
        <w:rPr>
          <w:rFonts w:ascii="Arial" w:cs="Arial" w:eastAsia="Arial" w:hAnsi="Arial"/>
          <w:sz w:val="18"/>
          <w:szCs w:val="18"/>
          <w:color w:val="auto"/>
        </w:rPr>
        <w:t>If nalbuphine ER is approved for the treatment of chronic cough associated with idiopathic pulmonary fibrosis, or IPF, we expect that it would compete with product candidates currently in development for the treatment of chronic cough associated with IPF, such as RVT-1601, a formulation of cromolyn sodium being developed by Respivant Sciences, and expect that it might also compete with other product candidates currently in development for the treatment of chronic cough by companies including Merck, Shionogi, Bellus Therapeutics and Nerre Therapeutics. In addition, it is possible that product candidates currently in development for the treatment of IPF could, if approved, reduce the need for therapies to treat chronic cough associated with IPF.</w:t>
      </w:r>
    </w:p>
    <w:p>
      <w:pPr>
        <w:spacing w:after="0" w:line="192"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If nalbuphine ER is approved for the treatment of levodopa-induced dyskinesia, or LID, in patients with Parkinson’s disease, we expect that it would compete with Gocovri and Osmolex, which are extended release capsule formulations of amantadine marketed by Adamas Pharmaceuticals and Osmotica, respectively, and expect that it might also compete with other product candidates currently in development for the treatment of LID by companies including Lundbeck, Addex Therapeutics and IRLAB Therapeutics. In addition, it is possible that product candidates currently in development for the treatment of Parkinson’s disease by companies could, if approved, reduce the need for therapies to treat LID.</w:t>
      </w:r>
    </w:p>
    <w:p>
      <w:pPr>
        <w:spacing w:after="0" w:line="176"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28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6" w:lineRule="exact"/>
        <w:rPr>
          <w:sz w:val="20"/>
          <w:szCs w:val="20"/>
          <w:color w:val="auto"/>
        </w:rPr>
      </w:pPr>
    </w:p>
    <w:p>
      <w:pPr>
        <w:ind w:right="160" w:firstLine="589"/>
        <w:spacing w:after="0" w:line="290" w:lineRule="auto"/>
        <w:rPr>
          <w:sz w:val="20"/>
          <w:szCs w:val="20"/>
          <w:color w:val="auto"/>
        </w:rPr>
      </w:pPr>
      <w:r>
        <w:rPr>
          <w:rFonts w:ascii="Arial" w:cs="Arial" w:eastAsia="Arial" w:hAnsi="Arial"/>
          <w:sz w:val="16"/>
          <w:szCs w:val="16"/>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right="56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96"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6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5"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8" w:lineRule="exact"/>
        <w:rPr>
          <w:sz w:val="20"/>
          <w:szCs w:val="20"/>
          <w:color w:val="auto"/>
        </w:rPr>
      </w:pPr>
    </w:p>
    <w:p>
      <w:pPr>
        <w:ind w:right="280" w:firstLine="589"/>
        <w:spacing w:after="0" w:line="296"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4" w:name="page65"/>
    <w:bookmarkEnd w:id="64"/>
    <w:p>
      <w:pPr>
        <w:ind w:firstLine="589"/>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3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right="160" w:firstLine="589"/>
        <w:spacing w:after="0" w:line="272" w:lineRule="auto"/>
        <w:rPr>
          <w:sz w:val="20"/>
          <w:szCs w:val="20"/>
          <w:color w:val="auto"/>
        </w:rPr>
      </w:pPr>
      <w:r>
        <w:rPr>
          <w:rFonts w:ascii="Arial" w:cs="Arial" w:eastAsia="Arial" w:hAnsi="Arial"/>
          <w:sz w:val="17"/>
          <w:szCs w:val="17"/>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69" w:lineRule="exact"/>
        <w:rPr>
          <w:sz w:val="20"/>
          <w:szCs w:val="20"/>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nalbuphine ER or any future product candidate could be prevented or inhibited, which could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nalbuphine ER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5" w:name="page66"/>
    <w:bookmarkEnd w:id="65"/>
    <w:p>
      <w:pPr>
        <w:ind w:firstLine="589"/>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right="160" w:firstLine="589"/>
        <w:spacing w:after="0" w:line="269"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nalbuphine ER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2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nalbuphine ER for clinical trials, including a single supplier for the active ingredient, and expect to continue to rely on third parties for these services in connection with our future development and commercialization efforts for nalbuphine ER and any future product candidates.</w:t>
      </w:r>
    </w:p>
    <w:p>
      <w:pPr>
        <w:spacing w:after="0" w:line="76"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1020" w:right="80" w:hanging="432"/>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nalbuphine ER or any future product candidates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possible termination or nonrenewal of agreements by our third-party contractors at a time that is costly or inconvenient for us;</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ind w:left="1020" w:right="340" w:hanging="43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1020" w:right="260" w:hanging="43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We do not have long-term supply agreements with any of our contract manufacturers. If any of our existing manufacturers should become unavailable to us for any reason, we may incur delays in identifying or qualifying replacements. Any performance failure on the part of our contract manufacturers or the other third-party contractors that we use to store and distribute drug substance and drug product could be disruptive to our operations and delay clinical development or marketing approval of nalbuphine ER or any future product candidates of ours or commercialization of any resulting products, producing additional losses and depriving us of potential product revenue.</w:t>
      </w:r>
    </w:p>
    <w:p>
      <w:pPr>
        <w:spacing w:after="0" w:line="18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also rely, and plan to continue to rely, on a single supplier, Mallinckrodt, for nalbuphine hydrochloride drug substance. We do not have agreements in place with Mallinckrodt that guarantee supply quantities or pricing. Any significant delay in acquisition, increase in cost or decrease in availability of nalbuphine hydrochloride drug substance could considerably delay the manufacture of nalbuphine ER, which could adversely impact the timing of our current and planned clinical trials and potential regulatory approval and commercialization of nalbuphine ER. Although we believe there are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95"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If nalbuphine ER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8"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nalbuphine ER. We expect that we would be similarly dependent on third-party manufacturers of nalbuphine ER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66"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nalbuphine ER or any future product candidate and harm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right="240" w:firstLine="58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nalbuphine ER or any future product candidate may harm our future profit margins and our ability to commercialize any products that receive marketing approval on a timely and competitive basis.</w:t>
      </w:r>
    </w:p>
    <w:p>
      <w:pPr>
        <w:spacing w:after="0" w:line="25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nalbuphine ER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w:t>
      </w:r>
    </w:p>
    <w:p>
      <w:pPr>
        <w:spacing w:after="0" w:line="176"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in this Annual Report on Form 10-K would also apply to the activities of any such future collaborators.</w:t>
      </w:r>
    </w:p>
    <w:p>
      <w:pPr>
        <w:spacing w:after="0" w:line="27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enter into collaborations with third parties for the development or commercialization of nalbuphine ER or any future product candidate, our prospects with respect to those product candidates will depend in significant part on the success of those collaborations.</w:t>
      </w:r>
    </w:p>
    <w:p>
      <w:pPr>
        <w:spacing w:after="0" w:line="1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nalbuphine ER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8" w:name="page69"/>
    <w:bookmarkEnd w:id="68"/>
    <w:p>
      <w:pPr>
        <w:ind w:left="60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1020" w:hanging="43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1020" w:hanging="432"/>
        <w:spacing w:after="0" w:line="311"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1020" w:right="1100" w:hanging="43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1020" w:right="420" w:hanging="432"/>
        <w:spacing w:after="0" w:line="30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20" w:right="560" w:hanging="43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1020" w:right="500" w:hanging="43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20" w:right="220" w:hanging="432"/>
        <w:spacing w:after="0" w:line="25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20" w:right="40" w:hanging="432"/>
        <w:spacing w:after="0" w:line="34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1020" w:right="620" w:hanging="43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40" w:lineRule="exact"/>
        <w:rPr>
          <w:rFonts w:ascii="Arial" w:cs="Arial" w:eastAsia="Arial" w:hAnsi="Arial"/>
          <w:sz w:val="16"/>
          <w:szCs w:val="16"/>
          <w:color w:val="auto"/>
        </w:rPr>
      </w:pPr>
    </w:p>
    <w:p>
      <w:pPr>
        <w:ind w:left="1020" w:hanging="43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1020" w:right="960" w:hanging="43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nalbuphine ER.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9" w:name="page70"/>
    <w:bookmarkEnd w:id="69"/>
    <w:p>
      <w:pPr>
        <w:ind w:right="40" w:firstLine="589"/>
        <w:spacing w:after="0" w:line="275"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such event could have a material adverse impact on our business.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20" w:right="22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joint creation or use of intellectual property by licensors and us;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225"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27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sufficient patent protection for nalbuphine ER or any future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57"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nalbuphine ER and any future product candidates.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nalbuphine ER. The patent application and approval process is expensive and time-consuming. We may not be able to file and prosecute all necessary or desirable patent applications at a reasonable cost, in a timely manner or at all.</w:t>
      </w:r>
    </w:p>
    <w:p>
      <w:pPr>
        <w:spacing w:after="0" w:line="164"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0" w:name="page71"/>
    <w:bookmarkEnd w:id="70"/>
    <w:p>
      <w:pPr>
        <w:ind w:right="260" w:firstLine="589"/>
        <w:spacing w:after="0" w:line="257" w:lineRule="auto"/>
        <w:rPr>
          <w:sz w:val="20"/>
          <w:szCs w:val="20"/>
          <w:color w:val="auto"/>
        </w:rPr>
      </w:pPr>
      <w:r>
        <w:rPr>
          <w:rFonts w:ascii="Arial" w:cs="Arial" w:eastAsia="Arial" w:hAnsi="Arial"/>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88"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82"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nalbuphine ER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ind w:right="60" w:firstLine="589"/>
        <w:spacing w:after="0" w:line="259" w:lineRule="auto"/>
        <w:rPr>
          <w:sz w:val="20"/>
          <w:szCs w:val="20"/>
          <w:color w:val="auto"/>
        </w:rPr>
      </w:pPr>
      <w:r>
        <w:rPr>
          <w:rFonts w:ascii="Arial" w:cs="Arial" w:eastAsia="Arial" w:hAnsi="Arial"/>
          <w:sz w:val="18"/>
          <w:szCs w:val="18"/>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87"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1"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2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200" w:firstLine="589"/>
        <w:spacing w:after="0" w:line="293" w:lineRule="auto"/>
        <w:rPr>
          <w:sz w:val="20"/>
          <w:szCs w:val="20"/>
          <w:color w:val="auto"/>
        </w:rPr>
      </w:pPr>
      <w:r>
        <w:rPr>
          <w:rFonts w:ascii="Arial" w:cs="Arial" w:eastAsia="Arial" w:hAnsi="Arial"/>
          <w:sz w:val="16"/>
          <w:szCs w:val="16"/>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2" w:name="page73"/>
    <w:bookmarkEnd w:id="72"/>
    <w:p>
      <w:pPr>
        <w:ind w:right="20"/>
        <w:spacing w:after="0" w:line="255" w:lineRule="auto"/>
        <w:rPr>
          <w:sz w:val="20"/>
          <w:szCs w:val="20"/>
          <w:color w:val="auto"/>
        </w:rPr>
      </w:pPr>
      <w:r>
        <w:rPr>
          <w:rFonts w:ascii="Arial" w:cs="Arial" w:eastAsia="Arial" w:hAnsi="Arial"/>
          <w:sz w:val="18"/>
          <w:szCs w:val="18"/>
          <w:color w:val="auto"/>
        </w:rPr>
        <w:t>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28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nalbuphine ER or any future product candidate.</w:t>
      </w:r>
    </w:p>
    <w:p>
      <w:pPr>
        <w:spacing w:after="0" w:line="1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nalbuphine ER or any future product candidate. If any third-party patents or patent applications are found to cover nalbuphine ER or any future product candidate or their methods of use, we may not be free to manufacture or market the product candidates as planned without obtaining a license, which may not be available on commercially reasonable terms, or at all.</w:t>
      </w:r>
    </w:p>
    <w:p>
      <w:pPr>
        <w:spacing w:after="0" w:line="19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nalbuphine ER or any future product candidates, including interference proceedings before the USPTO. There may be third-party patents or patent applications with claims to materials, formulations, methods of manufacture or methods for treatment related to nalbuphine ER or any future product candidate. Because patent applications can take many years to issue, there may be currently pending patent applications which may later result in issued patents that nalbuphine ER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ind w:right="80" w:firstLine="589"/>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nalbuphine ER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9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79" w:lineRule="exact"/>
        <w:rPr>
          <w:sz w:val="20"/>
          <w:szCs w:val="20"/>
          <w:color w:val="auto"/>
        </w:rPr>
      </w:pPr>
    </w:p>
    <w:p>
      <w:pPr>
        <w:ind w:right="220" w:firstLine="589"/>
        <w:spacing w:after="0" w:line="272"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w:t>
      </w:r>
    </w:p>
    <w:p>
      <w:pPr>
        <w:spacing w:after="0" w:line="19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4"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3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nalbuphine ER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right="20" w:firstLine="589"/>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0"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nalbuphine ER or any future product candidate, our competitive position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nalbuphine ER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the FDA does not conclude that nalbuphine ER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63"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commenced our Phase 2b/3 PRISM trial of nalbuphine ER for the treatment of pruritus associated with prurigo nodularis and expect to conduct an additional Phase 3 clinical trial of nalbuphine ER for the treatment of pruritus associated with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nalbuphine ER for the treatment of pruritus associated with prurigo nodularis and any future product candidates by potentially decreasing the amount of preclinical and clinical data that we would need to generate in order to obtain FDA approval. However, while we believe that nalbuphine ER is a reformulation of an existing drug or biologic and, therefore, will not be treated as a new chemical entity, or NCE, the submission of an NDA under the Section 505(b)(2) or similar regulatory pathway does not preclude the FDA from determining that nalbuphine ER is an NCE and therefore not eligible for review under such regulatory pathway.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ind w:right="20" w:firstLine="589"/>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nalbuphine ER for the treatment of pruritus associated with prurigo nodularis and any future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7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82"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9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nalbuphine ER or any future product candidate. As a result, we cannot predict when or if, and in which territories, we will obtain marketing approval to commercialize a product candidate.</w:t>
      </w:r>
    </w:p>
    <w:p>
      <w:pPr>
        <w:spacing w:after="0" w:line="4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nalbuphine ER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w:t>
      </w:r>
    </w:p>
    <w:p>
      <w:pPr>
        <w:spacing w:after="0" w:line="192"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nalbuphine ER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7" w:name="page78"/>
    <w:bookmarkEnd w:id="77"/>
    <w:p>
      <w:pPr>
        <w:ind w:firstLine="589"/>
        <w:spacing w:after="0" w:line="273"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420" w:firstLine="589"/>
        <w:spacing w:after="0" w:line="308" w:lineRule="auto"/>
        <w:rPr>
          <w:sz w:val="20"/>
          <w:szCs w:val="20"/>
          <w:color w:val="auto"/>
        </w:rPr>
      </w:pPr>
      <w:r>
        <w:rPr>
          <w:rFonts w:ascii="Arial" w:cs="Arial" w:eastAsia="Arial" w:hAnsi="Arial"/>
          <w:sz w:val="17"/>
          <w:szCs w:val="17"/>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25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nalbuphine ER, and may conduct clinical trials for any future product candidates, at sites outside the United States. The FDA may not accept data from trials conducted in such locations and the conduct of trials outside the United States could subject us to additional delays and expense.</w:t>
      </w:r>
    </w:p>
    <w:p>
      <w:pPr>
        <w:spacing w:after="0" w:line="76"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have conducted, are conducting and intend in the future to conduct clinical trials for nalbuphine ER,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nalbuphine ER or the applicable future product candidate.</w:t>
      </w:r>
    </w:p>
    <w:p>
      <w:pPr>
        <w:spacing w:after="0" w:line="182"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adverse impact on us. Risks inherent in conducting international clinical trials include:</w:t>
      </w:r>
    </w:p>
    <w:p>
      <w:pPr>
        <w:spacing w:after="0" w:line="62" w:lineRule="exact"/>
        <w:rPr>
          <w:sz w:val="20"/>
          <w:szCs w:val="20"/>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8" w:name="page79"/>
    <w:bookmarkEnd w:id="78"/>
    <w:p>
      <w:pPr>
        <w:ind w:right="24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nalbuphine ER or any future product candidate from being marketed in other countries. Any marketing approval we are granted in the United States would not assure marketing approval in foreign jurisdictions.</w:t>
      </w:r>
    </w:p>
    <w:p>
      <w:pPr>
        <w:spacing w:after="0" w:line="16"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nalbuphine ER or any future product candidate will be harmed and our business, financial condition, results of operations and prospects may be adversely affected.</w:t>
      </w:r>
    </w:p>
    <w:p>
      <w:pPr>
        <w:spacing w:after="0" w:line="186"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 The Prime Minister has also indicated that the United Kingdom will not accept high regulatory alignment with the European Union.</w:t>
      </w:r>
    </w:p>
    <w:p>
      <w:pPr>
        <w:spacing w:after="0" w:line="166"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26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nalbuphine ER or any future product candidate.</w:t>
      </w:r>
    </w:p>
    <w:p>
      <w:pPr>
        <w:spacing w:after="0" w:line="7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Moreover, even if we do receive such a designation, we may not experience a faster development process, review or approval compared to conventional FDA procedures and there is no assurance that the product candidate will be approved by the FDA.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46" w:lineRule="exact"/>
        <w:rPr>
          <w:sz w:val="20"/>
          <w:szCs w:val="20"/>
          <w:color w:val="auto"/>
        </w:rPr>
      </w:pPr>
    </w:p>
    <w:p>
      <w:pPr>
        <w:ind w:right="260" w:firstLine="589"/>
        <w:spacing w:after="0" w:line="311"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any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expect that any regulatory approval to market nalbuphine ER in the United States will be limited by indication. If we fail to comply or are found to be in violation of FDA and other regulations restricting the promotion of nalbuphine ER for unapproved uses, we could be subject to criminal penalties, substantial fines or other sanctions and damage awards.</w:t>
      </w:r>
    </w:p>
    <w:p>
      <w:pPr>
        <w:spacing w:after="0" w:line="7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If our clinical trials are successful, we intend to seek approval to market nalbuphine ER for the treatment of pruritus associated with prurigo nodularis. If we obtain regulatory approval to market nalbuphine ER with an indication statement for the treatment of pruritus associated with prurigo nodularis, we expect to be prohibited from marketing nalbuphine ER using any promotional claims relating to treatment of pruritus generally. Marketing of nalbuphine ER may also be limited by regulatory authorities based on use as a monotherapy or adjuvant, concomitant medications, severity of pruritus and other factors.</w:t>
      </w:r>
    </w:p>
    <w:p>
      <w:pPr>
        <w:spacing w:after="0" w:line="188"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nalbuphine ER to treat pruritic conditions other than pruritus associated with prurigo nodularis, nalbuphine ER cannot be promoted for uses other than uses approved in the labeling by the FDA, EMA or other applicable regulatory authorities. Physicians may nevertheless prescribe nalbuphine ER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nalbuphine ER for unapproved uses. We also cannot be sure that our employees will comply with company policies and applicable regulations regarding the promotion of products for unapproved uses.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ind w:right="40" w:firstLine="589"/>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the government must decide whether to intervene and prosecute the case. If it declines, the individual may pursue the case alone.</w:t>
      </w:r>
    </w:p>
    <w:p>
      <w:pPr>
        <w:spacing w:after="0" w:line="17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195"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do not market any product for which we receive marketing approval for only its approved indications,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66" w:lineRule="exact"/>
        <w:rPr>
          <w:sz w:val="20"/>
          <w:szCs w:val="20"/>
          <w:color w:val="auto"/>
        </w:rPr>
      </w:pPr>
    </w:p>
    <w:p>
      <w:pPr>
        <w:ind w:right="20" w:firstLine="589"/>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Under the 21st Century Cures Act and regulatory reform initiatives of the current presidential administration, the FDA’s policies, regulations and guidance may be revised or revoked, which could prevent, limit or delay regulatory approval of nalbuphine ER or any future product candidate, impacting our ability to generate revenue.</w:t>
      </w:r>
    </w:p>
    <w:p>
      <w:pPr>
        <w:spacing w:after="0" w:line="7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other countries.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under-resourced FDA could result in delays in the FDA’s responsiveness or in its ability to review submissions or applications, issue regulations or guidance, or implement or enforce regulatory requirements in a timely fashion or at all. In January 2017, the President issued an executive order applicable to all executive agencies, including the FDA, which required that for each notice of proposed rulemaking or final regulation to be issued in fiscal year 2017, the agency shall have identified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in February 2017, the administration indicates that the “two-for-one” provisions may apply not only to agency regulations, but also to significant agency guidance documents. In addition, on February 24, 2017, the President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It is difficult to predict how these various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ind w:right="26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nalbuphine ER or any future product candidate and may affect the prices we may obtain.</w:t>
      </w:r>
    </w:p>
    <w:p>
      <w:pPr>
        <w:spacing w:after="0" w:line="62"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nalbuphine ER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176"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In March 2010, then-President Obama signed into law the Patient Protection and Affordable Care Act, as amended by the Health Care and Education Reconciliation Act, or collectively, the ACA. Among the provisions of the ACA of potential importance to our business and nalbuphine ER or any future product candidate are the following:</w:t>
      </w:r>
    </w:p>
    <w:p>
      <w:pPr>
        <w:spacing w:after="0" w:line="76" w:lineRule="exact"/>
        <w:rPr>
          <w:sz w:val="20"/>
          <w:szCs w:val="20"/>
          <w:color w:val="auto"/>
        </w:rPr>
      </w:pPr>
    </w:p>
    <w:p>
      <w:pPr>
        <w:ind w:left="1020" w:hanging="432"/>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20" w:right="680" w:hanging="43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20" w:right="600" w:hanging="43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product for which we may obtain regulatory approval or the frequency with which any such product is prescribed or used.</w:t>
      </w:r>
    </w:p>
    <w:p>
      <w:pPr>
        <w:spacing w:after="0" w:line="17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3" w:name="page84"/>
    <w:bookmarkEnd w:id="83"/>
    <w:p>
      <w:pPr>
        <w:ind w:right="120" w:firstLine="589"/>
        <w:spacing w:after="0" w:line="284" w:lineRule="auto"/>
        <w:rPr>
          <w:sz w:val="20"/>
          <w:szCs w:val="20"/>
          <w:color w:val="auto"/>
        </w:rPr>
      </w:pPr>
      <w:r>
        <w:rPr>
          <w:rFonts w:ascii="Arial" w:cs="Arial" w:eastAsia="Arial" w:hAnsi="Arial"/>
          <w:sz w:val="16"/>
          <w:szCs w:val="16"/>
          <w:color w:val="auto"/>
        </w:rPr>
        <w:t>Since enactment of the ACA, there have been , and continue to be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w:t>
      </w:r>
    </w:p>
    <w:p>
      <w:pPr>
        <w:spacing w:after="0" w:line="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70 percent the point-of-sale discount that is owed by pharmaceutical manufacturers who participate in Medicare Part D and to close the coverage gap in most Medicare drug plans, commonly referred to as the “donut hole.” Congress may consider other legislation to replace elements of the ACA during the next Congressional session.</w:t>
      </w:r>
    </w:p>
    <w:p>
      <w:pPr>
        <w:spacing w:after="0" w:line="190" w:lineRule="exact"/>
        <w:rPr>
          <w:sz w:val="20"/>
          <w:szCs w:val="20"/>
          <w:color w:val="auto"/>
        </w:rPr>
      </w:pPr>
    </w:p>
    <w:p>
      <w:pPr>
        <w:ind w:firstLine="589"/>
        <w:spacing w:after="0" w:line="274" w:lineRule="auto"/>
        <w:rPr>
          <w:sz w:val="20"/>
          <w:szCs w:val="20"/>
          <w:color w:val="auto"/>
        </w:rPr>
      </w:pPr>
      <w:r>
        <w:rPr>
          <w:rFonts w:ascii="Arial" w:cs="Arial" w:eastAsia="Arial" w:hAnsi="Arial"/>
          <w:sz w:val="17"/>
          <w:szCs w:val="17"/>
          <w:color w:val="auto"/>
        </w:rPr>
        <w:t>The current presidential administration has also taken executive actions to undermine or delay implementation of the ACA. Since January 2017, the President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more than $12 billion in ACA risk corridor payments to third-party payors who argued were owed to them. This decision is under review by the U.S. Supreme Court during its current term. The full effects of this gap in reimbursement on third-party payors, the viability of the ACA marketplace, providers, and potentially our business, are not yet known. In addition,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7"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current presidential administration and CMS have both stated that the ruling will have no immediate effect, and on December 30, 2018 the same judge issued an order staying the judgment pending appeal. The current presidential administration recently represented to the Court of Appeals considering this judgment that it does not oppose the lower court’s ruling. On July 10, 2019, the Court of Appeals for the Fifth Circuit heard oral argument in this case.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 We plan to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uncertain in many respects, it is also possible that some of the ACA provisions that generally are not favorable for the research-based pharmaceutical industry could also be repealed along with ACA coverage expansion provisions. Accordingly, such reforms, if enacted, could have an adverse effect on anticipated revenue from product candidates that we may successfully develop and for which we may obtain marketing approval and may affect our overall financial condition and ability to develop commercialize product candidates.</w:t>
      </w:r>
    </w:p>
    <w:p>
      <w:pPr>
        <w:spacing w:after="0" w:line="16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 has pressed for further drug price control measures to be enacted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Any proposed measures will require authorization through additional legislation to become effective, and Congress and the current presidential administration have each indicated that it will continue to seek new legislative and/or administrative measures to control drug costs. It is unclear, however, whether the Congress and administration will be able to reach agreement on any such measures in the foreseeable future.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firstLine="589"/>
        <w:spacing w:after="0" w:line="286" w:lineRule="auto"/>
        <w:rPr>
          <w:sz w:val="20"/>
          <w:szCs w:val="20"/>
          <w:color w:val="auto"/>
        </w:rPr>
      </w:pPr>
      <w:r>
        <w:rPr>
          <w:rFonts w:ascii="Arial" w:cs="Arial" w:eastAsia="Arial" w:hAnsi="Arial"/>
          <w:sz w:val="16"/>
          <w:szCs w:val="16"/>
          <w:color w:val="auto"/>
        </w:rPr>
        <w:t>In addition, on May 11, 2018, the current presidential administration issued a plan to lower drug prices. Under this blueprint for action, the current presidential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improve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current presidential administration published a proposed rulemaking that, if finalized,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171"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w:t>
      </w:r>
    </w:p>
    <w:p>
      <w:pPr>
        <w:spacing w:after="0" w:line="192" w:lineRule="exact"/>
        <w:rPr>
          <w:sz w:val="20"/>
          <w:szCs w:val="20"/>
          <w:color w:val="auto"/>
        </w:rPr>
      </w:pPr>
    </w:p>
    <w:p>
      <w:pPr>
        <w:ind w:right="340" w:firstLine="589"/>
        <w:spacing w:after="0" w:line="275"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FDA regulations, guidance or interpretations will be changed, or what the impact of such changes on the marketing approvals of our drug candidates, if any, may be. In addition, increased scrutiny by the Congress of the FDA’s approval process may significantly delay or prevent marketing approval, as well as subject us and any collaborators to more stringent drug labeling and post-marketing testing and other requirements.</w:t>
      </w:r>
    </w:p>
    <w:p>
      <w:pPr>
        <w:spacing w:after="0" w:line="2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ind w:firstLine="589"/>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for which payment is available under Medicare, Medicaid or the Children’s Health Insurance Program, with specific exceptions, to report annually to CMS information related to payments or transfers of value made to physicians and teaching hospitals, as well as information regarding ownership and investment interests held by physicians and their immediate family members.</w:t>
      </w:r>
    </w:p>
    <w:p>
      <w:pPr>
        <w:spacing w:after="0" w:line="187"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ind w:right="280" w:firstLine="589"/>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6" w:name="page87"/>
    <w:bookmarkEnd w:id="86"/>
    <w:p>
      <w:pPr>
        <w:ind w:right="80" w:firstLine="589"/>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2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If we further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66"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ind w:right="120" w:firstLine="589"/>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 product to other available therapies. If reimbursement of any products is unavailable or limited in scope or amount, or if pricing is set at unsatisfactory levels, our business could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nalbuphine ER or any future product candidate could be significantly delayed.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8" w:name="page89"/>
    <w:bookmarkEnd w:id="88"/>
    <w:p>
      <w:pPr>
        <w:ind w:right="40" w:firstLine="589"/>
        <w:spacing w:after="0" w:line="269"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are highly dependent on Jennifer Good, our President and Chief Executive Officer; Thomas Sciascia, M.D., our Chief Medical Officer; and Helena Brett-Smith, M.D.,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and except with respect to Yann Mazabraud, our Chief Commercial Officer and Head of International, whose employment agreement provides for a three-month termination notice period, all of 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6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8"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nalbuphine ER or any future product candidate will be limited.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As of December 31, 2019 we had 17 employees. We expect to experience significant growth in the number of our employees and the scope of our operations, particularly in the areas of clinical development and regulatory affairs. In addition,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nalbuphine ER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w:t>
      </w:r>
    </w:p>
    <w:p>
      <w:pPr>
        <w:spacing w:after="0" w:line="28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and results of clinical trials of nalbuphine ER or any future product candidates;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regulatory actions with respect to nalbuphine ER or any future product candidates or competitors’ products and product candidates;</w:t>
      </w:r>
    </w:p>
    <w:p>
      <w:pPr>
        <w:spacing w:after="0" w:line="128" w:lineRule="exact"/>
        <w:rPr>
          <w:rFonts w:ascii="Arial" w:cs="Arial" w:eastAsia="Arial" w:hAnsi="Arial"/>
          <w:sz w:val="17"/>
          <w:szCs w:val="17"/>
          <w:color w:val="auto"/>
        </w:rPr>
      </w:pPr>
    </w:p>
    <w:p>
      <w:pPr>
        <w:ind w:left="1020" w:right="860" w:hanging="43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United States and other countries;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225"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In addition, the novel coronavirus has been spreading rapidly around the world since December 2019 and has negatively affected the stock market and investor sentiment. The price and volatility of our common stock may be disproportionately affected as investors may favor traditional profit-making industries and companies during the times of market uncertainty and instability.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 significant portion of our outstanding shares of common stock are eligible to be sold in the public market in the near future, which could cause the trading price of our common stock to decline significantly.</w:t>
      </w:r>
    </w:p>
    <w:p>
      <w:pPr>
        <w:spacing w:after="0" w:line="62"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2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84" w:lineRule="exact"/>
        <w:rPr>
          <w:sz w:val="20"/>
          <w:szCs w:val="20"/>
          <w:color w:val="auto"/>
        </w:rPr>
      </w:pPr>
    </w:p>
    <w:p>
      <w:pPr>
        <w:jc w:val="both"/>
        <w:ind w:right="60" w:firstLine="589"/>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2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16" w:lineRule="exact"/>
        <w:rPr>
          <w:sz w:val="20"/>
          <w:szCs w:val="20"/>
          <w:color w:val="auto"/>
        </w:rPr>
      </w:pPr>
    </w:p>
    <w:p>
      <w:pPr>
        <w:ind w:right="480" w:firstLine="589"/>
        <w:spacing w:after="0" w:line="259" w:lineRule="auto"/>
        <w:rPr>
          <w:sz w:val="20"/>
          <w:szCs w:val="20"/>
          <w:color w:val="auto"/>
        </w:rPr>
      </w:pPr>
      <w:r>
        <w:rPr>
          <w:rFonts w:ascii="Arial" w:cs="Arial" w:eastAsia="Arial" w:hAnsi="Arial"/>
          <w:sz w:val="18"/>
          <w:szCs w:val="18"/>
          <w:color w:val="auto"/>
        </w:rPr>
        <w:t>Our executive officers and directors and their affiliates and our significant stockholders in the aggregate, beneficially own shares representing approximately 73.0% of our common stock as of March 16, 2020.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w:t>
      </w:r>
    </w:p>
    <w:p>
      <w:pPr>
        <w:spacing w:after="0" w:line="79" w:lineRule="exact"/>
        <w:rPr>
          <w:sz w:val="20"/>
          <w:szCs w:val="20"/>
          <w:color w:val="auto"/>
        </w:rPr>
      </w:pPr>
    </w:p>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17"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170"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2" w:name="page93"/>
    <w:bookmarkEnd w:id="92"/>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any future debt financing that we may obtain may also preclude us from declaring and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2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will be required to furnish a report by our management on our internal control over financial reporting beginning with our Annual Report on Form 10-K for our fiscal year ending December 31, 2020. However, while we remain an emerging growth company or a smaller reporting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have never been required to test our internal control within a specified period and despite our efforts, there is a risk that we will not be able to conclude, within the prescribed timeframe or at all,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our management team have limited experience managing a public company.</w:t>
      </w:r>
    </w:p>
    <w:p>
      <w:pPr>
        <w:spacing w:after="0" w:line="117"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daily management of our business, which could materially adversely affect our business, financial condition and operating results.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As of December 31, 2019, we had federal and state net operating loss carryforwards of $106.8 million, and federal research and development tax credit carryforwards of $3.2 million, which if not utilized generally will begin to expire in 2031 and 2032, respectively. These net operating loss and tax credit carryforwards could expire unused and be unavailable to offset future income tax liabilities. Under the Tax Act, federal net operating losses generated after December 31, 2017 are not subject to expiration, but the deductibility of such federal net operating losses is limited to 80% of our taxable income in any future taxable year. In addition, due to our Series A convertible preferred stock financing in December 2012 and the shares issued in connection with our IPO in May 2019, we were subject to an “ownership change” under Section 382 of the Internal Revenue Code of 1986, as amended. As a result, our ability to use approximately $91.3 million of our net operating loss carryforwards and approximately $3.0 million of our research tax credits is limited. We may experience further ownership changes in the future as a result of subsequent shifts in our stock ownership, some of which may be outside of our control. If a further ownership change occurred, our ability to use our net operating loss carryforwards might be further limited. We have not conducted a detailed study to document whether our historical activities qualify to support the research and development credit carryforwards. A detailed study could result in adjustment to our research and development credit carryforwards. If we determine that an ownership change has occurred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20" w:right="200" w:hanging="432"/>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1020" w:right="340" w:hanging="432"/>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1020" w:right="200" w:hanging="432"/>
        <w:spacing w:after="0" w:line="26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1020" w:right="200" w:hanging="432"/>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5" w:name="page96"/>
    <w:bookmarkEnd w:id="95"/>
    <w:p>
      <w:pPr>
        <w:jc w:val="both"/>
        <w:ind w:right="100"/>
        <w:spacing w:after="0" w:line="30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49"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jc w:val="both"/>
        <w:ind w:right="100" w:firstLine="8"/>
        <w:spacing w:after="0" w:line="270"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17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40" w:firstLine="589"/>
        <w:spacing w:after="0" w:line="286" w:lineRule="auto"/>
        <w:rPr>
          <w:sz w:val="20"/>
          <w:szCs w:val="20"/>
          <w:color w:val="auto"/>
        </w:rPr>
      </w:pPr>
      <w:r>
        <w:rPr>
          <w:rFonts w:ascii="Arial" w:cs="Arial" w:eastAsia="Arial" w:hAnsi="Arial"/>
          <w:sz w:val="17"/>
          <w:szCs w:val="17"/>
          <w:color w:val="auto"/>
        </w:rPr>
        <w:t>Our headquarters is currently located in New Haven, Connecticut, and consists of approximately 5,600 square feet of leased office space under a lease that expires in February 2023 under which we have an option to extend the lease by an additional year. We believe that our existing facilities are adequate for our current needs; however, we may require additional space and facilities as our business expands.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not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40"/>
        <w:spacing w:after="0" w:line="38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Our common stock is listed on the Nasdaq Stock Market LLC under the symbol “TRVI.” Trading of our common stock commenced on May 7, 2019 in connection with our initial public offering, or IPO. Prior to that time, there was no established public trading market for our common stock.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right="20" w:firstLine="589"/>
        <w:spacing w:after="0" w:line="342" w:lineRule="auto"/>
        <w:rPr>
          <w:sz w:val="20"/>
          <w:szCs w:val="20"/>
          <w:color w:val="auto"/>
        </w:rPr>
      </w:pPr>
      <w:r>
        <w:rPr>
          <w:rFonts w:ascii="Arial" w:cs="Arial" w:eastAsia="Arial" w:hAnsi="Arial"/>
          <w:sz w:val="16"/>
          <w:szCs w:val="16"/>
          <w:color w:val="auto"/>
        </w:rPr>
        <w:t>As of March 10, 2020, there were approximately 27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have never declared or paid cash dividends on our common stock and we do not intend to pay any cash dividends in the foreseeable future. We currently intend to retain all available funds and any future earnings to finance the operation, development and growth of our business. In addition, the terms of any future debt or other financing that we may obtain may also preclude us from declaring or paying dividends on our common stock.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121"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The information concerning our equity compensation plan is incorporated by reference from the information in our Proxy Statement for our 2020 Annual Meeting of Stockholders, which we will file with the SEC within 120 days of the end of the fiscal year to which this Annual Report on Form 10-K relates.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May 9, 2019, we closed our IPO, in which we issued and sold 5,500,000 shares of common stock at a public offering price of $10.00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gross proceeds to us from our IPO offering were $55.0 million.</w:t>
      </w:r>
    </w:p>
    <w:p>
      <w:pPr>
        <w:spacing w:after="0" w:line="211"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All of the shares of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14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170"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As of December 31, 2019, we had not used any of the net proceeds from the IPO.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40" w:firstLine="589"/>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“could,” “continue”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Annual Report on Form 10-K, particularly including those risks identified in Part I-Item 1A “Risk Factors” and our other filings with the SEC.</w:t>
      </w:r>
    </w:p>
    <w:p>
      <w:pPr>
        <w:spacing w:after="0" w:line="194"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We caution readers not to place undue reliance on any forward-looking statements made by us, which speak only as of the date they are made.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60" w:firstLine="589"/>
        <w:spacing w:after="0" w:line="26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nalbuphine ER to treat serious neurologically mediated conditions. We are developing nalbuphine ER for the treatment of chronic pruritus, chronic cough in patients with idiopathic pulmonary fibrosis, or IPF, and levodopa-induced dyskinesia, or LID, in patients with Parkinson’s disease.</w:t>
      </w:r>
    </w:p>
    <w:p>
      <w:pPr>
        <w:spacing w:after="0" w:line="184"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are conducting a Phase 2b/3 clinical trial of nalbuphine ER, which we refer to as the PRISM trial, in patients with severe pruritus associated with prurigo nodularis. The PRISM trial is a randomized, double-blind, placebo controlled, two-arm treatment study that is designed to evaluate the safety and anti-pruritic efficacy of nalbuphine ER in approximately 240 patients in the United States and Europe. To date, we have enrolled approximately 45% of the target number of patients. The pace of enrollment has been slower than anticipated primarily due to competition from other clinical trials and slower than planned site start-ups in Europe. We expect to report top-line data from the 14-week blinded treatment period of the PRISM trial in the second half of 2020. Additionally, the protocol for the PRISM trial provides for a sample size re-estimation analysis once 50% of the patients in the trial are evaluable for the primary endpoint. We expect to reach 50% patient enrollment during the second quarter of 2020. Once all of these patients complete the primary efficacy endpoint, the sample size re-estimation analysis will occur. We expect this analysis will occur in mid-2020. If we increase the target number of patients in the trial as a result of the re-estimation analysis, the timing of our report of top-line data may be delayed.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jc w:val="both"/>
        <w:ind w:right="40" w:firstLine="589"/>
        <w:spacing w:after="0" w:line="311" w:lineRule="auto"/>
        <w:rPr>
          <w:sz w:val="20"/>
          <w:szCs w:val="20"/>
          <w:color w:val="auto"/>
        </w:rPr>
      </w:pPr>
      <w:r>
        <w:rPr>
          <w:rFonts w:ascii="Arial" w:cs="Arial" w:eastAsia="Arial" w:hAnsi="Arial"/>
          <w:sz w:val="16"/>
          <w:szCs w:val="16"/>
          <w:color w:val="auto"/>
        </w:rPr>
        <w:t>We are also conducting a Phase 2 clinical trial of nalbuphine ER for chronic cough in patients with IPF. This Phase 2 clinical trial is a randomized, double-blind, placebo controlled, two-treatment, two-period, crossover study designed to evaluate the efficacy, safety, tolerability and dosing of nalbuphine ER for chronic cough in up to 56 patients with IPF in the United Kingdom. We expect to report top-line data from the trial in the second half of 2020.</w:t>
      </w:r>
    </w:p>
    <w:p>
      <w:pPr>
        <w:spacing w:after="0" w:line="149"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In addition, we are conducting a Phase 1b clinical trial in patients with chronic liver disease to evaluate the safety and pharmacokinetics, or PK, of nalbuphine ER in this population. This trial was designed as an open label, non-randomized, parallel-group, single and multiple ascending dose pharmacokinetic trial in patients with mild, moderate and severe hepatic impairment. We completed the single ascending dosing portion of this trial in patients with mild and moderate hepatic impairment and there were no serious adverse events reported in the trial. After reviewing the safety and PK data generated to date in the single ascending dose portion of the trial, we believe that these data are sufficient to support further investigation of nalbuphine ER in potential future safety and efficacy studies in patients with relevant liver diseases. We intend to start planning for a Phase 2 trial of nalbuphine ER in patients with pruritus associated with primary biliary cholangitis, or PBC. In addition, we intend to use the data from the hepatic impairment study to support a new drug application, or NDA, submission for nalbuphine ER for pruritus in prurigo nodularis.</w:t>
      </w:r>
    </w:p>
    <w:p>
      <w:pPr>
        <w:spacing w:after="0" w:line="178"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We have written the protocol for a Phase 2 clinical trial for LID in patients with Parkinson’s disease and plan to submit an Investigational New Drug, or IND, application to the FDA in the upcoming months.</w:t>
      </w:r>
    </w:p>
    <w:p>
      <w:pPr>
        <w:spacing w:after="0" w:line="170"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We are currently focusing our resources on completing the PRISM trial and Phase 2 trial for chronic cough in patients with IPF. We are continuing to prepare to conduct the Phase 2 trials for LID in patients with Parkinson’s disease and pruritus associated with PBC but plan to prioritize our cash and operational resources on our two lead clinical programs.</w:t>
      </w:r>
    </w:p>
    <w:p>
      <w:pPr>
        <w:spacing w:after="0" w:line="184"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Since commencing operations in 2011, we have devoted substantially all of our efforts and financial resources to the clinical development of nalbuphine ER. We have not generated any revenue from product sales and, as a result, we have never been profitable and have incurred net losses in each year since commencement of our operations. As of December 31, 2019, we had an accumulated deficit of $114.2 million, primarily as a result of research and development and general and administrative expenses. We do not expect to generate product revenue unless and until we obtain marketing approval for and commercialize nalbuphine ER for the treatment of pruritus associated with prurigo nodularis, chronic cough in patients with IPF or LID in patients with Parkinson’s disease, and we can provide no assurance that we will ever generate significant revenue or profits.</w:t>
      </w:r>
    </w:p>
    <w:p>
      <w:pPr>
        <w:spacing w:after="0" w:line="178"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On May 9, 2019, we issued and sold 5,500,000 shares of common stock in our initial public offering, or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19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As of December 31, 2019, we had cash and cash equivalents of $57.3 million. We believe that our existing cash and cash equivalents will enable us to fund our operating expenses and capital expenditure requirements into the third quarter of 2021. Our estimate as to how long we expect our existing cash and cash equivalents to continue to fund our operations is based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188"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the additional Phase 3 clinical trial we will be required to conduct to support the submission of an NDA to the United States Food and Drug Administration, or FDA, for nalbuphine ER for the treatment of pruritus associated with prurigo nodularis, our ongoing Phase 2 clinical trial in chronic cough in patients with IPF, the development and validation of our commercial manufacturing process for nalbuphine ER and other development activities, including potentially commencing Phase 2 clinical trials for the treatment of LID in patients with Parkinson’s disease and for pruritus associated with PBC. Furthermore, we expect to incur additional costs associated with operating as a public company, including significant legal, accounting, investor relations and other expenses that we did not incur as a private company.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9" w:name="page100"/>
    <w:bookmarkEnd w:id="99"/>
    <w:p>
      <w:pPr>
        <w:ind w:right="220" w:firstLine="589"/>
        <w:spacing w:after="0" w:line="296"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nalbuphine ER,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nalbuphine ER for one or more indications or delay our efforts to expand our product pipeline.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All of our research and development expenses consist of expenses incurred in connection with the development of nalbuphine ER. These expenses include certain payroll and personnel expenses,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nalbuphine ER, as a significant amount of our development activities broadly support all indications. In addition, several of our departments support our nalbuphine ER drug candidate development program and we do not identify internal costs for each potential indication.</w:t>
      </w:r>
    </w:p>
    <w:p>
      <w:pPr>
        <w:spacing w:after="0" w:line="192"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expect our research and development expenses to increase over the next few years as we pursue our development program, pursue regulatory approval of nalbuphine ER in the United States and Europe and prepare for a possible commercial launch of nalbuphine ER. Predicting the timing or the cost to conduct our nalbuphine ER development program and prepare for a possible commercial launch of nalbuphine ER is difficult and delays may occur because of many factors including factors outside of our control such as the sample size re-estimation for our PRISM trial.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nalbuphine ER will receive regulatory approval in the United States or elsewhere with any certainty.</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184"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stock exchange listing and SEC requirements, investor relations costs and director and officer insurance premiums associated with being a public company.</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Interest Expense on our Term Loan Facility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December 2014, we entered into a loan and security agreement with Solar Capital, Ltd. and Square 1 Bank under which we borrowed</w:t>
      </w:r>
    </w:p>
    <w:p>
      <w:pPr>
        <w:spacing w:after="0" w:line="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$15.0 million under a term loan, or the Term Loan. The Term Loan accrued interest at a floating rate equal to the one-month LIBOR plus 7.75% per annum. The Term Loan required interest-only payments until March 2016, which was extended to November 2016. After November 2016, payments on the Term Loan were made monthly in 20 equal installments of principal plus interest. In June 2018, we paid all amounts owed under the Term Loan.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ind w:left="600"/>
        <w:spacing w:after="0"/>
        <w:rPr>
          <w:sz w:val="20"/>
          <w:szCs w:val="20"/>
          <w:color w:val="auto"/>
        </w:rPr>
      </w:pPr>
      <w:r>
        <w:rPr>
          <w:rFonts w:ascii="Arial" w:cs="Arial" w:eastAsia="Arial" w:hAnsi="Arial"/>
          <w:sz w:val="18"/>
          <w:szCs w:val="18"/>
          <w:i w:val="1"/>
          <w:iCs w:val="1"/>
          <w:color w:val="auto"/>
        </w:rPr>
        <w:t>Change in Fair Value of Series C Redeemable Convertible Preferred Stock Liability</w:t>
      </w:r>
    </w:p>
    <w:p>
      <w:pPr>
        <w:spacing w:after="0" w:line="117"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The stock purchase agreement under which we sold shares of Series C preferred stock provided for the issuance and sale of our Series C preferred stock in three separate tranches. The tranches represented a free-standing financial instrument under Accounting Standards Codification, or ASC, 480 and required fair value accounting until they were settled. We recognized a liability on our consolidated balance sheet for the obligations under this financial instrument. We adjusted this liability to fair value at each reporting date and recognized the changes in fair value in our statements of operations as a component of other income (expense), net. We continued to recognize changes in the fair value of this liability through the closing of the third tranche, which occurred on January 18, 2019.</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Change in Fair Value of Obligation for Loan Success Fee</w:t>
      </w:r>
    </w:p>
    <w:p>
      <w:pPr>
        <w:spacing w:after="0" w:line="117" w:lineRule="exact"/>
        <w:rPr>
          <w:sz w:val="20"/>
          <w:szCs w:val="20"/>
          <w:color w:val="auto"/>
        </w:rPr>
      </w:pPr>
    </w:p>
    <w:p>
      <w:pPr>
        <w:ind w:right="220" w:firstLine="589"/>
        <w:spacing w:after="0" w:line="296" w:lineRule="auto"/>
        <w:rPr>
          <w:sz w:val="20"/>
          <w:szCs w:val="20"/>
          <w:color w:val="auto"/>
        </w:rPr>
      </w:pPr>
      <w:r>
        <w:rPr>
          <w:rFonts w:ascii="Arial" w:cs="Arial" w:eastAsia="Arial" w:hAnsi="Arial"/>
          <w:sz w:val="16"/>
          <w:szCs w:val="16"/>
          <w:color w:val="auto"/>
        </w:rPr>
        <w:t>In connection with the Term Loan, we entered into the Success Fee Agreement under which we agreed to pay the lenders a Success Fee upon the occurrence of an exit event, as defined in the Success Fee Agreement. We classified this contingent obligation for the Success Fee as a liability on our consolidated balance sheet and we adjusted this liability to fair value at each reporting date. We recognized changes in the fair value of this obligation for the Success Fee in our statements of operations as a component of other income (expense), net. We recognized changes in the fair value of the obligation for the Success Fee until the Success Fee payment was triggered and paid upon the closing of our IPO in May 2019.</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19,339</w:t>
            </w:r>
          </w:p>
        </w:tc>
        <w:tc>
          <w:tcPr>
            <w:tcW w:w="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14,072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Series C redeemable convertible</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 liability</w:t>
            </w:r>
          </w:p>
        </w:tc>
        <w:tc>
          <w:tcPr>
            <w:tcW w:w="1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(2,105)</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1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Net loss</w:t>
            </w:r>
          </w:p>
        </w:tc>
        <w:tc>
          <w:tcPr>
            <w:tcW w:w="17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vMerge w:val="restart"/>
          </w:tcPr>
          <w:p>
            <w:pPr>
              <w:jc w:val="right"/>
              <w:ind w:right="850"/>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01" w:name="page102"/>
    <w:bookmarkEnd w:id="101"/>
    <w:p>
      <w:pPr>
        <w:ind w:left="6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15,579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10,828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19,339</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14,072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Research and development expenses increased $5.3 million, or 37.4%, from $14.1 million for the year ended December 31, 2018 to $19.3 million for the year ended December 31, 2019. The increase was primarily due to a $4.8 million increase in clinical development expenses primarily related to increased activities in several clinical trials including our Phase 2b/3 PRISM trial, our Phase 2 trial in chronic cough in patients with IPF and our Phase 1b trial in patients with chronic liver disease. In addition, personnel and related expenses increased by $0.3 million as a result of an increase in our employee headcount, and consulting expenses and professional fees increased by $0.3 million as a result of our increased clinical trial activity. For the years ended December 31, 2019 and 2018, all of our research and development expenses relate to our development activity for nalbuphine ER.</w:t>
      </w:r>
    </w:p>
    <w:p>
      <w:pPr>
        <w:spacing w:after="0" w:line="27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General and administrative expenses increased $3.0 million, or 68.5%, from $4.3 million for the year ended December 31, 2018 to $7.3 million for the year ended December 31, 2019. The increase was primarily due to an increase in personnel and stock-based compensation expenses of $1.4 million, which we incurred from the issuance of new stock option grants upon the IPO and from expanded operations, an increase in expenses related to being a public company of $1.1 million and an increase in consulting expenses and professional fees of $0.5 million.</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Other income (expense), net for the year ended December 31, 2019 increased to other income, net of $0.6 million from other (expense), net of $2.3 million for the year ended December 31, 2018. The increase primarily reflects the change in fair value of our liability during the year ended December 31, 2018 for the shares of Series C preferred stock purchasable in the second and third tranches of our Series C preferred stock financing as well as increased interest income of $0.8 million due to our larger cash balance following our IPO in May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the Term Loan. From inception to our IPO, we raised an aggregate of $102.2 million in gross proceeds from sales of our preferred stock and convertible notes and borrowed $15.0 million under the Term Loan. As of June 30, 2018, all amounts owed under the Term Loan had been paid in full.</w:t>
      </w:r>
    </w:p>
    <w:p>
      <w:pPr>
        <w:spacing w:after="0" w:line="188" w:lineRule="exact"/>
        <w:rPr>
          <w:sz w:val="20"/>
          <w:szCs w:val="20"/>
          <w:color w:val="auto"/>
        </w:rPr>
      </w:pPr>
    </w:p>
    <w:p>
      <w:pPr>
        <w:ind w:right="380" w:firstLine="589"/>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165"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As of December 31, 2019, we had cash and cash equivalents of $57.3 million. Our cash and cash equivalents are primarily held in money market accounts.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2" w:name="page103"/>
    <w:bookmarkEnd w:id="102"/>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(23,093)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(18,289)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73,213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cash increase (decrease)</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50,111</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(14,818)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During the year ended December 31, 2019, operating activities used $23.1 million of cash, resulting from our net loss of $26.1 million, partially offset by changes in our operating assets and liabilities of $1.6 million and non-cash charges of $1.4 million. Changes in our operating assets and liabilities for the year ended December 31, 2019 consisted primarily of a $1.4 million increase in accrued expenses, a $0.8 million increase in accounts payable, a $0.4 million increase in receivables, and a $0.2 million increase in prepaid expenses. The increase in accrued expenses was primarily due to increases in accruals related to our Phase 2b/3 PRISM trial in prurigo nodularis and our Phase 2 trial for chronic cough in IPF. The increase in accounts payable was primarily due to timing of vendor invoices. The increase in receivables was primarily due to prepayments made to one of our vendors, which we expect will be paid back to us in the first half of 2020. The increase in prepaid expenses was primarily due to prepayments of our insurance policies. The non-cash charges for the year ended December 31, 2019 consisted primarily of stock-based compensation expense of $1.1 million and changes in fair value of the Success Fee of $0.2 million.</w:t>
      </w:r>
    </w:p>
    <w:p>
      <w:pPr>
        <w:spacing w:after="0" w:line="181"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During the year ended December 31, 2018, operating activities used $18.3 million of cash, resulting from our net loss of $20.5 million and net cash used in changes in our operating assets and liabilities of $0.6 million, partially offset by non-cash charges of $2.8 million. Net cash used in changes in our operating assets and liabilities for the year ended December 31, 2018 consisted primarily of a $1.3 million increase in prepaid expenses. The increase in prepaid expenses was primarily due to increases in prepayments under our ongoing research, development and clinical trial work performed by CROs. The non-cash charges for the year ended December 31, 2018 consisted primarily of a $2.1 million expense related to the change in fair value of our Series C redeemable convertible preferred stock liability and stock-based compensation expense of $0.5 million.</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During the years ended December 31, 2019 and 2018, we used an insignificant amount of cash in investing activities, consisting of purchases of property and equipment.</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During the year ended December 31, 2019, net cash provided by financing activities was $73.2 million, primarily consisting of cash proceeds, net of underwriting discounts and commissions and placement agent fees, of $65.1 million from our IPO and concurrent private placement, and $10.0 million from our sales of shares of Series C preferred stock in the third tranche of our Series C preferred stock financing in January 2019, partially offset by costs relating to our IPO of $1.2 million and payment of the $0.7 million Success Fee.</w:t>
      </w:r>
    </w:p>
    <w:p>
      <w:pPr>
        <w:spacing w:after="0" w:line="187"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During the year ended December 31, 2018, net cash provided by financing activities was $3.6 million, primarily consisting of net cash proceeds of $10.5 million from our sales of shares of Series C preferred stock in the second tranche of our Series C preferred stock financing in August 2018, partially offset by payments of $4.8 million on the Term Loan and $0.5 million of final fees on the Term Loan.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ind w:left="6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the additional Phase 3 clinical trial we will need to conduct to support the submission of an NDA to the FDA and a marketing authorization application to the European Medicines Agency for nalbuphine ER for the treatment of pruritus associated with prurigo nodularis, our ongoing Phase 2 clinical trial in chronic cough in patients with IPF, the costs of commercialization activities, including manufacturing capabilities, for nalbuphine ER and other development activities including potentially commencing Phase 2 clinical trials for the treatment of LID in patients with Parkinson’s disease and for pruritus associated with PBC. Furthermore, we expect to continue to incur additional costs associated with operating as a public company, including significant legal, accounting, investor relations and other expenses that we did not incur as a private company.</w:t>
      </w:r>
    </w:p>
    <w:p>
      <w:pPr>
        <w:spacing w:after="0" w:line="165" w:lineRule="exact"/>
        <w:rPr>
          <w:sz w:val="20"/>
          <w:szCs w:val="20"/>
          <w:color w:val="auto"/>
        </w:rPr>
      </w:pPr>
    </w:p>
    <w:p>
      <w:pPr>
        <w:ind w:right="420" w:firstLine="589"/>
        <w:spacing w:after="0" w:line="301"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nalbuphine ER,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49" w:lineRule="exact"/>
        <w:rPr>
          <w:sz w:val="20"/>
          <w:szCs w:val="20"/>
          <w:color w:val="auto"/>
        </w:rPr>
      </w:pPr>
    </w:p>
    <w:p>
      <w:pPr>
        <w:ind w:left="1020" w:hanging="432"/>
        <w:spacing w:after="0" w:line="301"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nalbuphine ER for the treatment of pruritus associated with prurigo nodularis, including the results of the sample size re-estimation for our ongoing Phase 2b/3 PRISM trial that we expect will take place in mid-2020 as well as the scope, progress, timing, costs and results of clinical trials of nalbuphine ER for other serious neurologically mediated conditions, including our ongoing Phase 2 trial for chronic cough in patients with IPF, as well as any future product candidates;</w:t>
      </w:r>
    </w:p>
    <w:p>
      <w:pPr>
        <w:spacing w:after="0" w:line="49" w:lineRule="exact"/>
        <w:rPr>
          <w:rFonts w:ascii="Arial" w:cs="Arial" w:eastAsia="Arial" w:hAnsi="Arial"/>
          <w:sz w:val="16"/>
          <w:szCs w:val="16"/>
          <w:color w:val="auto"/>
        </w:rPr>
      </w:pPr>
    </w:p>
    <w:p>
      <w:pPr>
        <w:ind w:left="1020" w:right="62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nalbuphine ER or any future product candidates, and their respective development requirements;</w:t>
      </w:r>
    </w:p>
    <w:p>
      <w:pPr>
        <w:spacing w:after="0" w:line="62" w:lineRule="exact"/>
        <w:rPr>
          <w:rFonts w:ascii="Arial" w:cs="Arial" w:eastAsia="Arial" w:hAnsi="Arial"/>
          <w:sz w:val="18"/>
          <w:szCs w:val="18"/>
          <w:color w:val="auto"/>
        </w:rPr>
      </w:pPr>
    </w:p>
    <w:p>
      <w:pPr>
        <w:ind w:left="1020" w:right="10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planned human abuse liability study and our planned Thorough QT studies;</w:t>
      </w:r>
    </w:p>
    <w:p>
      <w:pPr>
        <w:spacing w:after="0" w:line="62"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nalbuphine ER or any future product candidate for clinical development in connection with regulatory submissions;</w:t>
      </w:r>
    </w:p>
    <w:p>
      <w:pPr>
        <w:spacing w:after="0" w:line="62" w:lineRule="exact"/>
        <w:rPr>
          <w:rFonts w:ascii="Arial" w:cs="Arial" w:eastAsia="Arial" w:hAnsi="Arial"/>
          <w:sz w:val="18"/>
          <w:szCs w:val="18"/>
          <w:color w:val="auto"/>
        </w:rPr>
      </w:pPr>
    </w:p>
    <w:p>
      <w:pPr>
        <w:jc w:val="both"/>
        <w:ind w:left="1020" w:right="240" w:hanging="432"/>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1020" w:right="380" w:hanging="432"/>
        <w:spacing w:after="0" w:line="342"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15" w:lineRule="exact"/>
        <w:rPr>
          <w:rFonts w:ascii="Arial" w:cs="Arial" w:eastAsia="Arial" w:hAnsi="Arial"/>
          <w:sz w:val="16"/>
          <w:szCs w:val="16"/>
          <w:color w:val="auto"/>
        </w:rPr>
      </w:pPr>
    </w:p>
    <w:p>
      <w:pPr>
        <w:ind w:left="1020" w:right="420" w:hanging="432"/>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1020" w:right="4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ind w:left="1020" w:right="160" w:hanging="43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third quarter of 2021.</w:t>
      </w:r>
    </w:p>
    <w:p>
      <w:pPr>
        <w:spacing w:after="0" w:line="170"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8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nalbuphine ER for pruritus associated with prurigo nodularis or any other indication.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w:t>
      </w:r>
    </w:p>
    <w:p>
      <w:pPr>
        <w:spacing w:after="0" w:line="166"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ind w:right="80" w:firstLine="589"/>
        <w:spacing w:after="0" w:line="255" w:lineRule="auto"/>
        <w:rPr>
          <w:sz w:val="20"/>
          <w:szCs w:val="20"/>
          <w:color w:val="auto"/>
        </w:rPr>
      </w:pPr>
      <w:r>
        <w:rPr>
          <w:rFonts w:ascii="Arial" w:cs="Arial" w:eastAsia="Arial" w:hAnsi="Arial"/>
          <w:sz w:val="18"/>
          <w:szCs w:val="18"/>
          <w:color w:val="auto"/>
        </w:rPr>
        <w:t>We have entered into agreements with CROs, contract manufacturing organizations and other companies. Our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our consolidated balance sheet. If the actual timing of the performance of services or the level of effort varies from the original estimates, we will adjust the accrual accordingly. Payments made to CROs, contract manufacturing organizations and other companies under these arrangements in advance of the performance of the related services are recorded as prepaid expenses.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 xml:space="preserve">We account for stock-based compensation arrangements with employees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or ASC 718. ASC 718 requires the recognition of compensation expense, using a fair value based method, for costs related to all stock-based payments, including stock options. Our determination of the fair value of stock options on the date of grant utilizes the Black-Scholes option pricing model for stock options with time-based vesting, and is impacted by our common stock price as well as changes in assumptions regarding a number of complex and subjective variables. These variables include expected term that options will remain outstanding, expected common stock price volatility over the term of the option awards, risk-free interest rates and expected dividends.</w:t>
      </w:r>
    </w:p>
    <w:p>
      <w:pPr>
        <w:spacing w:after="0" w:line="192"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have awarded stock options to non-employees for consultancy services. We have adopted new guidance, effective as of January 1, 2018, which requires that non-employee share-based payment transactions be measured at the grant-date fair value and no longer remeasured at the then-current fair values at each reporting date until the stock options have vested.</w:t>
      </w:r>
    </w:p>
    <w:p>
      <w:pPr>
        <w:spacing w:after="0" w:line="184"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fair value of an option award is recognized over the period during which the optionee is required to provide services in exchange for the option award, known as the requisite service period (usually the vesting period) on a straight-line basis.</w:t>
      </w:r>
    </w:p>
    <w:p>
      <w:pPr>
        <w:spacing w:after="0" w:line="170"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Estimating the fair value of equity-settled awards as of the grant date using valuation models, such as the Black-Scholes option pricing model, is affected by assumptions regarding a number of complex variables. Changes in the assumptions can materially affect the fair value and ultimately how much stock-based compensation expense is recognized. These inputs are subjective and generally require analysis and judgment to develop.</w:t>
      </w:r>
    </w:p>
    <w:p>
      <w:pPr>
        <w:spacing w:after="0" w:line="206"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assumption represents the weighted average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elected to use the “simplified method” for estimating the expected term of the options, whereby the expected term equals the arithmetic average of the vesting term and the original contractual term of the option.</w:t>
      </w:r>
    </w:p>
    <w:p>
      <w:pPr>
        <w:spacing w:after="0" w:line="184"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volatility data was estimated based on a study of publicly traded industry peer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purposes of identifying these peer companies, we considered the industry, stage of development, size and financial leverage of potential comparable companies.</w:t>
      </w:r>
    </w:p>
    <w:p>
      <w:pPr>
        <w:spacing w:after="0" w:line="184"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Black-Scholes valuation model calls for a single expected dividend yield as an input. We currently have no history or</w:t>
      </w:r>
      <w:r>
        <w:rPr>
          <w:rFonts w:ascii="Arial" w:cs="Arial" w:eastAsia="Arial" w:hAnsi="Arial"/>
          <w:sz w:val="18"/>
          <w:szCs w:val="18"/>
          <w:i w:val="1"/>
          <w:iCs w:val="1"/>
          <w:color w:val="auto"/>
        </w:rPr>
        <w:t xml:space="preserve"> </w:t>
      </w:r>
      <w:r>
        <w:rPr>
          <w:rFonts w:ascii="Arial" w:cs="Arial" w:eastAsia="Arial" w:hAnsi="Arial"/>
          <w:sz w:val="18"/>
          <w:szCs w:val="18"/>
          <w:color w:val="auto"/>
        </w:rPr>
        <w:t>expectation of paying cash dividends on our common stock.</w:t>
      </w:r>
    </w:p>
    <w:p>
      <w:pPr>
        <w:spacing w:after="0" w:line="170"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similar in duration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equity-settled award.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ind w:left="600"/>
        <w:spacing w:after="0"/>
        <w:rPr>
          <w:sz w:val="20"/>
          <w:szCs w:val="20"/>
          <w:color w:val="auto"/>
        </w:rPr>
      </w:pPr>
      <w:r>
        <w:rPr>
          <w:rFonts w:ascii="Arial" w:cs="Arial" w:eastAsia="Arial" w:hAnsi="Arial"/>
          <w:sz w:val="18"/>
          <w:szCs w:val="18"/>
          <w:color w:val="auto"/>
        </w:rPr>
        <w:t>The following assumptions were used to calculate the fair value of awards granted during the periods indicated:</w:t>
      </w:r>
    </w:p>
    <w:p>
      <w:pPr>
        <w:spacing w:after="0" w:line="325"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r>
      <w:tr>
        <w:trPr>
          <w:trHeight w:val="230"/>
        </w:trPr>
        <w:tc>
          <w:tcPr>
            <w:tcW w:w="8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Expected life of options (in years)</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We will continue to use judgment in evaluating the expected volatility, expected terms and interest rates utilized for our stock-based compensation expense calculations on a prospective basis.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Stock-based compensation expense, is reflected in the statements of operations and comprehensive loss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As of December 31, 2019, total unrecognized stock-based compensation was $3.9 million, which is expected to be recognized over the remaining vesting period of 3.0 years.</w:t>
      </w:r>
    </w:p>
    <w:p>
      <w:pPr>
        <w:spacing w:after="0" w:line="170"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intrinsic value of all outstanding stock options as of December 31, 2019 was approximately $0.9 million based on a common stock fair value of $3.75 per share, which was the closing price of our common stock on the Nasdaq Global Market on December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Prior to our IPO in May 2019, the estimated fair value of the common stock underlying our stock options was determined at each grant date by our board of directors, with input from management. All options to purchase shares of our common stock were intended to be exercisable at a price per share not less than the per share fair value of our common stock underlying those options on the date of grant.</w:t>
      </w:r>
    </w:p>
    <w:p>
      <w:pPr>
        <w:spacing w:after="0" w:line="184" w:lineRule="exact"/>
        <w:rPr>
          <w:sz w:val="20"/>
          <w:szCs w:val="20"/>
          <w:color w:val="auto"/>
        </w:rPr>
      </w:pPr>
    </w:p>
    <w:p>
      <w:pPr>
        <w:jc w:val="both"/>
        <w:ind w:right="20" w:firstLine="589"/>
        <w:spacing w:after="0" w:line="275" w:lineRule="auto"/>
        <w:rPr>
          <w:sz w:val="20"/>
          <w:szCs w:val="20"/>
          <w:color w:val="auto"/>
        </w:rPr>
      </w:pPr>
      <w:r>
        <w:rPr>
          <w:rFonts w:ascii="Arial" w:cs="Arial" w:eastAsia="Arial" w:hAnsi="Arial"/>
          <w:sz w:val="17"/>
          <w:szCs w:val="17"/>
          <w:color w:val="auto"/>
        </w:rPr>
        <w:t>In the absence of a public trading market for our common stock prior to our IPO in May 2019, on each grant date, we developed an estimate of the fair value of our common stock based on the information known to us on the date of grant, upon a review of any recent events and their potential impact on the estimated fair value per share of the common stock, and in part on input from an independent third-party valuation. As is provided for in Section 409A of the Internal Revenue Code of 1986, as amended, or the Code, we generally relied on our valuations for up to twelve months unless we had experienced a material event that would have affected the estimated fair value of our common stock.</w:t>
      </w:r>
    </w:p>
    <w:p>
      <w:pPr>
        <w:spacing w:after="0" w:line="176"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Our valuations of our common stock prior to our IPO in May 2019 were determined in accordance with the guidelines outlined in the American Institute of Certified Public Accountants Practice Aid, Valuation of Privately-Held-Company Equity Securities Issued as Compensation, or the Practice Aid. The methodology to determine the fair value of our common stock included estimating the fair value of the enterprise using a market approach, which estimates the fair value of the company by including an estimation of the value of the business based on guideline public companies under a number of different scenarios. The assumptions used to determine the estimated fair value of our common stock were based on numerous objective and subjective factors, combined with management judgment, including external market conditions affecting the pharmaceutical and biotechnology industry and trends within the industry; our stage of development; the rights, preferences and privileges of our convertible preferred stock relative to those of our common stock; the prices at which we sold shares of our convertible preferred stock; our financial condition and operating results, including our levels of available capital resources; the progress of our research and development efforts, our stage of development and business strategy; equity market conditions affecting comparable public companies; general U.S. market conditions; and the lack of marketability of our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ind w:right="420" w:firstLine="589"/>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6" w:lineRule="exact"/>
        <w:rPr>
          <w:sz w:val="20"/>
          <w:szCs w:val="20"/>
          <w:color w:val="auto"/>
        </w:rPr>
      </w:pPr>
    </w:p>
    <w:p>
      <w:pPr>
        <w:ind w:left="1020" w:right="60" w:hanging="432"/>
        <w:spacing w:after="0" w:line="288"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Option Pricing Method, or OPM</w:t>
      </w:r>
      <w:r>
        <w:rPr>
          <w:rFonts w:ascii="Arial" w:cs="Arial" w:eastAsia="Arial" w:hAnsi="Arial"/>
          <w:sz w:val="16"/>
          <w:szCs w:val="16"/>
          <w:color w:val="auto"/>
        </w:rPr>
        <w:t>—The OPM treats common stock and convertible preferred stock as call options on the total equity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 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60" w:lineRule="exact"/>
        <w:rPr>
          <w:rFonts w:ascii="Arial" w:cs="Arial" w:eastAsia="Arial" w:hAnsi="Arial"/>
          <w:sz w:val="16"/>
          <w:szCs w:val="16"/>
          <w:color w:val="auto"/>
        </w:rPr>
      </w:pPr>
    </w:p>
    <w:p>
      <w:pPr>
        <w:ind w:left="1020" w:hanging="432"/>
        <w:spacing w:after="0" w:line="275"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Probability Weighted Expected Return Method, or PWERM</w:t>
      </w:r>
      <w:r>
        <w:rPr>
          <w:rFonts w:ascii="Arial" w:cs="Arial" w:eastAsia="Arial" w:hAnsi="Arial"/>
          <w:sz w:val="17"/>
          <w:szCs w:val="17"/>
          <w:color w:val="auto"/>
        </w:rPr>
        <w:t>—Under the PWERM methodology, the fair value of common stock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68" w:lineRule="exact"/>
        <w:rPr>
          <w:rFonts w:ascii="Arial" w:cs="Arial" w:eastAsia="Arial" w:hAnsi="Arial"/>
          <w:sz w:val="17"/>
          <w:szCs w:val="17"/>
          <w:color w:val="auto"/>
        </w:rPr>
      </w:pPr>
    </w:p>
    <w:p>
      <w:pPr>
        <w:ind w:left="1020" w:hanging="432"/>
        <w:spacing w:after="0" w:line="272"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Hybrid Method</w:t>
      </w:r>
      <w:r>
        <w:rPr>
          <w:rFonts w:ascii="Arial" w:cs="Arial" w:eastAsia="Arial" w:hAnsi="Arial"/>
          <w:sz w:val="17"/>
          <w:szCs w:val="17"/>
          <w:color w:val="auto"/>
        </w:rPr>
        <w:t>—The hybrid method is a PWERM where the equity value in one of the scenarios is calculated using an OPM. In the hybrid</w:t>
      </w:r>
      <w:r>
        <w:rPr>
          <w:rFonts w:ascii="Arial" w:cs="Arial" w:eastAsia="Arial" w:hAnsi="Arial"/>
          <w:sz w:val="17"/>
          <w:szCs w:val="17"/>
          <w:i w:val="1"/>
          <w:iCs w:val="1"/>
          <w:color w:val="auto"/>
        </w:rPr>
        <w:t xml:space="preserve"> </w:t>
      </w:r>
      <w:r>
        <w:rPr>
          <w:rFonts w:ascii="Arial" w:cs="Arial" w:eastAsia="Arial" w:hAnsi="Arial"/>
          <w:sz w:val="17"/>
          <w:szCs w:val="17"/>
          <w:color w:val="auto"/>
        </w:rPr>
        <w:t>method used by us, we considered an IPO, as the other potential future liquidity event. The equity value for the IPO scenario was determined using the guideline public company, or GPC, method under the market approach. The relative probability of the IPO scenario was determined based on an analysis of market conditions at the time and our expectations as to the timing and likely prospects of the IPO at each valuation date. In our application of the GPC method, we considered publicly traded companies in the biopharmaceutical industry that had a similar profile to ours as well as recently completed IPOs as indicators of our estimated future value in an IPO. We then discounted that future value back to the valuation date at an appropriate discount rate.</w:t>
      </w:r>
    </w:p>
    <w:p>
      <w:pPr>
        <w:spacing w:after="0" w:line="177"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auto"/>
        </w:rPr>
        <w:t>Based on our early stage of development and other relevant factors, our board of directors determined that the OPM was the most appropriate method for allocating our enterprise value to determine the estimated fair value of our common stock for the valuation performed for December 2017, which resulted in our board of directors determining that the fair value of our common stock was $3.33. Following its determination in early 2018 that we should explore a potential IPO, our board of directors determined that the Hybrid Method was the most appropriate method for allocating our enterprise value to determine the estimated fair value of our common stock for valuations performed for April 2018, September 2018 and December 2018, which resulted in the fair value of our common stock being $6.65, $9.12 and $9.31, respectively.</w:t>
      </w:r>
    </w:p>
    <w:p>
      <w:pPr>
        <w:spacing w:after="0" w:line="178"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In determining the estimated fair value of our common stock prior to our IPO in May 2019, our board of directors also considered the fact that our stockholders could not freely trade our common stock in the public markets. Accordingly, our board of directors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7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Subsequent to the completion of our IPO in May 2019, the fair value of our common stock has been determined based on the closing price of our common stock as reported on the date of grant on the primary stock exchange on which our common stock is traded.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We provide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bases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176" w:lineRule="exact"/>
        <w:rPr>
          <w:sz w:val="20"/>
          <w:szCs w:val="20"/>
          <w:color w:val="auto"/>
        </w:rPr>
      </w:pPr>
    </w:p>
    <w:p>
      <w:pPr>
        <w:ind w:right="160" w:firstLine="589"/>
        <w:spacing w:after="0" w:line="291" w:lineRule="auto"/>
        <w:rPr>
          <w:sz w:val="20"/>
          <w:szCs w:val="20"/>
          <w:color w:val="auto"/>
        </w:rPr>
      </w:pPr>
      <w:r>
        <w:rPr>
          <w:rFonts w:ascii="Arial" w:cs="Arial" w:eastAsia="Arial" w:hAnsi="Arial"/>
          <w:sz w:val="16"/>
          <w:szCs w:val="16"/>
          <w:color w:val="auto"/>
        </w:rPr>
        <w:t xml:space="preserve">We account for uncertain tax positions in accordance with ASC 740,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or ASC 740. 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20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As of December 31, 2019, our total deferred tax assets were $33.3 million.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 or NOL, carryforwards; which totaled approximately $106.8 million at December 31, 2019. Due to our Series A preferred stock financing in December 2012 and the shares we issued in connection with our IPO in May 2019, we were subject to an “ownership change” under Section 382 of the Code. As a result, our ability to use $91.3 million of these NOL carryforwards is limited. We may experience further ownership changes in the future as a result of subsequent shifts in our stock ownership, some of which may be outside of our control. If a further ownership change occurred, our ability to use our NOL carryforwards might be further limited.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Our financial instruments have consisted of cash and cash equivalents, income tax receivable, accounts payable, accrued expenses, term loan payable, Series C redeemable convertible preferred stock liability and obligation for loan success fee. Fair value estimates of these instruments are made at a specific point in time, based on relevant market information. The carrying amounts of cash and cash equivalents, income tax receivable, accounts payable and accrued expenses are generally considered to be representative of their respective fair values because of the short term nature of those instruments. The fair value of the obligation for loan success fee has been estimated utilizing a probability-weighted income approach, including variables for the timing of the success event and other probability estimates. The fair value of Series C redeemable convertible preferred stock liability has been estimated as the excess, if any, of the fair value of our Series C preferred stock over the purchase price of any outstanding tranches that may be sold pursuant to our stock purchase agreement referred to in “—Components of Operating Results—Other Income (Expense), Net—Change in Fair Value of Series C Redeemable Convertible Preferred Stock Liability”.</w:t>
      </w:r>
    </w:p>
    <w:p>
      <w:pPr>
        <w:spacing w:after="0" w:line="18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 xml:space="preserve">Current accounting guidance defines fair value, establishes a framework for measuring fair value in accordance with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and requires certain disclosures about fair value measurements. The valuation techniques included in the guidance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observable and unobservable inputs. Observable inputs reflect readily obtainable data from independent sources, while unobservable inputs reflect market assumptions and are classified into the following fair value hierarchy:</w:t>
      </w:r>
    </w:p>
    <w:p>
      <w:pPr>
        <w:spacing w:after="0" w:line="79" w:lineRule="exact"/>
        <w:rPr>
          <w:sz w:val="20"/>
          <w:szCs w:val="20"/>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1—Observable inputs—quoted prices in active markets for identical assets or liabilities.</w:t>
      </w:r>
    </w:p>
    <w:p>
      <w:pPr>
        <w:spacing w:after="0" w:line="117" w:lineRule="exact"/>
        <w:rPr>
          <w:rFonts w:ascii="Arial" w:cs="Arial" w:eastAsia="Arial" w:hAnsi="Arial"/>
          <w:sz w:val="18"/>
          <w:szCs w:val="18"/>
          <w:color w:val="auto"/>
        </w:rPr>
      </w:pPr>
    </w:p>
    <w:p>
      <w:pPr>
        <w:ind w:left="1020" w:right="500" w:hanging="432"/>
        <w:spacing w:after="0" w:line="263"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5"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14 to our consolidated financial statements included elsewhere in this Annual Report on Form 10-K for discussion regarding our commitments and contingent commitments.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Jumpstart Our Business Startups Act of 2012, as amended, or JOBS Act, permits emerging growth companies such as us to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 xml:space="preserve">In February 2016, the Financial Accounting Standards Board, or FASB, issued Accounting Standards Update, or ASU, No. 2016-02 titled </w:t>
      </w:r>
      <w:r>
        <w:rPr>
          <w:rFonts w:ascii="Arial" w:cs="Arial" w:eastAsia="Arial" w:hAnsi="Arial"/>
          <w:sz w:val="16"/>
          <w:szCs w:val="16"/>
          <w:i w:val="1"/>
          <w:iCs w:val="1"/>
          <w:color w:val="auto"/>
        </w:rPr>
        <w:t>Leases</w:t>
      </w:r>
      <w:r>
        <w:rPr>
          <w:rFonts w:ascii="Arial" w:cs="Arial" w:eastAsia="Arial" w:hAnsi="Arial"/>
          <w:sz w:val="16"/>
          <w:szCs w:val="16"/>
          <w:color w:val="auto"/>
        </w:rPr>
        <w:t>, or ASU 2016-02, which requires rights and obligations arising from both operating and capital leases to be reported on the Consolidated Balance Sheet, and to disclose quantitative and qualitative information about lease transactions (such as information about variable lease payments and options to renew and terminate leases). ASU 2016-02 was effective for fiscal years beginning after December 15, 2018, with early adoption permitted.</w:t>
      </w:r>
    </w:p>
    <w:p>
      <w:pPr>
        <w:spacing w:after="0" w:line="15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 xml:space="preserve">We adopted this new guidance as of January 1, 2019, which included an assessment of the impact of the new guidance on the consolidated financial statements. We utilized the transition practical expedient added by the FASB, which eliminated the requirement that entities apply the new lease standard to the comparative periods presented in the year of adoption. We elected to use the package of practical expedients that allowed us to not reassess: (1) whether any expired or existing contracts were or contained leases, (2) lease classification for any expired or existing leases and (3) initial direct costs for any expired or existing leases. We used the practical expedient that allows lessees to treat the lease and non-lease components of leases as a single lease component. The adoption of this standard resulted in the recognition of a right-of-use asset of $379 and related lease liabilities of $424 related to our operating lease commitments on the Consolidated Balance Sheet as of January 1, 2019 </w:t>
      </w:r>
      <w:r>
        <w:rPr>
          <w:rFonts w:ascii="Arial" w:cs="Arial" w:eastAsia="Arial" w:hAnsi="Arial"/>
          <w:sz w:val="16"/>
          <w:szCs w:val="16"/>
          <w:i w:val="1"/>
          <w:iCs w:val="1"/>
          <w:color w:val="auto"/>
        </w:rPr>
        <w:t>(Note 4).</w:t>
      </w:r>
      <w:r>
        <w:rPr>
          <w:rFonts w:ascii="Arial" w:cs="Arial" w:eastAsia="Arial" w:hAnsi="Arial"/>
          <w:sz w:val="16"/>
          <w:szCs w:val="16"/>
          <w:color w:val="auto"/>
        </w:rPr>
        <w:t xml:space="preserve"> The impact of adoption of the new leasing standard did not have a material impact on the Consolidated Statement of Operations during the year ended December 31,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5"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list of changes is comprehensive and many will not have a significant effect on our consolidated financial reporting. The changes include removing exceptions to incremental intraperiod tax allocation of losses and gains from different financial statement components, exceptions to the method of recognizing income taxes on interim period losses and exceptions to deferred tax liability recognition related to foreign subsidiary investments. In addition, ASU 2019-12 requires that entities recognize franchise tax based on an incremental method, requires an entity to evaluate the accounting for step-ups in the tax basis of goodwill as inside or outside of a business combination, and removes the requirement to allocate the current and deferred tax provision among entities in stand-alone financial statement reporting. ASU 2019-12 also now requires that an entity reflect enacted changes in tax laws in the annual effective rate, and other codification adjustments have been made to employee stock ownership plans. For public business entities, the amendments in ASU 2019-12 are effective for fiscal years, and interim periods within those fiscal years, beginning after December 15, 2020. Early adoption of ASU 2019-12 is permitted, including adoption in any interim period for public business entities for periods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We are currently evaluating whether to early adopt ASU 2019-12 in the first interim period of the year ending December 31, 2020.</w:t>
      </w:r>
    </w:p>
    <w:p>
      <w:pPr>
        <w:spacing w:after="0" w:line="186"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changes the way credit losses on certain financial instruments are estimated. ASU 2016-13 is effective for fiscal years beginning after December 15, 2019, with early adoption permitted. We do not expect that the adoption of ASU 2016-13 will have a material effect on our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December 31, 2019, we had cash and cash equivalents of $57.3 million, primarily held in interest-bearing money market accounts, which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88"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2019.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2019, our Chief Executive Officer and Chief Financial Officer concluded that, as of such date, our disclosure controls and procedures were effective at the reasonable assurance level.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December 31, 2019 that has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94" w:right="439" w:bottom="1440" w:gutter="0" w:footer="0" w:header="0"/>
        </w:sectPr>
      </w:pPr>
    </w:p>
    <w:bookmarkStart w:id="111" w:name="page112"/>
    <w:bookmarkEnd w:id="111"/>
    <w:p>
      <w:pPr>
        <w:ind w:left="55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2020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2020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2020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2020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2020 Annual Meeting of Stockholders and is incorporated herein by reference.</w:t>
      </w:r>
    </w:p>
    <w:p>
      <w:pPr>
        <w:spacing w:after="0" w:line="1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following documents are included on pages F-1 through F-32 attached hereto and are filed as part of this Annual Report on Form 10-K.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20" w:type="dxa"/>
            <w:vAlign w:val="bottom"/>
            <w:gridSpan w:val="2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Report of Independent Registered Public Accounting Firm</w:t>
              </w:r>
            </w:hyperlink>
          </w:p>
        </w:tc>
        <w:tc>
          <w:tcPr>
            <w:tcW w:w="340" w:type="dxa"/>
            <w:vAlign w:val="bottom"/>
            <w:gridSpan w:val="7"/>
          </w:tcPr>
          <w:p>
            <w:pPr>
              <w:ind w:left="8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438"/>
        </w:trPr>
        <w:tc>
          <w:tcPr>
            <w:tcW w:w="4220" w:type="dxa"/>
            <w:vAlign w:val="bottom"/>
            <w:tcBorders>
              <w:top w:val="single" w:sz="8" w:color="0000EE"/>
            </w:tcBorders>
            <w:gridSpan w:val="8"/>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670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00" w:type="dxa"/>
            <w:vAlign w:val="bottom"/>
            <w:tcBorders>
              <w:bottom w:val="single" w:sz="8" w:color="0000EE"/>
            </w:tcBorders>
            <w:gridSpan w:val="3"/>
          </w:tcPr>
          <w:p>
            <w:pPr>
              <w:spacing w:after="0" w:line="190"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Consolidated Balance Sheets</w:t>
              </w:r>
            </w:hyperlink>
          </w:p>
        </w:tc>
        <w:tc>
          <w:tcPr>
            <w:tcW w:w="8820" w:type="dxa"/>
            <w:vAlign w:val="bottom"/>
            <w:gridSpan w:val="19"/>
          </w:tcPr>
          <w:p>
            <w:pPr>
              <w:spacing w:after="0"/>
              <w:rPr>
                <w:sz w:val="16"/>
                <w:szCs w:val="16"/>
                <w:color w:val="auto"/>
              </w:rPr>
            </w:pPr>
          </w:p>
        </w:tc>
        <w:tc>
          <w:tcPr>
            <w:tcW w:w="340" w:type="dxa"/>
            <w:vAlign w:val="bottom"/>
            <w:gridSpan w:val="7"/>
          </w:tcPr>
          <w:p>
            <w:pPr>
              <w:ind w:left="80"/>
              <w:spacing w:after="0" w:line="190"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920" w:type="dxa"/>
            <w:vAlign w:val="bottom"/>
            <w:gridSpan w:val="2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Operations</w:t>
              </w:r>
            </w:hyperlink>
          </w:p>
        </w:tc>
        <w:tc>
          <w:tcPr>
            <w:tcW w:w="340" w:type="dxa"/>
            <w:vAlign w:val="bottom"/>
            <w:gridSpan w:val="7"/>
          </w:tcPr>
          <w:p>
            <w:pPr>
              <w:ind w:left="8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Consolidated Statements of Redeemable Convertible Preferred Stock and Stockholders’ Equity (Deficit)</w:t>
              </w:r>
            </w:hyperlink>
          </w:p>
        </w:tc>
        <w:tc>
          <w:tcPr>
            <w:tcW w:w="340" w:type="dxa"/>
            <w:vAlign w:val="bottom"/>
            <w:gridSpan w:val="7"/>
          </w:tcPr>
          <w:p>
            <w:pPr>
              <w:ind w:left="8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Consolidated Statements of Cash Flows</w:t>
              </w:r>
            </w:hyperlink>
          </w:p>
        </w:tc>
        <w:tc>
          <w:tcPr>
            <w:tcW w:w="4640" w:type="dxa"/>
            <w:vAlign w:val="bottom"/>
            <w:tcBorders>
              <w:top w:val="single" w:sz="8" w:color="0000EE"/>
            </w:tcBorders>
            <w:gridSpan w:val="11"/>
          </w:tcPr>
          <w:p>
            <w:pPr>
              <w:spacing w:after="0"/>
              <w:rPr>
                <w:sz w:val="17"/>
                <w:szCs w:val="17"/>
                <w:color w:val="auto"/>
              </w:rPr>
            </w:pPr>
          </w:p>
        </w:tc>
        <w:tc>
          <w:tcPr>
            <w:tcW w:w="3400" w:type="dxa"/>
            <w:vAlign w:val="bottom"/>
            <w:gridSpan w:val="6"/>
          </w:tcPr>
          <w:p>
            <w:pPr>
              <w:spacing w:after="0"/>
              <w:rPr>
                <w:sz w:val="17"/>
                <w:szCs w:val="17"/>
                <w:color w:val="auto"/>
              </w:rPr>
            </w:pPr>
          </w:p>
        </w:tc>
        <w:tc>
          <w:tcPr>
            <w:tcW w:w="340" w:type="dxa"/>
            <w:vAlign w:val="bottom"/>
            <w:gridSpan w:val="7"/>
          </w:tcPr>
          <w:p>
            <w:pPr>
              <w:ind w:left="8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Notes to Consolidated Financial Statements</w:t>
              </w:r>
            </w:hyperlink>
          </w:p>
        </w:tc>
        <w:tc>
          <w:tcPr>
            <w:tcW w:w="7760" w:type="dxa"/>
            <w:vAlign w:val="bottom"/>
            <w:gridSpan w:val="16"/>
          </w:tcPr>
          <w:p>
            <w:pPr>
              <w:spacing w:after="0"/>
              <w:rPr>
                <w:sz w:val="17"/>
                <w:szCs w:val="17"/>
                <w:color w:val="auto"/>
              </w:rPr>
            </w:pPr>
          </w:p>
        </w:tc>
        <w:tc>
          <w:tcPr>
            <w:tcW w:w="340" w:type="dxa"/>
            <w:vAlign w:val="bottom"/>
            <w:gridSpan w:val="7"/>
          </w:tcPr>
          <w:p>
            <w:pPr>
              <w:ind w:left="8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601"/>
        </w:trPr>
        <w:tc>
          <w:tcPr>
            <w:tcW w:w="10920" w:type="dxa"/>
            <w:vAlign w:val="bottom"/>
            <w:gridSpan w:val="22"/>
          </w:tcPr>
          <w:p>
            <w:pPr>
              <w:spacing w:after="0"/>
              <w:rPr>
                <w:sz w:val="20"/>
                <w:szCs w:val="20"/>
                <w:color w:val="auto"/>
              </w:rPr>
            </w:pPr>
            <w:r>
              <w:rPr>
                <w:rFonts w:ascii="Arial" w:cs="Arial" w:eastAsia="Arial" w:hAnsi="Arial"/>
                <w:sz w:val="18"/>
                <w:szCs w:val="18"/>
                <w:b w:val="1"/>
                <w:bCs w:val="1"/>
                <w:color w:val="auto"/>
              </w:rPr>
              <w:t>(2) Financial Statement Schedules: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920" w:type="dxa"/>
            <w:vAlign w:val="bottom"/>
            <w:gridSpan w:val="22"/>
          </w:tcPr>
          <w:p>
            <w:pPr>
              <w:ind w:left="600"/>
              <w:spacing w:after="0"/>
              <w:rPr>
                <w:sz w:val="20"/>
                <w:szCs w:val="20"/>
                <w:color w:val="auto"/>
              </w:rPr>
            </w:pPr>
            <w:r>
              <w:rPr>
                <w:rFonts w:ascii="Arial" w:cs="Arial" w:eastAsia="Arial" w:hAnsi="Arial"/>
                <w:sz w:val="18"/>
                <w:szCs w:val="18"/>
                <w:color w:val="auto"/>
                <w:w w:val="91"/>
              </w:rPr>
              <w:t>All financial statement schedules have been omitted because they are not applicable, not required or the information required is shown in the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920" w:type="dxa"/>
            <w:vAlign w:val="bottom"/>
            <w:gridSpan w:val="22"/>
          </w:tcPr>
          <w:p>
            <w:pPr>
              <w:spacing w:after="0"/>
              <w:rPr>
                <w:sz w:val="20"/>
                <w:szCs w:val="20"/>
                <w:color w:val="auto"/>
              </w:rPr>
            </w:pPr>
            <w:r>
              <w:rPr>
                <w:rFonts w:ascii="Arial" w:cs="Arial" w:eastAsia="Arial" w:hAnsi="Arial"/>
                <w:sz w:val="18"/>
                <w:szCs w:val="18"/>
                <w:color w:val="auto"/>
              </w:rPr>
              <w:t>financial statements or the notes thereto.</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(3) Exhibits.</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20" w:type="dxa"/>
            <w:vAlign w:val="bottom"/>
            <w:gridSpan w:val="22"/>
          </w:tcPr>
          <w:p>
            <w:pPr>
              <w:ind w:left="600"/>
              <w:spacing w:after="0"/>
              <w:rPr>
                <w:sz w:val="20"/>
                <w:szCs w:val="20"/>
                <w:color w:val="auto"/>
              </w:rPr>
            </w:pPr>
            <w:r>
              <w:rPr>
                <w:rFonts w:ascii="Arial" w:cs="Arial" w:eastAsia="Arial" w:hAnsi="Arial"/>
                <w:sz w:val="18"/>
                <w:szCs w:val="18"/>
                <w:color w:val="auto"/>
              </w:rPr>
              <w:t>The following is a list of exhibits filed as part of this Annual Report on Form 10-K.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gridSpan w:val="10"/>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gridSpan w:val="10"/>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0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Restated Certificate of Incorporation of Trevi Therapeutics, Inc. (incorporated by reference to Exhibit 3.1 to the Registrant’s Current Report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on Form 8-K (File No. 001-38886) filed with the SEC on May 9, 2019)</w:t>
              </w:r>
            </w:hyperlink>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Amended and Restated Bylaws of Trevi Therapeutics, Inc. (incorporated by reference to Exhibit 3.2 to the Registrant’s Current Report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Form 8-K (File No. 001-38886) filed with the SEC on May 9, 2019)</w:t>
              </w:r>
            </w:hyperlink>
          </w:p>
        </w:tc>
        <w:tc>
          <w:tcPr>
            <w:tcW w:w="4900" w:type="dxa"/>
            <w:vAlign w:val="bottom"/>
            <w:tcBorders>
              <w:top w:val="single" w:sz="8" w:color="0000EE"/>
            </w:tcBorders>
            <w:gridSpan w:val="9"/>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Specimen Stock Certificate evidencing the shares of common stock (incorporated by reference to Exhibit 4.1 to the Registrant’s Registration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Statement on Form S-1 (File No. 333-230745) filed with the SEC on April 5, 2019)</w:t>
              </w:r>
            </w:hyperlink>
          </w:p>
        </w:tc>
        <w:tc>
          <w:tcPr>
            <w:tcW w:w="3800" w:type="dxa"/>
            <w:vAlign w:val="bottom"/>
            <w:tcBorders>
              <w:top w:val="single" w:sz="8" w:color="0000EE"/>
            </w:tcBorders>
            <w:gridSpan w:val="7"/>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Description of Registrant’s Securities</w:t>
              </w:r>
            </w:hyperlink>
          </w:p>
        </w:tc>
        <w:tc>
          <w:tcPr>
            <w:tcW w:w="712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97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Second Amended and Restated Investors’ Rights Agreement dated as of July 14, 2017 (incorporated by reference to Exhibit 10.1 to the</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Registrant’s Registration Statement on Form S-1 (File No. 333-230745) filed with the SEC on April 5, 2019)</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2012 Stock Incentive Plan, as amended (incorporated by reference to Exhibit 10.2 to the Registrant’s Registration Statement on Form S-1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(File No. 333-230745) filed with the SEC on April 5, 2019)</w:t>
              </w:r>
            </w:hyperlink>
          </w:p>
        </w:tc>
        <w:tc>
          <w:tcPr>
            <w:tcW w:w="5520" w:type="dxa"/>
            <w:vAlign w:val="bottom"/>
            <w:tcBorders>
              <w:top w:val="single" w:sz="8" w:color="0000EE"/>
            </w:tcBorders>
            <w:gridSpan w:val="11"/>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9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Form of Nonstatutory Stock Option Agreement under the 2012 Stock Incentive Plan (incorporated by reference to Exhibit 10.3 to the</w:t>
              </w:r>
            </w:hyperlink>
          </w:p>
        </w:tc>
        <w:tc>
          <w:tcPr>
            <w:tcW w:w="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Registrant’s Registration Statement on Form S-1 (File No. 333-230745) filed with the SEC on April 5, 2019)</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2019 Stock Incentive Plan (incorporated by reference to Exhibit 10.4 to the Registrant’s Registration Statement on Form S-1 (File No. 333-</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230745) filed with the SEC on April 5, 2019)</w:t>
              </w:r>
            </w:hyperlink>
          </w:p>
        </w:tc>
        <w:tc>
          <w:tcPr>
            <w:tcW w:w="6540" w:type="dxa"/>
            <w:vAlign w:val="bottom"/>
            <w:tcBorders>
              <w:top w:val="single" w:sz="8" w:color="0000EE"/>
            </w:tcBorders>
            <w:gridSpan w:val="13"/>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80" w:type="dxa"/>
            <w:vAlign w:val="bottom"/>
          </w:tcPr>
          <w:p>
            <w:pPr>
              <w:spacing w:after="0"/>
              <w:rPr>
                <w:sz w:val="17"/>
                <w:szCs w:val="17"/>
                <w:color w:val="auto"/>
              </w:rPr>
            </w:pPr>
          </w:p>
        </w:tc>
        <w:tc>
          <w:tcPr>
            <w:tcW w:w="95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Form of Stock Option Agreement under the 2019 Stock Incentive Plan (incorporated by reference to Exhibit 10.5 to the Registrant’s</w:t>
              </w:r>
            </w:hyperlink>
          </w:p>
        </w:tc>
        <w:tc>
          <w:tcPr>
            <w:tcW w:w="3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Registration Statement on Form S-1 (File No. 333-230745) filed with the SEC on April 5, 2019)</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gridSpan w:val="8"/>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2019 Employee Stock Purchase Plan (incorporated by reference to Exhibit 10.6 to the Registrant’s Registration Statement on Form S-1 (File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No. 333-230745) filed with the SEC on April 5, 2019)</w:t>
              </w:r>
            </w:hyperlink>
          </w:p>
        </w:tc>
        <w:tc>
          <w:tcPr>
            <w:tcW w:w="5900" w:type="dxa"/>
            <w:vAlign w:val="bottom"/>
            <w:tcBorders>
              <w:top w:val="single" w:sz="8" w:color="0000EE"/>
            </w:tcBorders>
            <w:gridSpan w:val="12"/>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Non-Employee Director Compensation Policy (incorporated by reference to Exhibit 10.7 to the Registrant’s Registration Statement on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S-1 (File No. 333-230745) filed with the SEC on April 5, 2019)</w:t>
              </w:r>
            </w:hyperlink>
          </w:p>
        </w:tc>
        <w:tc>
          <w:tcPr>
            <w:tcW w:w="5220" w:type="dxa"/>
            <w:vAlign w:val="bottom"/>
            <w:tcBorders>
              <w:top w:val="single" w:sz="8" w:color="0000EE"/>
            </w:tcBorders>
            <w:gridSpan w:val="10"/>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gridSpan w:val="11"/>
          </w:tcPr>
          <w:p>
            <w:pPr>
              <w:ind w:left="440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10080" w:type="dxa"/>
            <w:vAlign w:val="bottom"/>
            <w:gridSpan w:val="27"/>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Trevi Therapeutics, Inc. Executive Separation Benefits and Retention Plan (incorporated by reference to Exhibit 10.1 to the Registrant’s</w:t>
              </w:r>
            </w:hyperlink>
          </w:p>
        </w:tc>
      </w:tr>
      <w:tr>
        <w:trPr>
          <w:trHeight w:val="196"/>
        </w:trPr>
        <w:tc>
          <w:tcPr>
            <w:tcW w:w="1100" w:type="dxa"/>
            <w:vAlign w:val="bottom"/>
          </w:tcPr>
          <w:p>
            <w:pPr>
              <w:spacing w:after="0"/>
              <w:rPr>
                <w:sz w:val="17"/>
                <w:szCs w:val="17"/>
                <w:color w:val="auto"/>
              </w:rPr>
            </w:pPr>
          </w:p>
        </w:tc>
        <w:tc>
          <w:tcPr>
            <w:tcW w:w="9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Current Report on Form 8-K (File No. 001-38886) filed with the SEC on September 24, 2019)</w:t>
              </w:r>
            </w:hyperlink>
          </w:p>
        </w:tc>
        <w:tc>
          <w:tcPr>
            <w:tcW w:w="300" w:type="dxa"/>
            <w:vAlign w:val="bottom"/>
            <w:gridSpan w:val="9"/>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0080" w:type="dxa"/>
            <w:vAlign w:val="bottom"/>
            <w:gridSpan w:val="27"/>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Employment Agreement, dated December 4, 2012, by and between the Registrant and Jennifer L. Good (incorporated by reference to</w:t>
              </w:r>
            </w:hyperlink>
          </w:p>
        </w:tc>
      </w:tr>
      <w:tr>
        <w:trPr>
          <w:trHeight w:val="196"/>
        </w:trPr>
        <w:tc>
          <w:tcPr>
            <w:tcW w:w="110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Exhibit 10.8 to the Registrant’s Registration Statement on Form S-1 (File No. 333-230745) filed with the SEC on April 5, 2019)</w:t>
              </w:r>
            </w:hyperlink>
          </w:p>
        </w:tc>
        <w:tc>
          <w:tcPr>
            <w:tcW w:w="360" w:type="dxa"/>
            <w:vAlign w:val="bottom"/>
            <w:tcBorders>
              <w:top w:val="single" w:sz="8" w:color="0000EE"/>
            </w:tcBorders>
            <w:gridSpan w:val="4"/>
          </w:tcPr>
          <w:p>
            <w:pPr>
              <w:spacing w:after="0"/>
              <w:rPr>
                <w:sz w:val="17"/>
                <w:szCs w:val="17"/>
                <w:color w:val="auto"/>
              </w:rPr>
            </w:pPr>
          </w:p>
        </w:tc>
        <w:tc>
          <w:tcPr>
            <w:tcW w:w="480" w:type="dxa"/>
            <w:vAlign w:val="bottom"/>
            <w:gridSpan w:val="1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0080" w:type="dxa"/>
            <w:vAlign w:val="bottom"/>
            <w:gridSpan w:val="2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Offer Letter, dated December 4, 2012, by and between the Registrant and Thomas R. Sciascia</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00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Offer Letter, dated August 29, 2018, by and between the Registrant and Yann Mazabraud (incorporated by reference to Exhibit 10.10 to the</w:t>
              </w:r>
            </w:hyperlink>
          </w:p>
        </w:tc>
        <w:tc>
          <w:tcPr>
            <w:tcW w:w="4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Registrant’s Registration Statement on Form S-1 (File No. 333-230745) filed with the SEC on April 5, 2019)</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0080" w:type="dxa"/>
            <w:vAlign w:val="bottom"/>
            <w:gridSpan w:val="27"/>
          </w:tcPr>
          <w:p>
            <w:pPr>
              <w:spacing w:after="0" w:line="196"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Indefinite Term Employment Contract, dated August 29, 2018, by and between the Registrant and Yann Mazabraud (incorporated by</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reference to Exhibit 10.11 to the Registrant’s Registration Statement on Form S-1 (File No. 333-230745) filed with the SEC on April 5,</w:t>
              </w:r>
            </w:hyperlink>
          </w:p>
        </w:tc>
      </w:tr>
      <w:tr>
        <w:trPr>
          <w:trHeight w:val="196"/>
        </w:trPr>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1">
              <w:r>
                <w:rPr>
                  <w:rFonts w:ascii="Arial" w:cs="Arial" w:eastAsia="Arial" w:hAnsi="Arial"/>
                  <w:sz w:val="18"/>
                  <w:szCs w:val="18"/>
                  <w:color w:val="0000EE"/>
                  <w:w w:val="86"/>
                </w:rPr>
                <w:t>2019)</w:t>
              </w:r>
            </w:hyperlink>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98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Form of Indemnification Agreement between the Registrant and each of its directors and executive officers (incorporated by reference to</w:t>
              </w:r>
            </w:hyperlink>
          </w:p>
        </w:tc>
        <w:tc>
          <w:tcPr>
            <w:tcW w:w="220" w:type="dxa"/>
            <w:vAlign w:val="bottom"/>
            <w:gridSpan w:val="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9"/>
              </w:rPr>
            </w:pPr>
            <w:hyperlink r:id="rId152">
              <w:r>
                <w:rPr>
                  <w:rFonts w:ascii="Arial" w:cs="Arial" w:eastAsia="Arial" w:hAnsi="Arial"/>
                  <w:sz w:val="18"/>
                  <w:szCs w:val="18"/>
                  <w:color w:val="0000EE"/>
                  <w:w w:val="99"/>
                </w:rPr>
                <w:t>Exhibit 10.12 to the Registrant’s Registration Statement on Form S-1 (File No. 333-230745) filed with the SEC on April 5, 2019)</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96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Indenture of Lease, dated February 6, 2013, by and between First Niagara Bank, N.A. and the Registrant (incorporated by reference to</w:t>
              </w:r>
            </w:hyperlink>
          </w:p>
        </w:tc>
        <w:tc>
          <w:tcPr>
            <w:tcW w:w="400" w:type="dxa"/>
            <w:vAlign w:val="bottom"/>
            <w:gridSpan w:val="1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9"/>
              </w:rPr>
            </w:pPr>
            <w:hyperlink r:id="rId153">
              <w:r>
                <w:rPr>
                  <w:rFonts w:ascii="Arial" w:cs="Arial" w:eastAsia="Arial" w:hAnsi="Arial"/>
                  <w:sz w:val="18"/>
                  <w:szCs w:val="18"/>
                  <w:color w:val="0000EE"/>
                  <w:w w:val="99"/>
                </w:rPr>
                <w:t>Exhibit 10.13 to the Registrant’s Registration Statement on Form S-1 (File No. 333-230745) filed with the SEC on April 5, 2019)</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99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First Amendment to Lease, dated December 5, 2017, by and between the Registrant and 195 Church Street Associates, LLC (incorporated</w:t>
              </w:r>
            </w:hyperlink>
          </w:p>
        </w:tc>
        <w:tc>
          <w:tcPr>
            <w:tcW w:w="12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by reference to Exhibit 10.14 to the Registrant’s Registration Statement on Form S-1 (File No. 333-230745) filed with the SEC on April 5,</w:t>
              </w:r>
            </w:hyperlink>
          </w:p>
        </w:tc>
      </w:tr>
      <w:tr>
        <w:trPr>
          <w:trHeight w:val="196"/>
        </w:trPr>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4">
              <w:r>
                <w:rPr>
                  <w:rFonts w:ascii="Arial" w:cs="Arial" w:eastAsia="Arial" w:hAnsi="Arial"/>
                  <w:sz w:val="18"/>
                  <w:szCs w:val="18"/>
                  <w:color w:val="0000EE"/>
                  <w:w w:val="86"/>
                </w:rPr>
                <w:t>2019)</w:t>
              </w:r>
            </w:hyperlink>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006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Exclusive License Agreement, dated as of May 13, 2011, by and between the Registrant and Penwest Pharmaceuticals Co. (incorporated by</w:t>
              </w:r>
            </w:hyperlink>
          </w:p>
        </w:tc>
        <w:tc>
          <w:tcPr>
            <w:tcW w:w="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reference to Exhibit 10.15 to the Registrant’s Registration Statement on Form S-1 (File No. 333-230745) filed with the SEC on April 5,</w:t>
              </w:r>
            </w:hyperlink>
          </w:p>
        </w:tc>
      </w:tr>
      <w:tr>
        <w:trPr>
          <w:trHeight w:val="196"/>
        </w:trPr>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5">
              <w:r>
                <w:rPr>
                  <w:rFonts w:ascii="Arial" w:cs="Arial" w:eastAsia="Arial" w:hAnsi="Arial"/>
                  <w:sz w:val="18"/>
                  <w:szCs w:val="18"/>
                  <w:color w:val="0000EE"/>
                  <w:w w:val="86"/>
                </w:rPr>
                <w:t>2019)</w:t>
              </w:r>
            </w:hyperlink>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0080" w:type="dxa"/>
            <w:vAlign w:val="bottom"/>
            <w:gridSpan w:val="27"/>
          </w:tcPr>
          <w:p>
            <w:pPr>
              <w:spacing w:after="0" w:line="196" w:lineRule="exact"/>
              <w:rPr>
                <w:rFonts w:ascii="Arial" w:cs="Arial" w:eastAsia="Arial" w:hAnsi="Arial"/>
                <w:sz w:val="18"/>
                <w:szCs w:val="18"/>
                <w:color w:val="0000EE"/>
                <w:w w:val="96"/>
              </w:rPr>
            </w:pPr>
            <w:hyperlink r:id="rId156">
              <w:r>
                <w:rPr>
                  <w:rFonts w:ascii="Arial" w:cs="Arial" w:eastAsia="Arial" w:hAnsi="Arial"/>
                  <w:sz w:val="18"/>
                  <w:szCs w:val="18"/>
                  <w:color w:val="0000EE"/>
                  <w:w w:val="96"/>
                </w:rPr>
                <w:t>Exclusive License Agreement between the Registrant and Rutgers, the State University of New Jersey, effective November 6, 2018</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(incorporated by reference to Exhibit 10.16 to the Registrant’s Registration Statement on Form S-1 (File No. 333-230745) filed with the</w:t>
              </w:r>
            </w:hyperlink>
          </w:p>
        </w:tc>
        <w:tc>
          <w:tcPr>
            <w:tcW w:w="28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SEC on April 5, 2019)</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0080" w:type="dxa"/>
            <w:vAlign w:val="bottom"/>
            <w:gridSpan w:val="27"/>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Share Purchase Agreement, dated as of May 6, 2019, by and between the Registrant and New Enterprise Associates 16, L.P. (incorporated</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90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gridSpan w:val="7"/>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by reference to Exhibit 10.17 to Amendment No. 3 to Registrant’s Registration Statement on Form S-1 (File No. 333-230745) filed with the</w:t>
              </w:r>
            </w:hyperlink>
          </w:p>
        </w:tc>
      </w:tr>
      <w:tr>
        <w:trPr>
          <w:trHeight w:val="196"/>
        </w:trPr>
        <w:tc>
          <w:tcPr>
            <w:tcW w:w="1100" w:type="dxa"/>
            <w:vAlign w:val="bottom"/>
          </w:tcPr>
          <w:p>
            <w:pPr>
              <w:spacing w:after="0"/>
              <w:rPr>
                <w:sz w:val="17"/>
                <w:szCs w:val="17"/>
                <w:color w:val="auto"/>
              </w:rPr>
            </w:pPr>
          </w:p>
        </w:tc>
        <w:tc>
          <w:tcPr>
            <w:tcW w:w="1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SEC on May 7, 2019)</w:t>
              </w:r>
            </w:hyperlink>
          </w:p>
        </w:tc>
        <w:tc>
          <w:tcPr>
            <w:tcW w:w="8460" w:type="dxa"/>
            <w:vAlign w:val="bottom"/>
            <w:gridSpan w:val="2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0080" w:type="dxa"/>
            <w:vAlign w:val="bottom"/>
            <w:gridSpan w:val="27"/>
          </w:tcPr>
          <w:p>
            <w:pPr>
              <w:spacing w:after="0" w:line="196" w:lineRule="exact"/>
              <w:rPr>
                <w:rFonts w:ascii="Arial" w:cs="Arial" w:eastAsia="Arial" w:hAnsi="Arial"/>
                <w:sz w:val="18"/>
                <w:szCs w:val="18"/>
                <w:color w:val="0000EE"/>
                <w:w w:val="96"/>
              </w:rPr>
            </w:pPr>
            <w:hyperlink r:id="rId158">
              <w:r>
                <w:rPr>
                  <w:rFonts w:ascii="Arial" w:cs="Arial" w:eastAsia="Arial" w:hAnsi="Arial"/>
                  <w:sz w:val="18"/>
                  <w:szCs w:val="18"/>
                  <w:color w:val="0000EE"/>
                  <w:w w:val="96"/>
                </w:rPr>
                <w:t>List of Subsidiaries (incorporated by reference to Exhibit 21.1 to the Registrant’s Registration Statement on Form S-1 (File No. 333-</w:t>
              </w:r>
            </w:hyperlink>
          </w:p>
        </w:tc>
      </w:tr>
      <w:tr>
        <w:trPr>
          <w:trHeight w:val="196"/>
        </w:trPr>
        <w:tc>
          <w:tcPr>
            <w:tcW w:w="110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230745) filed with the SEC on April 5, 2019)</w:t>
              </w:r>
            </w:hyperlink>
          </w:p>
        </w:tc>
        <w:tc>
          <w:tcPr>
            <w:tcW w:w="6280" w:type="dxa"/>
            <w:vAlign w:val="bottom"/>
            <w:tcBorders>
              <w:top w:val="single" w:sz="8" w:color="0000EE"/>
            </w:tcBorders>
            <w:gridSpan w:val="8"/>
          </w:tcPr>
          <w:p>
            <w:pPr>
              <w:spacing w:after="0"/>
              <w:rPr>
                <w:sz w:val="17"/>
                <w:szCs w:val="17"/>
                <w:color w:val="auto"/>
              </w:rPr>
            </w:pPr>
          </w:p>
        </w:tc>
        <w:tc>
          <w:tcPr>
            <w:tcW w:w="520" w:type="dxa"/>
            <w:vAlign w:val="bottom"/>
            <w:gridSpan w:val="1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0080" w:type="dxa"/>
            <w:vAlign w:val="bottom"/>
            <w:gridSpan w:val="2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Consent of Ernst &amp; Young LLP, independent registered public accounting firm</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64">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60" w:type="dxa"/>
            <w:vAlign w:val="bottom"/>
            <w:gridSpan w:val="1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Adopted Pursuant to Section 302 of the Sarbanes-Oxley Act of 2002.</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080" w:type="dxa"/>
            <w:vAlign w:val="bottom"/>
            <w:gridSpan w:val="27"/>
          </w:tcPr>
          <w:p>
            <w:pPr>
              <w:spacing w:after="0" w:line="196" w:lineRule="exact"/>
              <w:rPr>
                <w:rFonts w:ascii="Arial" w:cs="Arial" w:eastAsia="Arial" w:hAnsi="Arial"/>
                <w:sz w:val="18"/>
                <w:szCs w:val="18"/>
                <w:color w:val="0000EE"/>
                <w:w w:val="95"/>
              </w:rPr>
            </w:pPr>
            <w:hyperlink w:anchor="page165">
              <w:r>
                <w:rPr>
                  <w:rFonts w:ascii="Arial" w:cs="Arial" w:eastAsia="Arial" w:hAnsi="Arial"/>
                  <w:sz w:val="18"/>
                  <w:szCs w:val="18"/>
                  <w:color w:val="0000EE"/>
                  <w:w w:val="95"/>
                </w:rPr>
                <w:t>Certification of Principal Financial Officer Pursuant to Rules 13a-14(a) and 15d-14(a) under the Securities Exchange Act of 1934, as</w:t>
              </w:r>
            </w:hyperlink>
          </w:p>
        </w:tc>
      </w:tr>
      <w:tr>
        <w:trPr>
          <w:trHeight w:val="196"/>
        </w:trPr>
        <w:tc>
          <w:tcPr>
            <w:tcW w:w="1100" w:type="dxa"/>
            <w:vAlign w:val="bottom"/>
          </w:tcPr>
          <w:p>
            <w:pPr>
              <w:spacing w:after="0"/>
              <w:rPr>
                <w:sz w:val="17"/>
                <w:szCs w:val="17"/>
                <w:color w:val="auto"/>
              </w:rPr>
            </w:pPr>
          </w:p>
        </w:tc>
        <w:tc>
          <w:tcPr>
            <w:tcW w:w="95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Adopted Pursuant to Section 302 of the Sarbanes-Oxley Act of 2002.</w:t>
              </w:r>
            </w:hyperlink>
          </w:p>
        </w:tc>
        <w:tc>
          <w:tcPr>
            <w:tcW w:w="520" w:type="dxa"/>
            <w:vAlign w:val="bottom"/>
            <w:gridSpan w:val="15"/>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502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080" w:type="dxa"/>
            <w:vAlign w:val="bottom"/>
            <w:gridSpan w:val="27"/>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100" w:type="dxa"/>
            <w:vAlign w:val="bottom"/>
          </w:tcPr>
          <w:p>
            <w:pPr>
              <w:spacing w:after="0"/>
              <w:rPr>
                <w:sz w:val="17"/>
                <w:szCs w:val="17"/>
                <w:color w:val="auto"/>
              </w:rPr>
            </w:pPr>
          </w:p>
        </w:tc>
        <w:tc>
          <w:tcPr>
            <w:tcW w:w="100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Act of 2002.</w:t>
              </w:r>
            </w:hyperlink>
          </w:p>
        </w:tc>
        <w:tc>
          <w:tcPr>
            <w:tcW w:w="40" w:type="dxa"/>
            <w:vAlign w:val="bottom"/>
            <w:gridSpan w:val="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00" w:type="dxa"/>
            <w:vAlign w:val="bottom"/>
            <w:gridSpan w:val="2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67">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8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Act of 2002.</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80" w:type="dxa"/>
            <w:vAlign w:val="bottom"/>
            <w:gridSpan w:val="25"/>
          </w:tcPr>
          <w:p>
            <w:pPr>
              <w:spacing w:after="0" w:line="20" w:lineRule="exact"/>
              <w:rPr>
                <w:sz w:val="1"/>
                <w:szCs w:val="1"/>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50" w:lineRule="exact"/>
        <w:rPr>
          <w:sz w:val="20"/>
          <w:szCs w:val="20"/>
          <w:color w:val="auto"/>
        </w:rPr>
      </w:pPr>
    </w:p>
    <w:p>
      <w:pPr>
        <w:ind w:left="580" w:right="500" w:hanging="572"/>
        <w:spacing w:after="0" w:line="277"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filed separately with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5640" w:val="left"/>
          <w:tab w:leader="none" w:pos="798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Jennifer Good</w:t>
      </w:r>
    </w:p>
    <w:p>
      <w:pPr>
        <w:spacing w:after="0" w:line="2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r>
      <w:tr>
        <w:trPr>
          <w:trHeight w:val="33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Jennifer Good</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and Chief Executive Officer, 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Jennifer Good</w:t>
            </w:r>
          </w:p>
        </w:tc>
        <w:tc>
          <w:tcPr>
            <w:tcW w:w="120" w:type="dxa"/>
            <w:vAlign w:val="bottom"/>
          </w:tcPr>
          <w:p>
            <w:pPr>
              <w:spacing w:after="0"/>
              <w:rPr>
                <w:sz w:val="19"/>
                <w:szCs w:val="19"/>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Christopher Seiter</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Financial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Christopher Seiter</w:t>
            </w:r>
          </w:p>
        </w:tc>
        <w:tc>
          <w:tcPr>
            <w:tcW w:w="120" w:type="dxa"/>
            <w:vAlign w:val="bottom"/>
          </w:tcPr>
          <w:p>
            <w:pPr>
              <w:spacing w:after="0"/>
              <w:rPr>
                <w:sz w:val="19"/>
                <w:szCs w:val="19"/>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Financial Officer)</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Frank Muscolo</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Controller</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Frank Muscolo</w:t>
            </w:r>
          </w:p>
        </w:tc>
        <w:tc>
          <w:tcPr>
            <w:tcW w:w="120" w:type="dxa"/>
            <w:vAlign w:val="bottom"/>
          </w:tcPr>
          <w:p>
            <w:pPr>
              <w:spacing w:after="0"/>
              <w:rPr>
                <w:sz w:val="19"/>
                <w:szCs w:val="19"/>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Accounting Officer)</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Meeker, M.D.</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5"/>
              </w:rPr>
              <w:t>David Meeker, M.D.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V. Cassella, Ph.D.</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James V. Cassella, Ph.D.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Heffernan</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Heffernan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Edward Mathers</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4"/>
              </w:rPr>
              <w:t>Edward Mathers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Annie Mitsak, Ph.D.</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3"/>
              </w:rPr>
              <w:t>Annie Mitsak, Ph.D.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Anne VanLent</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20" w:type="dxa"/>
            <w:vAlign w:val="bottom"/>
          </w:tcPr>
          <w:p>
            <w:pPr>
              <w:spacing w:after="0"/>
              <w:rPr>
                <w:sz w:val="24"/>
                <w:szCs w:val="24"/>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Anne VanLent</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73"/>
        </w:trPr>
        <w:tc>
          <w:tcPr>
            <w:tcW w:w="3700" w:type="dxa"/>
            <w:vAlign w:val="bottom"/>
          </w:tcPr>
          <w:p>
            <w:pPr>
              <w:spacing w:after="0"/>
              <w:rPr>
                <w:sz w:val="24"/>
                <w:szCs w:val="24"/>
                <w:color w:val="auto"/>
              </w:rPr>
            </w:pPr>
          </w:p>
        </w:tc>
        <w:tc>
          <w:tcPr>
            <w:tcW w:w="4980" w:type="dxa"/>
            <w:vAlign w:val="bottom"/>
            <w:gridSpan w:val="2"/>
          </w:tcPr>
          <w:p>
            <w:pPr>
              <w:jc w:val="right"/>
              <w:ind w:right="283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5" w:name="page116"/>
    <w:bookmarkEnd w:id="115"/>
    <w:p>
      <w:pPr>
        <w:ind w:left="4700"/>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Report of Independent Registered Public Accounting Firm</w:t>
              </w:r>
            </w:hyperlink>
          </w:p>
        </w:tc>
        <w:tc>
          <w:tcPr>
            <w:tcW w:w="2000" w:type="dxa"/>
            <w:vAlign w:val="bottom"/>
          </w:tcPr>
          <w:p>
            <w:pPr>
              <w:ind w:left="1740"/>
              <w:spacing w:after="0"/>
              <w:rPr>
                <w:sz w:val="20"/>
                <w:szCs w:val="20"/>
                <w:color w:val="auto"/>
              </w:rPr>
            </w:pPr>
            <w:r>
              <w:rPr>
                <w:rFonts w:ascii="Arial" w:cs="Arial" w:eastAsia="Arial" w:hAnsi="Arial"/>
                <w:sz w:val="18"/>
                <w:szCs w:val="18"/>
                <w:color w:val="auto"/>
                <w:w w:val="88"/>
              </w:rPr>
              <w:t>F-2</w:t>
            </w:r>
          </w:p>
        </w:tc>
      </w:tr>
      <w:tr>
        <w:trPr>
          <w:trHeight w:val="438"/>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5040" w:type="dxa"/>
            <w:vAlign w:val="bottom"/>
            <w:gridSpan w:val="2"/>
          </w:tcPr>
          <w:p>
            <w:pPr>
              <w:spacing w:after="0"/>
              <w:rPr>
                <w:sz w:val="24"/>
                <w:szCs w:val="24"/>
                <w:color w:val="auto"/>
              </w:rPr>
            </w:pPr>
          </w:p>
        </w:tc>
        <w:tc>
          <w:tcPr>
            <w:tcW w:w="2000" w:type="dxa"/>
            <w:vAlign w:val="bottom"/>
          </w:tcPr>
          <w:p>
            <w:pPr>
              <w:spacing w:after="0"/>
              <w:rPr>
                <w:sz w:val="24"/>
                <w:szCs w:val="24"/>
                <w:color w:val="auto"/>
              </w:rPr>
            </w:pPr>
          </w:p>
        </w:tc>
      </w:tr>
      <w:tr>
        <w:trPr>
          <w:trHeight w:val="190"/>
        </w:trPr>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Consolidated Balance Sheets</w:t>
              </w:r>
            </w:hyperlink>
          </w:p>
        </w:tc>
        <w:tc>
          <w:tcPr>
            <w:tcW w:w="7160" w:type="dxa"/>
            <w:vAlign w:val="bottom"/>
            <w:gridSpan w:val="6"/>
          </w:tcPr>
          <w:p>
            <w:pPr>
              <w:spacing w:after="0"/>
              <w:rPr>
                <w:sz w:val="16"/>
                <w:szCs w:val="16"/>
                <w:color w:val="auto"/>
              </w:rPr>
            </w:pPr>
          </w:p>
        </w:tc>
        <w:tc>
          <w:tcPr>
            <w:tcW w:w="2000" w:type="dxa"/>
            <w:vAlign w:val="bottom"/>
          </w:tcPr>
          <w:p>
            <w:pPr>
              <w:ind w:left="1740"/>
              <w:spacing w:after="0" w:line="190" w:lineRule="exact"/>
              <w:rPr>
                <w:sz w:val="20"/>
                <w:szCs w:val="20"/>
                <w:color w:val="auto"/>
              </w:rPr>
            </w:pPr>
            <w:r>
              <w:rPr>
                <w:rFonts w:ascii="Arial" w:cs="Arial" w:eastAsia="Arial" w:hAnsi="Arial"/>
                <w:sz w:val="18"/>
                <w:szCs w:val="18"/>
                <w:color w:val="auto"/>
                <w:w w:val="88"/>
              </w:rPr>
              <w:t>F-3</w:t>
            </w:r>
          </w:p>
        </w:tc>
      </w:tr>
      <w:tr>
        <w:trPr>
          <w:trHeight w:val="196"/>
        </w:trPr>
        <w:tc>
          <w:tcPr>
            <w:tcW w:w="9260" w:type="dxa"/>
            <w:vAlign w:val="bottom"/>
            <w:gridSpan w:val="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Operations</w:t>
              </w:r>
            </w:hyperlink>
          </w:p>
        </w:tc>
        <w:tc>
          <w:tcPr>
            <w:tcW w:w="2000" w:type="dxa"/>
            <w:vAlign w:val="bottom"/>
          </w:tcPr>
          <w:p>
            <w:pPr>
              <w:ind w:left="174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260" w:type="dxa"/>
            <w:vAlign w:val="bottom"/>
            <w:gridSpan w:val="7"/>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Consolidated Statements of Redeemable Convertible Preferred Stock and Stockholders’ Equity (Deficit)</w:t>
              </w:r>
            </w:hyperlink>
          </w:p>
        </w:tc>
        <w:tc>
          <w:tcPr>
            <w:tcW w:w="2000" w:type="dxa"/>
            <w:vAlign w:val="bottom"/>
          </w:tcPr>
          <w:p>
            <w:pPr>
              <w:ind w:left="174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Consolidated Statements of Cash Flows</w:t>
              </w:r>
            </w:hyperlink>
          </w:p>
        </w:tc>
        <w:tc>
          <w:tcPr>
            <w:tcW w:w="4640" w:type="dxa"/>
            <w:vAlign w:val="bottom"/>
            <w:tcBorders>
              <w:top w:val="single" w:sz="8" w:color="0000EE"/>
            </w:tcBorders>
            <w:gridSpan w:val="3"/>
          </w:tcPr>
          <w:p>
            <w:pPr>
              <w:spacing w:after="0"/>
              <w:rPr>
                <w:sz w:val="17"/>
                <w:szCs w:val="17"/>
                <w:color w:val="auto"/>
              </w:rPr>
            </w:pPr>
          </w:p>
        </w:tc>
        <w:tc>
          <w:tcPr>
            <w:tcW w:w="1740" w:type="dxa"/>
            <w:vAlign w:val="bottom"/>
          </w:tcPr>
          <w:p>
            <w:pPr>
              <w:spacing w:after="0"/>
              <w:rPr>
                <w:sz w:val="17"/>
                <w:szCs w:val="17"/>
                <w:color w:val="auto"/>
              </w:rPr>
            </w:pPr>
          </w:p>
        </w:tc>
        <w:tc>
          <w:tcPr>
            <w:tcW w:w="2000" w:type="dxa"/>
            <w:vAlign w:val="bottom"/>
          </w:tcPr>
          <w:p>
            <w:pPr>
              <w:ind w:left="174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9260" w:type="dxa"/>
            <w:vAlign w:val="bottom"/>
            <w:gridSpan w:val="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Notes to Consolidated Financial Statements</w:t>
              </w:r>
            </w:hyperlink>
          </w:p>
        </w:tc>
        <w:tc>
          <w:tcPr>
            <w:tcW w:w="2000" w:type="dxa"/>
            <w:vAlign w:val="bottom"/>
          </w:tcPr>
          <w:p>
            <w:pPr>
              <w:ind w:left="1740"/>
              <w:spacing w:after="0" w:line="196" w:lineRule="exact"/>
              <w:rPr>
                <w:sz w:val="20"/>
                <w:szCs w:val="20"/>
                <w:color w:val="auto"/>
              </w:rPr>
            </w:pPr>
            <w:r>
              <w:rPr>
                <w:rFonts w:ascii="Arial" w:cs="Arial" w:eastAsia="Arial" w:hAnsi="Arial"/>
                <w:sz w:val="18"/>
                <w:szCs w:val="18"/>
                <w:color w:val="auto"/>
                <w:w w:val="88"/>
              </w:rPr>
              <w:t>F-7</w:t>
            </w:r>
          </w:p>
        </w:tc>
      </w:tr>
      <w:tr>
        <w:trPr>
          <w:trHeight w:val="682"/>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5040" w:type="dxa"/>
            <w:vAlign w:val="bottom"/>
            <w:gridSpan w:val="2"/>
          </w:tcPr>
          <w:p>
            <w:pPr>
              <w:ind w:left="1280"/>
              <w:spacing w:after="0"/>
              <w:rPr>
                <w:sz w:val="20"/>
                <w:szCs w:val="20"/>
                <w:color w:val="auto"/>
              </w:rPr>
            </w:pPr>
            <w:r>
              <w:rPr>
                <w:rFonts w:ascii="Arial" w:cs="Arial" w:eastAsia="Arial" w:hAnsi="Arial"/>
                <w:sz w:val="18"/>
                <w:szCs w:val="18"/>
                <w:color w:val="auto"/>
              </w:rPr>
              <w:t>F-1</w:t>
            </w:r>
          </w:p>
        </w:tc>
        <w:tc>
          <w:tcPr>
            <w:tcW w:w="200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Stockholders and the Board of Directors of Trevi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audited the consolidated accompanying balance sheets of Trevi Therapeutics, Inc. (the Company) as of December 31, 2019 and 2018, the related consolidated statements of operations</w:t>
      </w:r>
      <w:r>
        <w:rPr>
          <w:rFonts w:ascii="Arial" w:cs="Arial" w:eastAsia="Arial" w:hAnsi="Arial"/>
          <w:sz w:val="18"/>
          <w:szCs w:val="18"/>
          <w:b w:val="1"/>
          <w:bCs w:val="1"/>
          <w:color w:val="auto"/>
        </w:rPr>
        <w:t>,</w:t>
      </w:r>
      <w:r>
        <w:rPr>
          <w:rFonts w:ascii="Arial" w:cs="Arial" w:eastAsia="Arial" w:hAnsi="Arial"/>
          <w:sz w:val="18"/>
          <w:szCs w:val="18"/>
          <w:color w:val="auto"/>
        </w:rPr>
        <w:t xml:space="preserve"> redeemable convertible preferred stock and stockholders' equity (deficit), and cash flows for each of the two years in the period ended December 31, 2019, and the related notes</w:t>
      </w:r>
      <w:r>
        <w:rPr>
          <w:sz w:val="1"/>
          <w:szCs w:val="1"/>
          <w:color w:val="auto"/>
        </w:rPr>
        <w:drawing>
          <wp:inline distT="0" distB="0" distL="0" distR="0">
            <wp:extent cx="26035" cy="1289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8"/>
          <w:szCs w:val="18"/>
          <w:color w:val="auto"/>
        </w:rPr>
        <w:t>(collectively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 in conformity with U.S.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0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4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Current assets:</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4960" w:type="dxa"/>
            <w:vAlign w:val="bottom"/>
            <w:gridSpan w:val="2"/>
            <w:shd w:val="clear" w:color="auto" w:fill="CFF0FC"/>
          </w:tcPr>
          <w:p>
            <w:pPr>
              <w:jc w:val="right"/>
              <w:ind w:right="764"/>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57,313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60"/>
              <w:spacing w:after="0"/>
              <w:rPr>
                <w:sz w:val="20"/>
                <w:szCs w:val="20"/>
                <w:color w:val="auto"/>
              </w:rPr>
            </w:pPr>
            <w:r>
              <w:rPr>
                <w:rFonts w:ascii="Arial" w:cs="Arial" w:eastAsia="Arial" w:hAnsi="Arial"/>
                <w:sz w:val="16"/>
                <w:szCs w:val="16"/>
                <w:color w:val="auto"/>
              </w:rPr>
              <w:t>Tax credit and other receivables</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w:t>
            </w:r>
          </w:p>
        </w:tc>
        <w:tc>
          <w:tcPr>
            <w:tcW w:w="40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1,681</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4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59,552</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Deferred offering costs</w:t>
            </w:r>
          </w:p>
        </w:tc>
        <w:tc>
          <w:tcPr>
            <w:tcW w:w="4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Operating lease right-of-use asset</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Security deposit</w:t>
            </w:r>
          </w:p>
        </w:tc>
        <w:tc>
          <w:tcPr>
            <w:tcW w:w="4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w w:val="95"/>
              </w:rPr>
              <w:t>Property, equipment and leasehold improvements, net</w:t>
            </w:r>
          </w:p>
        </w:tc>
        <w:tc>
          <w:tcPr>
            <w:tcW w:w="40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40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6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60,001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equity</w:t>
            </w:r>
          </w:p>
        </w:tc>
        <w:tc>
          <w:tcPr>
            <w:tcW w:w="9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20"/>
              <w:spacing w:after="0"/>
              <w:rPr>
                <w:sz w:val="20"/>
                <w:szCs w:val="20"/>
                <w:color w:val="auto"/>
              </w:rPr>
            </w:pPr>
            <w:r>
              <w:rPr>
                <w:rFonts w:ascii="Arial" w:cs="Arial" w:eastAsia="Arial" w:hAnsi="Arial"/>
                <w:sz w:val="16"/>
                <w:szCs w:val="16"/>
                <w:b w:val="1"/>
                <w:bCs w:val="1"/>
                <w:color w:val="auto"/>
              </w:rPr>
              <w:t>(deficit)</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4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4960" w:type="dxa"/>
            <w:vAlign w:val="bottom"/>
            <w:gridSpan w:val="2"/>
          </w:tcPr>
          <w:p>
            <w:pPr>
              <w:jc w:val="right"/>
              <w:ind w:right="76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1,599</w:t>
            </w:r>
          </w:p>
        </w:tc>
        <w:tc>
          <w:tcPr>
            <w:tcW w:w="280" w:type="dxa"/>
            <w:vAlign w:val="bottom"/>
          </w:tcPr>
          <w:p>
            <w:pPr>
              <w:spacing w:after="0"/>
              <w:rPr>
                <w:sz w:val="18"/>
                <w:szCs w:val="18"/>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4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60"/>
              <w:spacing w:after="0"/>
              <w:rPr>
                <w:sz w:val="20"/>
                <w:szCs w:val="20"/>
                <w:color w:val="auto"/>
              </w:rPr>
            </w:pPr>
            <w:r>
              <w:rPr>
                <w:rFonts w:ascii="Arial" w:cs="Arial" w:eastAsia="Arial" w:hAnsi="Arial"/>
                <w:sz w:val="16"/>
                <w:szCs w:val="16"/>
                <w:color w:val="auto"/>
              </w:rPr>
              <w:t>Operating lease liability - current portion</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40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Obligation for loan success fee</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w w:val="92"/>
              </w:rPr>
              <w:t>Series C redeemable convertible preferred stock liability</w:t>
            </w:r>
          </w:p>
        </w:tc>
        <w:tc>
          <w:tcPr>
            <w:tcW w:w="4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Operating lease liability - long term portion</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14)</w:t>
            </w:r>
          </w:p>
        </w:tc>
        <w:tc>
          <w:tcPr>
            <w:tcW w:w="4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660" w:type="dxa"/>
            <w:vAlign w:val="bottom"/>
            <w:gridSpan w:val="3"/>
          </w:tcPr>
          <w:p>
            <w:pPr>
              <w:spacing w:after="0"/>
              <w:rPr>
                <w:sz w:val="20"/>
                <w:szCs w:val="20"/>
                <w:color w:val="auto"/>
              </w:rPr>
            </w:pPr>
            <w:r>
              <w:rPr>
                <w:rFonts w:ascii="Arial" w:cs="Arial" w:eastAsia="Arial" w:hAnsi="Arial"/>
                <w:sz w:val="16"/>
                <w:szCs w:val="16"/>
                <w:color w:val="auto"/>
              </w:rPr>
              <w:t>Series A redeemable convertible preferred stock: no shares and 15,387,923</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gridSpan w:val="3"/>
          </w:tcPr>
          <w:p>
            <w:pPr>
              <w:ind w:left="120"/>
              <w:spacing w:after="0"/>
              <w:rPr>
                <w:sz w:val="20"/>
                <w:szCs w:val="20"/>
                <w:color w:val="auto"/>
              </w:rPr>
            </w:pPr>
            <w:r>
              <w:rPr>
                <w:rFonts w:ascii="Arial" w:cs="Arial" w:eastAsia="Arial" w:hAnsi="Arial"/>
                <w:sz w:val="16"/>
                <w:szCs w:val="16"/>
                <w:color w:val="auto"/>
              </w:rPr>
              <w:t>shares authorized, issued and outstanding at December 31, 2019 and</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gridSpan w:val="3"/>
          </w:tcPr>
          <w:p>
            <w:pPr>
              <w:ind w:left="180"/>
              <w:spacing w:after="0"/>
              <w:rPr>
                <w:sz w:val="20"/>
                <w:szCs w:val="20"/>
                <w:color w:val="auto"/>
              </w:rPr>
            </w:pPr>
            <w:r>
              <w:rPr>
                <w:rFonts w:ascii="Arial" w:cs="Arial" w:eastAsia="Arial" w:hAnsi="Arial"/>
                <w:sz w:val="16"/>
                <w:szCs w:val="16"/>
                <w:color w:val="auto"/>
              </w:rPr>
              <w:t>2018, respectively; liquidation preference of $0 and $20,469 at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120"/>
              <w:spacing w:after="0"/>
              <w:rPr>
                <w:sz w:val="20"/>
                <w:szCs w:val="20"/>
                <w:color w:val="auto"/>
              </w:rPr>
            </w:pPr>
            <w:r>
              <w:rPr>
                <w:rFonts w:ascii="Arial" w:cs="Arial" w:eastAsia="Arial" w:hAnsi="Arial"/>
                <w:sz w:val="16"/>
                <w:szCs w:val="16"/>
                <w:color w:val="auto"/>
              </w:rPr>
              <w:t>December 31, 2019 and 2018, respectively.</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Series B redeemable convertible preferred stock: no shares and 22,608,695 shares</w:t>
            </w: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authorized, issued and outstanding at December 31, 2019 and</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2018, respectively; liquidation preference of $0 and $32,900 at December 31,</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2019 and 2018, respectively.</w:t>
            </w:r>
          </w:p>
        </w:tc>
        <w:tc>
          <w:tcPr>
            <w:tcW w:w="4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60" w:type="dxa"/>
            <w:vAlign w:val="bottom"/>
            <w:gridSpan w:val="3"/>
          </w:tcPr>
          <w:p>
            <w:pPr>
              <w:spacing w:after="0"/>
              <w:rPr>
                <w:sz w:val="20"/>
                <w:szCs w:val="20"/>
                <w:color w:val="auto"/>
              </w:rPr>
            </w:pPr>
            <w:r>
              <w:rPr>
                <w:rFonts w:ascii="Arial" w:cs="Arial" w:eastAsia="Arial" w:hAnsi="Arial"/>
                <w:sz w:val="16"/>
                <w:szCs w:val="16"/>
                <w:color w:val="auto"/>
              </w:rPr>
              <w:t>Series C redeemable convertible preferred stock: no shares and 48,200,412</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gridSpan w:val="3"/>
          </w:tcPr>
          <w:p>
            <w:pPr>
              <w:ind w:left="120"/>
              <w:spacing w:after="0"/>
              <w:rPr>
                <w:sz w:val="20"/>
                <w:szCs w:val="20"/>
                <w:color w:val="auto"/>
              </w:rPr>
            </w:pPr>
            <w:r>
              <w:rPr>
                <w:rFonts w:ascii="Arial" w:cs="Arial" w:eastAsia="Arial" w:hAnsi="Arial"/>
                <w:sz w:val="16"/>
                <w:szCs w:val="16"/>
                <w:color w:val="auto"/>
              </w:rPr>
              <w:t>shares authorized at December 31, 2019 and 2018, respectively;</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gridSpan w:val="3"/>
          </w:tcPr>
          <w:p>
            <w:pPr>
              <w:ind w:left="120"/>
              <w:spacing w:after="0"/>
              <w:rPr>
                <w:sz w:val="20"/>
                <w:szCs w:val="20"/>
                <w:color w:val="auto"/>
              </w:rPr>
            </w:pPr>
            <w:r>
              <w:rPr>
                <w:rFonts w:ascii="Arial" w:cs="Arial" w:eastAsia="Arial" w:hAnsi="Arial"/>
                <w:sz w:val="16"/>
                <w:szCs w:val="16"/>
                <w:color w:val="auto"/>
              </w:rPr>
              <w:t>no shares and 38,097,672 shares issued and outstanding at December 31,</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20"/>
              <w:spacing w:after="0"/>
              <w:rPr>
                <w:sz w:val="20"/>
                <w:szCs w:val="20"/>
                <w:color w:val="auto"/>
              </w:rPr>
            </w:pPr>
            <w:r>
              <w:rPr>
                <w:rFonts w:ascii="Arial" w:cs="Arial" w:eastAsia="Arial" w:hAnsi="Arial"/>
                <w:sz w:val="16"/>
                <w:szCs w:val="16"/>
                <w:color w:val="auto"/>
                <w:w w:val="93"/>
              </w:rPr>
              <w:t>2019 and 2018, respectively; liquidation preference of</w:t>
            </w:r>
          </w:p>
        </w:tc>
        <w:tc>
          <w:tcPr>
            <w:tcW w:w="4960" w:type="dxa"/>
            <w:vAlign w:val="bottom"/>
            <w:gridSpan w:val="2"/>
          </w:tcPr>
          <w:p>
            <w:pPr>
              <w:jc w:val="right"/>
              <w:ind w:right="4424"/>
              <w:spacing w:after="0"/>
              <w:rPr>
                <w:sz w:val="20"/>
                <w:szCs w:val="20"/>
                <w:color w:val="auto"/>
              </w:rPr>
            </w:pPr>
            <w:r>
              <w:rPr>
                <w:rFonts w:ascii="Arial" w:cs="Arial" w:eastAsia="Arial" w:hAnsi="Arial"/>
                <w:sz w:val="16"/>
                <w:szCs w:val="16"/>
                <w:color w:val="auto"/>
                <w:w w:val="89"/>
              </w:rPr>
              <w:t>$0 and</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120"/>
              <w:spacing w:after="0"/>
              <w:rPr>
                <w:sz w:val="20"/>
                <w:szCs w:val="20"/>
                <w:color w:val="auto"/>
              </w:rPr>
            </w:pPr>
            <w:r>
              <w:rPr>
                <w:rFonts w:ascii="Arial" w:cs="Arial" w:eastAsia="Arial" w:hAnsi="Arial"/>
                <w:sz w:val="16"/>
                <w:szCs w:val="16"/>
                <w:color w:val="auto"/>
                <w:w w:val="91"/>
              </w:rPr>
              <w:t>$59,798 at December 31, 2019 and 2018, respectively.</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 (deficit):</w:t>
            </w:r>
          </w:p>
        </w:tc>
        <w:tc>
          <w:tcPr>
            <w:tcW w:w="4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660" w:type="dxa"/>
            <w:vAlign w:val="bottom"/>
            <w:gridSpan w:val="3"/>
          </w:tcPr>
          <w:p>
            <w:pPr>
              <w:spacing w:after="0"/>
              <w:rPr>
                <w:sz w:val="20"/>
                <w:szCs w:val="20"/>
                <w:color w:val="auto"/>
              </w:rPr>
            </w:pPr>
            <w:r>
              <w:rPr>
                <w:rFonts w:ascii="Arial" w:cs="Arial" w:eastAsia="Arial" w:hAnsi="Arial"/>
                <w:sz w:val="16"/>
                <w:szCs w:val="16"/>
                <w:color w:val="auto"/>
              </w:rPr>
              <w:t>Common stock: $0.001 par value; 200,000,000 and 101,929,904 shares</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gridSpan w:val="3"/>
          </w:tcPr>
          <w:p>
            <w:pPr>
              <w:ind w:left="120"/>
              <w:spacing w:after="0"/>
              <w:rPr>
                <w:sz w:val="20"/>
                <w:szCs w:val="20"/>
                <w:color w:val="auto"/>
              </w:rPr>
            </w:pPr>
            <w:r>
              <w:rPr>
                <w:rFonts w:ascii="Arial" w:cs="Arial" w:eastAsia="Arial" w:hAnsi="Arial"/>
                <w:sz w:val="16"/>
                <w:szCs w:val="16"/>
                <w:color w:val="auto"/>
              </w:rPr>
              <w:t>authorized at December 31, 2019 and 2018, respectively;</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gridSpan w:val="3"/>
          </w:tcPr>
          <w:p>
            <w:pPr>
              <w:ind w:left="120"/>
              <w:spacing w:after="0"/>
              <w:rPr>
                <w:sz w:val="20"/>
                <w:szCs w:val="20"/>
                <w:color w:val="auto"/>
              </w:rPr>
            </w:pPr>
            <w:r>
              <w:rPr>
                <w:rFonts w:ascii="Arial" w:cs="Arial" w:eastAsia="Arial" w:hAnsi="Arial"/>
                <w:sz w:val="16"/>
                <w:szCs w:val="16"/>
                <w:color w:val="auto"/>
              </w:rPr>
              <w:t>17,834,570 and 438,600 shares issued and outstanding at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120"/>
              <w:spacing w:after="0"/>
              <w:rPr>
                <w:sz w:val="20"/>
                <w:szCs w:val="20"/>
                <w:color w:val="auto"/>
              </w:rPr>
            </w:pPr>
            <w:r>
              <w:rPr>
                <w:rFonts w:ascii="Arial" w:cs="Arial" w:eastAsia="Arial" w:hAnsi="Arial"/>
                <w:sz w:val="16"/>
                <w:szCs w:val="16"/>
                <w:color w:val="auto"/>
              </w:rPr>
              <w:t>December 31, 2019 and 2018, respectively.</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Preferred stock: $0.001 par value; 5,000,000 shares and no shares authorized at</w:t>
            </w: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December 31, 2019 and 2018, respectively; no shares issued or</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outstanding at December 31, 2019 or 2018.</w:t>
            </w:r>
          </w:p>
        </w:tc>
        <w:tc>
          <w:tcPr>
            <w:tcW w:w="4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168,746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4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6"/>
              </w:rPr>
              <w:t>(114,219)</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(109,498)</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500"/>
              <w:spacing w:after="0"/>
              <w:rPr>
                <w:sz w:val="20"/>
                <w:szCs w:val="20"/>
                <w:color w:val="auto"/>
              </w:rPr>
            </w:pPr>
            <w:r>
              <w:rPr>
                <w:rFonts w:ascii="Arial" w:cs="Arial" w:eastAsia="Arial" w:hAnsi="Arial"/>
                <w:sz w:val="16"/>
                <w:szCs w:val="16"/>
                <w:color w:val="auto"/>
              </w:rPr>
              <w:t>Total stockholders’ equity (deficit)</w:t>
            </w:r>
          </w:p>
        </w:tc>
        <w:tc>
          <w:tcPr>
            <w:tcW w:w="4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00" w:type="dxa"/>
            <w:vAlign w:val="bottom"/>
            <w:vMerge w:val="continue"/>
          </w:tcPr>
          <w:p>
            <w:pPr>
              <w:spacing w:after="0"/>
              <w:rPr>
                <w:sz w:val="17"/>
                <w:szCs w:val="17"/>
                <w:color w:val="auto"/>
              </w:rPr>
            </w:pPr>
          </w:p>
        </w:tc>
        <w:tc>
          <w:tcPr>
            <w:tcW w:w="4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54,545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(109,494)</w:t>
            </w:r>
          </w:p>
        </w:tc>
        <w:tc>
          <w:tcPr>
            <w:tcW w:w="0" w:type="dxa"/>
            <w:vAlign w:val="bottom"/>
          </w:tcPr>
          <w:p>
            <w:pPr>
              <w:spacing w:after="0"/>
              <w:rPr>
                <w:sz w:val="1"/>
                <w:szCs w:val="1"/>
                <w:color w:val="auto"/>
              </w:rPr>
            </w:pPr>
          </w:p>
        </w:tc>
      </w:tr>
      <w:tr>
        <w:trPr>
          <w:trHeight w:val="203"/>
        </w:trPr>
        <w:tc>
          <w:tcPr>
            <w:tcW w:w="77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6"/>
                <w:szCs w:val="16"/>
                <w:color w:val="auto"/>
              </w:rPr>
              <w:t>Total liabilities, redeemable convertible preferred stock and stockholders’</w:t>
            </w: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equity (deficit)</w:t>
            </w:r>
          </w:p>
        </w:tc>
        <w:tc>
          <w:tcPr>
            <w:tcW w:w="4960" w:type="dxa"/>
            <w:vAlign w:val="bottom"/>
            <w:gridSpan w:val="2"/>
            <w:shd w:val="clear" w:color="auto" w:fill="CFF0FC"/>
          </w:tcPr>
          <w:p>
            <w:pPr>
              <w:jc w:val="right"/>
              <w:ind w:right="764"/>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19,339</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Series C redeemable convertible preferred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liability</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(26,068)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Dividends accrued on redeemable convertible preferred stock</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(2,239)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11,735,781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437,610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920" w:type="dxa"/>
            <w:vAlign w:val="bottom"/>
            <w:gridSpan w:val="4"/>
          </w:tcPr>
          <w:p>
            <w:pPr>
              <w:jc w:val="center"/>
              <w:ind w:left="446"/>
              <w:spacing w:after="0"/>
              <w:rPr>
                <w:sz w:val="20"/>
                <w:szCs w:val="20"/>
                <w:color w:val="auto"/>
              </w:rPr>
            </w:pPr>
            <w:r>
              <w:rPr>
                <w:rFonts w:ascii="Arial" w:cs="Arial" w:eastAsia="Arial" w:hAnsi="Arial"/>
                <w:sz w:val="11"/>
                <w:szCs w:val="11"/>
                <w:b w:val="1"/>
                <w:bCs w:val="1"/>
                <w:color w:val="auto"/>
                <w:w w:val="86"/>
              </w:rPr>
              <w:t>Series A</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3"/>
          </w:tcPr>
          <w:p>
            <w:pPr>
              <w:jc w:val="center"/>
              <w:ind w:left="466"/>
              <w:spacing w:after="0"/>
              <w:rPr>
                <w:sz w:val="20"/>
                <w:szCs w:val="20"/>
                <w:color w:val="auto"/>
              </w:rPr>
            </w:pPr>
            <w:r>
              <w:rPr>
                <w:rFonts w:ascii="Arial" w:cs="Arial" w:eastAsia="Arial" w:hAnsi="Arial"/>
                <w:sz w:val="11"/>
                <w:szCs w:val="11"/>
                <w:b w:val="1"/>
                <w:bCs w:val="1"/>
                <w:color w:val="auto"/>
                <w:w w:val="86"/>
              </w:rPr>
              <w:t>Series B</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center"/>
              <w:ind w:left="446"/>
              <w:spacing w:after="0"/>
              <w:rPr>
                <w:sz w:val="20"/>
                <w:szCs w:val="20"/>
                <w:color w:val="auto"/>
              </w:rPr>
            </w:pPr>
            <w:r>
              <w:rPr>
                <w:rFonts w:ascii="Arial" w:cs="Arial" w:eastAsia="Arial" w:hAnsi="Arial"/>
                <w:sz w:val="11"/>
                <w:szCs w:val="11"/>
                <w:b w:val="1"/>
                <w:bCs w:val="1"/>
                <w:color w:val="auto"/>
                <w:w w:val="86"/>
              </w:rPr>
              <w:t>Series C</w:t>
            </w: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20" w:type="dxa"/>
            <w:vAlign w:val="bottom"/>
            <w:gridSpan w:val="6"/>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660" w:type="dxa"/>
            <w:vAlign w:val="bottom"/>
            <w:gridSpan w:val="5"/>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Redeemable</w:t>
            </w:r>
          </w:p>
        </w:tc>
        <w:tc>
          <w:tcPr>
            <w:tcW w:w="1660" w:type="dxa"/>
            <w:vAlign w:val="bottom"/>
            <w:tcBorders>
              <w:right w:val="single" w:sz="8" w:color="auto"/>
            </w:tcBorders>
            <w:gridSpan w:val="5"/>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Redeemable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20" w:type="dxa"/>
            <w:vAlign w:val="bottom"/>
            <w:gridSpan w:val="6"/>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660" w:type="dxa"/>
            <w:vAlign w:val="bottom"/>
            <w:gridSpan w:val="5"/>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660" w:type="dxa"/>
            <w:vAlign w:val="bottom"/>
            <w:tcBorders>
              <w:right w:val="single" w:sz="8" w:color="auto"/>
            </w:tcBorders>
            <w:gridSpan w:val="5"/>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62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90"/>
              </w:rPr>
              <w:t>Preferred Stock</w:t>
            </w:r>
          </w:p>
        </w:tc>
        <w:tc>
          <w:tcPr>
            <w:tcW w:w="166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7"/>
              </w:rPr>
              <w:t>Preferred Stock</w:t>
            </w:r>
          </w:p>
        </w:tc>
        <w:tc>
          <w:tcPr>
            <w:tcW w:w="166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90"/>
              </w:rPr>
              <w:t>Preferred Stock</w:t>
            </w:r>
          </w:p>
        </w:tc>
        <w:tc>
          <w:tcPr>
            <w:tcW w:w="80" w:type="dxa"/>
            <w:vAlign w:val="bottom"/>
          </w:tcPr>
          <w:p>
            <w:pPr>
              <w:spacing w:after="0"/>
              <w:rPr>
                <w:sz w:val="11"/>
                <w:szCs w:val="11"/>
                <w:color w:val="auto"/>
              </w:rPr>
            </w:pPr>
          </w:p>
        </w:tc>
        <w:tc>
          <w:tcPr>
            <w:tcW w:w="1340" w:type="dxa"/>
            <w:vAlign w:val="bottom"/>
            <w:gridSpan w:val="3"/>
          </w:tcPr>
          <w:p>
            <w:pPr>
              <w:jc w:val="right"/>
              <w:ind w:right="21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Paid-</w:t>
            </w:r>
          </w:p>
        </w:tc>
        <w:tc>
          <w:tcPr>
            <w:tcW w:w="80" w:type="dxa"/>
            <w:vAlign w:val="bottom"/>
          </w:tcPr>
          <w:p>
            <w:pPr>
              <w:spacing w:after="0"/>
              <w:rPr>
                <w:sz w:val="11"/>
                <w:szCs w:val="11"/>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7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86"/>
              </w:rPr>
              <w:t>Amount</w:t>
            </w:r>
          </w:p>
        </w:tc>
        <w:tc>
          <w:tcPr>
            <w:tcW w:w="200" w:type="dxa"/>
            <w:vAlign w:val="bottom"/>
            <w:tcBorders>
              <w:bottom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200" w:type="dxa"/>
            <w:vAlign w:val="bottom"/>
            <w:tcBorders>
              <w:bottom w:val="single" w:sz="8" w:color="CFF0FC"/>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220" w:type="dxa"/>
            <w:vAlign w:val="bottom"/>
            <w:tcBorders>
              <w:bottom w:val="single" w:sz="8" w:color="CFF0FC"/>
              <w:right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bottom w:val="single" w:sz="8" w:color="CFF0FC"/>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top w:val="single" w:sz="8" w:color="auto"/>
              <w:bottom w:val="single" w:sz="8" w:color="auto"/>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2"/>
              </w:rPr>
              <w:t>in Capital</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Deficit</w:t>
            </w:r>
          </w:p>
        </w:tc>
        <w:tc>
          <w:tcPr>
            <w:tcW w:w="22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Equity (Deficit)</w:t>
            </w:r>
          </w:p>
        </w:tc>
        <w:tc>
          <w:tcPr>
            <w:tcW w:w="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December 31, 2017</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15,387,923</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20,479</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22,608,695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32,640</w:t>
            </w: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30,886,507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46,087</w:t>
            </w:r>
          </w:p>
        </w:tc>
        <w:tc>
          <w:tcPr>
            <w:tcW w:w="2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432,921</w:t>
            </w:r>
          </w:p>
        </w:tc>
        <w:tc>
          <w:tcPr>
            <w:tcW w:w="22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60" w:type="dxa"/>
            <w:vAlign w:val="bottom"/>
            <w:tcBorders>
              <w:right w:val="single" w:sz="8" w:color="CFF0FC"/>
            </w:tcBorders>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(84,432)</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(84,428)</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w w:val="97"/>
              </w:rPr>
              <w:t>Issuance of common stock from exercise of</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stock options</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5,679</w:t>
            </w:r>
          </w:p>
        </w:tc>
        <w:tc>
          <w:tcPr>
            <w:tcW w:w="2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1"/>
                <w:szCs w:val="11"/>
                <w:color w:val="auto"/>
                <w:w w:val="94"/>
              </w:rPr>
              <w:t>Issuance of Series C redeemable convertible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preferred stock, net of issuance costs</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7,211,165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11,506</w:t>
            </w: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Dividends accrued on redeemable</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convertible preferred</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923</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1,560</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2,918</w:t>
            </w:r>
          </w:p>
        </w:tc>
        <w:tc>
          <w:tcPr>
            <w:tcW w:w="2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(509)</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(4,892)</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(5,401)</w:t>
            </w: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1"/>
                <w:szCs w:val="11"/>
                <w:color w:val="auto"/>
              </w:rPr>
              <w:t>Accretion (amortization) of premium</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(discount) on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ind w:left="80"/>
              <w:spacing w:after="0" w:line="122" w:lineRule="exact"/>
              <w:rPr>
                <w:sz w:val="20"/>
                <w:szCs w:val="20"/>
                <w:color w:val="auto"/>
              </w:rPr>
            </w:pPr>
            <w:r>
              <w:rPr>
                <w:rFonts w:ascii="Arial" w:cs="Arial" w:eastAsia="Arial" w:hAnsi="Arial"/>
                <w:sz w:val="11"/>
                <w:szCs w:val="11"/>
                <w:color w:val="auto"/>
              </w:rPr>
              <w:t>issuance of redeemable convertible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20"/>
                <w:szCs w:val="20"/>
                <w:color w:val="auto"/>
              </w:rPr>
            </w:pPr>
            <w:r>
              <w:rPr>
                <w:rFonts w:ascii="Arial" w:cs="Arial" w:eastAsia="Arial" w:hAnsi="Arial"/>
                <w:sz w:val="11"/>
                <w:szCs w:val="11"/>
                <w:color w:val="auto"/>
              </w:rPr>
              <w:t>preferred stock</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(4)</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Accretion of discount on investor</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rights/obligation</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(130)</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1"/>
                <w:szCs w:val="11"/>
                <w:color w:val="auto"/>
              </w:rPr>
              <w:t>Adjustment for excess (shortfall) of fair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value over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ind w:left="80"/>
              <w:spacing w:after="0" w:line="122" w:lineRule="exact"/>
              <w:rPr>
                <w:sz w:val="20"/>
                <w:szCs w:val="20"/>
                <w:color w:val="auto"/>
              </w:rPr>
            </w:pPr>
            <w:r>
              <w:rPr>
                <w:rFonts w:ascii="Arial" w:cs="Arial" w:eastAsia="Arial" w:hAnsi="Arial"/>
                <w:sz w:val="11"/>
                <w:szCs w:val="11"/>
                <w:color w:val="auto"/>
                <w:w w:val="94"/>
              </w:rPr>
              <w:t>liquidation value of redeemable convertible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preferred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stock</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(424)</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(613)</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403</w:t>
            </w: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634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634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w w:val="98"/>
              </w:rPr>
              <w:t>Accretion of issuance costs on redeemable</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convertible preferred stock</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w:t>
            </w:r>
          </w:p>
        </w:tc>
        <w:tc>
          <w:tcPr>
            <w:tcW w:w="2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(117)</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20"/>
                <w:szCs w:val="20"/>
                <w:color w:val="auto"/>
              </w:rPr>
            </w:pPr>
            <w:r>
              <w:rPr>
                <w:rFonts w:ascii="Arial" w:cs="Arial" w:eastAsia="Arial" w:hAnsi="Arial"/>
                <w:sz w:val="11"/>
                <w:szCs w:val="11"/>
                <w:color w:val="auto"/>
              </w:rPr>
              <w:t>Net loss</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(20,545)</w:t>
            </w:r>
          </w:p>
        </w:tc>
        <w:tc>
          <w:tcPr>
            <w:tcW w:w="14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(20,545)</w:t>
            </w: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Balance at December 31, 2018</w:t>
            </w: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vMerge w:val="continue"/>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15,387,923</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21,033</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22,608,695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33,686</w:t>
            </w: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38,097,672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61,023</w:t>
            </w:r>
          </w:p>
        </w:tc>
        <w:tc>
          <w:tcPr>
            <w:tcW w:w="2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438,600</w:t>
            </w:r>
          </w:p>
        </w:tc>
        <w:tc>
          <w:tcPr>
            <w:tcW w:w="22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60" w:type="dxa"/>
            <w:vAlign w:val="bottom"/>
            <w:tcBorders>
              <w:right w:val="single" w:sz="8" w:color="CFF0FC"/>
            </w:tcBorders>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(109,498)</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(109,494)</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w w:val="97"/>
              </w:rPr>
              <w:t>Issuance of common stock from exercise of</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stock options</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14,736</w:t>
            </w:r>
          </w:p>
        </w:tc>
        <w:tc>
          <w:tcPr>
            <w:tcW w:w="2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1"/>
                <w:szCs w:val="11"/>
                <w:color w:val="auto"/>
                <w:w w:val="94"/>
              </w:rPr>
              <w:t>Issuance of Series C redeemable convertible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preferred stock, net of issuance costs</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6,849,315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11,059</w:t>
            </w: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Dividends accrued on redeemable</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convertible preferred</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5,406,844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6,478,999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551</w:t>
            </w: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3,792,386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1,362</w:t>
            </w:r>
          </w:p>
        </w:tc>
        <w:tc>
          <w:tcPr>
            <w:tcW w:w="2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(2,239)</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(2,239)</w:t>
            </w: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1"/>
                <w:szCs w:val="11"/>
                <w:color w:val="auto"/>
              </w:rPr>
              <w:t>Accretion (amortization) of premium</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(discount) on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ind w:left="80"/>
              <w:spacing w:after="0" w:line="122" w:lineRule="exact"/>
              <w:rPr>
                <w:sz w:val="20"/>
                <w:szCs w:val="20"/>
                <w:color w:val="auto"/>
              </w:rPr>
            </w:pPr>
            <w:r>
              <w:rPr>
                <w:rFonts w:ascii="Arial" w:cs="Arial" w:eastAsia="Arial" w:hAnsi="Arial"/>
                <w:sz w:val="11"/>
                <w:szCs w:val="11"/>
                <w:color w:val="auto"/>
              </w:rPr>
              <w:t>issuance of redeemable convertible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20"/>
                <w:szCs w:val="20"/>
                <w:color w:val="auto"/>
              </w:rPr>
            </w:pPr>
            <w:r>
              <w:rPr>
                <w:rFonts w:ascii="Arial" w:cs="Arial" w:eastAsia="Arial" w:hAnsi="Arial"/>
                <w:sz w:val="11"/>
                <w:szCs w:val="11"/>
                <w:color w:val="auto"/>
              </w:rPr>
              <w:t>preferred stock</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Accretion of discount on investor</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rights/obligation</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(201)</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1"/>
                <w:szCs w:val="11"/>
                <w:color w:val="auto"/>
              </w:rPr>
              <w:t>Adjustment for excess (shortfall) of fair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value over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80"/>
              <w:spacing w:after="0" w:line="122" w:lineRule="exact"/>
              <w:rPr>
                <w:sz w:val="20"/>
                <w:szCs w:val="20"/>
                <w:color w:val="auto"/>
              </w:rPr>
            </w:pPr>
            <w:r>
              <w:rPr>
                <w:rFonts w:ascii="Arial" w:cs="Arial" w:eastAsia="Arial" w:hAnsi="Arial"/>
                <w:sz w:val="11"/>
                <w:szCs w:val="11"/>
                <w:color w:val="auto"/>
                <w:w w:val="94"/>
              </w:rPr>
              <w:t>liquidation value of redeemable convertible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line="122" w:lineRule="exact"/>
              <w:rPr>
                <w:sz w:val="20"/>
                <w:szCs w:val="20"/>
                <w:color w:val="auto"/>
              </w:rPr>
            </w:pPr>
            <w:r>
              <w:rPr>
                <w:rFonts w:ascii="Arial" w:cs="Arial" w:eastAsia="Arial" w:hAnsi="Arial"/>
                <w:sz w:val="11"/>
                <w:szCs w:val="11"/>
                <w:color w:val="auto"/>
              </w:rPr>
              <w:t>preferred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stock</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(651)</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(940)</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(403)</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w w:val="98"/>
              </w:rPr>
              <w:t>Accretion of issuance costs on redeemable</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convertible preferred stock</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223</w:t>
            </w:r>
          </w:p>
        </w:tc>
        <w:tc>
          <w:tcPr>
            <w:tcW w:w="2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(234)</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1"/>
                <w:szCs w:val="11"/>
                <w:color w:val="auto"/>
              </w:rPr>
              <w:t>Conversion of redeemable convertible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preferred stock</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ind w:left="80"/>
              <w:spacing w:after="0" w:line="122" w:lineRule="exact"/>
              <w:rPr>
                <w:sz w:val="20"/>
                <w:szCs w:val="20"/>
                <w:color w:val="auto"/>
              </w:rPr>
            </w:pPr>
            <w:r>
              <w:rPr>
                <w:rFonts w:ascii="Arial" w:cs="Arial" w:eastAsia="Arial" w:hAnsi="Arial"/>
                <w:sz w:val="11"/>
                <w:szCs w:val="11"/>
                <w:color w:val="auto"/>
                <w:w w:val="98"/>
              </w:rPr>
              <w:t>to common stock in connection with initial</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public</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offering</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(20,794,767)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(20,792)</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(29,087,694)</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(33,449)</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(48,739,373)</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(73,264)</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10,381,234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7</w:t>
            </w:r>
          </w:p>
        </w:tc>
        <w:tc>
          <w:tcPr>
            <w:tcW w:w="2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105,464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22,033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127,504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w w:val="96"/>
              </w:rPr>
              <w:t>Issuance of common stock upon completion</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of initial</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FF0FC"/>
          </w:tcPr>
          <w:p>
            <w:pPr>
              <w:ind w:left="80"/>
              <w:spacing w:after="0" w:line="122" w:lineRule="exact"/>
              <w:rPr>
                <w:sz w:val="20"/>
                <w:szCs w:val="20"/>
                <w:color w:val="auto"/>
              </w:rPr>
            </w:pPr>
            <w:r>
              <w:rPr>
                <w:rFonts w:ascii="Arial" w:cs="Arial" w:eastAsia="Arial" w:hAnsi="Arial"/>
                <w:sz w:val="11"/>
                <w:szCs w:val="11"/>
                <w:color w:val="auto"/>
              </w:rPr>
              <w:t>public offering, net of underwriting</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discounts and</w:t>
            </w: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commissions, and issuance costs</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5,500,000</w:t>
            </w:r>
          </w:p>
        </w:tc>
        <w:tc>
          <w:tcPr>
            <w:tcW w:w="2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60" w:type="dxa"/>
            <w:vAlign w:val="bottom"/>
            <w:tcBorders>
              <w:right w:val="single" w:sz="8" w:color="CFF0FC"/>
            </w:tcBorders>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48,169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48,174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line="125" w:lineRule="exact"/>
              <w:rPr>
                <w:sz w:val="20"/>
                <w:szCs w:val="20"/>
                <w:color w:val="auto"/>
              </w:rPr>
            </w:pPr>
            <w:r>
              <w:rPr>
                <w:rFonts w:ascii="Arial" w:cs="Arial" w:eastAsia="Arial" w:hAnsi="Arial"/>
                <w:sz w:val="11"/>
                <w:szCs w:val="11"/>
                <w:color w:val="auto"/>
                <w:w w:val="96"/>
              </w:rPr>
              <w:t>Issuance of common stock upon completion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line="122" w:lineRule="exact"/>
              <w:rPr>
                <w:sz w:val="20"/>
                <w:szCs w:val="20"/>
                <w:color w:val="auto"/>
              </w:rPr>
            </w:pPr>
            <w:r>
              <w:rPr>
                <w:rFonts w:ascii="Arial" w:cs="Arial" w:eastAsia="Arial" w:hAnsi="Arial"/>
                <w:sz w:val="11"/>
                <w:szCs w:val="11"/>
                <w:color w:val="auto"/>
              </w:rPr>
              <w:t>of private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80"/>
              <w:spacing w:after="0" w:line="122" w:lineRule="exact"/>
              <w:rPr>
                <w:sz w:val="20"/>
                <w:szCs w:val="20"/>
                <w:color w:val="auto"/>
              </w:rPr>
            </w:pPr>
            <w:r>
              <w:rPr>
                <w:rFonts w:ascii="Arial" w:cs="Arial" w:eastAsia="Arial" w:hAnsi="Arial"/>
                <w:sz w:val="11"/>
                <w:szCs w:val="11"/>
                <w:color w:val="auto"/>
                <w:w w:val="96"/>
              </w:rPr>
              <w:t>placement, net of private placement agent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20"/>
                <w:szCs w:val="20"/>
                <w:color w:val="auto"/>
              </w:rPr>
            </w:pPr>
            <w:r>
              <w:rPr>
                <w:rFonts w:ascii="Arial" w:cs="Arial" w:eastAsia="Arial" w:hAnsi="Arial"/>
                <w:sz w:val="11"/>
                <w:szCs w:val="11"/>
                <w:color w:val="auto"/>
              </w:rPr>
              <w:t>fees</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13,948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13,950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Net loss</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60" w:type="dxa"/>
            <w:vAlign w:val="bottom"/>
            <w:tcBorders>
              <w:right w:val="single" w:sz="8" w:color="CFF0FC"/>
            </w:tcBorders>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(26,050)</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(26,050)</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2019</w:t>
            </w: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vMerge w:val="continue"/>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17,834,570</w:t>
            </w:r>
          </w:p>
        </w:tc>
        <w:tc>
          <w:tcPr>
            <w:tcW w:w="220" w:type="dxa"/>
            <w:vAlign w:val="bottom"/>
          </w:tcPr>
          <w:p>
            <w:pPr>
              <w:spacing w:after="0"/>
              <w:rPr>
                <w:sz w:val="11"/>
                <w:szCs w:val="11"/>
                <w:color w:val="auto"/>
              </w:rPr>
            </w:pP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18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168,746</w:t>
            </w:r>
          </w:p>
        </w:tc>
        <w:tc>
          <w:tcPr>
            <w:tcW w:w="120" w:type="dxa"/>
            <w:vAlign w:val="bottom"/>
          </w:tcPr>
          <w:p>
            <w:pPr>
              <w:spacing w:after="0"/>
              <w:rPr>
                <w:sz w:val="11"/>
                <w:szCs w:val="11"/>
                <w:color w:val="auto"/>
              </w:rPr>
            </w:pP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(114,219 )</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54,545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0" w:type="dxa"/>
            <w:vAlign w:val="bottom"/>
            <w:gridSpan w:val="6"/>
          </w:tcPr>
          <w:p>
            <w:pPr>
              <w:jc w:val="right"/>
              <w:ind w:right="560"/>
              <w:spacing w:after="0"/>
              <w:rPr>
                <w:sz w:val="20"/>
                <w:szCs w:val="20"/>
                <w:color w:val="auto"/>
              </w:rPr>
            </w:pPr>
            <w:r>
              <w:rPr>
                <w:rFonts w:ascii="Arial" w:cs="Arial" w:eastAsia="Arial" w:hAnsi="Arial"/>
                <w:sz w:val="15"/>
                <w:szCs w:val="15"/>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674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2019</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4"/>
              <w:spacing w:after="0" w:line="169" w:lineRule="exact"/>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1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5"/>
                <w:szCs w:val="15"/>
                <w:color w:val="auto"/>
              </w:rPr>
              <w:t>Net loss</w:t>
            </w:r>
          </w:p>
        </w:tc>
        <w:tc>
          <w:tcPr>
            <w:tcW w:w="2180" w:type="dxa"/>
            <w:vAlign w:val="bottom"/>
            <w:gridSpan w:val="2"/>
          </w:tcPr>
          <w:p>
            <w:pPr>
              <w:jc w:val="right"/>
              <w:ind w:right="724"/>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(26,050)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(20,545)</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60"/>
              <w:spacing w:after="0"/>
              <w:rPr>
                <w:sz w:val="20"/>
                <w:szCs w:val="20"/>
                <w:color w:val="auto"/>
              </w:rPr>
            </w:pPr>
            <w:r>
              <w:rPr>
                <w:rFonts w:ascii="Arial" w:cs="Arial" w:eastAsia="Arial" w:hAnsi="Arial"/>
                <w:sz w:val="15"/>
                <w:szCs w:val="15"/>
                <w:color w:val="auto"/>
              </w:rPr>
              <w:t>Depreciation</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fair value of Series C redeemable convertible preferred stock liability</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60"/>
              <w:spacing w:after="0"/>
              <w:rPr>
                <w:sz w:val="20"/>
                <w:szCs w:val="20"/>
                <w:color w:val="auto"/>
              </w:rPr>
            </w:pPr>
            <w:r>
              <w:rPr>
                <w:rFonts w:ascii="Arial" w:cs="Arial" w:eastAsia="Arial" w:hAnsi="Arial"/>
                <w:sz w:val="15"/>
                <w:szCs w:val="15"/>
                <w:color w:val="auto"/>
              </w:rPr>
              <w:t>Changes in fair value of obligation for loan success fee</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Accretion/accrual of term loan discounts and debt issuance costs</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60"/>
              <w:spacing w:after="0"/>
              <w:rPr>
                <w:sz w:val="20"/>
                <w:szCs w:val="20"/>
                <w:color w:val="auto"/>
              </w:rPr>
            </w:pPr>
            <w:r>
              <w:rPr>
                <w:rFonts w:ascii="Arial" w:cs="Arial" w:eastAsia="Arial" w:hAnsi="Arial"/>
                <w:sz w:val="15"/>
                <w:szCs w:val="15"/>
                <w:color w:val="auto"/>
              </w:rPr>
              <w:t>Stock-based compensation</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1,127</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Changes in operating assets and liabilities:</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500"/>
              <w:spacing w:after="0"/>
              <w:rPr>
                <w:sz w:val="20"/>
                <w:szCs w:val="20"/>
                <w:color w:val="auto"/>
              </w:rPr>
            </w:pPr>
            <w:r>
              <w:rPr>
                <w:rFonts w:ascii="Arial" w:cs="Arial" w:eastAsia="Arial" w:hAnsi="Arial"/>
                <w:sz w:val="15"/>
                <w:szCs w:val="15"/>
                <w:color w:val="auto"/>
              </w:rPr>
              <w:t>Receivables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(374)</w:t>
            </w:r>
          </w:p>
        </w:tc>
        <w:tc>
          <w:tcPr>
            <w:tcW w:w="30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Prepaid expenses</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(243)</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(1,345)</w:t>
            </w:r>
          </w:p>
        </w:tc>
        <w:tc>
          <w:tcPr>
            <w:tcW w:w="0" w:type="dxa"/>
            <w:vAlign w:val="bottom"/>
          </w:tcPr>
          <w:p>
            <w:pPr>
              <w:spacing w:after="0"/>
              <w:rPr>
                <w:sz w:val="1"/>
                <w:szCs w:val="1"/>
                <w:color w:val="auto"/>
              </w:rPr>
            </w:pPr>
          </w:p>
        </w:tc>
      </w:tr>
      <w:tr>
        <w:trPr>
          <w:trHeight w:val="175"/>
        </w:trPr>
        <w:tc>
          <w:tcPr>
            <w:tcW w:w="6740" w:type="dxa"/>
            <w:vAlign w:val="bottom"/>
          </w:tcPr>
          <w:p>
            <w:pPr>
              <w:ind w:left="500"/>
              <w:spacing w:after="0"/>
              <w:rPr>
                <w:sz w:val="20"/>
                <w:szCs w:val="20"/>
                <w:color w:val="auto"/>
              </w:rPr>
            </w:pPr>
            <w:r>
              <w:rPr>
                <w:rFonts w:ascii="Arial" w:cs="Arial" w:eastAsia="Arial" w:hAnsi="Arial"/>
                <w:sz w:val="15"/>
                <w:szCs w:val="15"/>
                <w:color w:val="auto"/>
              </w:rPr>
              <w:t>Accounts payable</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777</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Accrued expenses</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1,416</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500"/>
              <w:spacing w:after="0"/>
              <w:rPr>
                <w:sz w:val="20"/>
                <w:szCs w:val="20"/>
                <w:color w:val="auto"/>
              </w:rPr>
            </w:pPr>
            <w:r>
              <w:rPr>
                <w:rFonts w:ascii="Arial" w:cs="Arial" w:eastAsia="Arial" w:hAnsi="Arial"/>
                <w:sz w:val="15"/>
                <w:szCs w:val="15"/>
                <w:color w:val="auto"/>
              </w:rPr>
              <w:t>Security deposit</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lease obligation</w:t>
            </w:r>
          </w:p>
        </w:tc>
        <w:tc>
          <w:tcPr>
            <w:tcW w:w="130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740"/>
              <w:spacing w:after="0" w:line="169" w:lineRule="exact"/>
              <w:rPr>
                <w:sz w:val="20"/>
                <w:szCs w:val="20"/>
                <w:color w:val="auto"/>
              </w:rPr>
            </w:pPr>
            <w:r>
              <w:rPr>
                <w:rFonts w:ascii="Arial" w:cs="Arial" w:eastAsia="Arial" w:hAnsi="Arial"/>
                <w:sz w:val="15"/>
                <w:szCs w:val="15"/>
                <w:color w:val="auto"/>
              </w:rPr>
              <w:t>Net cash used in operating activities</w:t>
            </w: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(23,093)</w:t>
            </w:r>
          </w:p>
        </w:tc>
        <w:tc>
          <w:tcPr>
            <w:tcW w:w="300" w:type="dxa"/>
            <w:vAlign w:val="bottom"/>
          </w:tcPr>
          <w:p>
            <w:pPr>
              <w:spacing w:after="0"/>
              <w:rPr>
                <w:sz w:val="14"/>
                <w:szCs w:val="14"/>
                <w:color w:val="auto"/>
              </w:rPr>
            </w:pPr>
          </w:p>
        </w:tc>
        <w:tc>
          <w:tcPr>
            <w:tcW w:w="12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(18,289)</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Investing activities</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5"/>
                <w:szCs w:val="15"/>
                <w:color w:val="auto"/>
              </w:rPr>
              <w:t>Acquisitions of property, equipment and leasehold improvements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(9)</w:t>
            </w:r>
          </w:p>
        </w:tc>
        <w:tc>
          <w:tcPr>
            <w:tcW w:w="30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ind w:left="740"/>
              <w:spacing w:after="0"/>
              <w:rPr>
                <w:sz w:val="20"/>
                <w:szCs w:val="20"/>
                <w:color w:val="auto"/>
              </w:rPr>
            </w:pPr>
            <w:r>
              <w:rPr>
                <w:rFonts w:ascii="Arial" w:cs="Arial" w:eastAsia="Arial" w:hAnsi="Arial"/>
                <w:sz w:val="15"/>
                <w:szCs w:val="15"/>
                <w:color w:val="auto"/>
              </w:rPr>
              <w:t>Net cash used in investing activities</w:t>
            </w:r>
          </w:p>
        </w:tc>
        <w:tc>
          <w:tcPr>
            <w:tcW w:w="1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vMerge w:val="continue"/>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(9)</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175"/>
        </w:trPr>
        <w:tc>
          <w:tcPr>
            <w:tcW w:w="674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Repayments of term loan</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(4,813)</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5"/>
                <w:szCs w:val="15"/>
                <w:color w:val="auto"/>
              </w:rPr>
              <w:t>Payment of final fees on term loan</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(533)</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Payment of loan success fee</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(675)</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5"/>
                <w:szCs w:val="15"/>
                <w:color w:val="auto"/>
              </w:rPr>
              <w:t>Proceeds from exercises of stock options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38</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74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Proceeds from sale of Series C redeemable convertible preferred stock, net of</w:t>
            </w:r>
          </w:p>
        </w:tc>
        <w:tc>
          <w:tcPr>
            <w:tcW w:w="1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issuance costs</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9,963</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auto"/>
              </w:rPr>
              <w:t>Proceeds from issuance of common shares upon completion of initial public offering, net</w:t>
            </w: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120"/>
              <w:spacing w:after="0"/>
              <w:rPr>
                <w:sz w:val="20"/>
                <w:szCs w:val="20"/>
                <w:color w:val="auto"/>
              </w:rPr>
            </w:pPr>
            <w:r>
              <w:rPr>
                <w:rFonts w:ascii="Arial" w:cs="Arial" w:eastAsia="Arial" w:hAnsi="Arial"/>
                <w:sz w:val="15"/>
                <w:szCs w:val="15"/>
                <w:color w:val="auto"/>
              </w:rPr>
              <w:t>of underwriting commissions and discounts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51,150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Payments of initial public offering costs</w:t>
            </w: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(1,213)</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(1,534)</w:t>
            </w:r>
          </w:p>
        </w:tc>
        <w:tc>
          <w:tcPr>
            <w:tcW w:w="0" w:type="dxa"/>
            <w:vAlign w:val="bottom"/>
          </w:tcPr>
          <w:p>
            <w:pPr>
              <w:spacing w:after="0"/>
              <w:rPr>
                <w:sz w:val="1"/>
                <w:szCs w:val="1"/>
                <w:color w:val="auto"/>
              </w:rPr>
            </w:pPr>
          </w:p>
        </w:tc>
      </w:tr>
      <w:tr>
        <w:trPr>
          <w:trHeight w:val="175"/>
        </w:trPr>
        <w:tc>
          <w:tcPr>
            <w:tcW w:w="6740" w:type="dxa"/>
            <w:vAlign w:val="bottom"/>
          </w:tcPr>
          <w:p>
            <w:pPr>
              <w:spacing w:after="0"/>
              <w:rPr>
                <w:sz w:val="20"/>
                <w:szCs w:val="20"/>
                <w:color w:val="auto"/>
              </w:rPr>
            </w:pPr>
            <w:r>
              <w:rPr>
                <w:rFonts w:ascii="Arial" w:cs="Arial" w:eastAsia="Arial" w:hAnsi="Arial"/>
                <w:sz w:val="15"/>
                <w:szCs w:val="15"/>
                <w:color w:val="auto"/>
              </w:rPr>
              <w:t>Proceeds from private placement, net of private placement agent fees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13,950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74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130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73,213</w:t>
            </w:r>
          </w:p>
        </w:tc>
        <w:tc>
          <w:tcPr>
            <w:tcW w:w="28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3,629</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Net cash increase (decrease) for year</w:t>
            </w: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50,111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(14,818)</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beginning of year</w:t>
            </w:r>
          </w:p>
        </w:tc>
        <w:tc>
          <w:tcPr>
            <w:tcW w:w="130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7,202</w:t>
            </w:r>
          </w:p>
        </w:tc>
        <w:tc>
          <w:tcPr>
            <w:tcW w:w="2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22,020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line="169" w:lineRule="exact"/>
              <w:rPr>
                <w:sz w:val="20"/>
                <w:szCs w:val="20"/>
                <w:color w:val="auto"/>
              </w:rPr>
            </w:pPr>
            <w:r>
              <w:rPr>
                <w:rFonts w:ascii="Arial" w:cs="Arial" w:eastAsia="Arial" w:hAnsi="Arial"/>
                <w:sz w:val="15"/>
                <w:szCs w:val="15"/>
                <w:color w:val="auto"/>
              </w:rPr>
              <w:t>Cash and cash equivalents at end of year</w:t>
            </w:r>
          </w:p>
        </w:tc>
        <w:tc>
          <w:tcPr>
            <w:tcW w:w="2180" w:type="dxa"/>
            <w:vAlign w:val="bottom"/>
            <w:gridSpan w:val="2"/>
          </w:tcPr>
          <w:p>
            <w:pPr>
              <w:jc w:val="right"/>
              <w:ind w:right="724"/>
              <w:spacing w:after="0" w:line="169"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57,313</w:t>
            </w:r>
          </w:p>
        </w:tc>
        <w:tc>
          <w:tcPr>
            <w:tcW w:w="280" w:type="dxa"/>
            <w:vAlign w:val="bottom"/>
          </w:tcPr>
          <w:p>
            <w:pPr>
              <w:spacing w:after="0"/>
              <w:rPr>
                <w:sz w:val="18"/>
                <w:szCs w:val="18"/>
                <w:color w:val="auto"/>
              </w:rPr>
            </w:pPr>
          </w:p>
        </w:tc>
        <w:tc>
          <w:tcPr>
            <w:tcW w:w="300" w:type="dxa"/>
            <w:vAlign w:val="bottom"/>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7,202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7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1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7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Interest paid</w:t>
            </w:r>
          </w:p>
        </w:tc>
        <w:tc>
          <w:tcPr>
            <w:tcW w:w="13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Income taxes paid</w:t>
            </w:r>
          </w:p>
        </w:tc>
        <w:tc>
          <w:tcPr>
            <w:tcW w:w="13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724"/>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4"/>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5"/>
                <w:szCs w:val="15"/>
                <w:color w:val="auto"/>
              </w:rPr>
              <w:t>State research tax credits exchanged for cash</w:t>
            </w:r>
          </w:p>
        </w:tc>
        <w:tc>
          <w:tcPr>
            <w:tcW w:w="1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2180" w:type="dxa"/>
            <w:vAlign w:val="bottom"/>
            <w:gridSpan w:val="2"/>
          </w:tcPr>
          <w:p>
            <w:pPr>
              <w:jc w:val="right"/>
              <w:ind w:right="724"/>
              <w:spacing w:after="0" w:line="156"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124</w:t>
            </w:r>
          </w:p>
        </w:tc>
        <w:tc>
          <w:tcPr>
            <w:tcW w:w="280" w:type="dxa"/>
            <w:vAlign w:val="bottom"/>
          </w:tcPr>
          <w:p>
            <w:pPr>
              <w:spacing w:after="0"/>
              <w:rPr>
                <w:sz w:val="17"/>
                <w:szCs w:val="17"/>
                <w:color w:val="auto"/>
              </w:rPr>
            </w:pPr>
          </w:p>
        </w:tc>
        <w:tc>
          <w:tcPr>
            <w:tcW w:w="300" w:type="dxa"/>
            <w:vAlign w:val="bottom"/>
          </w:tcPr>
          <w:p>
            <w:pPr>
              <w:jc w:val="right"/>
              <w:ind w:right="144"/>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56" w:lineRule="exact"/>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7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disclosure of non-cash financing activities</w:t>
            </w:r>
          </w:p>
        </w:tc>
        <w:tc>
          <w:tcPr>
            <w:tcW w:w="1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Arial" w:cs="Arial" w:eastAsia="Arial" w:hAnsi="Arial"/>
                <w:sz w:val="15"/>
                <w:szCs w:val="15"/>
                <w:color w:val="auto"/>
              </w:rPr>
              <w:t>Dividends accrued on redeemable convertible preferred stock</w:t>
            </w:r>
          </w:p>
        </w:tc>
        <w:tc>
          <w:tcPr>
            <w:tcW w:w="2180" w:type="dxa"/>
            <w:vAlign w:val="bottom"/>
            <w:gridSpan w:val="2"/>
          </w:tcPr>
          <w:p>
            <w:pPr>
              <w:jc w:val="right"/>
              <w:ind w:right="72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2,239</w:t>
            </w:r>
          </w:p>
        </w:tc>
        <w:tc>
          <w:tcPr>
            <w:tcW w:w="28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7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5"/>
                <w:szCs w:val="15"/>
                <w:color w:val="auto"/>
              </w:rPr>
              <w:t>Series C redeemable convertible preferred stock liability reclassified to</w:t>
            </w:r>
          </w:p>
        </w:tc>
        <w:tc>
          <w:tcPr>
            <w:tcW w:w="13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5"/>
                <w:szCs w:val="15"/>
                <w:color w:val="auto"/>
              </w:rPr>
              <w:t>Series C Preferred Stock</w:t>
            </w:r>
          </w:p>
        </w:tc>
        <w:tc>
          <w:tcPr>
            <w:tcW w:w="13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7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1,009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5"/>
                <w:szCs w:val="15"/>
                <w:color w:val="auto"/>
              </w:rPr>
              <w:t>Accretion on redeemable convertible preferred stock</w:t>
            </w:r>
          </w:p>
        </w:tc>
        <w:tc>
          <w:tcPr>
            <w:tcW w:w="1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2180" w:type="dxa"/>
            <w:vAlign w:val="bottom"/>
            <w:gridSpan w:val="2"/>
          </w:tcPr>
          <w:p>
            <w:pPr>
              <w:jc w:val="right"/>
              <w:ind w:right="724"/>
              <w:spacing w:after="0" w:line="156"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20"/>
              <w:spacing w:after="0" w:line="156" w:lineRule="exact"/>
              <w:rPr>
                <w:sz w:val="20"/>
                <w:szCs w:val="20"/>
                <w:color w:val="auto"/>
              </w:rPr>
            </w:pPr>
            <w:r>
              <w:rPr>
                <w:rFonts w:ascii="Arial" w:cs="Arial" w:eastAsia="Arial" w:hAnsi="Arial"/>
                <w:sz w:val="15"/>
                <w:szCs w:val="15"/>
                <w:color w:val="auto"/>
              </w:rPr>
              <w:t>(1,535)</w:t>
            </w:r>
          </w:p>
        </w:tc>
        <w:tc>
          <w:tcPr>
            <w:tcW w:w="300" w:type="dxa"/>
            <w:vAlign w:val="bottom"/>
          </w:tcPr>
          <w:p>
            <w:pPr>
              <w:jc w:val="right"/>
              <w:ind w:right="144"/>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Trevi Therapeutics, Inc. (“Trevi” or the “Company”) is a clinical-stage biopharmaceutical company focused on the development and commercialization of nalbuphine ER to treat serious neurologically mediated conditions. The Company is currently developing nalbuphine ER for the treatment of chronic pruritus, chronic cough in patients with idiopathic pulmonary fibrosis (“IPF”), and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nalbuphine ER has the potential to be effective in treating each of these conditions.</w:t>
      </w:r>
    </w:p>
    <w:p>
      <w:pPr>
        <w:spacing w:after="0" w:line="192"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Nalbuphine ER is an oral extended release formulation of nalbuphine. Nalbuphine is a mixed κ-opioid receptor agonist and μ-opioid receptor antagonist that has been approved and marketed as an injectable for pain indications for more than 20 years in the United States and Europe. The κ- and μ-opioid receptors are known to be critical mediators of itch, cough and certain movement disorders. Nalbuphine’s mechanism of action also mitigates the risk of abuse associated with μ-opioid agonists because it antagonizes, or blocks, the μ-opioid receptor. Nalbuphine is currently the only opioid approved for marketing that is not classified as a controlled substance in the United States and most of Europe.</w:t>
      </w:r>
    </w:p>
    <w:p>
      <w:pPr>
        <w:spacing w:after="0" w:line="176" w:lineRule="exact"/>
        <w:rPr>
          <w:sz w:val="20"/>
          <w:szCs w:val="20"/>
          <w:color w:val="auto"/>
        </w:rPr>
      </w:pPr>
    </w:p>
    <w:p>
      <w:pPr>
        <w:ind w:right="280" w:firstLine="589"/>
        <w:spacing w:after="0" w:line="257" w:lineRule="auto"/>
        <w:rPr>
          <w:sz w:val="20"/>
          <w:szCs w:val="20"/>
          <w:color w:val="auto"/>
        </w:rPr>
      </w:pPr>
      <w:r>
        <w:rPr>
          <w:rFonts w:ascii="Arial" w:cs="Arial" w:eastAsia="Arial" w:hAnsi="Arial"/>
          <w:sz w:val="18"/>
          <w:szCs w:val="18"/>
          <w:color w:val="auto"/>
        </w:rPr>
        <w:t>On April 22, 2019, the Company filed an amendment to the Company’s amended and restated certificate of incorporation to effect a one-for-9.5 reverse stock split of the Company’s common stock, which resulted in a proportional adjustment to the existing conversion ratios for each series of the Company’s redeemable convertible preferred stock. Accordingly, all share and per share amounts in the consolidated financial statements have been retrospectively adjusted, where applicable, to reflect the effect of the reverse stock split and adjustments of the redeemable convertible preferred stock conversion for all periods presented.</w:t>
      </w:r>
    </w:p>
    <w:p>
      <w:pPr>
        <w:spacing w:after="0" w:line="188" w:lineRule="exact"/>
        <w:rPr>
          <w:sz w:val="20"/>
          <w:szCs w:val="20"/>
          <w:color w:val="auto"/>
        </w:rPr>
      </w:pPr>
    </w:p>
    <w:p>
      <w:pPr>
        <w:ind w:right="240" w:firstLine="589"/>
        <w:spacing w:after="0" w:line="279" w:lineRule="auto"/>
        <w:rPr>
          <w:sz w:val="20"/>
          <w:szCs w:val="20"/>
          <w:color w:val="auto"/>
        </w:rPr>
      </w:pPr>
      <w:r>
        <w:rPr>
          <w:rFonts w:ascii="Arial" w:cs="Arial" w:eastAsia="Arial" w:hAnsi="Arial"/>
          <w:sz w:val="17"/>
          <w:szCs w:val="17"/>
          <w:color w:val="auto"/>
        </w:rPr>
        <w:t>On May 9, 2019, the Company completed its initial public offering (“IPO”) and a concurrent private placement in which it issued and sold an aggregate of 7,000,000 shares of common stock at an offering price of $10.00 per share, for net proceeds of $62.1 million, after deducting aggregate underwriting discounts and commissions and private placement agent fees of $4.9 million and other offering expenses of $3.0 million. The Company’s common stock began trading on The Nasdaq Global Market on May 7, 2019 under the ticker symbol “TRVI”.</w:t>
      </w:r>
    </w:p>
    <w:p>
      <w:pPr>
        <w:spacing w:after="0" w:line="171" w:lineRule="exact"/>
        <w:rPr>
          <w:sz w:val="20"/>
          <w:szCs w:val="20"/>
          <w:color w:val="auto"/>
        </w:rPr>
      </w:pPr>
    </w:p>
    <w:p>
      <w:pPr>
        <w:ind w:right="140" w:firstLine="589"/>
        <w:spacing w:after="0" w:line="286" w:lineRule="auto"/>
        <w:rPr>
          <w:sz w:val="20"/>
          <w:szCs w:val="20"/>
          <w:color w:val="auto"/>
        </w:rPr>
      </w:pPr>
      <w:r>
        <w:rPr>
          <w:rFonts w:ascii="Arial" w:cs="Arial" w:eastAsia="Arial" w:hAnsi="Arial"/>
          <w:sz w:val="17"/>
          <w:szCs w:val="17"/>
          <w:color w:val="auto"/>
        </w:rPr>
        <w:t>Upon the closing of the IPO, the Company’s outstanding redeemable convertible preferred stock, including the accrued dividends thereon, automatically converted into shares of the Company’s common stock. Upon such conversion of the redeemable convertible preferred stock, the Company reclassified the carrying values of the redeemable convertible preferred stock to common stock and additional paid-in capital.</w:t>
      </w:r>
    </w:p>
    <w:p>
      <w:pPr>
        <w:spacing w:after="0" w:line="165"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The accompanying financial statements have been prepared on the basis of continuity of operations, realization of assets and the satisfaction of liabilities and commitments in the ordinary course of business. Since inception, the Company has financed its operations primarily through private placements of its redeemable convertible preferred stock and convertible notes as well as borrowings under a term loan facility, and most recently, with proceeds from the IPO and concurrent private placement completed in May 2019. The Company has incurred recurring losses since inception, including net losses attributable to the Company of $26.1 million and $20.5 million for the years ended December 31, 2019 and 2018, respectively. In addition, as of December 31, 2019, the Company had an accumulated deficit of $114.2 million. The Company expects to continue to generate operating losses for the foreseeable future. As of March 16, 2020, the issuance date of these Consolidated Financial Statements, the Company expects that its cash and cash equivalents of $57.3 million as of December 31, 2019, will be sufficient to fund its operating expenses and capital expenditure requirements through at least 12 months from the date of issuance of these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ind w:left="600" w:right="7260" w:hanging="592"/>
        <w:spacing w:after="0" w:line="377" w:lineRule="auto"/>
        <w:tabs>
          <w:tab w:leader="none" w:pos="59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Trevi Therapeutics, Inc. and its wholly-owned subsidiary Trevi Therapeutics Limited. Intercompany balances and transactions have been eliminated.</w:t>
      </w:r>
    </w:p>
    <w:p>
      <w:pPr>
        <w:spacing w:after="0" w:line="170"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December 31, 2019 for potential recognition or disclosure in the Consolidated Financial Statements and concluded there were no subsequent events that required recognition or disclosure other than those provided.</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Consolidated Financial Statements include, but are not limited to the recognition of research and development (“R&amp;D”) expenses and the valuation of redeemable convertible preferred stock, common stock and stock-based awards. On an ongoing basis, management evaluates its estimates in light of changes in circumstances, facts and experience. Changes in estimates are recorded in the period in which they become known. Actual results could differ from those estimates.</w:t>
      </w:r>
    </w:p>
    <w:p>
      <w:pPr>
        <w:spacing w:after="0" w:line="27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720" w:firstLine="589"/>
        <w:spacing w:after="0" w:line="277" w:lineRule="auto"/>
        <w:rPr>
          <w:sz w:val="20"/>
          <w:szCs w:val="20"/>
          <w:color w:val="auto"/>
        </w:rPr>
      </w:pPr>
      <w:r>
        <w:rPr>
          <w:rFonts w:ascii="Arial" w:cs="Arial" w:eastAsia="Arial" w:hAnsi="Arial"/>
          <w:sz w:val="18"/>
          <w:szCs w:val="18"/>
          <w:color w:val="auto"/>
        </w:rPr>
        <w:t>The Company classifies short-term, highly liquid investments with an original term of three months or less at the date of purchase as cash equivalents.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60" w:firstLine="589"/>
        <w:spacing w:after="0" w:line="270" w:lineRule="auto"/>
        <w:rPr>
          <w:sz w:val="20"/>
          <w:szCs w:val="20"/>
          <w:color w:val="auto"/>
        </w:rPr>
      </w:pPr>
      <w:r>
        <w:rPr>
          <w:rFonts w:ascii="Arial" w:cs="Arial" w:eastAsia="Arial" w:hAnsi="Arial"/>
          <w:sz w:val="17"/>
          <w:szCs w:val="17"/>
          <w:color w:val="auto"/>
        </w:rPr>
        <w:t xml:space="preserve">The Company’s financial instruments have consisted of cash and cash equivalents, tax credit and other receivables, accounts payable, accrued expenses, obligation for loan success fee and Series C redeemable convertible preferred stock liability </w:t>
      </w:r>
      <w:r>
        <w:rPr>
          <w:rFonts w:ascii="Arial" w:cs="Arial" w:eastAsia="Arial" w:hAnsi="Arial"/>
          <w:sz w:val="17"/>
          <w:szCs w:val="17"/>
          <w:i w:val="1"/>
          <w:iCs w:val="1"/>
          <w:color w:val="auto"/>
        </w:rPr>
        <w:t>(Note 7 and Note 9).</w:t>
      </w:r>
      <w:r>
        <w:rPr>
          <w:rFonts w:ascii="Arial" w:cs="Arial" w:eastAsia="Arial" w:hAnsi="Arial"/>
          <w:sz w:val="17"/>
          <w:szCs w:val="17"/>
          <w:color w:val="auto"/>
        </w:rPr>
        <w:t xml:space="preserve">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 term nature of those instruments. The fair value of the obligation for loan success fee was estimated utilizing a probability-weighted income approach, including variables for the timing of the success event and other probability estimates. The fair value of Series C redeemable convertible preferred stock liability at December 31, 2018 was estimated as the excess, if any, of the fair value of the Company’s Series C redeemable convertible preferred stock (“Series C Preferred Stock”) over the purchase price of any outstanding tranches that had not been sold pursuant to the Series C Preferred Stock purchase agreement (the “Series C Purchase Agreement”) as of December 31, 2018.</w:t>
      </w:r>
    </w:p>
    <w:p>
      <w:pPr>
        <w:spacing w:after="0" w:line="181"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600" w:right="34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600" w:right="46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3" w:name="page124"/>
    <w:bookmarkEnd w:id="123"/>
    <w:p>
      <w:pPr>
        <w:ind w:right="140" w:firstLine="589"/>
        <w:spacing w:after="0" w:line="308" w:lineRule="auto"/>
        <w:rPr>
          <w:sz w:val="20"/>
          <w:szCs w:val="20"/>
          <w:color w:val="auto"/>
        </w:rPr>
      </w:pPr>
      <w:r>
        <w:rPr>
          <w:rFonts w:ascii="Arial" w:cs="Arial" w:eastAsia="Arial" w:hAnsi="Arial"/>
          <w:sz w:val="17"/>
          <w:szCs w:val="17"/>
          <w:color w:val="auto"/>
        </w:rPr>
        <w:t xml:space="preserve">The following table summarizes the financial liabilities measured at fair value on a recurring basis as of December 31, 2018, and the basis for that measurement, by level within the fair value hierarchy </w:t>
      </w:r>
      <w:r>
        <w:rPr>
          <w:rFonts w:ascii="Arial" w:cs="Arial" w:eastAsia="Arial" w:hAnsi="Arial"/>
          <w:sz w:val="17"/>
          <w:szCs w:val="17"/>
          <w:i w:val="1"/>
          <w:iCs w:val="1"/>
          <w:color w:val="auto"/>
        </w:rPr>
        <w:t>(Note 7 and Note 9).</w:t>
      </w:r>
      <w:r>
        <w:rPr>
          <w:rFonts w:ascii="Arial" w:cs="Arial" w:eastAsia="Arial" w:hAnsi="Arial"/>
          <w:sz w:val="17"/>
          <w:szCs w:val="17"/>
          <w:color w:val="auto"/>
        </w:rPr>
        <w:t xml:space="preserve"> There were no such financial liabilities as of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Series C redeemable convertible preferred stock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Obligation for loan success fee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represents a roll-forward of the fair value of Level 3 instruments (significant unobservable inputs):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740" w:type="dxa"/>
            <w:vAlign w:val="bottom"/>
            <w:tcBorders>
              <w:bottom w:val="single" w:sz="8" w:color="CFF0FC"/>
            </w:tcBorders>
          </w:tcPr>
          <w:p>
            <w:pPr>
              <w:spacing w:after="0"/>
              <w:rPr>
                <w:sz w:val="13"/>
                <w:szCs w:val="13"/>
                <w:color w:val="auto"/>
              </w:rPr>
            </w:pPr>
          </w:p>
        </w:tc>
        <w:tc>
          <w:tcPr>
            <w:tcW w:w="59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Balance at beginning of year</w:t>
            </w:r>
            <w:r>
              <w:rPr>
                <w:rFonts w:ascii="Arial" w:cs="Arial" w:eastAsia="Arial" w:hAnsi="Arial"/>
                <w:sz w:val="15"/>
                <w:szCs w:val="15"/>
                <w:color w:val="auto"/>
              </w:rPr>
              <w:t>(1)</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1,556</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r>
      <w:tr>
        <w:trPr>
          <w:trHeight w:val="21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Unrealized loss on Series C redeemable convertible preferred stock</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liability</w:t>
            </w:r>
          </w:p>
        </w:tc>
        <w:tc>
          <w:tcPr>
            <w:tcW w:w="10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Unrealized loss on obligation for loan success fee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settlements</w:t>
            </w:r>
            <w:r>
              <w:rPr>
                <w:rFonts w:ascii="Arial" w:cs="Arial" w:eastAsia="Arial" w:hAnsi="Arial"/>
                <w:sz w:val="15"/>
                <w:szCs w:val="15"/>
                <w:color w:val="auto"/>
              </w:rPr>
              <w:t>(2)</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(1,771)</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(1,009)</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5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balance at January 1, 2018 relates to the obligation for the loan success fee.</w:t>
      </w:r>
    </w:p>
    <w:p>
      <w:pPr>
        <w:spacing w:after="0" w:line="49" w:lineRule="exact"/>
        <w:rPr>
          <w:rFonts w:ascii="Arial" w:cs="Arial" w:eastAsia="Arial" w:hAnsi="Arial"/>
          <w:sz w:val="18"/>
          <w:szCs w:val="18"/>
          <w:color w:val="auto"/>
        </w:rPr>
      </w:pPr>
    </w:p>
    <w:p>
      <w:pPr>
        <w:ind w:left="580" w:right="280" w:hanging="572"/>
        <w:spacing w:after="0" w:line="279"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net settlements in the year ended December 31, 2019 relate to the $1,096 fair value of the Series C redeemable convertible preferred stock liability at the time of the third tranche of the Series C Preferred Stock financing in January 2019 and the payment of the $675 obligation for the loan success fee in May 2019. The net settlements in 2018 relate to the $1,009 fair value of the Series C redeemable convertible preferred stock liability at the time the second tranche of Series C redeemable convertible preferred stock shares was issued.</w:t>
      </w:r>
    </w:p>
    <w:p>
      <w:pPr>
        <w:spacing w:after="0" w:line="27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Property, Equipment and Leasehold Improvements</w:t>
      </w:r>
    </w:p>
    <w:p>
      <w:pPr>
        <w:spacing w:after="0" w:line="117"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 xml:space="preserve">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 There was no impairment or disposal of long-lived assets during the years ended December 31, 2019 and 2018, respectively.</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The Company, at times, contracts with vendors and consultants outside of the United States, resulting in liabilities denominated in foreign currency. The transactions are recorded in U.S. dollars on the transaction dates and any currency fluctuation through the payment date is recorded as currency gains or losses in the Consolidated Statements of Operations. Net foreign currency gains and losses in 2019 and 2018 were insignificant.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4" w:name="page125"/>
    <w:bookmarkEnd w:id="124"/>
    <w:p>
      <w:pPr>
        <w:ind w:left="6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(deficit) as a reduction of additional paid-in capital generated as a result of the offering. Should the planned equity financing no longer be considered probable of being consummated, the deferred offering costs are expensed immediately as a charge to operating expenses. Deferred offering costs capitalized as of December 31, 2018 were $1,534. The Company’s IPO was completed in May 2019 and these costs, as well as additional IPO costs incurred in 2019, were recorded as a reduction to stockholders’ equity (deficit). As a result, as of December 31, 2019, the Company did not have any deferred offering costs.</w:t>
      </w:r>
    </w:p>
    <w:p>
      <w:pPr>
        <w:spacing w:after="0" w:line="30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All of the Company’s research and development expenses consist of expenses incurred in connection with the development of nalbuphine ER. These expenses include certain payroll and personnel expenses, including stock-based compensation, consulting costs, contract manufacturing costs and fees paid to clinical research organizations (“CROs”) to conduct certain research and development activities on the Company’s behalf. The Company does not allocate its costs by each indication for which it is developing nalbuphine ER, as a significant amount of the Company’s development activities broadly support all indications. In addition, several of the Company’s departments support the Company’s nalbuphine ER drug candidate development program and the Company does not identify internal costs for each potential indication. The Company expenses both internal and external research and development expenses as they are incurred.</w:t>
      </w:r>
    </w:p>
    <w:p>
      <w:pPr>
        <w:spacing w:after="0" w:line="30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17"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The Company has entered into agreements with CROs, contract manufacturing organizations (“CMOs”) and other companies.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Consolidated Balance Sheet.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 xml:space="preserve">The Company accounts for stock-based compensation arrangements with employees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xml:space="preserve"> (“ASC 718”). ASC 718 requires the recognition of compensation expense, using a fair value based method, for costs related to all stock-based payments including stock options. The Company’s determination of the fair value of stock options on the date of grant utilizes the Black-Scholes option-pricing model for stock options with time-based vesting, and is impacted by the price of its common stock as well as changes in assumptions regarding a number of complex and subjective variables. These variables include expected term that options will remain outstanding, expected common stock price volatility over the term of the option awards, risk-free interest rates and expected dividends.</w:t>
      </w:r>
    </w:p>
    <w:p>
      <w:pPr>
        <w:spacing w:after="0" w:line="178"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The fair value is recognized over the period during which an optionee is required to provide services in exchange for the option award, known as the requisite service period (usually the vesting period) on a straight-line basis.</w:t>
      </w:r>
    </w:p>
    <w:p>
      <w:pPr>
        <w:spacing w:after="0" w:line="211"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Estimating the fair value of equity-settled awards as of the grant date using valuation models, such as the Black-Scholes option pricing model, is affected by assumptions regarding a number of complex variables. Changes in the assumptions can materially affect the fair value and ultimately how much stock-based compensation expense is recognized. These inputs are subjective and generally require analysis and judgment to develop.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5" w:name="page126"/>
    <w:bookmarkEnd w:id="125"/>
    <w:p>
      <w:pPr>
        <w:ind w:firstLine="589"/>
        <w:spacing w:after="0" w:line="263" w:lineRule="auto"/>
        <w:rPr>
          <w:sz w:val="20"/>
          <w:szCs w:val="20"/>
          <w:color w:val="auto"/>
        </w:rPr>
      </w:pPr>
      <w:r>
        <w:rPr>
          <w:rFonts w:ascii="Arial" w:cs="Arial" w:eastAsia="Arial" w:hAnsi="Arial"/>
          <w:sz w:val="18"/>
          <w:szCs w:val="18"/>
          <w:color w:val="auto"/>
        </w:rPr>
        <w:t>Expected Term—The expected term assumption represents the weighted average period that the stock-based awards are expected to be outstanding. The Company has elected to use the “simplified method” for estimating the expected term of the options, whereby the expected term equals the arithmetic average of the vesting term and the original contractual term of the option.</w:t>
      </w:r>
    </w:p>
    <w:p>
      <w:pPr>
        <w:spacing w:after="0" w:line="184"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184"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170"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Risk-Free Interest Rate—The risk-free interest rate is based on the yield available on U.S. Treasury zero-coupon issues similar in duration to the expected term of the equity-settled award.</w:t>
      </w:r>
    </w:p>
    <w:p>
      <w:pPr>
        <w:spacing w:after="0" w:line="170"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Prior to the Company’s IPO in May 2019, the estimated fair value of the common stock underlying the Company’s stock options was determined at each grant date by the Company’s board of directors, with input from management. All options to purchase shares of common stock were intended to be exercisable at a price per share not less than the per share fair value of the Company’s common stock underlying those options on the date of grant.</w:t>
      </w:r>
    </w:p>
    <w:p>
      <w:pPr>
        <w:spacing w:after="0" w:line="149"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In the absence of a public trading market for the Company’s common stock prior to the Company’s IPO in May 2019, on each grant date, the Company developed an estimate of the fair value of its common stock based on the information known to the Company on the date of grant, upon a review of any recent events and their potential impact on the estimated fair value per share of the common stock, and in part on input from an independent third-party valuation. As is provided for in Section 409A of the Internal Revenue Code of 1986, as amended (the “Code”), the Company generally relied on valuations for up to twelve months unless the Company had experienced a material event that would have affected the estimated fair value of its common stock.</w:t>
      </w:r>
    </w:p>
    <w:p>
      <w:pPr>
        <w:spacing w:after="0" w:line="233" w:lineRule="exact"/>
        <w:rPr>
          <w:sz w:val="20"/>
          <w:szCs w:val="20"/>
          <w:color w:val="auto"/>
        </w:rPr>
      </w:pPr>
    </w:p>
    <w:p>
      <w:pPr>
        <w:ind w:right="80" w:firstLine="589"/>
        <w:spacing w:after="0" w:line="287" w:lineRule="auto"/>
        <w:rPr>
          <w:sz w:val="20"/>
          <w:szCs w:val="20"/>
          <w:color w:val="auto"/>
        </w:rPr>
      </w:pPr>
      <w:r>
        <w:rPr>
          <w:rFonts w:ascii="Arial" w:cs="Arial" w:eastAsia="Arial" w:hAnsi="Arial"/>
          <w:sz w:val="16"/>
          <w:szCs w:val="16"/>
          <w:color w:val="auto"/>
        </w:rPr>
        <w:t>The valuations of the Company’s common stock performed prior to the Company’s IPO in May 2019, were determined in accordance with the guidelines outlined in the American Institute of Certified Public Accountants Practice Aid, Valuation of Privately-Held-Company Equity Securities Issued as Compensation (the “Practice Aid”). The methodology to determine the fair value of common stock included estimating the fair value of the enterprise using a market approach, which estimates the fair value of the Company by including an estimation of the value of the business based on guideline public companies under a number of different scenarios. The assumptions used to determine the estimated fair value of the Company’s common stock were based on numerous objective and subjective factors, combined with management judgment, including external market conditions affecting the pharmaceutical and biotechnology industry and trends within the industry; the Company’s stage of development; the rights, preferences and privileges of the Company’s convertible preferred stock relative to those of the Company’s common stock; the prices at which the Company sold shares of convertible preferred stock; the Company’s financial condition and operating results, including the Company’s levels of available capital resources; the progress of the Company’s research and development efforts, stage of development and business strategy; equity market conditions affecting comparable public companies; general U.S. market conditions; and the lack of marketability of the Company’s common stock.</w:t>
      </w:r>
    </w:p>
    <w:p>
      <w:pPr>
        <w:spacing w:after="0" w:line="199" w:lineRule="exact"/>
        <w:rPr>
          <w:sz w:val="20"/>
          <w:szCs w:val="20"/>
          <w:color w:val="auto"/>
        </w:rPr>
      </w:pPr>
    </w:p>
    <w:p>
      <w:pPr>
        <w:ind w:right="440" w:firstLine="589"/>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w:t>
      </w:r>
    </w:p>
    <w:p>
      <w:pPr>
        <w:spacing w:after="0" w:line="29" w:lineRule="exact"/>
        <w:rPr>
          <w:sz w:val="20"/>
          <w:szCs w:val="20"/>
          <w:color w:val="auto"/>
        </w:rPr>
      </w:pPr>
    </w:p>
    <w:p>
      <w:pPr>
        <w:ind w:left="1020" w:right="60" w:hanging="432"/>
        <w:spacing w:after="0" w:line="288"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Option Pricing Method (“OPM”)—The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 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ind w:left="1020" w:right="20" w:hanging="432"/>
        <w:spacing w:after="0" w:line="275"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Probability Weighted Expected Return Method (“PWERM”)—Under the PWERM methodology, the fair value of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68" w:lineRule="exact"/>
        <w:rPr>
          <w:rFonts w:ascii="Arial" w:cs="Arial" w:eastAsia="Arial" w:hAnsi="Arial"/>
          <w:sz w:val="17"/>
          <w:szCs w:val="17"/>
          <w:color w:val="auto"/>
        </w:rPr>
      </w:pPr>
    </w:p>
    <w:p>
      <w:pPr>
        <w:ind w:left="1020" w:right="20" w:hanging="432"/>
        <w:spacing w:after="0" w:line="272"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Hybrid Method—The hybrid method is a PWERM where the equity value in one of the scenarios is calculated using an OPM. In the hybrid method used by the Company, it considered an IPO as the other potential future liquidity event. The equity value for the IPO scenario was determined using the guideline public company (“GPC”), method under the market approach. The relative probability of the IPO scenario was determined based on an analysis of market conditions at the time and expectations as to the timing and likely prospects of the IPO at each valuation date. In application of the GPC method, the Company considered publicly traded companies in the biopharmaceutical industry that had a similar profile to the Company’s as well as recently completed IPOs as indicators of estimated future value in an IPO. The Company then discounted that future value back to the valuation date at an appropriate discount rate.</w:t>
      </w:r>
    </w:p>
    <w:p>
      <w:pPr>
        <w:spacing w:after="0" w:line="177"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Based on the Company’s early stage of development and other relevant factors, the board of directors determined that the OPM was the most appropriate method for allocating enterprise value to determine the estimated fair value of the Company’s common stock for the valuation performed for December 2017, which resulted in the board of directors determining that the fair value of common stock was $3.33. Following its determination in early 2018 that the Company should explore a potential IPO, the Company’s board of directors determined that the Hybrid Method was the most appropriate method for allocating the enterprise value to determine the estimated fair value of common stock for valuations performed for April 2018, September 2018 and December 2018, which resulted in the fair value of common stock being $6.65, $9.12 and $9.31, respectively</w:t>
      </w:r>
      <w:r>
        <w:rPr>
          <w:rFonts w:ascii="Arial" w:cs="Arial" w:eastAsia="Arial" w:hAnsi="Arial"/>
          <w:sz w:val="17"/>
          <w:szCs w:val="17"/>
          <w:color w:val="FF0000"/>
        </w:rPr>
        <w:t>.</w:t>
      </w:r>
    </w:p>
    <w:p>
      <w:pPr>
        <w:spacing w:after="0" w:line="178" w:lineRule="exact"/>
        <w:rPr>
          <w:sz w:val="20"/>
          <w:szCs w:val="20"/>
          <w:color w:val="auto"/>
        </w:rPr>
      </w:pPr>
    </w:p>
    <w:p>
      <w:pPr>
        <w:ind w:right="500" w:firstLine="589"/>
        <w:spacing w:after="0" w:line="257" w:lineRule="auto"/>
        <w:rPr>
          <w:sz w:val="20"/>
          <w:szCs w:val="20"/>
          <w:color w:val="auto"/>
        </w:rPr>
      </w:pPr>
      <w:r>
        <w:rPr>
          <w:rFonts w:ascii="Arial" w:cs="Arial" w:eastAsia="Arial" w:hAnsi="Arial"/>
          <w:sz w:val="18"/>
          <w:szCs w:val="18"/>
          <w:color w:val="auto"/>
        </w:rPr>
        <w:t>In determining the estimated fair value of the Company’s common stock prior to Company’s IPO in May 2019, the board of directors also considered the fact that the Company’s stockholders could not freely trade the Company’s common stock in the public markets. Accordingly, the Company’s board of directors applied discounts to reflect the lack of marketability of common stock based on the weighted-average expected time to liquidity. The estimated fair value of the Company’s common stock at each grant date reflected a non-marketability discount partially based on the anticipated likelihood and timing of a future liquidity event.</w:t>
      </w:r>
    </w:p>
    <w:p>
      <w:pPr>
        <w:spacing w:after="0" w:line="188"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Subsequent to the completion of the Company’s IPO in May 2019, the fair value of the Company’s common stock has been determined based on the closing price of the Company’s common stock as reported on the date of grant on the primary stock exchange on which the Company’s common stock is traded.</w:t>
      </w:r>
    </w:p>
    <w:p>
      <w:pPr>
        <w:spacing w:after="0" w:line="184" w:lineRule="exact"/>
        <w:rPr>
          <w:sz w:val="20"/>
          <w:szCs w:val="20"/>
          <w:color w:val="auto"/>
        </w:rPr>
      </w:pPr>
    </w:p>
    <w:p>
      <w:pPr>
        <w:jc w:val="both"/>
        <w:ind w:right="300" w:firstLine="589"/>
        <w:spacing w:after="0" w:line="279" w:lineRule="auto"/>
        <w:rPr>
          <w:sz w:val="20"/>
          <w:szCs w:val="20"/>
          <w:color w:val="auto"/>
        </w:rPr>
      </w:pPr>
      <w:r>
        <w:rPr>
          <w:rFonts w:ascii="Arial" w:cs="Arial" w:eastAsia="Arial" w:hAnsi="Arial"/>
          <w:sz w:val="17"/>
          <w:szCs w:val="17"/>
          <w:color w:val="auto"/>
        </w:rPr>
        <w:t xml:space="preserve">The Company has awarded stock options to non-employees for consultancy services. The Company has adopted Accounting Standards Update (“ASU”) No. 2018-07 titled </w:t>
      </w:r>
      <w:r>
        <w:rPr>
          <w:rFonts w:ascii="Arial" w:cs="Arial" w:eastAsia="Arial" w:hAnsi="Arial"/>
          <w:sz w:val="17"/>
          <w:szCs w:val="17"/>
          <w:i w:val="1"/>
          <w:iCs w:val="1"/>
          <w:color w:val="auto"/>
        </w:rPr>
        <w:t>Compensation—Stock Compensation (Topic 718): Improvements to Non-Employee Share-Based Payment Accounting,</w:t>
      </w:r>
      <w:r>
        <w:rPr>
          <w:rFonts w:ascii="Arial" w:cs="Arial" w:eastAsia="Arial" w:hAnsi="Arial"/>
          <w:sz w:val="17"/>
          <w:szCs w:val="17"/>
          <w:color w:val="auto"/>
        </w:rPr>
        <w:t xml:space="preserve"> with effect from January 1, 2018, which requires that non-employee share-based payment transactions be measured at the grant-date fair value and no longer remeasured at the then-current fair values at each reporting date until the stock options have vested.</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7" w:name="page128"/>
    <w:bookmarkEnd w:id="127"/>
    <w:p>
      <w:pPr>
        <w:ind w:firstLine="589"/>
        <w:spacing w:after="0" w:line="272" w:lineRule="auto"/>
        <w:rPr>
          <w:sz w:val="20"/>
          <w:szCs w:val="20"/>
          <w:color w:val="auto"/>
        </w:rPr>
      </w:pPr>
      <w:r>
        <w:rPr>
          <w:rFonts w:ascii="Arial" w:cs="Arial" w:eastAsia="Arial" w:hAnsi="Arial"/>
          <w:sz w:val="17"/>
          <w:szCs w:val="17"/>
          <w:color w:val="auto"/>
        </w:rPr>
        <w:t xml:space="preserve">The Company applies the provisions of ASC 740, </w:t>
      </w:r>
      <w:r>
        <w:rPr>
          <w:rFonts w:ascii="Arial" w:cs="Arial" w:eastAsia="Arial" w:hAnsi="Arial"/>
          <w:sz w:val="17"/>
          <w:szCs w:val="17"/>
          <w:i w:val="1"/>
          <w:iCs w:val="1"/>
          <w:color w:val="auto"/>
        </w:rPr>
        <w:t>Income Taxe</w:t>
      </w:r>
      <w:r>
        <w:rPr>
          <w:rFonts w:ascii="Arial" w:cs="Arial" w:eastAsia="Arial" w:hAnsi="Arial"/>
          <w:sz w:val="17"/>
          <w:szCs w:val="17"/>
          <w:color w:val="auto"/>
        </w:rPr>
        <w:t>s (“ASC 740”), which prescribes a comprehensive model for how a company should recognize, measure, present, and disclose in its financial statements uncertain tax positions that the company has taken or expects to take on a tax return. These Consolidated Financial Statements reflect expected future tax consequences of such positions presuming the taxing authorities possess full knowledge of the position and all relevant facts. It is the opinion of Company management that there are no material uncertainties regarding the tax positions that the Company has taken through December 31, 2019 and December 31, 2018. The Company does not have any interest or penalties accrued related to tax positions as it does not have any unrecognized tax benefits. In the event the Company determines that accrual of interest or penalties are necessary in the future, the amount will be presented as a component of interest expense.</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Redeemable Convertible Preferred Shares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 xml:space="preserve">As of December 31, 2018 and prior to the Company’s IPO, shares of the Company’s redeemable convertible preferred stock were redeemable at the option of the holder on or after July 14, 2020 and carried a cumulative coupon dividend rate of 6%. The redemption amount was the greater of the liquidation value (invested amount plus accruing dividends) or the fair value of the shares of preferred stock on the date of redemption. The Company was accounting for its shares of preferred stock under the requirements of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which establishes standards for how an issuer classifies and measures certain financial instruments with characteristics of both liabilities and equity. The carrying value of the shares of preferred stock was presented as temporary equity and was adjusted by periodic accretions so that the carrying amount would equal the redemption amount at the estimated date that the shares of preferred stock would be redeemed. These adjustments were effected through charges against additional paid-in capital, to the extent it was available, or accumulated deficit. For all preferred stock issuances, the difference between the amount invested by the holders of the shares of preferred stock, net of issuance costs and premiums (or discounts), as compared to the redemption value was recorded as accretion over the redemption period of the shares of preferred stock. The accretion was added to net loss to arrive at the net loss available to common stockholders in the calculation of net loss per common share. All redeemable convertible preferred stock shares were converted into common stock as of the date of the Company’s IPO.</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Basic and Diluted Net Income (Loss) per Common Share</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Basic and diluted net loss per common share outstanding is determined by dividing net loss, as adjusted for accretion and accrued dividends on redeemable convertible preferred stock, by the weighted average common shares outstanding during the period. For all periods presented, outstanding shares of Series A redeemable convertible preferred stock (“Series A Preferred Stock”), shares of Series B redeemable convertible preferred stock (“Series B Preferred Stock”), shares of Series C Preferred Stock, if any, and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880" w:firstLine="589"/>
        <w:spacing w:after="0" w:line="342" w:lineRule="auto"/>
        <w:rPr>
          <w:sz w:val="20"/>
          <w:szCs w:val="20"/>
          <w:color w:val="auto"/>
        </w:rPr>
      </w:pPr>
      <w:r>
        <w:rPr>
          <w:rFonts w:ascii="Arial" w:cs="Arial" w:eastAsia="Arial" w:hAnsi="Arial"/>
          <w:sz w:val="16"/>
          <w:szCs w:val="16"/>
          <w:color w:val="auto"/>
        </w:rPr>
        <w:t>The Company has one reporting segment which is also the Company’s only operating segment. Management uses one measurement of profitability and does not segregate its business for internal reporting. All long-lived assets are maintained in the United States.</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titled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rights and obligations arising from both operating and capital leases to be reported on the Consolidated Balance Sheet, and to disclose quantitative and qualitative information about lease transactions (such as information about variable lease payments and options to renew and terminate leases). ASU 2016-02 was effective for fiscal years beginning after December 15, 2018, with early adoption permitted.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8" w:name="page129"/>
    <w:bookmarkEnd w:id="128"/>
    <w:p>
      <w:pPr>
        <w:ind w:right="80" w:firstLine="589"/>
        <w:spacing w:after="0" w:line="270" w:lineRule="auto"/>
        <w:rPr>
          <w:sz w:val="20"/>
          <w:szCs w:val="20"/>
          <w:color w:val="auto"/>
        </w:rPr>
      </w:pPr>
      <w:r>
        <w:rPr>
          <w:rFonts w:ascii="Arial" w:cs="Arial" w:eastAsia="Arial" w:hAnsi="Arial"/>
          <w:sz w:val="17"/>
          <w:szCs w:val="17"/>
          <w:color w:val="auto"/>
        </w:rPr>
        <w:t xml:space="preserve">The Company adopted this new guidance as of January 1, 2019, which included an assessment of the impact of the new guidance on the Consolidated Financial Statements. The Company utilized the transition practical expedient added by the FASB, which eliminated the requirement that entities apply the new lease standard to the comparative periods presented in the year of adoption. The Company elected to use the package of practical expedients that allowed the Company to not reassess: (1) whether any expired or existing contracts were or contained leases, (2) lease classification for any expired or existing leases and (3) initial direct costs for any expired or existing leases. The Company additionally used the practical expedient that allows lessees to treat the lease and non-lease components of leases as a single lease component. The adoption of this standard resulted in the recognition of a right-of-use asset of $379 and related lease liabilities of $424 related to the Company’s operating lease commitments on the Consolidated Balance Sheet as of January 1, 2019 </w:t>
      </w:r>
      <w:r>
        <w:rPr>
          <w:rFonts w:ascii="Arial" w:cs="Arial" w:eastAsia="Arial" w:hAnsi="Arial"/>
          <w:sz w:val="17"/>
          <w:szCs w:val="17"/>
          <w:i w:val="1"/>
          <w:iCs w:val="1"/>
          <w:color w:val="auto"/>
        </w:rPr>
        <w:t>(Note 4).</w:t>
      </w:r>
      <w:r>
        <w:rPr>
          <w:rFonts w:ascii="Arial" w:cs="Arial" w:eastAsia="Arial" w:hAnsi="Arial"/>
          <w:sz w:val="17"/>
          <w:szCs w:val="17"/>
          <w:color w:val="auto"/>
        </w:rPr>
        <w:t xml:space="preserve"> The impact of adoption of the new leasing standard did not have a material impact on the Consolidated Statement of Operations during year ended December 31, 2019.</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list of changes is comprehensive and many will not have a significant effect on the Company’s consolidated financial reporting. The changes include removing exceptions to incremental intraperiod tax allocation of losses and gains from different financial statement components, exceptions to the method of recognizing income taxes on interim period losses and exceptions to deferred tax liability recognition related to foreign subsidiary investments. In addition, ASU 2019-12 requires that entities recognize franchise tax based on an incremental method, requires an entity to evaluate the accounting for step-ups in the tax basis of goodwill as inside or outside of a business combination, and removes the requirement to allocate the current and deferred tax provision among entities in stand-alone financial statement reporting. ASU 2019-12 also now requires that an entity reflect enacted changes in tax laws in the annual effective rate, and other codification adjustments have been made to employee stock ownership plans. For public business entities, the amendments in ASU 2019-12 are effective for fiscal years, and interim periods within those fiscal years, beginning after December 15, 2020. Early adoption of ASU 2019-12 is permitted, including adoption in any interim period for public business entities for periods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evaluating whether to early adopt ASU 2019-12 in the first interim period of the year ending December 31, 2020.</w:t>
      </w:r>
    </w:p>
    <w:p>
      <w:pPr>
        <w:spacing w:after="0" w:line="22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changes the way credit losses on certain financial instruments are estimated. ASU 2016-13 is effective for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2019, with early adoption permitted. The Company does not expect that the adoption of ASU 2016-13 will have a material effect on its Consolidated Financial Statements.</w:t>
      </w:r>
    </w:p>
    <w:p>
      <w:pPr>
        <w:spacing w:after="0" w:line="291"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Prepaid expenses consist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740" w:type="dxa"/>
            <w:vAlign w:val="bottom"/>
            <w:tcBorders>
              <w:bottom w:val="single" w:sz="8" w:color="CFF0FC"/>
            </w:tcBorders>
          </w:tcPr>
          <w:p>
            <w:pPr>
              <w:spacing w:after="0"/>
              <w:rPr>
                <w:sz w:val="13"/>
                <w:szCs w:val="13"/>
                <w:color w:val="auto"/>
              </w:rPr>
            </w:pPr>
          </w:p>
        </w:tc>
        <w:tc>
          <w:tcPr>
            <w:tcW w:w="39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Prepaid R&amp;D payments</w:t>
            </w:r>
          </w:p>
        </w:tc>
        <w:tc>
          <w:tcPr>
            <w:tcW w:w="39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Prepaid corporate insurance</w:t>
            </w:r>
          </w:p>
        </w:tc>
        <w:tc>
          <w:tcPr>
            <w:tcW w:w="3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3740" w:type="dxa"/>
            <w:vAlign w:val="bottom"/>
          </w:tcPr>
          <w:p>
            <w:pPr>
              <w:spacing w:after="0"/>
              <w:rPr>
                <w:sz w:val="24"/>
                <w:szCs w:val="24"/>
                <w:color w:val="auto"/>
              </w:rPr>
            </w:pPr>
          </w:p>
        </w:tc>
        <w:tc>
          <w:tcPr>
            <w:tcW w:w="5000" w:type="dxa"/>
            <w:vAlign w:val="bottom"/>
            <w:gridSpan w:val="2"/>
          </w:tcPr>
          <w:p>
            <w:pPr>
              <w:jc w:val="right"/>
              <w:ind w:right="2856"/>
              <w:spacing w:after="0"/>
              <w:rPr>
                <w:sz w:val="20"/>
                <w:szCs w:val="20"/>
                <w:color w:val="auto"/>
              </w:rPr>
            </w:pPr>
            <w:r>
              <w:rPr>
                <w:rFonts w:ascii="Arial" w:cs="Arial" w:eastAsia="Arial" w:hAnsi="Arial"/>
                <w:sz w:val="18"/>
                <w:szCs w:val="18"/>
                <w:color w:val="auto"/>
              </w:rPr>
              <w:t>F-14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29" w:name="page130"/>
    <w:bookmarkEnd w:id="129"/>
    <w:p>
      <w:pPr>
        <w:ind w:left="800" w:hanging="792"/>
        <w:spacing w:after="0"/>
        <w:tabs>
          <w:tab w:leader="none" w:pos="8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Effective March 1, 2013, the Company entered into a lease for office space in New Haven, CT and commencing March 1, 2018, the Company entered into the First Amendment to the lease. The leased space approximates 5,600 square feet and the lease has a term of 60 months. The lease requires monthly payments ranging from approximately $10 to $11 through February 1, 2023 and provides for two designated months of free rent. The Company has the option to terminate the lease after 36 months by providing six months notice along with a payment to the landlord in an amount representing the unamortized cost of tenant improvements plus the unamortized broker’s commission, both of which had been paid by the landlord, and as defined in the agreement.</w:t>
      </w:r>
    </w:p>
    <w:p>
      <w:pPr>
        <w:spacing w:after="0" w:line="19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Under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188"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 The incremental borrowing rate used on existing leases was 13.0% as of December 31, 2019. The right-of-use asset also includes any payments related to initial direct costs and prepayments, and excludes lease incentives. Lease expense is recognized on a straight line basis over the lease term. The Company had no new leases during the year ended December 31, 2019.</w:t>
      </w:r>
    </w:p>
    <w:p>
      <w:pPr>
        <w:spacing w:after="0" w:line="178" w:lineRule="exact"/>
        <w:rPr>
          <w:sz w:val="20"/>
          <w:szCs w:val="20"/>
          <w:color w:val="auto"/>
        </w:rPr>
      </w:pPr>
    </w:p>
    <w:p>
      <w:pPr>
        <w:jc w:val="both"/>
        <w:ind w:right="360" w:firstLine="589"/>
        <w:spacing w:after="0" w:line="263" w:lineRule="auto"/>
        <w:rPr>
          <w:sz w:val="20"/>
          <w:szCs w:val="20"/>
          <w:color w:val="auto"/>
        </w:rPr>
      </w:pPr>
      <w:r>
        <w:rPr>
          <w:rFonts w:ascii="Arial" w:cs="Arial" w:eastAsia="Arial" w:hAnsi="Arial"/>
          <w:sz w:val="18"/>
          <w:szCs w:val="18"/>
          <w:color w:val="auto"/>
        </w:rPr>
        <w:t>The Company’s operating leases consist of real estate and equipment, and have remaining terms ranging from approximately 1 to 3 years. The Company has no financing leases. The following table summarizes the Company’s operating leases as presented on its Consolidated Balance Sheet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8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54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854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0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7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long term portion</w:t>
            </w:r>
          </w:p>
        </w:tc>
        <w:tc>
          <w:tcPr>
            <w:tcW w:w="7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tcPr>
          <w:p>
            <w:pPr>
              <w:ind w:left="500"/>
              <w:spacing w:after="0"/>
              <w:rPr>
                <w:sz w:val="20"/>
                <w:szCs w:val="20"/>
                <w:color w:val="auto"/>
              </w:rPr>
            </w:pPr>
            <w:r>
              <w:rPr>
                <w:rFonts w:ascii="Arial" w:cs="Arial" w:eastAsia="Arial" w:hAnsi="Arial"/>
                <w:sz w:val="18"/>
                <w:szCs w:val="18"/>
                <w:color w:val="auto"/>
              </w:rPr>
              <w:t>Total operating lease liabilities</w:t>
            </w:r>
          </w:p>
        </w:tc>
        <w:tc>
          <w:tcPr>
            <w:tcW w:w="7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ind w:left="600"/>
              <w:spacing w:after="0"/>
              <w:rPr>
                <w:sz w:val="20"/>
                <w:szCs w:val="20"/>
                <w:color w:val="auto"/>
              </w:rPr>
            </w:pPr>
            <w:r>
              <w:rPr>
                <w:rFonts w:ascii="Arial" w:cs="Arial" w:eastAsia="Arial" w:hAnsi="Arial"/>
                <w:sz w:val="18"/>
                <w:szCs w:val="18"/>
                <w:color w:val="auto"/>
                <w:w w:val="98"/>
              </w:rPr>
              <w:t>Future minimum lease payments under the operating leases are as follows as of December 31, 2019:</w:t>
            </w: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54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2021</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Less: imputed discount</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operating lease liabilities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Lease expense under operating leases, including leases of office equipment, was $124 and $112 for the years ended December 31, 2019 and 2018, respectively. Lease payments made were $125 and $117 in the years ended December 31, 2019 and 2018 respectively, with such amounts reflected in the Consolidated Statement of Cash Flows in operating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0" w:name="page131"/>
    <w:bookmarkEnd w:id="130"/>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Leasehold Improvements, Net</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Property, equipment and leasehold improvements, net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 w:type="dxa"/>
            <w:vAlign w:val="bottom"/>
            <w:tcBorders>
              <w:bottom w:val="single" w:sz="8" w:color="CFF0FC"/>
            </w:tcBorders>
          </w:tcPr>
          <w:p>
            <w:pPr>
              <w:spacing w:after="0"/>
              <w:rPr>
                <w:sz w:val="13"/>
                <w:szCs w:val="13"/>
                <w:color w:val="auto"/>
              </w:rPr>
            </w:pPr>
          </w:p>
        </w:tc>
        <w:tc>
          <w:tcPr>
            <w:tcW w:w="7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website development and office equipment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(85)</w:t>
            </w:r>
          </w:p>
        </w:tc>
        <w:tc>
          <w:tcPr>
            <w:tcW w:w="5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20" w:type="dxa"/>
            <w:vAlign w:val="bottom"/>
            <w:vMerge w:val="restart"/>
          </w:tcPr>
          <w:p>
            <w:pPr>
              <w:ind w:left="100"/>
              <w:spacing w:after="0"/>
              <w:rPr>
                <w:sz w:val="20"/>
                <w:szCs w:val="20"/>
                <w:color w:val="auto"/>
              </w:rPr>
            </w:pPr>
            <w:r>
              <w:rPr>
                <w:rFonts w:ascii="Arial" w:cs="Arial" w:eastAsia="Arial" w:hAnsi="Arial"/>
                <w:sz w:val="18"/>
                <w:szCs w:val="18"/>
                <w:color w:val="auto"/>
                <w:w w:val="93"/>
              </w:rPr>
              <w:t>Depreciation was $39 and $23 for the years ended December 31, 2019 and 2018, respectively.</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7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220" w:type="dxa"/>
            <w:vAlign w:val="bottom"/>
          </w:tcPr>
          <w:p>
            <w:pPr>
              <w:ind w:left="80"/>
              <w:spacing w:after="0"/>
              <w:rPr>
                <w:sz w:val="20"/>
                <w:szCs w:val="20"/>
                <w:color w:val="auto"/>
              </w:rPr>
            </w:pPr>
            <w:r>
              <w:rPr>
                <w:rFonts w:ascii="Arial" w:cs="Arial" w:eastAsia="Arial" w:hAnsi="Arial"/>
                <w:sz w:val="18"/>
                <w:szCs w:val="18"/>
                <w:b w:val="1"/>
                <w:bCs w:val="1"/>
                <w:color w:val="auto"/>
              </w:rPr>
              <w:t>Accrued Expenses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Accrued expenses consist of the following:</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 w:type="dxa"/>
            <w:vAlign w:val="bottom"/>
            <w:tcBorders>
              <w:bottom w:val="single" w:sz="8" w:color="CFF0FC"/>
            </w:tcBorders>
          </w:tcPr>
          <w:p>
            <w:pPr>
              <w:spacing w:after="0"/>
              <w:rPr>
                <w:sz w:val="13"/>
                <w:szCs w:val="13"/>
                <w:color w:val="auto"/>
              </w:rPr>
            </w:pPr>
          </w:p>
        </w:tc>
        <w:tc>
          <w:tcPr>
            <w:tcW w:w="7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research projects</w:t>
            </w:r>
          </w:p>
        </w:tc>
        <w:tc>
          <w:tcPr>
            <w:tcW w:w="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7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Term Loan Payable</w:t>
      </w:r>
    </w:p>
    <w:p>
      <w:pPr>
        <w:spacing w:after="0" w:line="121"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On December 29, 2014, the Company entered into a loan and security agreement (the “Loan Agreement”) with Solar Capital, Ltd. (“Solar”) and Square 1 Bank (“Square 1”), together (the “Lenders”), which provided $15.0 million in debt financing (the “Term Loan”). On June 29, 2018, the maturity date of the Loan Agreement, the Company made its final payments of principal and interest due to the Lenders in connection with the Term Loan, as well as $450 in full payment of the final fee and $82 in full payment of the amendment fee. As a result, there were no outstanding borrowings under the Term Loan as of December 31, 2019 or 2018, and the Company’s obligations to the Lenders under the Loan Agreement, other than the obligations under the Success Fee Agreement as described below, were terminated.</w:t>
      </w:r>
    </w:p>
    <w:p>
      <w:pPr>
        <w:spacing w:after="0" w:line="192"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Under the terms of the Loan Agreement, the Company was obligated to pay the Lenders a Success Fee (“Success Fee”) under a Success Fee Agreement (“Success Fee Agreement”) upon the first occurrence of an Exit Event, as defined. The Exit Event included, among other things, the completion of a public offering of common stock. The amount of the Success Fee was equal to 4.5% of the $15.0 million Term Loan funded. The Success Fee Agreement was scheduled to terminate on the earlier to occur of (a) payment in full of the Success Fee pursuant to its terms, or (b) December 29, 2021. The completion of the IPO on May 9, 2019 (see Note 1) triggered the Success Fee payment obligation and the Company made payments to its Lenders totaling $675 in May 2019. Upon such payments, the Success Fee Agreement terminated.</w:t>
      </w:r>
    </w:p>
    <w:p>
      <w:pPr>
        <w:spacing w:after="0" w:line="178"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Success Fee Agreement represented a free-standing financial instrument. Accordingly, the Company accounted for the Success Fee provision as a derivative under ASC 815, Derivatives and Hedging, and therefore recorded an obligation for the Success Fee at its fair value on the closing date of each advance under the Loan Agreement. Upon recording such obligations for the Success Fee, the Company also recorded an offsetting loan discount, which was accreted to interest expense in the Company’s Statements of Operations through the Term Loan’s maturity date. The Company adjusted these liabilities for the Success Fee to fair value at each reporting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1" w:name="page132"/>
    <w:bookmarkEnd w:id="131"/>
    <w:p>
      <w:pPr>
        <w:ind w:right="100"/>
        <w:spacing w:after="0" w:line="255" w:lineRule="auto"/>
        <w:rPr>
          <w:sz w:val="20"/>
          <w:szCs w:val="20"/>
          <w:color w:val="auto"/>
        </w:rPr>
      </w:pPr>
      <w:r>
        <w:rPr>
          <w:rFonts w:ascii="Arial" w:cs="Arial" w:eastAsia="Arial" w:hAnsi="Arial"/>
          <w:sz w:val="18"/>
          <w:szCs w:val="18"/>
          <w:color w:val="auto"/>
        </w:rPr>
        <w:t>they remained outstanding. As discussed above, the Success Fee was paid in May 2019; and therefore, the total fair value of the Success Fee liabilities was $0 at December 31, 2019. The total fair value of these liabilities was determined to be $460 at December 31, 2018. The Company recorded non-cash charges in the amount of $215 and $138 for the years ended December 31, 2019 and 2018, respectively, representing the changes in the fair value of these liabilities since their last measurement date. The non-cash charges are included in other income (expense) in the Company’s Consolidated Statements of Operations. The obligation for the Success Fee is presented as a non-current liability in the Company’s Consolidated Balance Sheet as of December 31, 2018.</w:t>
      </w:r>
    </w:p>
    <w:p>
      <w:pPr>
        <w:spacing w:after="0" w:line="192" w:lineRule="exact"/>
        <w:rPr>
          <w:sz w:val="20"/>
          <w:szCs w:val="20"/>
          <w:color w:val="auto"/>
        </w:rPr>
      </w:pPr>
    </w:p>
    <w:p>
      <w:pPr>
        <w:jc w:val="both"/>
        <w:ind w:right="200" w:firstLine="589"/>
        <w:spacing w:after="0" w:line="259" w:lineRule="auto"/>
        <w:rPr>
          <w:sz w:val="20"/>
          <w:szCs w:val="20"/>
          <w:color w:val="auto"/>
        </w:rPr>
      </w:pPr>
      <w:r>
        <w:rPr>
          <w:rFonts w:ascii="Arial" w:cs="Arial" w:eastAsia="Arial" w:hAnsi="Arial"/>
          <w:sz w:val="18"/>
          <w:szCs w:val="18"/>
          <w:color w:val="auto"/>
        </w:rPr>
        <w:t>The fair values of the obligation for the Success Fee were estimated utilizing a probability-weighted income approach, including variables for the timing of the success event and other probability estimates. For the fair value calculations at December 31, 2018, significant inputs included the Success Fee rate of 4.5% of the Term Loan funded; a discount rate of 13.0%; weighted estimated time to Exit Event ranging from 0.4 to 3.1 years and probability estimates of several potential Exit Events ranging from 5.0% to 40.0%.</w:t>
      </w:r>
    </w:p>
    <w:p>
      <w:pPr>
        <w:spacing w:after="0" w:line="187"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Interest expense on the Term Loan, comprised of interest payments, amortization of financing costs, accrual of final and amendment fees, and accretion of the Success Fee are shown below for the year ended December 31, 2018. There was no such interest expense on the Term Loan for the year ended December 31, 2019.</w:t>
      </w:r>
    </w:p>
    <w:p>
      <w:pPr>
        <w:sectPr>
          <w:pgSz w:w="11900" w:h="16838" w:orient="portrait"/>
          <w:cols w:equalWidth="0" w:num="1">
            <w:col w:w="11260"/>
          </w:cols>
          <w:pgMar w:left="320" w:top="5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Accrual of final and amendment fees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Accretion of the Success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2220" w:type="dxa"/>
            <w:vAlign w:val="bottom"/>
          </w:tcPr>
          <w:p>
            <w:pPr>
              <w:jc w:val="right"/>
              <w:ind w:right="355"/>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015"/>
              <w:spacing w:after="0"/>
              <w:rPr>
                <w:sz w:val="20"/>
                <w:szCs w:val="20"/>
                <w:color w:val="auto"/>
              </w:rPr>
            </w:pPr>
            <w:r>
              <w:rPr>
                <w:rFonts w:ascii="Arial" w:cs="Arial" w:eastAsia="Arial" w:hAnsi="Arial"/>
                <w:sz w:val="14"/>
                <w:szCs w:val="14"/>
                <w:b w:val="1"/>
                <w:bCs w:val="1"/>
                <w:color w:val="auto"/>
              </w:rPr>
              <w:t>2018</w:t>
            </w:r>
          </w:p>
        </w:tc>
      </w:tr>
      <w:tr>
        <w:trPr>
          <w:trHeight w:val="222"/>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2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2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20" w:space="720"/>
            <w:col w:w="2620"/>
          </w:cols>
          <w:pgMar w:left="320" w:top="557" w:right="319" w:bottom="1440" w:gutter="0" w:footer="0" w:header="0"/>
          <w:type w:val="continuous"/>
        </w:sectPr>
      </w:pPr>
    </w:p>
    <w:p>
      <w:pPr>
        <w:spacing w:after="0" w:line="133"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authorized the Company to issue 200,000,000 shares and 101,929,904 shares of common stock, respectively, with a par value of $0.001 per share.</w:t>
      </w:r>
    </w:p>
    <w:p>
      <w:pPr>
        <w:spacing w:after="0" w:line="170"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As of December 31, 2019, the Company had reserved 2,778,812 shares of common stock for the exercise of outstanding stock options and the number of shares of common stock remaining available for future stock-based awards under the Company’s 2012 Stock Incentive Plan, 2019 Stock Incentive Plan and 2019 Employee Stock Purchase Plan, as shown in the table below. As of December 31, 2018, the Company had reserved 10,690,261 shares of common stock for the conversion of outstanding shares of redeemable convertible preferred stock and accrued dividends thereon, the exercise of outstanding stock options, and the number of shares of common stock remaining available for future stock-based awards under the Company’s 2012 Stock Incentive Plan as shown below (</w:t>
      </w:r>
      <w:r>
        <w:rPr>
          <w:rFonts w:ascii="Arial" w:cs="Arial" w:eastAsia="Arial" w:hAnsi="Arial"/>
          <w:sz w:val="18"/>
          <w:szCs w:val="18"/>
          <w:i w:val="1"/>
          <w:iCs w:val="1"/>
          <w:color w:val="auto"/>
        </w:rPr>
        <w:t>Note 10</w:t>
      </w:r>
      <w:r>
        <w:rPr>
          <w:rFonts w:ascii="Arial" w:cs="Arial" w:eastAsia="Arial" w:hAnsi="Arial"/>
          <w:sz w:val="18"/>
          <w:szCs w:val="18"/>
          <w:color w:val="auto"/>
        </w:rPr>
        <w: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22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3"/>
              </w:rPr>
              <w:t>As of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4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Shares of common stock reserved for conversion of Series A preferred stock</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224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2,154,572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20"/>
                <w:szCs w:val="20"/>
                <w:color w:val="auto"/>
              </w:rPr>
            </w:pPr>
            <w:r>
              <w:rPr>
                <w:rFonts w:ascii="Arial" w:cs="Arial" w:eastAsia="Arial" w:hAnsi="Arial"/>
                <w:sz w:val="18"/>
                <w:szCs w:val="18"/>
                <w:color w:val="auto"/>
              </w:rPr>
              <w:t>Shares of common stock reserved for conversion of Series B preferred stock</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2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3,011,392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Shares of common stock reserved for conversion of Series C preferred stock</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224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4,311,279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20"/>
                <w:szCs w:val="20"/>
                <w:color w:val="auto"/>
              </w:rPr>
            </w:pPr>
            <w:r>
              <w:rPr>
                <w:rFonts w:ascii="Arial" w:cs="Arial" w:eastAsia="Arial" w:hAnsi="Arial"/>
                <w:sz w:val="18"/>
                <w:szCs w:val="18"/>
                <w:color w:val="auto"/>
              </w:rPr>
              <w:t>Shares of common stock reserved for future issuance under the 2012 Stock</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Incentive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1,043,992</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1,213,018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Shares of common stock reserved for future issuance under the 2019 Stock</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Incentive Plan</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1,579,714</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20"/>
                <w:szCs w:val="20"/>
                <w:color w:val="auto"/>
              </w:rPr>
            </w:pPr>
            <w:r>
              <w:rPr>
                <w:rFonts w:ascii="Arial" w:cs="Arial" w:eastAsia="Arial" w:hAnsi="Arial"/>
                <w:sz w:val="18"/>
                <w:szCs w:val="18"/>
                <w:color w:val="auto"/>
              </w:rPr>
              <w:t>Shares of common stock reserved for future issuance under the 2019 Employee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Stock Purchase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155,106</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4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2,778,812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10,690,261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5460"/>
              <w:spacing w:after="0"/>
              <w:rPr>
                <w:sz w:val="20"/>
                <w:szCs w:val="20"/>
                <w:color w:val="auto"/>
              </w:rPr>
            </w:pPr>
            <w:r>
              <w:rPr>
                <w:rFonts w:ascii="Arial" w:cs="Arial" w:eastAsia="Arial" w:hAnsi="Arial"/>
                <w:sz w:val="18"/>
                <w:szCs w:val="18"/>
                <w:color w:val="auto"/>
              </w:rPr>
              <w:t>F-17</w:t>
            </w: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type w:val="continuous"/>
        </w:sectPr>
      </w:pPr>
    </w:p>
    <w:bookmarkStart w:id="132" w:name="page133"/>
    <w:bookmarkEnd w:id="132"/>
    <w:p>
      <w:pPr>
        <w:ind w:left="580" w:hanging="572"/>
        <w:spacing w:after="0"/>
        <w:tabs>
          <w:tab w:leader="none" w:pos="5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As of December 31, 2019 and 2018, under the Company’s certificate of incorporation, the authorized number of shares of redeemable convertible preferred stock was 0 and 86,197,030, respectively. See Note 1 with respect to the Company’s IPO and the conversion of its outstanding redeemable convertible preferred stock into shares of its common stock.</w:t>
      </w:r>
    </w:p>
    <w:p>
      <w:pPr>
        <w:spacing w:after="0" w:line="184"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As of December 31, 2019 and 2018, under the Company’s restated certificate of incorporation effective May 9, 2019, the authorized number of shares of preferred stock was 5,000,000 and 0, respectively.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Prior to the conversion into common stock as noted above, the Company’s redeemable convertible preferred stock was redeemable on or after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July 14, 2020 and carried a cumulative coupon dividend rate of 6%. The redemption amount per share for a share of redeemable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the greater of (A) the applicable original issue price per share for such series of redeemable convertible preferred stock, plus any of the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but unpaid thereon, whether or not declared, together with any other dividends declared but unpaid thereon, and (B) the fair market value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redeemable convertible preferred stock, as described below under </w:t>
      </w:r>
      <w:r>
        <w:rPr>
          <w:rFonts w:ascii="Arial" w:cs="Arial" w:eastAsia="Arial" w:hAnsi="Arial"/>
          <w:sz w:val="16"/>
          <w:szCs w:val="16"/>
          <w:i w:val="1"/>
          <w:iCs w:val="1"/>
          <w:color w:val="auto"/>
        </w:rPr>
        <w:t>Redemption Rights.</w:t>
      </w:r>
      <w:r>
        <w:rPr>
          <w:rFonts w:ascii="Arial" w:cs="Arial" w:eastAsia="Arial" w:hAnsi="Arial"/>
          <w:sz w:val="16"/>
          <w:szCs w:val="16"/>
          <w:color w:val="auto"/>
        </w:rPr>
        <w:t xml:space="preserve"> The Company accounted for its redeemable convertible 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under the requirements of ASC 480, which establishes standards for how an issuer classifies and measures certain financial instruments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characteristics of both liabilities and equity. The carrying value of the redeemable convertible preferred stock was presented as temporary equity and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by periodic accretions so that the carrying amount equaled the redemption amount at the estimated date that the redeemable convertible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would be redeemed. These adjustments were effected through charges against additional paid-in capital, to the extent it was available, or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deficit. For all issuances of redeemable convertible preferred stock, the difference between the amount invested by the holders of the redeemable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net of issuance costs and premiums (or discounts), as compared to the redemption value, was recorded as accretion over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redemption period of the redeemable convertible preferred stock. The accretion was added to net loss to arrive at the net loss available to common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stockholders in the calculation of net loss per common share.</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Issuance of Series A Redeemable Convertible Preferred Stock</w:t>
      </w:r>
    </w:p>
    <w:p>
      <w:pPr>
        <w:spacing w:after="0" w:line="117"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On December 4, 2012, the Company entered into the Series A Preferred Stock Purchase Agreement (the “Series A Purchase Agreement”) with TPG Biotechnology Partners III, L.P. (“TPG”) and nine other holders of the Company’s convertible notes that were issued in 2011 and 2012 (the “Series A Investors”). Pursuant to the Series A Purchase Agreement, the Company issued 6,000,000 shares (the “Series A Initial Closing”) of Series A Preferred Stock to TPG at a purchase price of $1.00 per share, resulting in proceeds, net of $128 in issuance costs, of $5.9 million (the “Series A Financing”). Concurrently, convertible notes held by the Series A Investors totaling $564, including accrued interest, were automatically converted at a conversion price of $0.467 per share in accordance with calculations specified in the applicable note purchase agreement, and the Company issued 1,207,923 shares of Series A Preferred Stock in settlement of the convertible notes.</w:t>
      </w:r>
    </w:p>
    <w:p>
      <w:pPr>
        <w:spacing w:after="0" w:line="17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Series A Purchase Agreement also provided for the sale of 4,000,000 additional shares of Series A Preferred Stock (the “Series A Milestone Shares”) to TPG at a purchase price of $1.00 per share upon the Company’s achievement of specified Milestone Events, as defined in the Series A Purchase Agreement, involving the Company’s Phase 1b clinical trial in uremic pruritus and a pending patent application. In the event the Milestone Events were not achieved, TPG had the right to purchase the Series A Milestone Shares, in full or in part, under the same terms and conditions as the Series A Initial Closing, including the $1.00 per share purchase price, on or before June 30, 2014.</w:t>
      </w:r>
    </w:p>
    <w:p>
      <w:pPr>
        <w:spacing w:after="0" w:line="176"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In addition, TPG had the right to purchase, under the same terms and conditions as the Series A Initial Closing, including the $1.00 per share purchase price, the lesser of 2,500,000 additional shares of Series A Preferred Stock (the “Additional Series A Preferred Shares”) and the number of shares of Series A Preferred Stock equal to 25% of the total number of shares of Series A Preferred Stock it previously purchased for cash under the Series A Purchase Agreement. This additional right was exercisable until the date six months after the completion date of the Company’s Phase 2b/3 clinical trial of nalbuphine ER in patients with uremic pruritus.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ind w:right="40" w:firstLine="589"/>
        <w:spacing w:after="0" w:line="257" w:lineRule="auto"/>
        <w:rPr>
          <w:sz w:val="20"/>
          <w:szCs w:val="20"/>
          <w:color w:val="auto"/>
        </w:rPr>
      </w:pPr>
      <w:r>
        <w:rPr>
          <w:rFonts w:ascii="Arial" w:cs="Arial" w:eastAsia="Arial" w:hAnsi="Arial"/>
          <w:sz w:val="18"/>
          <w:szCs w:val="18"/>
          <w:color w:val="auto"/>
        </w:rPr>
        <w:t>On December 26, 2013, TPG purchased under a Series A Extension Preferred Stock Purchase Agreement (the “Series A Extension Purchase Agreement”) 6,500,000 additional shares of Series A Preferred Stock at $1.00 per share, which consisted of the Series A Milestone Shares and the Additional Series A Preferred Shares discussed above, resulting in proceeds, net of $39 in issuance costs, of $6.5 million. This agreement also provided that the Company could sell up to 2,000,000 additional shares at $1.00 per share to existing stockholders deemed accredited investors within 45 days of the December 26, 2013 closing.</w:t>
      </w:r>
    </w:p>
    <w:p>
      <w:pPr>
        <w:spacing w:after="0" w:line="18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In January 2014, the Company issued 1,680,000 shares of Series A Preferred Stock to eight of the Series A Investors at $1.00 per share, as provided for as Additional Closings under the Series A Extension Purchase Agreement, resulting in proceeds, net of $7 in issuance costs, of $1.7 million. The Company recorded this issuance at its fair value of $1.08 per share, totaling $1.8 million before financing costs, resulting in a discount on this issuance in the amount of $134, which amount was being amortized out of the carrying value of Series A Preferred Stock over the expected redemption period, which was three years from July 14, 2017, the date of the First Tranche Closing of the Series C Preferred Stock Financing (each such term as defined below), or July 14, 2020 (the “Redemption Period”). Such amortization totaled $7 and $4 for the years ended December 31, 2019 and 2018, respectively, which, for the year ended December 31, 2019, includes $5 of previously unaccreted discount on issuance at the time of conversion to shares of common stock.</w:t>
      </w:r>
    </w:p>
    <w:p>
      <w:pPr>
        <w:spacing w:after="0" w:line="192"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 xml:space="preserve">Holders of Series C Preferred Stock had a higher liquidation preference than the holders of Series A Preferred Stock and Series B Preferred Stock. </w:t>
      </w:r>
      <w:r>
        <w:rPr>
          <w:rFonts w:ascii="Arial" w:cs="Arial" w:eastAsia="Arial" w:hAnsi="Arial"/>
          <w:sz w:val="18"/>
          <w:szCs w:val="18"/>
          <w:i w:val="1"/>
          <w:iCs w:val="1"/>
          <w:color w:val="auto"/>
        </w:rPr>
        <w:t>(See Liquidation Preferences note below.)</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Issuance of Series B Redeemable Convertible Preferred Stock</w:t>
      </w:r>
    </w:p>
    <w:p>
      <w:pPr>
        <w:spacing w:after="0" w:line="117"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On May 23, 2014, the Company entered into the Series B Preferred Stock Purchase Agreement (the “Series B Purchase Agreement”) with TPG. Pursuant to the Series B Purchase Agreement, the Company issued 13,043,478 shares (the “Series B Initial Closing”) of Series B Preferred Stock to TPG at a purchase price of $1.15 per share, resulting in proceeds, net of $56 in issuance costs, of $15.0 million.</w:t>
      </w:r>
    </w:p>
    <w:p>
      <w:pPr>
        <w:spacing w:after="0" w:line="16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Series B Purchase Agreement also provided for the sale of 4,347,826 additional shares of Series B Preferred Stock (the “Series B Milestone Shares”) to TPG at a purchase price of $1.15 per share upon the Company’s achievement of specified Milestone Events, as defined in the Series B Purchase Agreement, involving the Company’s Phase 2b/3 clinical trial of nalbuphine ER in patients with uremic pruritus; its planned Phase 2 clinical trial of nalbuphine ER in patients with pruritus associated with prurigo nodularis; and a pending patent application. In the event the Milestone Events were not achieved, TPG had the right to purchase the Series B Milestone Shares, in full or in part, under the same terms and conditions as the Series B Initial Closing, at a purchase price of $1.15 per share, on or before November 30, 2015.</w:t>
      </w:r>
    </w:p>
    <w:p>
      <w:pPr>
        <w:spacing w:after="0" w:line="178"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In addition, TPG had the right to purchase, on the same terms and conditions as the Series B Initial Closing, including the $1.15 per share purchase price, the lesser of 4,347,826 additional shares of Series B Preferred Stock and the number of shares equal to 25% of the total number of shares it previously purchased for cash under the Series B Purchase Agreement (the “Additional Series B Shares”). This additional right was exercisable until the date six months after the completion date of the Company’s Phase 2b/3 clinical trial of nalbuphine ER in patients with uremic pruritus.</w:t>
      </w:r>
    </w:p>
    <w:p>
      <w:pPr>
        <w:spacing w:after="0" w:line="15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On October 30, 2014, TPG exercised its rights described above and purchased under an Additional Closing Agreement (the “Series B Second Closing”) 8,695,652 additional shares of Series B Preferred Stock at $1.15 per share, which consisted of the Series B Milestone Shares and the Additional Series B Shares. This agreement also provided for the Company to sell 869,565 additional shares of Series B Preferred Stock at $1.15 per share to an existing stockholder. The Series B Second Closing resulted in proceeds, net of $19 in issuance costs, of $11.0 million. The Company recorded this issuance at its fair value of $1.10 per share, totaling $10.5 million, net of financing costs, resulting in a premium on this issuance in the amount of $478, which amount was being accreted into the carrying value of the Series B Preferred Stock over the Redemption Period. Such accretion totaled $31 and $20 for the years ended December 31, 2019 and 2018, respectively, which includes $22, for the year ended December 31, 2019 of unaccreted premium on issuance at the time of conversion to shares of common stock.</w:t>
      </w:r>
    </w:p>
    <w:p>
      <w:pPr>
        <w:spacing w:after="0" w:line="178"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 xml:space="preserve">Holders of Series C Preferred Stock had a higher liquidation preference than the holders of Series A Preferred Stock and Series B Preferred Stock. </w:t>
      </w:r>
      <w:r>
        <w:rPr>
          <w:rFonts w:ascii="Arial" w:cs="Arial" w:eastAsia="Arial" w:hAnsi="Arial"/>
          <w:sz w:val="18"/>
          <w:szCs w:val="18"/>
          <w:i w:val="1"/>
          <w:iCs w:val="1"/>
          <w:color w:val="auto"/>
        </w:rPr>
        <w:t>(See Liquidation Preferences note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4" w:name="page135"/>
    <w:bookmarkEnd w:id="134"/>
    <w:p>
      <w:pPr>
        <w:ind w:left="600"/>
        <w:spacing w:after="0"/>
        <w:rPr>
          <w:sz w:val="20"/>
          <w:szCs w:val="20"/>
          <w:color w:val="auto"/>
        </w:rPr>
      </w:pPr>
      <w:r>
        <w:rPr>
          <w:rFonts w:ascii="Arial" w:cs="Arial" w:eastAsia="Arial" w:hAnsi="Arial"/>
          <w:sz w:val="18"/>
          <w:szCs w:val="18"/>
          <w:b w:val="1"/>
          <w:bCs w:val="1"/>
          <w:i w:val="1"/>
          <w:iCs w:val="1"/>
          <w:color w:val="auto"/>
        </w:rPr>
        <w:t>Issuance of Series C Redeemable Convertible Preferred Stock</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On July 14, 2017, the Company entered into the Series C Purchase Agreement with TPG and other institutional investors (the “Series C Initial Purchasers”) for the issuance of $50.5 million of its Series C Preferred Stock. The Series C Purchase Agreement provided for the Company’s Series C Preferred Stock to be issued in two tranches, with the closing of the first tranche on July 14, 2017 (the “First Tranche Closing”) and the closing of the second tranche to occur following a determination by the Company’s board of directors that the Company’s cash and cash equivalents at such time are not sufficient to fund its operations for a period of three months following such determination (the “Second Tranche Closing”). Upon the First Tranche Closing, the Company issued 20,547,946 shares of its Series C Preferred Stock at a purchase price of $1.46 per share, resulting in proceeds of $29.7 million, net of issuance costs of $291.</w:t>
      </w:r>
    </w:p>
    <w:p>
      <w:pPr>
        <w:spacing w:after="0" w:line="19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Also party to the Series C Purchase Agreement were eleven holders of the Company’s Convertible Notes (together with the Initial Purchasers and the Series C Additional Purchasers, as defined below, the “Series C Investors”). Concurrently with the First Tranche Closing and pursuant to the Series C Purchase Agreement, the outstanding principal on the Company’s Convertible Notes, totaling $10.6 million, and all accrued interest thereon, totaling $564, were automatically converted at the Mandatory Conversion Price of $1.095 per share, and the Company issued 10,181,233 shares of its Series C Preferred Stock in full settlement of the Convertible Notes.</w:t>
      </w:r>
    </w:p>
    <w:p>
      <w:pPr>
        <w:spacing w:after="0" w:line="18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Series C Purchase Agreement provided for a subsequent closing (the “Special Closing”), on the same terms and conditions as the First Tranche Closing, including the $1.46 per share purchase price, and on October 11, 2017, the Special Closing occurred, resulting in the issuance to two additional investors (the “Series C Additional Purchasers”) of 101,707 shares of the Company’s Series C Preferred Stock, at a purchase price of $1.46 per share, resulting in proceeds of $129, net of issuance costs of $19.</w:t>
      </w:r>
    </w:p>
    <w:p>
      <w:pPr>
        <w:spacing w:after="0" w:line="18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On November 12, 2017, one of the Series C Additional Purchasers purchased its second tranche shares pursuant to an election under the Series C Purchase Agreement, resulting in the issuance of 55,621 shares of the Company’s Series C Preferred Stock at a purchase price of $1.46 per share, resulting in proceeds of $81.</w:t>
      </w:r>
    </w:p>
    <w:p>
      <w:pPr>
        <w:spacing w:after="0" w:line="184"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On August 28, 2018, the Company amended the Series C Purchase Agreement to provide that a portion of the shares of Series C Preferred Stock that would otherwise be issued and sold at the Second Tranche Closing would instead be issued and sold at a third tranche closing (the “Third Tranche Closing”), with such closing to occur following a determination by the Company’s board of directors that the Company’s cash and cash equivalents at such time are not sufficient to fund its operations for a period of three months following such determination.</w:t>
      </w:r>
    </w:p>
    <w:p>
      <w:pPr>
        <w:spacing w:after="0" w:line="171" w:lineRule="exact"/>
        <w:rPr>
          <w:sz w:val="20"/>
          <w:szCs w:val="20"/>
          <w:color w:val="auto"/>
        </w:rPr>
      </w:pPr>
    </w:p>
    <w:p>
      <w:pPr>
        <w:ind w:right="20" w:firstLine="589"/>
        <w:spacing w:after="0" w:line="308" w:lineRule="auto"/>
        <w:rPr>
          <w:sz w:val="20"/>
          <w:szCs w:val="20"/>
          <w:color w:val="auto"/>
        </w:rPr>
      </w:pPr>
      <w:r>
        <w:rPr>
          <w:rFonts w:ascii="Arial" w:cs="Arial" w:eastAsia="Arial" w:hAnsi="Arial"/>
          <w:sz w:val="17"/>
          <w:szCs w:val="17"/>
          <w:color w:val="auto"/>
        </w:rPr>
        <w:t>On August 30, 2018, the Company completed the Second Tranche Closing, resulting in the issuance of 7,211,165 shares of the Company’s Series C Preferred Stock, at a purchase price of $1.46 per share, resulting in proceeds of $10.5 million, net of issuance costs of $32.</w:t>
      </w:r>
    </w:p>
    <w:p>
      <w:pPr>
        <w:spacing w:after="0" w:line="146"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On January 18, 2019, the Company completed the Third Tranche Closing, resulting in the issuance of 6,849,315 shares of the Company’s Series C Preferred Stock, at a purchase price of $1.46 per share, resulting in proceeds of $10.0 million, net of issuance costs of $37</w:t>
      </w:r>
      <w:r>
        <w:rPr>
          <w:rFonts w:ascii="Arial" w:cs="Arial" w:eastAsia="Arial" w:hAnsi="Arial"/>
          <w:sz w:val="18"/>
          <w:szCs w:val="18"/>
          <w:i w:val="1"/>
          <w:iCs w:val="1"/>
          <w:color w:val="auto"/>
        </w:rPr>
        <w:t>.</w:t>
      </w:r>
      <w:r>
        <w:rPr>
          <w:rFonts w:ascii="Arial" w:cs="Arial" w:eastAsia="Arial" w:hAnsi="Arial"/>
          <w:sz w:val="18"/>
          <w:szCs w:val="18"/>
          <w:color w:val="auto"/>
        </w:rPr>
        <w:t xml:space="preserve"> At such time, the Series C redeemable convertible preferred stock liability of $1.1 million was reclassified as Series C Preferred Stock.</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Series C Redeemable Convertible Preferred Stock Liability and Changes in Fair Value</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As discussed above, the Series C Purchase Agreement provided for the issuance and sale of Series C Preferred Stock in three separate tranches. The tranches represented a freestanding financial instrument under ASC 480 and required fair value accounting until they were settled. The Company recognized a liability on its Consolidated Balance Sheet for the obligations under this financial instrument. The Company adjusted this liability to fair value at each reporting date, as applicable, and recognized any changes in fair value of the Series C Preferred Stock in its Consolidated Statements of Operations as a component of other income (expense). The Company continued to recognize any changes in the fair value of this liability through the closing of the third tranche.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5" w:name="page136"/>
    <w:bookmarkEnd w:id="135"/>
    <w:p>
      <w:pPr>
        <w:ind w:right="100" w:firstLine="589"/>
        <w:spacing w:after="0" w:line="257" w:lineRule="auto"/>
        <w:rPr>
          <w:sz w:val="20"/>
          <w:szCs w:val="20"/>
          <w:color w:val="auto"/>
        </w:rPr>
      </w:pPr>
      <w:r>
        <w:rPr>
          <w:rFonts w:ascii="Arial" w:cs="Arial" w:eastAsia="Arial" w:hAnsi="Arial"/>
          <w:sz w:val="18"/>
          <w:szCs w:val="18"/>
          <w:color w:val="auto"/>
        </w:rPr>
        <w:t>Accordingly, for the year ended December 31, 2018, the Company recorded the Series C redeemable convertible preferred stock liability at its fair value of $2.1 million, with a corresponding charge to other income (expense) in the Company’s Consolidated Statement of Operations. Upon the Second Tranche Closing in August 2018, as described above, $1.0 million was reclassified to Series C Preferred Stock. As a result, at December 31, 2018, the fair value of this liability, relating to the outstanding third tranche, was determined to be $1.1 million and was reclassified to Series C Preferred Stock upon the Third Tranche Closing in January 2019.</w:t>
      </w:r>
    </w:p>
    <w:p>
      <w:pPr>
        <w:spacing w:after="0" w:line="188"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 xml:space="preserve">The fair value of the Series C redeemable convertible preferred stock liability was estimated as the excess, if any, of the fair value per share of the Company’s Series C Preferred Stock, as described below under </w:t>
      </w:r>
      <w:r>
        <w:rPr>
          <w:rFonts w:ascii="Arial" w:cs="Arial" w:eastAsia="Arial" w:hAnsi="Arial"/>
          <w:sz w:val="18"/>
          <w:szCs w:val="18"/>
          <w:i w:val="1"/>
          <w:iCs w:val="1"/>
          <w:color w:val="auto"/>
        </w:rPr>
        <w:t>Redemption Rights</w:t>
      </w:r>
      <w:r>
        <w:rPr>
          <w:rFonts w:ascii="Arial" w:cs="Arial" w:eastAsia="Arial" w:hAnsi="Arial"/>
          <w:sz w:val="18"/>
          <w:szCs w:val="18"/>
          <w:color w:val="auto"/>
        </w:rPr>
        <w:t>, over the purchase price of any outstanding tranches to be sold pursuant to the Series C Purchase Agreement.</w:t>
      </w:r>
    </w:p>
    <w:p>
      <w:pPr>
        <w:spacing w:after="0" w:line="184"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 xml:space="preserve">Holders of Series C Preferred Stock had a higher liquidation preference than the holders of Series A Preferred Stock and Series B Preferred Stock. </w:t>
      </w:r>
      <w:r>
        <w:rPr>
          <w:rFonts w:ascii="Arial" w:cs="Arial" w:eastAsia="Arial" w:hAnsi="Arial"/>
          <w:sz w:val="18"/>
          <w:szCs w:val="18"/>
          <w:i w:val="1"/>
          <w:iCs w:val="1"/>
          <w:color w:val="auto"/>
        </w:rPr>
        <w:t>(See Liquidation Preferences note below.)</w:t>
      </w:r>
    </w:p>
    <w:p>
      <w:pPr>
        <w:spacing w:after="0" w:line="170" w:lineRule="exact"/>
        <w:rPr>
          <w:sz w:val="20"/>
          <w:szCs w:val="20"/>
          <w:color w:val="auto"/>
        </w:rPr>
      </w:pPr>
    </w:p>
    <w:p>
      <w:pPr>
        <w:ind w:right="100" w:firstLine="589"/>
        <w:spacing w:after="0" w:line="279" w:lineRule="auto"/>
        <w:rPr>
          <w:sz w:val="20"/>
          <w:szCs w:val="20"/>
          <w:color w:val="auto"/>
        </w:rPr>
      </w:pPr>
      <w:r>
        <w:rPr>
          <w:rFonts w:ascii="Arial" w:cs="Arial" w:eastAsia="Arial" w:hAnsi="Arial"/>
          <w:sz w:val="18"/>
          <w:szCs w:val="18"/>
          <w:color w:val="auto"/>
        </w:rPr>
        <w:t>As of December 31, 2019, there were no shares of redeemable convertible preferred stock outstanding as a result of the conversion into common stock in connection with the IPO. As of December 31, 2018, redeemable convertible preferred stock consisted of the following (in thousands, except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820"/>
              <w:spacing w:after="0"/>
              <w:rPr>
                <w:sz w:val="20"/>
                <w:szCs w:val="20"/>
                <w:color w:val="auto"/>
              </w:rPr>
            </w:pPr>
            <w:r>
              <w:rPr>
                <w:rFonts w:ascii="Arial" w:cs="Arial" w:eastAsia="Arial" w:hAnsi="Arial"/>
                <w:sz w:val="14"/>
                <w:szCs w:val="14"/>
                <w:b w:val="1"/>
                <w:bCs w:val="1"/>
                <w:color w:val="auto"/>
                <w:w w:val="92"/>
              </w:rPr>
              <w:t>As of December 31, 2018</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Preferred</w:t>
            </w: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6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Liquidation</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Preference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00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15,387,923</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88"/>
              </w:rPr>
              <w:t>15,387,923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20,469</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9"/>
              </w:rPr>
              <w:t>2,154,572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22,608,695</w:t>
            </w:r>
          </w:p>
        </w:tc>
        <w:tc>
          <w:tcPr>
            <w:tcW w:w="220" w:type="dxa"/>
            <w:vAlign w:val="bottom"/>
          </w:tcPr>
          <w:p>
            <w:pPr>
              <w:spacing w:after="0"/>
              <w:rPr>
                <w:sz w:val="19"/>
                <w:szCs w:val="19"/>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w w:val="88"/>
              </w:rPr>
              <w:t>22,608,695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33,686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32,900</w:t>
            </w:r>
          </w:p>
        </w:tc>
        <w:tc>
          <w:tcPr>
            <w:tcW w:w="22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w w:val="89"/>
              </w:rPr>
              <w:t>3,011,392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Series C redeemable convertible preferred stock</w:t>
            </w:r>
          </w:p>
        </w:tc>
        <w:tc>
          <w:tcPr>
            <w:tcW w:w="100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48,200,412</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88"/>
              </w:rPr>
              <w:t>38,097,672</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61,023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59,798</w:t>
            </w:r>
          </w:p>
        </w:tc>
        <w:tc>
          <w:tcPr>
            <w:tcW w:w="2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9"/>
              </w:rPr>
              <w:t>4,311,279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86,197,030</w:t>
            </w:r>
          </w:p>
        </w:tc>
        <w:tc>
          <w:tcPr>
            <w:tcW w:w="220" w:type="dxa"/>
            <w:vAlign w:val="bottom"/>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8"/>
              </w:rPr>
              <w:t>76,094,290</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115,742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113,167</w:t>
            </w:r>
          </w:p>
        </w:tc>
        <w:tc>
          <w:tcPr>
            <w:tcW w:w="220" w:type="dxa"/>
            <w:vAlign w:val="bottom"/>
          </w:tcPr>
          <w:p>
            <w:pPr>
              <w:spacing w:after="0"/>
              <w:rPr>
                <w:sz w:val="19"/>
                <w:szCs w:val="19"/>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9"/>
              </w:rPr>
              <w:t>9,477,243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80" w:firstLine="589"/>
        <w:spacing w:after="0" w:line="295" w:lineRule="auto"/>
        <w:rPr>
          <w:sz w:val="20"/>
          <w:szCs w:val="20"/>
          <w:color w:val="auto"/>
        </w:rPr>
      </w:pPr>
      <w:r>
        <w:rPr>
          <w:rFonts w:ascii="Arial" w:cs="Arial" w:eastAsia="Arial" w:hAnsi="Arial"/>
          <w:sz w:val="16"/>
          <w:szCs w:val="16"/>
          <w:color w:val="auto"/>
        </w:rPr>
        <w:t>Dividends on outstanding shares of Series A, Series B and Series C Preferred Stock accrued at a rate of 6% per annum on their original purchase price of $1.00, $1.15 and $1.46 per share, respectively (the “Accruing Dividends”), whether or not declared, and were cumulative. However, Accruing Dividends on the Company’s outstanding redeemable convertible preferred stock were payable only when, as and if declared by the Company’s board of directors, or upon liquidation, redemption or conversion. No dividends were payable to the holders of the Company’s common stock unless equivalent dividends had been declared and paid on the Company’s outstanding Series A, Series B and Series C Preferred Stock. No dividends had been declared or paid by the Company through the date of the IPO. Accruing Dividends totaled $18.4 million through the date of the IPO, at which time they were converted into common shares. Accruing Dividends totaled $16.2 million as of December 31, 2018. Such amounts are included in the carrying values of Series A, Series B and Series C Preferred Stock, and in the accumulated deficit on the Company’s Consolidated Balance Sheet at December 31, 2018.</w:t>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17" w:lineRule="exact"/>
        <w:rPr>
          <w:sz w:val="20"/>
          <w:szCs w:val="20"/>
          <w:color w:val="auto"/>
        </w:rPr>
      </w:pPr>
    </w:p>
    <w:p>
      <w:pPr>
        <w:ind w:right="220" w:firstLine="589"/>
        <w:spacing w:after="0" w:line="26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the holders of shares of Series C Preferred Stock then outstanding were entitled to be paid out of the assets of the Company that were available for distribution to its stockholders, before any payments were to be made to the holders of Series A Preferred Stock, Series B Preferred Stock or common stock by reason of their ownership thereof, an amount per share equal to the Series C Preferred Stock original issue price of $1.46 per share,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were insufficient to pay the holders of shares of Series C Preferred Stock the full amount to which they were entitled, the holders of Series C Preferred Stock were entitled to share ratably in any distribution of the assets available for distribution in proportion to the respective amounts which would otherwise be payable in respect of the shares of Series C Preferred Stock held by them upon such distribution if all amounts payable on or with respect to such shares were paid in full.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6" w:name="page137"/>
    <w:bookmarkEnd w:id="136"/>
    <w:p>
      <w:pPr>
        <w:ind w:firstLine="589"/>
        <w:spacing w:after="0" w:line="286"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the holders of shares of Series A Preferred Stock and Series B Preferred Stock then outstanding were entitled to be paid out of the assets of the Company available for distribution to its stockholders after the payment of all preferential amounts required to be paid to the holders of shares of Series C Preferred Stock but before any payments were made to the holders of common stock by reason of their ownership thereof, (i) an amount per share equal to the Series A original issue price of $1.00 per share in the case of the Series A Preferred Stock, plus any Accruing Dividends accrued but unpaid thereon, whether or not declared, together with any other dividends declared but unpaid thereon, and (ii) an amount per share equal to the Series B original issue price of $1.15 per share in the case of the Series B Preferred Stock,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were insufficient to pay the holders of shares of Series A Preferred Stock and Series B Preferred Stock the full amount to which they were entitled (after the payment in full of all preferential amounts required to be paid to the holders of shares of Series C Preferred Stock), the holders of shares of Series A Preferred Stock and Series B Preferred Stock were entitled to share ratably in any distribution of the assets available for distribution in respect of such shares in proportion to the respective amounts which would otherwise be payable in respect of the share of Series A Preferred Stock and Series B Preferred Stock held by them upon such distribution if all amounts payable on or with respect to such shares were paid in full.</w:t>
      </w:r>
    </w:p>
    <w:p>
      <w:pPr>
        <w:spacing w:after="0" w:line="174"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In the event of any voluntary or involuntary liquidation, dissolution or winding up of the Company or deemed liquidation event, after the payment of all preferential amounts required to be paid to the holders of shares of redeemable convertible preferred stock, the remaining assets of the Company available for distribution to its stockholders were to be distributed among the holders of the shares of redeemable convertible preferred stock and common stock, in proportion to the number of shares held by each such holder, treating for this purpose all such securities as if they had been converted into common stock pursuant to the terms of the Company’s certificate of incorporation immediately prior to such dissolution, liquidation or winding up of the Company.</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Company’s certificate of incorporation provided that, unless prohibited by Delaware law governing distributions to stockholders, shares of the redeemable convertible preferred stock were to be redeemed by the Company in three annual installments commencing not more than 60 days after receipt by the Company, at any time on or after July 14, 2020, of written notice from the holders of at least a majority of the outstanding shares of redeemable convertible preferred stock, voting together as a single class on an as-converted basis, requesting redemption of all shares of redeemable convertible preferred stock (a “Redemption Request”).</w:t>
      </w:r>
    </w:p>
    <w:p>
      <w:pPr>
        <w:spacing w:after="0" w:line="188"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In that event, unless prohibited by Delaware law governing distributions to stockholders, generally in connection with an insolvent corporation, shares of Series A Preferred Stock, Series B Preferred Stock and Series C Preferred Stock, respectively, were to be redeemed by the Company at a price equal to the greater of (A) the applicable original issue price per share for such series of redeemable convertible preferred stock, plus any Accruing Dividends accrued but unpaid thereon, whether or not declared, together with any other dividends declared but unpaid thereon, and (B) the fair market value per share of Series A Preferred Stock, Series B Preferred Stock or Series C Preferred Stock, as the case may be, as of the date of the Company’s receipt of the Redemption Request. For purposes of these redemption rights, the fair market value per share of the Series A Preferred Stock was defined as the value per share of Series A Preferred Stock as mutually agreed upon by the Company and the holders of 60% of the shares of Series A Preferred Stock then outstanding, and, in the event that they were unable to reach agreement, by a third-party appraiser agreed to by the Company and the holders of a majority of the shares of Series A Preferred Stock then outstanding; the fair market value per share of the Series B Preferred Stock was defined as the value per share of Series B Preferred Stock as mutually agreed upon by the Company and the holders of 60% of the shares of Series B Preferred Stock then outstanding, and, in the event that they were unable to reach agreement, by a third-party appraiser agreed to by the Company and the holders of a majority of the shares of Series B Preferred Stock then outstanding; and the fair market value per share of the Series C Preferred Stock was defined as the value per share of Series C Preferred Stock as mutually agreed upon by the Company and the holders of 66 2/3% of the shares of Series C Preferred Stock then outstanding, and, in the event that they were unable to reach agreement, by a third-party appraiser agreed to by the Company and the holders of a majority of the shares of Series C Preferred Stock then outstanding.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7" w:name="page138"/>
    <w:bookmarkEnd w:id="137"/>
    <w:p>
      <w:pPr>
        <w:ind w:firstLine="589"/>
        <w:spacing w:after="0" w:line="254" w:lineRule="auto"/>
        <w:rPr>
          <w:sz w:val="20"/>
          <w:szCs w:val="20"/>
          <w:color w:val="auto"/>
        </w:rPr>
      </w:pPr>
      <w:r>
        <w:rPr>
          <w:rFonts w:ascii="Arial" w:cs="Arial" w:eastAsia="Arial" w:hAnsi="Arial"/>
          <w:sz w:val="18"/>
          <w:szCs w:val="18"/>
          <w:color w:val="auto"/>
        </w:rPr>
        <w:t>As a result of the redemption rights described above, the carrying values of Series A Preferred Stock of $21.0 million, Series B Preferred Stock of $33.7 million, and Series C Preferred Stock of $61.0 million as of December 31, 2018, have been classified as temporary equity, and are presented between liabilities and stockholders’ equity (deficit) on the Company’s Consolidated Balance Sheets in accordance with ASC 480. The Company was accreting the carrying value of the redeemable convertible preferred stock up to the expected redemption value over the estimated Redemption Period. The accretion included cumulative unpaid and undeclared Accruing Dividends as well as additional increases, if any, when the fair value of the redeemable convertible preferred stock exceeded the liquidation value at any point during the Redemption Period. Upon the IPO, all redeemable convertible preferred shares and Accruing Dividends thereon converted to common shares and all previously unaccreted amounts were fully accreted to the expected redemption value.</w:t>
      </w:r>
    </w:p>
    <w:p>
      <w:pPr>
        <w:spacing w:after="0" w:line="192"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At December 31, 2018, the fair values of the Company’s Series A Preferred Stock, Series B Preferred Stock and Series C Preferred Stock were determined utilizing a probability-weighted modeling approach that included both IPO and non-IPO based scenarios. The non-IPO based scenarios included the fair value estimates of the Company’s common stock, before marketability discount, of $0.47, and each issue of its redeemable convertible preferred stock of: $0.82 for its Series A Preferred Stock; $0.86 for its Series B Preferred Stock; and $1.44 for its Series C Preferred Stock, each calculated at December 31, 2017, as there were no clinical development milestones either achieved or not achieved during the period, and it was deemed that the Company’s total equity value had not changed to any significant degree through the December 31, 2018 measurement date. Additional significant inputs utilized for the non-IPO based scenario was a probability factor of 60% and a marketability discount of 20% applied in arriving at the fair value of the common stock. The IPO-based scenario utilized an expected pre-money valuation upon IPO; cost of equity estimate of 15%; estimated time to IPO date of 0.38 years; and a probability factor of 40%.</w:t>
      </w:r>
    </w:p>
    <w:p>
      <w:pPr>
        <w:spacing w:after="0" w:line="181"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At December 31, 2017, the fair value of the Company’s Series A Preferred Stock, Series B Preferred Stock and Series C Preferred Stock was determined utilizing the OPM; whereby each class of stock is modeled as a call option with a unique claim on the assets of the Company. Stock characteristics that were incorporated directly into the option valuation model include liquidation preferences, participation features, convertibility features and ratios, and value-sharing between classes of stock. The Company’s equity value was estimated by employing a back-solving approach to determine its implied equity value at December 31, 2017 based on the initial closing of the Series C Preferred Stock financing completed in July 2017. A Black-Scholes options pricing approach was utilized under the OPM to determine the fair value of each security, with significant inputs including a $1.44 fair value of the Series C Preferred Stock, a risk-free rate of 1.95%, volatility of 78.0% and a probability-weighted estimate of time to liquidity event of 2.71 years.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Financing costs of approximately $166 that were netted against the proceeds from the 2013 and 2012 Series A Preferred Stock financings were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being accreted to Series A Preferred Stock over the period from their respective issuance dates to the earliest redemption date of July 14, 2020.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recorded $7 and $5 in accretion for financing costs for the years ended December 31, 2019 and 2018, respectively, which,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includes $5 of previously unaccreted financing costs at the time of the conversion of the Series A Preferred Stock into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In addition, the investor rights/obligation that was allocated from proceeds from the Series A Preferred Stock financings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less $520 representing its fair value on the date of its exercise as noted above, was being accreted over the Redemption Period.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$84 and $54 in accretion of investor rights/obligation in the years ended December 31, 2019 and 2018, respectively, which,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includes $61 of previously unaccreted investor rights/obligations at the time of the conversion of the Series A Preferred Stock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Company’s common stock.</w:t>
      </w:r>
    </w:p>
    <w:p>
      <w:pPr>
        <w:spacing w:after="0" w:line="211"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Financing costs of approximately $76 that were netted against the proceeds from the 2014 Series B Preferred Stock financings were being accreted to Series B Preferred Stock over the period from their respective issuance dates to the earliest redemption date of July 14, 2020. The Company recorded $4 and $3 in accretion for financing costs in the years ended December 31, 2019 and 2018, respectively, which, for the year ended December 31, 2019 includes $3 of previously unaccreted financing costs at the time of conversion of the Series B Preferred Stock into shares of the Company’s common stock. In addition, the investor rights/obligation that was allocated from proceeds from the Series B Preferred Stock financings of $2.0 million was being accreted over the remaining Redemption Period discussed above. The Company recorded $117 and $76 in accretion of Series B Preferred Stock investor rights/obligation in the years ended December 31, 2019 and 2018, respectively, which, for the year ended December 31, 2019 includes $85 of previously unaccreted investor rights/obligations at the time of the conversion of the Series B Preferred Stock into shares of the Company’s common stock.</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38" w:name="page139"/>
    <w:bookmarkEnd w:id="138"/>
    <w:p>
      <w:pPr>
        <w:ind w:right="60" w:firstLine="589"/>
        <w:spacing w:after="0" w:line="257" w:lineRule="auto"/>
        <w:rPr>
          <w:sz w:val="20"/>
          <w:szCs w:val="20"/>
          <w:color w:val="auto"/>
        </w:rPr>
      </w:pPr>
      <w:r>
        <w:rPr>
          <w:rFonts w:ascii="Arial" w:cs="Arial" w:eastAsia="Arial" w:hAnsi="Arial"/>
          <w:sz w:val="18"/>
          <w:szCs w:val="18"/>
          <w:color w:val="auto"/>
        </w:rPr>
        <w:t>Financing costs of approximately $379 that were netted against the proceeds from the 2017, 2018 and 2019 Series C Preferred Stock financings were being accreted to Series C Preferred Stock over the period from their respective issuance dates to the earliest redemption date of July 14, 2020. The Company recorded $223 and $109 in accretion for financing costs in the years ended December 31, 2019 and 2018, respectively, which, for the year ended December 31, 2019 includes $164 of previously unaccreted financing costs at the time of conversion of the Series C Preferred Stock into shares of the Company’s common stock.</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Optional Conversion</w:t>
      </w:r>
    </w:p>
    <w:p>
      <w:pPr>
        <w:spacing w:after="0" w:line="117"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Each holder of Series A, Series B or Series C Preferred Stock was able to convert any or all of such holder’s redeemable convertible preferred stock into common stock at any time. Each share of Series A Preferred Stock, Series B Preferred Stock and Series C Preferred Stock was convertible into such number of shares of common stock as determined by dividing the original issue price of such series by the conversion price for such series in effect at the time of conversion. As of December 31, 2018, each share of Series A Preferred Stock, Series B Preferred Stock and Series C Preferred Stock was convertible into common stock at a one-to-one conversion ratio. As of December 31, 2019, there were no redeemable convertible preferred shares outstanding as a result of the conversion into common shares in connection with the IPO.</w:t>
      </w:r>
    </w:p>
    <w:p>
      <w:pPr>
        <w:spacing w:after="0" w:line="178"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In addition, upon conversion of shares of Series A, Series B or Series C Preferred Stock, a holder was entitled to receive, at the election of the holder, either (i) payment in cash of any Accruing Dividends declared but unpaid thereon, or (ii) such number of shares of common stock as determined by dividing the Accruing Dividends for such share of Series A, Series B or Series C Preferred Stock, by the applicable conversion price for such series of redeemable preferred stock in effect at the time of conversion. The conversion prices for Series A, Series B or Series C Preferred Stock were subject to adjustment based on certain events specified in the Company’s certificate of incorporation, including anti-dilution adjustments.</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17"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Upon the closing of a qualified public offering of common stock, as defined in the Company’s certificate of incorporation, or approval of (i) the holders of at least 60% of the Series A Preferred Stock then outstanding, voting separately as a class, (ii) the holders of at least 60% of the Series B Preferred Stock then outstanding, voting separately as a class and (iii) the holders of at least 66 2/3% of the Series C Preferred Stock then outstanding, voting separately as a class, all outstanding shares of redeemable convertible preferred stock would have automatically converted into common stock at the then-applicable conversion rate for such shares. At December 31, 2019, there were no redeemable convertible preferred shares outstanding as a result of the conversion into common shares at a one-for-9.5 conversion ratio, in connection with the IPO.</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Prior to the IPO, and except as otherwise provided by law or by the other provisions of the Company’s certificate of incorporation, the holders of redeemable convertible preferred stock were entitled to vote as one class with the holders of common stock on any matter presented to the stockholders of the Company for their action or consideration at any meeting of stockholders of the Company (or by written consent of stockholders in lieu of a meeting), and each holder of outstanding shares of redeemable convertible preferred stock was entitled to cast the number of votes equal to the number of whole shares of common stock into which the shares of redeemable convertible preferred stock held by such holder were convertible as of the record date for determining stockholders entitled to vote on the matter. The holders of record of the shares of the Company’s Series B Preferred Stock, exclusively and as a separate class, were entitled to elect two directors of the Company, the holders of record of the shares of Series C Preferred Stock, exclusively, and as a separate class, were entitled to elect three directors of the Company, and the holders of record of the shares of common stock of the Company, exclusively and as a separate class, were entitled to elect two directors of the Company.</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jc w:val="both"/>
        <w:ind w:right="40" w:firstLine="589"/>
        <w:spacing w:after="0" w:line="342" w:lineRule="auto"/>
        <w:rPr>
          <w:sz w:val="20"/>
          <w:szCs w:val="20"/>
          <w:color w:val="auto"/>
        </w:rPr>
      </w:pPr>
      <w:r>
        <w:rPr>
          <w:rFonts w:ascii="Arial" w:cs="Arial" w:eastAsia="Arial" w:hAnsi="Arial"/>
          <w:sz w:val="16"/>
          <w:szCs w:val="16"/>
          <w:color w:val="auto"/>
        </w:rPr>
        <w:t>The holders of shares of the Company’s common stock issued upon conversion of shares of Series A Preferred Stock, Series B Preferred Stock and Series C Preferred Stock have certain registration rights as set forth in an investors’ rights agreement between the Company and certain of its stockholders.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9" w:name="page140"/>
    <w:bookmarkEnd w:id="139"/>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187" w:lineRule="exact"/>
        <w:rPr>
          <w:sz w:val="20"/>
          <w:szCs w:val="20"/>
          <w:color w:val="auto"/>
        </w:rPr>
      </w:pPr>
    </w:p>
    <w:p>
      <w:pPr>
        <w:jc w:val="both"/>
        <w:ind w:right="40" w:firstLine="589"/>
        <w:spacing w:after="0" w:line="273" w:lineRule="auto"/>
        <w:rPr>
          <w:sz w:val="20"/>
          <w:szCs w:val="20"/>
          <w:color w:val="auto"/>
        </w:rPr>
      </w:pPr>
      <w:r>
        <w:rPr>
          <w:rFonts w:ascii="Arial" w:cs="Arial" w:eastAsia="Arial" w:hAnsi="Arial"/>
          <w:sz w:val="17"/>
          <w:szCs w:val="17"/>
          <w:color w:val="auto"/>
        </w:rPr>
        <w:t>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w:t>
      </w:r>
    </w:p>
    <w:p>
      <w:pPr>
        <w:spacing w:after="0" w:line="178" w:lineRule="exact"/>
        <w:rPr>
          <w:sz w:val="20"/>
          <w:szCs w:val="20"/>
          <w:color w:val="auto"/>
        </w:rPr>
      </w:pPr>
    </w:p>
    <w:p>
      <w:pPr>
        <w:ind w:right="20" w:firstLine="589"/>
        <w:spacing w:after="0" w:line="279" w:lineRule="auto"/>
        <w:rPr>
          <w:sz w:val="20"/>
          <w:szCs w:val="20"/>
          <w:color w:val="auto"/>
        </w:rPr>
      </w:pPr>
      <w:r>
        <w:rPr>
          <w:rFonts w:ascii="Arial" w:cs="Arial" w:eastAsia="Arial" w:hAnsi="Arial"/>
          <w:sz w:val="18"/>
          <w:szCs w:val="18"/>
          <w:color w:val="auto"/>
        </w:rPr>
        <w:t>The Company’s 2012 Stock Incentive Plan (the “2012 Plan”), as amended, was adopted by the Company’s board of directors and stockholders. The Company’s board of directors administers the 2012 Plan. The 2012 Plan provides for the issuance of stock-based awards to the Company’s employees, officers and directors, as well as non-employee/consultants and advisors to the Company.</w:t>
      </w:r>
    </w:p>
    <w:p>
      <w:pPr>
        <w:spacing w:after="0" w:line="169"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Options granted under the 2019 Plan and the 2012 Plan have a maximum term of ten years. Options vest over four years based on varying vesting schedules including: 25% vesting on the first anniversary date of grant and the balance ratably over the next 36 months or vesting in equal monthly or quarterly installments over four years. As of December 31, 2019, options to purchase 631,234 shares of common stock were granted and outstanding, net of cancelations, under the 2019 Plan. As of December 31, 2019 and 2018, respectively, options to purchase 1,043,992 and 1,077,148 shares of common stock were granted and outstanding, net of cancelations, under the 2012 Plan.</w:t>
      </w:r>
    </w:p>
    <w:p>
      <w:pPr>
        <w:spacing w:after="0" w:line="176"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In April 2019, the Company’s board of directors adopted a resolution effective on May 7, 2019 that no further stock options or other equity-based awards may be granted under the 2012 Plan.</w:t>
      </w:r>
    </w:p>
    <w:p>
      <w:pPr>
        <w:spacing w:after="0" w:line="170"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year ended December 31, 2019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1,077,148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678,602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(59,429)</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(6,359)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(14,736)</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1,675,226</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December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695,454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Options unvested as of December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979,772</w:t>
            </w:r>
          </w:p>
        </w:tc>
        <w:tc>
          <w:tcPr>
            <w:tcW w:w="2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360" w:firstLine="589"/>
        <w:spacing w:after="0" w:line="277" w:lineRule="auto"/>
        <w:rPr>
          <w:sz w:val="20"/>
          <w:szCs w:val="20"/>
          <w:color w:val="auto"/>
        </w:rPr>
      </w:pPr>
      <w:r>
        <w:rPr>
          <w:rFonts w:ascii="Arial" w:cs="Arial" w:eastAsia="Arial" w:hAnsi="Arial"/>
          <w:sz w:val="18"/>
          <w:szCs w:val="18"/>
          <w:color w:val="auto"/>
        </w:rPr>
        <w:t>The weighted average grant-date fair value per share of stock options granted was $5.06 and $4.85 for the years ended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aggregate fair value of stock options that vested during the years ended December 31, 2019 and 2018 was $688 and $336,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p>
      <w:pPr>
        <w:ind w:right="20" w:firstLine="589"/>
        <w:spacing w:after="0" w:line="286"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years ended December 31, 2019 and 2018 was $105 and $6, respectively.</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assumptions that the Company used to determine the fair value of the stock options granted were as follows, presented on a weighted average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310"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r>
      <w:tr>
        <w:trPr>
          <w:trHeight w:val="230"/>
        </w:trPr>
        <w:tc>
          <w:tcPr>
            <w:tcW w:w="8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Expected life of options (in years)</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classifications of stock-based compensation expenses for the 2012 Plan and the 2019 Plan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As of December 31, 2019, total unrecognized compensation cost related to the unvested share-based awards was $3.9 million, which is expected to be recognized over a weighted average period of 3.0 years.</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 As of December 31, 2019, there has been no activity under the 2019 ESPP.</w:t>
      </w:r>
    </w:p>
    <w:p>
      <w:pPr>
        <w:spacing w:after="0" w:line="184"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of the Company’s employees are eligible to participate in the 2019 ESPP, provided that: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such person is customarily employed by the Company for more than 20 hours a week and for more than five months in a calendar year;</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such person has been employed by the Company for at least three months prior to enrolling in the 2019 ESPP; and</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such person was an employee of the Company on the first day of the applicable offering period under the 2019 ESPP.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1" w:name="page142"/>
    <w:bookmarkEnd w:id="141"/>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During the years ended December 31, 2019 and 2018, the Company recorded an income tax benefit related to state research and development tax credits of $18 and $124, respectively.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income tax (benefit) for the years ended December 31, 2019 and 2018,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620" w:type="dxa"/>
            <w:vAlign w:val="bottom"/>
            <w:tcBorders>
              <w:bottom w:val="single" w:sz="8" w:color="CFF0FC"/>
            </w:tcBorders>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Federal</w:t>
            </w:r>
          </w:p>
        </w:tc>
        <w:tc>
          <w:tcPr>
            <w:tcW w:w="3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r>
      <w:tr>
        <w:trPr>
          <w:trHeight w:val="223"/>
        </w:trPr>
        <w:tc>
          <w:tcPr>
            <w:tcW w:w="462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tcPr>
          <w:p>
            <w:pPr>
              <w:spacing w:after="0"/>
              <w:rPr>
                <w:sz w:val="19"/>
                <w:szCs w:val="19"/>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Federal</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3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firstLine="589"/>
        <w:spacing w:after="0" w:line="277" w:lineRule="auto"/>
        <w:rPr>
          <w:sz w:val="20"/>
          <w:szCs w:val="20"/>
          <w:color w:val="auto"/>
        </w:rPr>
      </w:pPr>
      <w:r>
        <w:rPr>
          <w:rFonts w:ascii="Arial" w:cs="Arial" w:eastAsia="Arial" w:hAnsi="Arial"/>
          <w:sz w:val="18"/>
          <w:szCs w:val="18"/>
          <w:color w:val="auto"/>
        </w:rPr>
        <w:t>A reconciliation between income tax benefit and the expected tax benefit at the statutory rate for the years ended December 31, 2019 and 2018 is as follows:</w:t>
      </w:r>
    </w:p>
    <w:p>
      <w:pPr>
        <w:spacing w:after="0" w:line="270"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State income tax (benefit)—net of federal tax</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Permanent differences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tcBorders>
              <w:right w:val="single" w:sz="8" w:color="CFF0FC"/>
            </w:tcBorders>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Refundable tax credit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R&amp;D tax credits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Standard Adoption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2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600"/>
              <w:spacing w:after="0"/>
              <w:rPr>
                <w:sz w:val="20"/>
                <w:szCs w:val="20"/>
                <w:color w:val="auto"/>
              </w:rPr>
            </w:pPr>
            <w:r>
              <w:rPr>
                <w:rFonts w:ascii="Arial" w:cs="Arial" w:eastAsia="Arial" w:hAnsi="Arial"/>
                <w:sz w:val="18"/>
                <w:szCs w:val="18"/>
                <w:color w:val="auto"/>
              </w:rPr>
              <w:t>Significant components of the Company’s deferred tax assets are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7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76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28,745</w:t>
            </w:r>
          </w:p>
        </w:tc>
        <w:tc>
          <w:tcPr>
            <w:tcW w:w="2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Federal and state tax credits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3,350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1,200</w:t>
            </w:r>
          </w:p>
        </w:tc>
        <w:tc>
          <w:tcPr>
            <w:tcW w:w="280" w:type="dxa"/>
            <w:vAlign w:val="bottom"/>
            <w:tcBorders>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33,295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25,935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(33,295)</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5460"/>
              <w:spacing w:after="0"/>
              <w:rPr>
                <w:sz w:val="20"/>
                <w:szCs w:val="20"/>
                <w:color w:val="auto"/>
              </w:rPr>
            </w:pPr>
            <w:r>
              <w:rPr>
                <w:rFonts w:ascii="Arial" w:cs="Arial" w:eastAsia="Arial" w:hAnsi="Arial"/>
                <w:sz w:val="18"/>
                <w:szCs w:val="18"/>
                <w:color w:val="auto"/>
              </w:rPr>
              <w:t>F-27</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42" w:name="page143"/>
    <w:bookmarkEnd w:id="142"/>
    <w:p>
      <w:pPr>
        <w:ind w:firstLine="589"/>
        <w:spacing w:after="0" w:line="270" w:lineRule="auto"/>
        <w:rPr>
          <w:sz w:val="20"/>
          <w:szCs w:val="20"/>
          <w:color w:val="auto"/>
        </w:rPr>
      </w:pPr>
      <w:r>
        <w:rPr>
          <w:rFonts w:ascii="Arial" w:cs="Arial" w:eastAsia="Arial" w:hAnsi="Arial"/>
          <w:sz w:val="17"/>
          <w:szCs w:val="17"/>
          <w:color w:val="auto"/>
        </w:rPr>
        <w:t>For the years ended December 31, 2019 and 2018, the Company generated federal and state net operating losses (“NOLs”) of approximately $23.9 million and $17.8 million, respectively. At December 31, 2019 and 2018, the Federal and state net operating loss balances were approximately $106.8 million and $82.9 million, respectively. The operating losses generated prior to 2018 will expire in years 2031 through 2037, unless previously utilized. The operating losses generated in 2019 and 2018 can be carried forward indefinitely, however will only offset 80% of taxable income in a carryforward year. The Company also generated federal R&amp;D tax credits in 2019 of approximately $365. At December 31, 2019 and 2018, the federal R&amp;D tax credits were approximately $3.2 million and $2.9 million, respectively. These credits will expire in years 2032 through 2039, unless previously utilized. Due to the Series A preferred stock financing in December 2012 and the shares issued in connection with the Company’s IPO in May 2019, the Company was subject to an “ownership change” under the Code Section 382. As a result, the Company’s ability to utilize approximately $91.3 million of its NOL carryforwards and approximately $3.0 million of research tax credits is limited.</w:t>
      </w:r>
    </w:p>
    <w:p>
      <w:pPr>
        <w:spacing w:after="0" w:line="181"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The Company also generated state research tax credits for the years ended December 31, 2019 and 2018 of approximately $82 and $243, respectively. The Company applied to exchange most of these credits for cash under a state-run program. These amounts, $18 and $124 for the years ended December 31, 2019 and 2018, respectively, were recognized as current income tax benefits in the Company’s Consolidated Statements of Operations. At December 31, 2019 and 2018, the Company’s Consolidated Balance Sheets reflect income tax receivable of $18 and $124, respectively, related to these credits. Because of the net operating loss and research credit carryforwards, tax years 2011 through 2019 remain open to U.S. federal and state tax examinations.</w:t>
      </w:r>
    </w:p>
    <w:p>
      <w:pPr>
        <w:spacing w:after="0" w:line="192"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Income taxes are provided using the asset/liability method, in which deferred taxes are recognized for the tax consequences of temporary differences between the financial statement carrying amounts and tax bases of existing assets and liabilities. The Company reviews deferred tax assets for recoverability on a regular basis. In assessing the need for a valuation allowance, the Company considers both positive and negative evidence related to the likelihood of realization of the deferred tax assets. The weight given to the positive and negative evidence is commensurate with the extent to which the evidence may be objectively verified. Accounting guidance states that a cumulative loss in recent years is a significant piece of negative evidence that is difficult to overcome in determining that a valuation allowance is not needed against deferred tax assets. As such, it is generally difficult for positive evidence regarding projected future taxable income exclusive of reversing taxable temporary differences to outweigh objective negative evidence of recent financial reporting losses.</w:t>
      </w:r>
    </w:p>
    <w:p>
      <w:pPr>
        <w:spacing w:after="0" w:line="192" w:lineRule="exact"/>
        <w:rPr>
          <w:sz w:val="20"/>
          <w:szCs w:val="20"/>
          <w:color w:val="auto"/>
        </w:rPr>
      </w:pPr>
    </w:p>
    <w:p>
      <w:pPr>
        <w:ind w:right="300" w:firstLine="589"/>
        <w:spacing w:after="0" w:line="279" w:lineRule="auto"/>
        <w:rPr>
          <w:sz w:val="20"/>
          <w:szCs w:val="20"/>
          <w:color w:val="auto"/>
        </w:rPr>
      </w:pPr>
      <w:r>
        <w:rPr>
          <w:rFonts w:ascii="Arial" w:cs="Arial" w:eastAsia="Arial" w:hAnsi="Arial"/>
          <w:sz w:val="17"/>
          <w:szCs w:val="17"/>
          <w:color w:val="auto"/>
        </w:rPr>
        <w:t>The Company determined that operating losses it incurred since its inception on March 17, 2011, represented negative evidence sufficient to conclude a valuation allowance was necessary. As such, the Company has recorded a valuation allowance of $33.3 million and $25.9 million at December 31, 2019 and 2018, respectively, as a reserve against its net deferred tax assets. These balances reflect increases in the valuation allowance of $7.4 million and $5.7 million in 2019 and 2018, respectively, both representing an increase in net deferred tax assets.</w:t>
      </w:r>
    </w:p>
    <w:p>
      <w:pPr>
        <w:spacing w:after="0" w:line="171"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Company applies the provisions of ASC 740, which prescribes a comprehensive model for how a company should recognize, measure, present, and disclose in its financial statements uncertain tax positions that the Company has taken or expects to take on a tax return. The financial statements reflect expected future tax consequences of such positions presuming the taxing authorities possess full knowledge of the position and all relevant facts. As a result of the implementation of ASC 740, the Company recognized no adjustment for unrecognized income tax benefits. The Company has not, as of yet, conducted a study of R&amp;D tax credit carryforwards. Such a study could result in an adjustment to the Company’s R&amp;D tax credit carryforwards; however, until a study is completed and any potential adjustment is known, no amounts are being presented as an uncertain tax position. A full valuation allowance has been provided against the Company’s R&amp;D tax credits and, if an adjustment is required in the future, this adjustment would be offset by a corresponding adjustment to the valuation allowance. For the years ended December 31, 2019 and 2018, the Company had no unrecognized tax benefits or related interest and penalties accrued. In the event the Company determines that accrual of interest or penalties are necessary in the future, the amount will be presented as a component of interest expense.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3" w:name="page144"/>
    <w:bookmarkEnd w:id="143"/>
    <w:p>
      <w:pPr>
        <w:ind w:left="580" w:hanging="572"/>
        <w:spacing w:after="0"/>
        <w:tabs>
          <w:tab w:leader="none" w:pos="5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7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Dividends accrued on redeemable convertible preferred stock</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(2,239)</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(26,754)</w:t>
            </w:r>
          </w:p>
        </w:tc>
        <w:tc>
          <w:tcPr>
            <w:tcW w:w="28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11,735,781</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437,610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Accretion and dividends included in the table above were calculated through the IPO date.</w:t>
      </w:r>
    </w:p>
    <w:p>
      <w:pPr>
        <w:spacing w:after="0" w:line="225"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The Company’s potential dilutive securities, which include stock options and redeemable convertible preferred stock,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December 31, 2019 and 2018, were excluded from the calculation of diluted net loss per share attributable to common stockholders for the periods indicated because including them would have had an anti-dilutive effect:</w:t>
      </w:r>
    </w:p>
    <w:p>
      <w:pPr>
        <w:spacing w:after="0" w:line="21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Shares as of</w:t>
      </w:r>
    </w:p>
    <w:p>
      <w:pPr>
        <w:jc w:val="center"/>
        <w:ind w:left="75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15,387,923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22,608,695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C redeemable convertible preferred stock</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38,097,672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1,675,226</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1,077,148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1,675,226</w:t>
            </w:r>
          </w:p>
        </w:tc>
        <w:tc>
          <w:tcPr>
            <w:tcW w:w="2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77,171,438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 release formulation such as nalbuphine ER, in all fields and for any use.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ind w:right="100" w:firstLine="589"/>
        <w:spacing w:after="0" w:line="273" w:lineRule="auto"/>
        <w:rPr>
          <w:sz w:val="20"/>
          <w:szCs w:val="20"/>
          <w:color w:val="auto"/>
        </w:rPr>
      </w:pPr>
      <w:r>
        <w:rPr>
          <w:rFonts w:ascii="Arial" w:cs="Arial" w:eastAsia="Arial" w:hAnsi="Arial"/>
          <w:sz w:val="17"/>
          <w:szCs w:val="17"/>
          <w:color w:val="auto"/>
        </w:rPr>
        <w:t>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17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188"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184"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19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On November 6,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149"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5" w:name="page146"/>
    <w:bookmarkEnd w:id="145"/>
    <w:p>
      <w:pPr>
        <w:ind w:right="40" w:firstLine="589"/>
        <w:spacing w:after="0" w:line="273" w:lineRule="auto"/>
        <w:rPr>
          <w:sz w:val="20"/>
          <w:szCs w:val="20"/>
          <w:color w:val="auto"/>
        </w:rPr>
      </w:pPr>
      <w:r>
        <w:rPr>
          <w:rFonts w:ascii="Arial" w:cs="Arial" w:eastAsia="Arial" w:hAnsi="Arial"/>
          <w:sz w:val="17"/>
          <w:szCs w:val="17"/>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Restructuring Agreement with MentiNova, LLC</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On November 6, 2018, concurrent with the signing of the agreement with Rutgers described above, the Company entered into a restructuring agreement with MentiNova, LLC (“MentiNova”) for the purchase of specified information and know-how, specified contractual rights and benefits, and all books and records of MentiNova related thereto (collectively, the “Acquired Assets”).</w:t>
      </w:r>
    </w:p>
    <w:p>
      <w:pPr>
        <w:spacing w:after="0" w:line="184"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$1,188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282"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160" w:firstLine="589"/>
        <w:spacing w:after="0" w:line="311"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clinical research organizations,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also has commitments under lease and licensing agreements (Note 4 and Note 13).</w:t>
      </w:r>
    </w:p>
    <w:p>
      <w:pPr>
        <w:spacing w:after="0" w:line="329" w:lineRule="exact"/>
        <w:rPr>
          <w:sz w:val="20"/>
          <w:szCs w:val="20"/>
          <w:color w:val="auto"/>
        </w:rPr>
      </w:pPr>
    </w:p>
    <w:p>
      <w:pPr>
        <w:ind w:left="600" w:right="7360" w:hanging="592"/>
        <w:spacing w:after="0" w:line="378" w:lineRule="auto"/>
        <w:tabs>
          <w:tab w:leader="none" w:pos="59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 Other Employee Benefits </w:t>
      </w:r>
      <w:r>
        <w:rPr>
          <w:rFonts w:ascii="Arial" w:cs="Arial" w:eastAsia="Arial" w:hAnsi="Arial"/>
          <w:sz w:val="18"/>
          <w:szCs w:val="18"/>
          <w:b w:val="1"/>
          <w:bCs w:val="1"/>
          <w:i w:val="1"/>
          <w:iCs w:val="1"/>
          <w:color w:val="auto"/>
        </w:rPr>
        <w:t>Savings Plan</w:t>
      </w:r>
    </w:p>
    <w:p>
      <w:pPr>
        <w:ind w:firstLine="589"/>
        <w:spacing w:after="0" w:line="291" w:lineRule="auto"/>
        <w:rPr>
          <w:sz w:val="20"/>
          <w:szCs w:val="20"/>
          <w:color w:val="auto"/>
        </w:rPr>
      </w:pPr>
      <w:r>
        <w:rPr>
          <w:rFonts w:ascii="Arial" w:cs="Arial" w:eastAsia="Arial" w:hAnsi="Arial"/>
          <w:sz w:val="16"/>
          <w:szCs w:val="16"/>
          <w:color w:val="auto"/>
        </w:rPr>
        <w:t>In March 2013, the Company adopted and became a participating employer of a multiple employer defined contribution retirement plan that complies with Section 401(k) of the Code. All eligible employees of the Company immediately participate in the plan (with an entry date of the first day of any month), with no minimum service requirement. The 401(k) plan provides that the Company make non-discretionary matching contributions of 50% of the first 6% of elective contributions. Participants are immediately vested in their contributions, as well as any earnings thereon. Vesting in the employer match contribution portion of their accounts, as well as any earnings thereon, is based on years of credited service, vesting over a four-year period, with 25% vesting per completed year. The Company’s expense under the 401(k) plan, representing its employer matching contributions and additional contributions in accordance with regulatory compliance requirements, totaled $111 and $38 in the years ended December 31, 2019 and 2018, respectively.</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Health Care and Life Insurance Benefits</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Company offers health care and life insurance benefits to all eligible and active employees. Costs incurred for these benefits totaled $289 and $305 during the years ended December 31, 2019 and 2018, respectively.</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80"/>
          </w:cols>
          <w:pgMar w:left="320" w:top="557" w:right="399" w:bottom="1440" w:gutter="0" w:footer="0" w:header="0"/>
        </w:sectPr>
      </w:pPr>
    </w:p>
    <w:bookmarkStart w:id="146" w:name="page147"/>
    <w:bookmarkEnd w:id="146"/>
    <w:p>
      <w:pPr>
        <w:ind w:left="10400"/>
        <w:spacing w:after="0"/>
        <w:rPr>
          <w:sz w:val="20"/>
          <w:szCs w:val="20"/>
          <w:color w:val="auto"/>
        </w:rPr>
      </w:pPr>
      <w:r>
        <w:rPr>
          <w:rFonts w:ascii="Arial" w:cs="Arial" w:eastAsia="Arial" w:hAnsi="Arial"/>
          <w:sz w:val="16"/>
          <w:szCs w:val="16"/>
          <w:b w:val="1"/>
          <w:bCs w:val="1"/>
          <w:color w:val="auto"/>
        </w:rPr>
        <w:t>Exhibit 4.2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70" w:lineRule="exact"/>
        <w:rPr>
          <w:sz w:val="20"/>
          <w:szCs w:val="20"/>
          <w:color w:val="auto"/>
        </w:rPr>
      </w:pPr>
    </w:p>
    <w:p>
      <w:pPr>
        <w:ind w:right="600" w:firstLine="610"/>
        <w:spacing w:after="0" w:line="293" w:lineRule="auto"/>
        <w:rPr>
          <w:sz w:val="20"/>
          <w:szCs w:val="20"/>
          <w:color w:val="auto"/>
        </w:rPr>
      </w:pPr>
      <w:r>
        <w:rPr>
          <w:rFonts w:ascii="Arial" w:cs="Arial" w:eastAsia="Arial" w:hAnsi="Arial"/>
          <w:sz w:val="16"/>
          <w:szCs w:val="16"/>
          <w:color w:val="auto"/>
        </w:rPr>
        <w:t>As of December 31, 2019, Trevi Therapeutics, Inc. (“we”, “us” or the “Company”) had one class of securities registered under Section 12 of the Securities Exchange Act of 1934, as amended (the “Exchange Act”): our common stock, $0.001 par value per share.</w:t>
      </w:r>
    </w:p>
    <w:p>
      <w:pPr>
        <w:spacing w:after="0" w:line="172" w:lineRule="exact"/>
        <w:rPr>
          <w:sz w:val="20"/>
          <w:szCs w:val="20"/>
          <w:color w:val="auto"/>
        </w:rPr>
      </w:pPr>
    </w:p>
    <w:p>
      <w:pPr>
        <w:ind w:right="60" w:firstLine="610"/>
        <w:spacing w:after="0" w:line="297" w:lineRule="auto"/>
        <w:rPr>
          <w:sz w:val="20"/>
          <w:szCs w:val="20"/>
          <w:color w:val="auto"/>
        </w:rPr>
      </w:pPr>
      <w:r>
        <w:rPr>
          <w:rFonts w:ascii="Arial" w:cs="Arial" w:eastAsia="Arial" w:hAnsi="Arial"/>
          <w:sz w:val="15"/>
          <w:szCs w:val="15"/>
          <w:color w:val="auto"/>
        </w:rPr>
        <w:t>The following description of our capital stock is intended as a summary only and therefore is not a complete description of our capital stock. This description is based upon, and is qualified by reference to, our our certificate of incorporation, which we refer to as our Certificate of Incorporation; our by-laws, which we refer to as our “By-laws”; and applicable provisions of the Delaware General Corporation Law, or the “DGCL”. You should read our Certificate of Incorporation and our By-laws, which are filed as an exhibit to the Annual Report on Form 10-K of which this exhibit is a part, for the provisions that are important to you.</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 Stock</w:t>
      </w:r>
    </w:p>
    <w:p>
      <w:pPr>
        <w:spacing w:after="0" w:line="131" w:lineRule="exact"/>
        <w:rPr>
          <w:sz w:val="20"/>
          <w:szCs w:val="20"/>
          <w:color w:val="auto"/>
        </w:rPr>
      </w:pPr>
    </w:p>
    <w:p>
      <w:pPr>
        <w:ind w:firstLine="610"/>
        <w:spacing w:after="0" w:line="293" w:lineRule="auto"/>
        <w:rPr>
          <w:sz w:val="20"/>
          <w:szCs w:val="20"/>
          <w:color w:val="auto"/>
        </w:rPr>
      </w:pPr>
      <w:r>
        <w:rPr>
          <w:rFonts w:ascii="Arial" w:cs="Arial" w:eastAsia="Arial" w:hAnsi="Arial"/>
          <w:sz w:val="16"/>
          <w:szCs w:val="16"/>
          <w:color w:val="auto"/>
        </w:rPr>
        <w:t>Our authorized capital stock consists of 200,000,000 shares of common stock, par value $0.001 per share, and 5,000,000 shares of preferred stock, par value $0.001 per share. Our common stock is registered under Section 12(b) of the Exchange Act.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31" w:lineRule="exact"/>
        <w:rPr>
          <w:sz w:val="20"/>
          <w:szCs w:val="20"/>
          <w:color w:val="auto"/>
        </w:rPr>
      </w:pPr>
    </w:p>
    <w:p>
      <w:pPr>
        <w:ind w:right="180" w:firstLine="610"/>
        <w:spacing w:after="0" w:line="273"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convertible preferred stock.</w:t>
      </w:r>
    </w:p>
    <w:p>
      <w:pPr>
        <w:spacing w:after="0" w:line="189" w:lineRule="exact"/>
        <w:rPr>
          <w:sz w:val="20"/>
          <w:szCs w:val="20"/>
          <w:color w:val="auto"/>
        </w:rPr>
      </w:pPr>
    </w:p>
    <w:p>
      <w:pPr>
        <w:ind w:right="140" w:firstLine="610"/>
        <w:spacing w:after="0" w:line="297" w:lineRule="auto"/>
        <w:rPr>
          <w:sz w:val="20"/>
          <w:szCs w:val="20"/>
          <w:color w:val="auto"/>
        </w:rPr>
      </w:pPr>
      <w:r>
        <w:rPr>
          <w:rFonts w:ascii="Arial" w:cs="Arial" w:eastAsia="Arial" w:hAnsi="Arial"/>
          <w:sz w:val="15"/>
          <w:szCs w:val="15"/>
          <w:color w:val="auto"/>
        </w:rPr>
        <w:t>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convertible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convertible preferred stock that we may designate and issue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31" w:lineRule="exact"/>
        <w:rPr>
          <w:sz w:val="20"/>
          <w:szCs w:val="20"/>
          <w:color w:val="auto"/>
        </w:rPr>
      </w:pPr>
    </w:p>
    <w:p>
      <w:pPr>
        <w:jc w:val="both"/>
        <w:ind w:right="20" w:firstLine="610"/>
        <w:spacing w:after="0" w:line="278" w:lineRule="auto"/>
        <w:rPr>
          <w:sz w:val="20"/>
          <w:szCs w:val="20"/>
          <w:color w:val="auto"/>
        </w:rPr>
      </w:pPr>
      <w:r>
        <w:rPr>
          <w:rFonts w:ascii="Arial" w:cs="Arial" w:eastAsia="Arial" w:hAnsi="Arial"/>
          <w:sz w:val="16"/>
          <w:szCs w:val="16"/>
          <w:color w:val="auto"/>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4" w:lineRule="exact"/>
        <w:rPr>
          <w:sz w:val="20"/>
          <w:szCs w:val="20"/>
          <w:color w:val="auto"/>
        </w:rPr>
      </w:pPr>
    </w:p>
    <w:p>
      <w:pPr>
        <w:ind w:right="120" w:firstLine="610"/>
        <w:spacing w:after="0" w:line="297" w:lineRule="auto"/>
        <w:rPr>
          <w:sz w:val="20"/>
          <w:szCs w:val="20"/>
          <w:color w:val="auto"/>
        </w:rPr>
      </w:pPr>
      <w:r>
        <w:rPr>
          <w:rFonts w:ascii="Arial" w:cs="Arial" w:eastAsia="Arial" w:hAnsi="Arial"/>
          <w:sz w:val="15"/>
          <w:szCs w:val="15"/>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currently outstanding, and we have no present plans to issue any shares of preferred stock.</w:t>
      </w:r>
    </w:p>
    <w:p>
      <w:pPr>
        <w:spacing w:after="0" w:line="168" w:lineRule="exact"/>
        <w:rPr>
          <w:sz w:val="20"/>
          <w:szCs w:val="20"/>
          <w:color w:val="auto"/>
        </w:rPr>
      </w:pPr>
    </w:p>
    <w:p>
      <w:pPr>
        <w:ind w:right="3180"/>
        <w:spacing w:after="0" w:line="407" w:lineRule="auto"/>
        <w:rPr>
          <w:sz w:val="20"/>
          <w:szCs w:val="20"/>
          <w:color w:val="auto"/>
        </w:rPr>
      </w:pPr>
      <w:r>
        <w:rPr>
          <w:rFonts w:ascii="Arial" w:cs="Arial" w:eastAsia="Arial" w:hAnsi="Arial"/>
          <w:sz w:val="16"/>
          <w:szCs w:val="16"/>
          <w:b w:val="1"/>
          <w:bCs w:val="1"/>
          <w:color w:val="auto"/>
        </w:rPr>
        <w:t xml:space="preserve">Provisions of Our Certificate of Incorporation and Bylaws and Delaware Law That May Have Anti-Takeover Effects </w:t>
      </w:r>
      <w:r>
        <w:rPr>
          <w:rFonts w:ascii="Arial" w:cs="Arial" w:eastAsia="Arial" w:hAnsi="Arial"/>
          <w:sz w:val="16"/>
          <w:szCs w:val="16"/>
          <w:b w:val="1"/>
          <w:bCs w:val="1"/>
          <w:i w:val="1"/>
          <w:iCs w:val="1"/>
          <w:color w:val="auto"/>
        </w:rPr>
        <w:t>Delaware Law</w:t>
      </w:r>
    </w:p>
    <w:p>
      <w:pPr>
        <w:spacing w:after="0" w:line="1" w:lineRule="exact"/>
        <w:rPr>
          <w:sz w:val="20"/>
          <w:szCs w:val="20"/>
          <w:color w:val="auto"/>
        </w:rPr>
      </w:pPr>
    </w:p>
    <w:p>
      <w:pPr>
        <w:ind w:right="40" w:firstLine="610"/>
        <w:spacing w:after="0" w:line="269"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i w:val="1"/>
          <w:iCs w:val="1"/>
          <w:color w:val="auto"/>
        </w:rPr>
        <w:t>Exclusive Forum Selection</w:t>
      </w:r>
    </w:p>
    <w:p>
      <w:pPr>
        <w:spacing w:after="0" w:line="127" w:lineRule="exact"/>
        <w:rPr>
          <w:sz w:val="20"/>
          <w:szCs w:val="20"/>
          <w:color w:val="auto"/>
        </w:rPr>
      </w:pPr>
    </w:p>
    <w:p>
      <w:pPr>
        <w:ind w:firstLine="610"/>
        <w:spacing w:after="0" w:line="286" w:lineRule="auto"/>
        <w:rPr>
          <w:sz w:val="20"/>
          <w:szCs w:val="20"/>
          <w:color w:val="auto"/>
        </w:rPr>
      </w:pPr>
      <w:r>
        <w:rPr>
          <w:rFonts w:ascii="Arial" w:cs="Arial" w:eastAsia="Arial" w:hAnsi="Arial"/>
          <w:sz w:val="15"/>
          <w:szCs w:val="15"/>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behalf of our company,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 Although our certificate of incorporation contains the choice of forum provisions described above, it is possible that a court could rule that such provisions are inapplicable for a particular claim or action or that such provisions are unenforceable.</w:t>
      </w:r>
    </w:p>
    <w:p>
      <w:pPr>
        <w:sectPr>
          <w:pgSz w:w="11900" w:h="16838" w:orient="portrait"/>
          <w:cols w:equalWidth="0" w:num="1">
            <w:col w:w="11200"/>
          </w:cols>
          <w:pgMar w:left="320" w:top="562" w:right="37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660" w:firstLine="589"/>
        <w:spacing w:after="0" w:line="282"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between Trevi Therapeutics,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(the “Company”) and </w:t>
      </w:r>
      <w:r>
        <w:rPr>
          <w:rFonts w:ascii="Arial" w:cs="Arial" w:eastAsia="Arial" w:hAnsi="Arial"/>
          <w:sz w:val="18"/>
          <w:szCs w:val="18"/>
          <w:b w:val="1"/>
          <w:bCs w:val="1"/>
          <w:color w:val="auto"/>
        </w:rPr>
        <w:t>Thomas R. Sciascia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Executive</w:t>
      </w:r>
      <w:r>
        <w:rPr>
          <w:rFonts w:ascii="Arial" w:cs="Arial" w:eastAsia="Arial" w:hAnsi="Arial"/>
          <w:sz w:val="18"/>
          <w:szCs w:val="18"/>
          <w:color w:val="auto"/>
        </w:rPr>
        <w:t>”) as of this 4th day of December, 2012.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5" w:lineRule="exact"/>
        <w:rPr>
          <w:sz w:val="20"/>
          <w:szCs w:val="20"/>
          <w:color w:val="auto"/>
        </w:rPr>
      </w:pPr>
    </w:p>
    <w:p>
      <w:pPr>
        <w:ind w:right="100" w:firstLine="58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desire to enter into an employment relationship pursuant to the terms and conditions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right="240" w:firstLine="589"/>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of the mutual promises contained herein and of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hereto agree as follows:</w:t>
      </w:r>
    </w:p>
    <w:p>
      <w:pPr>
        <w:spacing w:after="0" w:line="54" w:lineRule="exact"/>
        <w:rPr>
          <w:sz w:val="20"/>
          <w:szCs w:val="20"/>
          <w:color w:val="auto"/>
        </w:rPr>
      </w:pPr>
    </w:p>
    <w:p>
      <w:pPr>
        <w:ind w:right="20" w:firstLine="597"/>
        <w:spacing w:after="0" w:line="294" w:lineRule="auto"/>
        <w:tabs>
          <w:tab w:leader="none" w:pos="768"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POSITION/DUTIES</w:t>
      </w:r>
      <w:r>
        <w:rPr>
          <w:rFonts w:ascii="Arial" w:cs="Arial" w:eastAsia="Arial" w:hAnsi="Arial"/>
          <w:sz w:val="16"/>
          <w:szCs w:val="16"/>
          <w:color w:val="auto"/>
        </w:rPr>
        <w:t>. The terms of this Agreement shall govern the Executive’s employment with the Company as Chief Medical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December 4th, 2012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In this position, the Executive shall report to the Company’s Chief Executive Officer (the “</w:t>
      </w:r>
      <w:r>
        <w:rPr>
          <w:rFonts w:ascii="Arial" w:cs="Arial" w:eastAsia="Arial" w:hAnsi="Arial"/>
          <w:sz w:val="16"/>
          <w:szCs w:val="16"/>
          <w:u w:val="single" w:color="auto"/>
          <w:color w:val="auto"/>
        </w:rPr>
        <w:t>CEO</w:t>
      </w:r>
      <w:r>
        <w:rPr>
          <w:rFonts w:ascii="Arial" w:cs="Arial" w:eastAsia="Arial" w:hAnsi="Arial"/>
          <w:sz w:val="16"/>
          <w:szCs w:val="16"/>
          <w:color w:val="auto"/>
        </w:rPr>
        <w:t>”) and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and shall have such duties, authorities and responsibilities as are customary with his position (subject to the control of the Company’s CEO and the Board). The Executive agrees to devote his full business time, best efforts, skill, knowledge, attention, and energies to the advancement of the Company’s business and interests and to the performance of his duties and responsibilities as an employee of the Company. Notwithstanding the foregoing, the Company agrees that the Executive may serve on such boards of directors as the Board may agree.</w:t>
      </w:r>
    </w:p>
    <w:p>
      <w:pPr>
        <w:spacing w:after="0" w:line="51" w:lineRule="exact"/>
        <w:rPr>
          <w:rFonts w:ascii="Arial" w:cs="Arial" w:eastAsia="Arial" w:hAnsi="Arial"/>
          <w:sz w:val="16"/>
          <w:szCs w:val="16"/>
          <w:color w:val="auto"/>
        </w:rPr>
      </w:pPr>
    </w:p>
    <w:p>
      <w:pPr>
        <w:ind w:right="20" w:firstLine="597"/>
        <w:spacing w:after="0" w:line="271" w:lineRule="auto"/>
        <w:tabs>
          <w:tab w:leader="none" w:pos="768"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SALARY AND BONUS</w:t>
      </w:r>
      <w:r>
        <w:rPr>
          <w:rFonts w:ascii="Arial" w:cs="Arial" w:eastAsia="Arial" w:hAnsi="Arial"/>
          <w:sz w:val="17"/>
          <w:szCs w:val="17"/>
          <w:color w:val="auto"/>
        </w:rPr>
        <w:t>. The Company agrees to pay the Executive a base salary at the rate of $25,000 per monthly pay period which if</w:t>
      </w:r>
      <w:r>
        <w:rPr>
          <w:rFonts w:ascii="Arial" w:cs="Arial" w:eastAsia="Arial" w:hAnsi="Arial"/>
          <w:sz w:val="17"/>
          <w:szCs w:val="17"/>
          <w:b w:val="1"/>
          <w:bCs w:val="1"/>
          <w:color w:val="auto"/>
        </w:rPr>
        <w:t xml:space="preserve"> </w:t>
      </w:r>
      <w:r>
        <w:rPr>
          <w:rFonts w:ascii="Arial" w:cs="Arial" w:eastAsia="Arial" w:hAnsi="Arial"/>
          <w:sz w:val="17"/>
          <w:szCs w:val="17"/>
          <w:color w:val="auto"/>
        </w:rPr>
        <w:t>annualized equals $300,000 (the “</w:t>
      </w:r>
      <w:r>
        <w:rPr>
          <w:rFonts w:ascii="Arial" w:cs="Arial" w:eastAsia="Arial" w:hAnsi="Arial"/>
          <w:sz w:val="17"/>
          <w:szCs w:val="17"/>
          <w:u w:val="single" w:color="auto"/>
          <w:color w:val="auto"/>
        </w:rPr>
        <w:t>Base Salary</w:t>
      </w:r>
      <w:r>
        <w:rPr>
          <w:rFonts w:ascii="Arial" w:cs="Arial" w:eastAsia="Arial" w:hAnsi="Arial"/>
          <w:sz w:val="17"/>
          <w:szCs w:val="17"/>
          <w:color w:val="auto"/>
        </w:rPr>
        <w:t>”), to be paid in accordance with the Company’s normal payroll procedure and policies. Such base salary may be adjusted from time to time in accordance with normal business practices and in the sole discretion of the Company. Following the end of each calendar year that the Executive is employed by the Company, commencing with the calendar year 2012, the Executive may be eligible to receive a discretionary performance bonus of up to thirty percent (30%) of his then current annual Base Salary. The bonus, if any, will be based on both individual and corporate performance goals and will be determined by the Board in its sole discretion. In order to be eligible for a bonus, if any, the Executive must be an active employee of the Company on the date such bonus is distributed. Any bonus payable to the Executive under this Agreement will be paid no later than March 15 of the calendar year following the calendar year in which such bonus is earned and approved by the Board. All compensation payable to the Executive pursuant to this Agreement shall be subject to applicable taxes and withholdings.</w:t>
      </w:r>
    </w:p>
    <w:p>
      <w:pPr>
        <w:spacing w:after="0" w:line="65" w:lineRule="exact"/>
        <w:rPr>
          <w:rFonts w:ascii="Arial" w:cs="Arial" w:eastAsia="Arial" w:hAnsi="Arial"/>
          <w:sz w:val="17"/>
          <w:szCs w:val="17"/>
          <w:color w:val="auto"/>
        </w:rPr>
      </w:pPr>
    </w:p>
    <w:p>
      <w:pPr>
        <w:ind w:left="780" w:hanging="183"/>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BENEFITS/PERQUISITES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1183"/>
        <w:spacing w:after="0" w:line="261" w:lineRule="auto"/>
        <w:tabs>
          <w:tab w:leader="none" w:pos="1419"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Benefit Plans</w:t>
      </w:r>
      <w:r>
        <w:rPr>
          <w:rFonts w:ascii="Arial" w:cs="Arial" w:eastAsia="Arial" w:hAnsi="Arial"/>
          <w:sz w:val="18"/>
          <w:szCs w:val="18"/>
          <w:color w:val="auto"/>
        </w:rPr>
        <w:t>. The Executive may participate in all benefit programs that the Company establishes and makes available to 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provided that the Executive is eligible under, and subject to the provisions of the plan documents governing those programs. The benefits made available by the Company, and the rules, terms, and conditions for participation in such benefit plans, may be changed by the Company at any time and from time to time without advance notice.</w:t>
      </w:r>
    </w:p>
    <w:p>
      <w:pPr>
        <w:spacing w:after="0" w:line="71" w:lineRule="exact"/>
        <w:rPr>
          <w:rFonts w:ascii="Arial" w:cs="Arial" w:eastAsia="Arial" w:hAnsi="Arial"/>
          <w:sz w:val="18"/>
          <w:szCs w:val="18"/>
          <w:color w:val="auto"/>
        </w:rPr>
      </w:pPr>
    </w:p>
    <w:p>
      <w:pPr>
        <w:jc w:val="both"/>
        <w:ind w:right="360" w:firstLine="1183"/>
        <w:spacing w:after="0" w:line="266" w:lineRule="auto"/>
        <w:tabs>
          <w:tab w:leader="none" w:pos="1429"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Vacation and Sick Leave</w:t>
      </w:r>
      <w:r>
        <w:rPr>
          <w:rFonts w:ascii="Arial" w:cs="Arial" w:eastAsia="Arial" w:hAnsi="Arial"/>
          <w:sz w:val="18"/>
          <w:szCs w:val="18"/>
          <w:color w:val="auto"/>
        </w:rPr>
        <w:t>. The Executive shall be eligible for four weeks of paid vacation per calendar year (as prorated for partial</w:t>
      </w:r>
      <w:r>
        <w:rPr>
          <w:rFonts w:ascii="Arial" w:cs="Arial" w:eastAsia="Arial" w:hAnsi="Arial"/>
          <w:sz w:val="18"/>
          <w:szCs w:val="18"/>
          <w:b w:val="1"/>
          <w:bCs w:val="1"/>
          <w:color w:val="auto"/>
        </w:rPr>
        <w:t xml:space="preserve"> </w:t>
      </w:r>
      <w:r>
        <w:rPr>
          <w:rFonts w:ascii="Arial" w:cs="Arial" w:eastAsia="Arial" w:hAnsi="Arial"/>
          <w:sz w:val="18"/>
          <w:szCs w:val="18"/>
          <w:color w:val="auto"/>
        </w:rPr>
        <w:t>years). The Executive shall also be entitled to sick leave and all Company holidays as determined by the Board, on the same terms as similarly situated senior executives of the Company.</w:t>
      </w:r>
    </w:p>
    <w:p>
      <w:pPr>
        <w:spacing w:after="0" w:line="67" w:lineRule="exact"/>
        <w:rPr>
          <w:rFonts w:ascii="Arial" w:cs="Arial" w:eastAsia="Arial" w:hAnsi="Arial"/>
          <w:sz w:val="18"/>
          <w:szCs w:val="18"/>
          <w:color w:val="auto"/>
        </w:rPr>
      </w:pPr>
    </w:p>
    <w:p>
      <w:pPr>
        <w:ind w:right="300" w:firstLine="1183"/>
        <w:spacing w:after="0" w:line="261" w:lineRule="auto"/>
        <w:tabs>
          <w:tab w:leader="none" w:pos="1419"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Upon presentation of appropriate documentation, the Executive shall be reimbursed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expense reimbursement policy for all reasonable and necessary business expenses incurred in connection with the performance of his duties hereunder. Such business expenses shall include the Executive’s reasonable hotel and travel costs associated with his commute to, and performance of services at, the Company’s principal corporate offices in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9" w:name="page150"/>
    <w:bookmarkEnd w:id="149"/>
    <w:p>
      <w:pPr>
        <w:ind w:left="-8" w:right="160" w:firstLine="597"/>
        <w:spacing w:after="0" w:line="266" w:lineRule="auto"/>
        <w:tabs>
          <w:tab w:leader="none" w:pos="760"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color w:val="auto"/>
        </w:rPr>
        <w:t>. It is understood that the Executive’s employment by the Company shall be on an “at will” basis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at the Executive’s option or the option of the Company, as the case may be, at any time, for any reason and with or without cause, on the terms and subject to the conditions set forth in this Agreement.</w:t>
      </w:r>
    </w:p>
    <w:p>
      <w:pPr>
        <w:spacing w:after="0" w:line="67" w:lineRule="exact"/>
        <w:rPr>
          <w:rFonts w:ascii="Arial" w:cs="Arial" w:eastAsia="Arial" w:hAnsi="Arial"/>
          <w:sz w:val="18"/>
          <w:szCs w:val="18"/>
          <w:color w:val="auto"/>
        </w:rPr>
      </w:pPr>
    </w:p>
    <w:p>
      <w:pPr>
        <w:ind w:left="772" w:hanging="183"/>
        <w:spacing w:after="0"/>
        <w:tabs>
          <w:tab w:leader="none" w:pos="772"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AND SEVERANCE BENEFITS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firstLine="1183"/>
        <w:spacing w:after="0" w:line="270" w:lineRule="auto"/>
        <w:tabs>
          <w:tab w:leader="none" w:pos="1411" w:val="left"/>
        </w:tabs>
        <w:numPr>
          <w:ilvl w:val="2"/>
          <w:numId w:val="72"/>
        </w:numPr>
        <w:rPr>
          <w:rFonts w:ascii="Arial" w:cs="Arial" w:eastAsia="Arial" w:hAnsi="Arial"/>
          <w:sz w:val="17"/>
          <w:szCs w:val="17"/>
          <w:color w:val="auto"/>
        </w:rPr>
      </w:pPr>
      <w:r>
        <w:rPr>
          <w:rFonts w:ascii="Arial" w:cs="Arial" w:eastAsia="Arial" w:hAnsi="Arial"/>
          <w:sz w:val="17"/>
          <w:szCs w:val="17"/>
          <w:b w:val="1"/>
          <w:bCs w:val="1"/>
          <w:color w:val="auto"/>
        </w:rPr>
        <w:t>Termination for Cause, by Reason of Death or Disability, or Resignation Other Than for Good Reason</w:t>
      </w:r>
      <w:r>
        <w:rPr>
          <w:rFonts w:ascii="Arial" w:cs="Arial" w:eastAsia="Arial" w:hAnsi="Arial"/>
          <w:sz w:val="17"/>
          <w:szCs w:val="17"/>
          <w:color w:val="auto"/>
        </w:rPr>
        <w:t>. If the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is terminated by the Company for “Cause,” as defined below, or by reason of his death or “Disability,” as defined below, or if the Executive resigns other than for “Good Reason,” as defined below, the Company shall pay or provide to the Executive (or to the Executive’s estate or representative) upon such termination or resignation only (i) any accrued but unpaid Base Salary and any vacation time accrued but unused through the date of termination of employment or resignation; (ii) any bonus amount not yet paid that was earned during the calendar year preceding the date of termination of employment or resignation; (iii) reimbursement for any unreimbursed expenses properly incurred and documented through the date of termination of employment or resignation; and (iv) all other payments or benefits to which the Executive may be entitled through the date of his termination of employment or resignation under the terms of any applicable compensation arrangement or plan or by law ((i) to (iv) collectively referred to as the “</w:t>
      </w:r>
      <w:r>
        <w:rPr>
          <w:rFonts w:ascii="Arial" w:cs="Arial" w:eastAsia="Arial" w:hAnsi="Arial"/>
          <w:sz w:val="17"/>
          <w:szCs w:val="17"/>
          <w:u w:val="single" w:color="auto"/>
          <w:color w:val="auto"/>
        </w:rPr>
        <w:t>Accrued Benefits</w:t>
      </w:r>
      <w:r>
        <w:rPr>
          <w:rFonts w:ascii="Arial" w:cs="Arial" w:eastAsia="Arial" w:hAnsi="Arial"/>
          <w:sz w:val="17"/>
          <w:szCs w:val="17"/>
          <w:color w:val="auto"/>
        </w:rPr>
        <w:t>”). Other than the Accrued Benefits, the Executive will not be eligible to receive any severance or any other payments or benefits from the Company following the date of termination of employment or resignation.</w:t>
      </w:r>
    </w:p>
    <w:p>
      <w:pPr>
        <w:spacing w:after="0" w:line="68" w:lineRule="exact"/>
        <w:rPr>
          <w:rFonts w:ascii="Arial" w:cs="Arial" w:eastAsia="Arial" w:hAnsi="Arial"/>
          <w:sz w:val="17"/>
          <w:szCs w:val="17"/>
          <w:color w:val="auto"/>
        </w:rPr>
      </w:pPr>
    </w:p>
    <w:p>
      <w:pPr>
        <w:ind w:left="-8" w:right="60" w:firstLine="1183"/>
        <w:spacing w:after="0" w:line="289" w:lineRule="auto"/>
        <w:tabs>
          <w:tab w:leader="none" w:pos="1421" w:val="left"/>
        </w:tabs>
        <w:numPr>
          <w:ilvl w:val="2"/>
          <w:numId w:val="72"/>
        </w:numPr>
        <w:rPr>
          <w:rFonts w:ascii="Arial" w:cs="Arial" w:eastAsia="Arial" w:hAnsi="Arial"/>
          <w:sz w:val="16"/>
          <w:szCs w:val="16"/>
          <w:color w:val="auto"/>
        </w:rPr>
      </w:pPr>
      <w:r>
        <w:rPr>
          <w:rFonts w:ascii="Arial" w:cs="Arial" w:eastAsia="Arial" w:hAnsi="Arial"/>
          <w:sz w:val="16"/>
          <w:szCs w:val="16"/>
          <w:b w:val="1"/>
          <w:bCs w:val="1"/>
          <w:color w:val="auto"/>
        </w:rPr>
        <w:t>Termination by Company Without Cause or by Executive For Good Reason</w:t>
      </w:r>
      <w:r>
        <w:rPr>
          <w:rFonts w:ascii="Arial" w:cs="Arial" w:eastAsia="Arial" w:hAnsi="Arial"/>
          <w:sz w:val="16"/>
          <w:szCs w:val="16"/>
          <w:color w:val="auto"/>
        </w:rPr>
        <w:t>. Subject to Section 5(c) below, if the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is terminated by the Company without “Cause,” as defined below, or if the Executive resigns for “Good Reason,” as defined below, then, in exchange for and subject to the Executive’s execution and non-revocation of a separation agreement and release of claims in accordance with Section 5(d) below, (a) the Executive will receive as severance pay an amount equal to twelve months of the Executive’s then-current base salary (subject to all applicable federal, state and local taxes and withholdings, and payable in accordance with the Company’s regular payroll practices) and (b) during such twelve-month severance period, the Company will provide the Executive with medical and dental insurance benefits to the extent the Executive was receiving such benefits prior to such termination and to the extent that the Company is able to provide the Executive with such benefits at a cost to the Company that is not in excess of the cost that the Company was paying for such benefits for the Executive prior to such termination; provided, however, that if the Executive become employed prior to the end of the twelve-month severance period and is eligible to receive medical or dental insurance benefits from the Executive’s new employer, then the Company shall no longer be required to provide the Executive with such benefits;</w:t>
      </w:r>
    </w:p>
    <w:p>
      <w:pPr>
        <w:spacing w:after="0" w:line="52" w:lineRule="exact"/>
        <w:rPr>
          <w:rFonts w:ascii="Arial" w:cs="Arial" w:eastAsia="Arial" w:hAnsi="Arial"/>
          <w:sz w:val="16"/>
          <w:szCs w:val="16"/>
          <w:color w:val="auto"/>
        </w:rPr>
      </w:pPr>
    </w:p>
    <w:p>
      <w:pPr>
        <w:ind w:left="-8" w:right="20" w:firstLine="1183"/>
        <w:spacing w:after="0" w:line="287" w:lineRule="auto"/>
        <w:tabs>
          <w:tab w:leader="none" w:pos="1411" w:val="left"/>
        </w:tabs>
        <w:numPr>
          <w:ilvl w:val="2"/>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Termination Following a Change in Control. </w:t>
      </w:r>
      <w:r>
        <w:rPr>
          <w:rFonts w:ascii="Arial" w:cs="Arial" w:eastAsia="Arial" w:hAnsi="Arial"/>
          <w:sz w:val="16"/>
          <w:szCs w:val="16"/>
          <w:color w:val="auto"/>
        </w:rPr>
        <w:t>If the Executive’s employment is terminated by the Company without “Cause,”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below or if the Executive resigns, whether for “Good Reason” as defined below, or for other than Good Reason, in either case in connection with or within 12 months after a Change In Control, as defined below, then in exchange for and subject to the Executive’s execution and non-revocation of a separation agreement and release of claims in accordance with Section 5(d) below, then, in lieu of the severance and benefits contemplated in Section 5(b),</w:t>
      </w:r>
    </w:p>
    <w:p>
      <w:pPr>
        <w:spacing w:after="0" w:line="2" w:lineRule="exact"/>
        <w:rPr>
          <w:rFonts w:ascii="Arial" w:cs="Arial" w:eastAsia="Arial" w:hAnsi="Arial"/>
          <w:sz w:val="16"/>
          <w:szCs w:val="16"/>
          <w:color w:val="auto"/>
        </w:rPr>
      </w:pPr>
    </w:p>
    <w:p>
      <w:pPr>
        <w:ind w:left="-8" w:right="100" w:firstLine="8"/>
        <w:spacing w:after="0" w:line="268" w:lineRule="auto"/>
        <w:tabs>
          <w:tab w:leader="none" w:pos="237"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Executive will receive as severance pay an amount equal to twelve months of the Executive’s then-current base salary (subject to all applicable federal, state and local taxes and withholdings, and payable in a lump sum) and (b) during a twelve-month severance period commencing at the time set forth in Section 5(d) to the extent necessary to comply with Section 409A of the Internal Revenue Code, the Company will provide the Executive with medical and dental insurance benefits to the extent the Executive was receiving such benefits prior to such termination and to the extent that the Company is able to provide the Executive with such benefits at a cost to the Company that is not in excess of the cost that the Company was paying for such benefits for the Executive prior to such termination; provided, however, that if the Executive become employed prior to the end of the twelve-month severance period and is eligible to receive medical or dental insurance benefits from the Executive’s new employer, then the Company shall no longer be required to provide the Executive with such benefits; and</w:t>
      </w:r>
    </w:p>
    <w:p>
      <w:pPr>
        <w:spacing w:after="0" w:line="183" w:lineRule="exact"/>
        <w:rPr>
          <w:rFonts w:ascii="Arial" w:cs="Arial" w:eastAsia="Arial" w:hAnsi="Arial"/>
          <w:sz w:val="17"/>
          <w:szCs w:val="17"/>
          <w:color w:val="auto"/>
        </w:rPr>
      </w:pPr>
    </w:p>
    <w:p>
      <w:pPr>
        <w:ind w:left="5572" w:hanging="106"/>
        <w:spacing w:after="0"/>
        <w:tabs>
          <w:tab w:leader="none" w:pos="5572" w:val="left"/>
        </w:tabs>
        <w:numPr>
          <w:ilvl w:val="3"/>
          <w:numId w:val="7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445" w:right="339" w:bottom="1440" w:gutter="0" w:footer="0" w:header="0"/>
        </w:sectPr>
      </w:pPr>
    </w:p>
    <w:bookmarkStart w:id="150" w:name="page151"/>
    <w:bookmarkEnd w:id="150"/>
    <w:p>
      <w:pPr>
        <w:ind w:right="20" w:firstLine="1183"/>
        <w:spacing w:after="0" w:line="269" w:lineRule="auto"/>
        <w:tabs>
          <w:tab w:leader="none" w:pos="1429"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Conditions to Payment of Severance Benefits</w:t>
      </w:r>
      <w:r>
        <w:rPr>
          <w:rFonts w:ascii="Arial" w:cs="Arial" w:eastAsia="Arial" w:hAnsi="Arial"/>
          <w:sz w:val="17"/>
          <w:szCs w:val="17"/>
          <w:color w:val="auto"/>
        </w:rPr>
        <w:t>. As a condition of the Executive’s receipt of the severance and benefits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5(b) or 5(c) above (the “Severance Benefits”), the Executive must execute and return to the Company a separation agreement and release of claims provided by and satisfactory to the Company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and such Separation Agreement must become binding and enforceable within 60 calendar days after the termination of the Executive’s employment. The Separation Agreement shall contain, among other things, a general release of claims by the Executive and the agreement of the Executive not to disparage the Company. Payments will be made or commence in the first pay period beginning after the Separation Agreement becomes binding and enforceable, provided that if the foregoing 60 day period would end in a calendar year subsequent to the calendar year in which the Executive’s employment ends, payments will not be made or commence before the first payroll period of the subsequent year. The Executive further agrees that, on or prior to his termination or resignation date, the Company may convene an exit interview to review the status of accounts and matters for which the Executive has most recently been responsible to ensure that the Executive is fully entitled to the benefits which may be available under this Agreement and/or to confirm that the Executive clearly understands the nature and scope of all of his post-employment obligations.</w:t>
      </w:r>
    </w:p>
    <w:p>
      <w:pPr>
        <w:spacing w:after="0" w:line="78" w:lineRule="exact"/>
        <w:rPr>
          <w:sz w:val="20"/>
          <w:szCs w:val="20"/>
          <w:color w:val="auto"/>
        </w:rPr>
      </w:pPr>
    </w:p>
    <w:p>
      <w:pPr>
        <w:ind w:right="80" w:firstLine="1175"/>
        <w:spacing w:after="0" w:line="254" w:lineRule="auto"/>
        <w:rPr>
          <w:sz w:val="20"/>
          <w:szCs w:val="20"/>
          <w:color w:val="auto"/>
        </w:rPr>
      </w:pPr>
      <w:r>
        <w:rPr>
          <w:rFonts w:ascii="Arial" w:cs="Arial" w:eastAsia="Arial" w:hAnsi="Arial"/>
          <w:sz w:val="18"/>
          <w:szCs w:val="18"/>
          <w:color w:val="auto"/>
        </w:rPr>
        <w:t>In addition, as a condition of the Executive’s receipt of the Severance Benefits set forth in Section 5(b) or 5(c) above, the Executive agrees to (i) reasonably cooperate with the Company at its request in all matters relating to the winding up of his pending work on behalf of the Company and the orderly transfer of such work to other employees of the Company following any termination of employment, (ii) during the Severance Period, upon reasonable notice by the Company, make himself reasonably available to the Company on an as-needed basis in connection with the orderly transition of his duties without receiving any additional compensation other than the Severance Benefits, and (iii) reasonably cooperate in the resolution of any dispute (including, without limitation, litigation of any action) involving the Company that relates in any way to the Executive’s activities while employed by the Company. The Company shall reimburse the Executive for all reasonable out-of-pocket expenses incurred by the Executive in order to provide such cooperation.</w:t>
      </w:r>
    </w:p>
    <w:p>
      <w:pPr>
        <w:spacing w:after="0" w:line="80" w:lineRule="exact"/>
        <w:rPr>
          <w:sz w:val="20"/>
          <w:szCs w:val="20"/>
          <w:color w:val="auto"/>
        </w:rPr>
      </w:pPr>
    </w:p>
    <w:p>
      <w:pPr>
        <w:ind w:left="780" w:hanging="183"/>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the purpose of this Agreement, the following definitions shall apply:</w:t>
      </w:r>
    </w:p>
    <w:p>
      <w:pPr>
        <w:spacing w:after="0" w:line="121" w:lineRule="exact"/>
        <w:rPr>
          <w:rFonts w:ascii="Arial" w:cs="Arial" w:eastAsia="Arial" w:hAnsi="Arial"/>
          <w:sz w:val="18"/>
          <w:szCs w:val="18"/>
          <w:color w:val="auto"/>
        </w:rPr>
      </w:pPr>
    </w:p>
    <w:p>
      <w:pPr>
        <w:ind w:firstLine="1183"/>
        <w:spacing w:after="0" w:line="296" w:lineRule="auto"/>
        <w:tabs>
          <w:tab w:leader="none" w:pos="1419" w:val="left"/>
        </w:tabs>
        <w:numPr>
          <w:ilvl w:val="1"/>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the Executive’s conviction of, or plea of guilty or nolo contendere to, any felony (other than traffic-related offenses), (ii) the willful misconduct or gross negligence of the Executive with regard to the Company that the Board determines in good faith is, or is reasonably likely to be, materially injurious to the Company and its reputation, (iii) any incurable material breach by the Executive of this Agreement or the Invention Agreement or the Non-Competition Agreement (as such agreements are defined below), or (iv) the Executive’s violation of the Company’s published policies prohibiting unlawful harassment and discrimination or its published policy concerning drugs and alcohol, as in effect from time to time.</w:t>
      </w:r>
    </w:p>
    <w:p>
      <w:pPr>
        <w:spacing w:after="0" w:line="53" w:lineRule="exact"/>
        <w:rPr>
          <w:rFonts w:ascii="Arial" w:cs="Arial" w:eastAsia="Arial" w:hAnsi="Arial"/>
          <w:sz w:val="16"/>
          <w:szCs w:val="16"/>
          <w:color w:val="auto"/>
        </w:rPr>
      </w:pPr>
    </w:p>
    <w:p>
      <w:pPr>
        <w:ind w:right="40" w:firstLine="1183"/>
        <w:spacing w:after="0" w:line="269" w:lineRule="auto"/>
        <w:tabs>
          <w:tab w:leader="none" w:pos="1429" w:val="left"/>
        </w:tabs>
        <w:numPr>
          <w:ilvl w:val="1"/>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any of the following events provided that such event constitutes a “change in control event” within the meaning of Treasury Regulation 1.409A-3(i)(5)(i): the consummation of a merger, consolidation, reorganization, recapitalization or statutory share exchange involving the Company or a sale or other disposition of all or substantially all of the assets of the Company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unless, immediately following such Business Combination all or substantially all of the individuals and entities who were the beneficial owners of the then-outstanding securities of the Company entitled to vote generally in the election of directors immediately prior to such Business Combination beneficially own, directly or indirectly, more than 50% of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of the then-outstanding securities of the Company entitled to vote generally in the election of directors immediately prior to such Business Combination.</w:t>
      </w:r>
    </w:p>
    <w:p>
      <w:pPr>
        <w:spacing w:after="0" w:line="77" w:lineRule="exact"/>
        <w:rPr>
          <w:rFonts w:ascii="Arial" w:cs="Arial" w:eastAsia="Arial" w:hAnsi="Arial"/>
          <w:sz w:val="17"/>
          <w:szCs w:val="17"/>
          <w:color w:val="auto"/>
        </w:rPr>
      </w:pPr>
    </w:p>
    <w:p>
      <w:pPr>
        <w:ind w:right="380" w:firstLine="1183"/>
        <w:spacing w:after="0" w:line="257" w:lineRule="auto"/>
        <w:tabs>
          <w:tab w:leader="none" w:pos="1419"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any long-term disability or incapacity due to physical or mental illness that renders the Executive unable to substantially perform his duties for 90 consecutive days or 120 total days during any twelve (12) month period, provided that it may occur in a shorter period if, after its commencement, it is determined to be total and permanent by a physician selected by the Company and its insurers and such determination is acceptable to the Executive or to the Executive’s legal representative (with such agreement on acceptability not to be unreasonably withheld).</w:t>
      </w:r>
    </w:p>
    <w:p>
      <w:pPr>
        <w:spacing w:after="0" w:line="187" w:lineRule="exact"/>
        <w:rPr>
          <w:rFonts w:ascii="Arial" w:cs="Arial" w:eastAsia="Arial" w:hAnsi="Arial"/>
          <w:sz w:val="18"/>
          <w:szCs w:val="18"/>
          <w:color w:val="auto"/>
        </w:rPr>
      </w:pPr>
    </w:p>
    <w:p>
      <w:pPr>
        <w:ind w:left="5580" w:hanging="106"/>
        <w:spacing w:after="0"/>
        <w:tabs>
          <w:tab w:leader="none" w:pos="55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1" w:name="page152"/>
    <w:bookmarkEnd w:id="151"/>
    <w:p>
      <w:pPr>
        <w:ind w:left="1440" w:hanging="257"/>
        <w:spacing w:after="0"/>
        <w:tabs>
          <w:tab w:leader="none" w:pos="1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of any of the following events without Executive’s prior written consent:</w:t>
      </w:r>
    </w:p>
    <w:p>
      <w:pPr>
        <w:spacing w:after="0" w:line="117" w:lineRule="exact"/>
        <w:rPr>
          <w:rFonts w:ascii="Arial" w:cs="Arial" w:eastAsia="Arial" w:hAnsi="Arial"/>
          <w:sz w:val="18"/>
          <w:szCs w:val="18"/>
          <w:color w:val="auto"/>
        </w:rPr>
      </w:pPr>
    </w:p>
    <w:p>
      <w:pPr>
        <w:ind w:left="2140" w:hanging="223"/>
        <w:spacing w:after="0"/>
        <w:tabs>
          <w:tab w:leader="none" w:pos="2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w:t>
      </w:r>
    </w:p>
    <w:p>
      <w:pPr>
        <w:spacing w:after="0" w:line="117" w:lineRule="exact"/>
        <w:rPr>
          <w:rFonts w:ascii="Arial" w:cs="Arial" w:eastAsia="Arial" w:hAnsi="Arial"/>
          <w:sz w:val="18"/>
          <w:szCs w:val="18"/>
          <w:color w:val="auto"/>
        </w:rPr>
      </w:pPr>
    </w:p>
    <w:p>
      <w:pPr>
        <w:ind w:left="2180" w:hanging="263"/>
        <w:spacing w:after="0"/>
        <w:tabs>
          <w:tab w:leader="none" w:pos="21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material diminution in the Executive’s then authority, duties or responsibilities;</w:t>
      </w:r>
    </w:p>
    <w:p>
      <w:pPr>
        <w:spacing w:after="0" w:line="117" w:lineRule="exact"/>
        <w:rPr>
          <w:rFonts w:ascii="Arial" w:cs="Arial" w:eastAsia="Arial" w:hAnsi="Arial"/>
          <w:sz w:val="18"/>
          <w:szCs w:val="18"/>
          <w:color w:val="auto"/>
        </w:rPr>
      </w:pPr>
    </w:p>
    <w:p>
      <w:pPr>
        <w:ind w:right="60" w:firstLine="1917"/>
        <w:spacing w:after="0" w:line="301" w:lineRule="auto"/>
        <w:tabs>
          <w:tab w:leader="none" w:pos="2224" w:val="left"/>
        </w:tabs>
        <w:numPr>
          <w:ilvl w:val="1"/>
          <w:numId w:val="76"/>
        </w:numPr>
        <w:rPr>
          <w:rFonts w:ascii="Arial" w:cs="Arial" w:eastAsia="Arial" w:hAnsi="Arial"/>
          <w:sz w:val="16"/>
          <w:szCs w:val="16"/>
          <w:color w:val="auto"/>
        </w:rPr>
      </w:pPr>
      <w:r>
        <w:rPr>
          <w:rFonts w:ascii="Arial" w:cs="Arial" w:eastAsia="Arial" w:hAnsi="Arial"/>
          <w:sz w:val="16"/>
          <w:szCs w:val="16"/>
          <w:color w:val="auto"/>
        </w:rPr>
        <w:t>a change in geographic location at which the Executive principally performs services of a distance of more than 50 miles (it being agreed for purposes of this clause the geographic locations at which the Executive principally performs services shall be both the location of his home and New Haven, Connecticut); provided, however, a move of the Company’s principal corporate offices to Boston, Massachusetts or within 50 miles of Boston, Massachusetts, shall not constitute a change in geographic location for purposes of “Good Reason” under this Section 6(d)(iii).</w:t>
      </w:r>
    </w:p>
    <w:p>
      <w:pPr>
        <w:spacing w:after="0" w:line="49" w:lineRule="exact"/>
        <w:rPr>
          <w:rFonts w:ascii="Arial" w:cs="Arial" w:eastAsia="Arial" w:hAnsi="Arial"/>
          <w:sz w:val="16"/>
          <w:szCs w:val="16"/>
          <w:color w:val="auto"/>
        </w:rPr>
      </w:pPr>
    </w:p>
    <w:p>
      <w:pPr>
        <w:ind w:left="2220" w:hanging="303"/>
        <w:spacing w:after="0"/>
        <w:tabs>
          <w:tab w:leader="none" w:pos="22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material breach by the Company of this Agreement;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provided, however, that no such event or condition shall constitute Good Reason unless (x) the Executive gives the Company a written notice of termination for Good Reason not more than 60 days after the initial existence of the condition, (y) the grounds for termination (if susceptible to correction) are not corrected by the Company within 30 days of its receipt of such notice and (z) the Executive’s termination of employment occurs within 60 days following the Company’s receipt of such notice.</w:t>
      </w:r>
    </w:p>
    <w:p>
      <w:pPr>
        <w:spacing w:after="0" w:line="75" w:lineRule="exact"/>
        <w:rPr>
          <w:sz w:val="20"/>
          <w:szCs w:val="20"/>
          <w:color w:val="auto"/>
        </w:rPr>
      </w:pPr>
    </w:p>
    <w:p>
      <w:pPr>
        <w:ind w:right="400" w:firstLine="597"/>
        <w:spacing w:after="0" w:line="272" w:lineRule="auto"/>
        <w:tabs>
          <w:tab w:leader="none" w:pos="768"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AGREEMENTS</w:t>
      </w:r>
      <w:r>
        <w:rPr>
          <w:rFonts w:ascii="Arial" w:cs="Arial" w:eastAsia="Arial" w:hAnsi="Arial"/>
          <w:sz w:val="17"/>
          <w:szCs w:val="17"/>
          <w:color w:val="auto"/>
        </w:rPr>
        <w:t>. As a condition of the Executive’s continued employment with the Company, the Executive hereby confirms his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the Invention and Non-Disclosure Agreement (the “</w:t>
      </w:r>
      <w:r>
        <w:rPr>
          <w:rFonts w:ascii="Arial" w:cs="Arial" w:eastAsia="Arial" w:hAnsi="Arial"/>
          <w:sz w:val="17"/>
          <w:szCs w:val="17"/>
          <w:u w:val="single" w:color="auto"/>
          <w:color w:val="auto"/>
        </w:rPr>
        <w:t>Invention Agreement</w:t>
      </w:r>
      <w:r>
        <w:rPr>
          <w:rFonts w:ascii="Arial" w:cs="Arial" w:eastAsia="Arial" w:hAnsi="Arial"/>
          <w:sz w:val="17"/>
          <w:szCs w:val="17"/>
          <w:color w:val="auto"/>
        </w:rPr>
        <w:t>”), dated March 1, 2011 with the Company, and that, concurrently with the execution of this Agreement, he shall execute the Non-Competition and Non-Solicitation Agreement (the “</w:t>
      </w:r>
      <w:r>
        <w:rPr>
          <w:rFonts w:ascii="Arial" w:cs="Arial" w:eastAsia="Arial" w:hAnsi="Arial"/>
          <w:sz w:val="17"/>
          <w:szCs w:val="17"/>
          <w:u w:val="single" w:color="auto"/>
          <w:color w:val="auto"/>
        </w:rPr>
        <w:t>Non-</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u w:val="single" w:color="auto"/>
          <w:color w:val="auto"/>
        </w:rPr>
        <w:t>Competition Agreement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the Amendment Agreement to the Restricted Stock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21" w:lineRule="exact"/>
        <w:rPr>
          <w:rFonts w:ascii="Arial" w:cs="Arial" w:eastAsia="Arial" w:hAnsi="Arial"/>
          <w:sz w:val="17"/>
          <w:szCs w:val="17"/>
          <w:color w:val="auto"/>
        </w:rPr>
      </w:pPr>
    </w:p>
    <w:p>
      <w:pPr>
        <w:ind w:firstLine="597"/>
        <w:spacing w:after="0" w:line="266" w:lineRule="auto"/>
        <w:tabs>
          <w:tab w:leader="none" w:pos="768"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 AND INSURANCE</w:t>
      </w:r>
      <w:r>
        <w:rPr>
          <w:rFonts w:ascii="Arial" w:cs="Arial" w:eastAsia="Arial" w:hAnsi="Arial"/>
          <w:sz w:val="18"/>
          <w:szCs w:val="18"/>
          <w:color w:val="auto"/>
        </w:rPr>
        <w:t>. The Executive shall be entitled to indemnification to the fullest extent permitted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and shall be entitled to coverage under the Company’s directors’ and officers’ liability insurance policy to the same extent as other senior executives of the Company.</w:t>
      </w:r>
    </w:p>
    <w:p>
      <w:pPr>
        <w:spacing w:after="0" w:line="67" w:lineRule="exact"/>
        <w:rPr>
          <w:rFonts w:ascii="Arial" w:cs="Arial" w:eastAsia="Arial" w:hAnsi="Arial"/>
          <w:sz w:val="18"/>
          <w:szCs w:val="18"/>
          <w:color w:val="auto"/>
        </w:rPr>
      </w:pPr>
    </w:p>
    <w:p>
      <w:pPr>
        <w:ind w:right="100" w:firstLine="597"/>
        <w:spacing w:after="0" w:line="272" w:lineRule="auto"/>
        <w:tabs>
          <w:tab w:leader="none" w:pos="768"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Any purported termination of employment hereunder shall be communicated through written notice from the terminating party. Such</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and all other communications that are required or may be given pursuant to the terms of this Agreement shall be in writing and shall be sufficient in all respects if given in writing and shall be deemed given: (i) if delivered personally, on the date of delivery; (ii) if mailed by certified or registered mail (return receipt requested and postage prepaid), three (3) days after the mailing date; (iii) if sent via a nationally recognized overnight courier, on the next business day thereafter; or (iv) if sent via facsimile confirmed in writing to the recipient, on the next business day thereafter. In each of the above cases, notice to the Company should be sent to the Company’s principal place of business, notice to the Executive should be sent to his home address most recently on file with the Company, or notice to either the Company or the Executive should be sent to such other address or addresses as either party shall have designated in writing to the other party hereto.</w:t>
      </w:r>
    </w:p>
    <w:p>
      <w:pPr>
        <w:spacing w:after="0" w:line="63" w:lineRule="exact"/>
        <w:rPr>
          <w:rFonts w:ascii="Arial" w:cs="Arial" w:eastAsia="Arial" w:hAnsi="Arial"/>
          <w:sz w:val="17"/>
          <w:szCs w:val="17"/>
          <w:color w:val="auto"/>
        </w:rPr>
      </w:pPr>
    </w:p>
    <w:p>
      <w:pPr>
        <w:ind w:right="240" w:firstLine="597"/>
        <w:spacing w:after="0" w:line="289" w:lineRule="auto"/>
        <w:tabs>
          <w:tab w:leader="none" w:pos="858"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w:t>
      </w:r>
      <w:r>
        <w:rPr>
          <w:rFonts w:ascii="Arial" w:cs="Arial" w:eastAsia="Arial" w:hAnsi="Arial"/>
          <w:sz w:val="17"/>
          <w:szCs w:val="17"/>
          <w:color w:val="auto"/>
        </w:rPr>
        <w:t>. The Executive represents and warrants to the Company that he has the legal right to enter into this Agreement and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all of the obligations on his part to be performed hereunder in accordance with its terms and that he is not a party to any agreement or understanding, written or oral, which could prevent his from entering into this Agreement or performing all of his obligations hereunder.</w:t>
      </w:r>
    </w:p>
    <w:p>
      <w:pPr>
        <w:spacing w:after="0" w:line="49" w:lineRule="exact"/>
        <w:rPr>
          <w:rFonts w:ascii="Arial" w:cs="Arial" w:eastAsia="Arial" w:hAnsi="Arial"/>
          <w:sz w:val="17"/>
          <w:szCs w:val="17"/>
          <w:color w:val="auto"/>
        </w:rPr>
      </w:pPr>
    </w:p>
    <w:p>
      <w:pPr>
        <w:ind w:left="860" w:hanging="263"/>
        <w:spacing w:after="0"/>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409A CONSIDERATIONS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80" w:firstLine="1183"/>
        <w:spacing w:after="0" w:line="259" w:lineRule="auto"/>
        <w:tabs>
          <w:tab w:leader="none" w:pos="1419"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Subject to this Section 11, any severance payments or benefits that may be due under this Agreement shall begin only upon the date of the Executive’s “separation from service” (determined as set forth below) which occurs on or after the termination of Executive’s employment. The following rules shall apply with respect to distribution of the severance payments or benefits, if any, to be provided to the Executive under this Agreement, as applicable:</w:t>
      </w:r>
    </w:p>
    <w:p>
      <w:pPr>
        <w:spacing w:after="0" w:line="78" w:lineRule="exact"/>
        <w:rPr>
          <w:rFonts w:ascii="Arial" w:cs="Arial" w:eastAsia="Arial" w:hAnsi="Arial"/>
          <w:sz w:val="18"/>
          <w:szCs w:val="18"/>
          <w:color w:val="auto"/>
        </w:rPr>
      </w:pPr>
    </w:p>
    <w:p>
      <w:pPr>
        <w:ind w:right="120" w:firstLine="1917"/>
        <w:spacing w:after="0" w:line="259" w:lineRule="auto"/>
        <w:tabs>
          <w:tab w:leader="none" w:pos="2124" w:val="left"/>
        </w:tabs>
        <w:numPr>
          <w:ilvl w:val="2"/>
          <w:numId w:val="77"/>
        </w:numPr>
        <w:rPr>
          <w:rFonts w:ascii="Arial" w:cs="Arial" w:eastAsia="Arial" w:hAnsi="Arial"/>
          <w:sz w:val="18"/>
          <w:szCs w:val="18"/>
          <w:color w:val="auto"/>
        </w:rPr>
      </w:pPr>
      <w:r>
        <w:rPr>
          <w:rFonts w:ascii="Arial" w:cs="Arial" w:eastAsia="Arial" w:hAnsi="Arial"/>
          <w:sz w:val="18"/>
          <w:szCs w:val="18"/>
          <w:color w:val="auto"/>
        </w:rPr>
        <w:t>It is intended that each installment of the severance payments or benefits under this Agreement provided under shall be treated as a separate “payment” for purposes of Section 409A of the Internal Revenue Code and the guidance issued thereunder (“</w:t>
      </w:r>
      <w:r>
        <w:rPr>
          <w:rFonts w:ascii="Arial" w:cs="Arial" w:eastAsia="Arial" w:hAnsi="Arial"/>
          <w:sz w:val="18"/>
          <w:szCs w:val="18"/>
          <w:u w:val="single" w:color="auto"/>
          <w:color w:val="auto"/>
        </w:rPr>
        <w:t>Section 409A</w:t>
      </w:r>
      <w:r>
        <w:rPr>
          <w:rFonts w:ascii="Arial" w:cs="Arial" w:eastAsia="Arial" w:hAnsi="Arial"/>
          <w:sz w:val="18"/>
          <w:szCs w:val="18"/>
          <w:color w:val="auto"/>
        </w:rPr>
        <w:t>”). Neither the Company nor the Executive shall have the right to accelerate or defer the delivery of any such payments except to the extent specifically permitted or required by Section 409A.</w:t>
      </w:r>
    </w:p>
    <w:p>
      <w:pPr>
        <w:spacing w:after="0" w:line="78" w:lineRule="exact"/>
        <w:rPr>
          <w:rFonts w:ascii="Arial" w:cs="Arial" w:eastAsia="Arial" w:hAnsi="Arial"/>
          <w:sz w:val="18"/>
          <w:szCs w:val="18"/>
          <w:color w:val="auto"/>
        </w:rPr>
      </w:pPr>
    </w:p>
    <w:p>
      <w:pPr>
        <w:ind w:right="20" w:firstLine="1917"/>
        <w:spacing w:after="0" w:line="263" w:lineRule="auto"/>
        <w:tabs>
          <w:tab w:leader="none" w:pos="2174" w:val="left"/>
        </w:tabs>
        <w:numPr>
          <w:ilvl w:val="2"/>
          <w:numId w:val="77"/>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not a “specified employee” (within the meaning of Section 409A), then each installment of the severance payments or benefits shall be made on the dates and terms set forth in this Agreement.</w:t>
      </w:r>
    </w:p>
    <w:p>
      <w:pPr>
        <w:spacing w:after="0" w:line="183" w:lineRule="exact"/>
        <w:rPr>
          <w:rFonts w:ascii="Arial" w:cs="Arial" w:eastAsia="Arial" w:hAnsi="Arial"/>
          <w:sz w:val="18"/>
          <w:szCs w:val="18"/>
          <w:color w:val="auto"/>
        </w:rPr>
      </w:pPr>
    </w:p>
    <w:p>
      <w:pPr>
        <w:ind w:left="5580" w:hanging="106"/>
        <w:spacing w:after="0"/>
        <w:tabs>
          <w:tab w:leader="none" w:pos="5580" w:val="left"/>
        </w:tabs>
        <w:numPr>
          <w:ilvl w:val="3"/>
          <w:numId w:val="7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2" w:name="page153"/>
    <w:bookmarkEnd w:id="152"/>
    <w:p>
      <w:pPr>
        <w:ind w:right="260" w:firstLine="1917"/>
        <w:spacing w:after="0" w:line="277" w:lineRule="auto"/>
        <w:tabs>
          <w:tab w:leader="none" w:pos="2224" w:val="left"/>
        </w:tabs>
        <w:numPr>
          <w:ilvl w:val="3"/>
          <w:numId w:val="78"/>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a “specified employee” (within the meaning of Section 409A), then:</w:t>
      </w:r>
    </w:p>
    <w:p>
      <w:pPr>
        <w:spacing w:after="0" w:line="62" w:lineRule="exact"/>
        <w:rPr>
          <w:rFonts w:ascii="Arial" w:cs="Arial" w:eastAsia="Arial" w:hAnsi="Arial"/>
          <w:sz w:val="18"/>
          <w:szCs w:val="18"/>
          <w:color w:val="auto"/>
        </w:rPr>
      </w:pPr>
    </w:p>
    <w:p>
      <w:pPr>
        <w:ind w:right="120" w:firstLine="2505"/>
        <w:spacing w:after="0" w:line="287" w:lineRule="auto"/>
        <w:tabs>
          <w:tab w:leader="none" w:pos="2792" w:val="left"/>
        </w:tabs>
        <w:numPr>
          <w:ilvl w:val="4"/>
          <w:numId w:val="78"/>
        </w:numPr>
        <w:rPr>
          <w:rFonts w:ascii="Arial" w:cs="Arial" w:eastAsia="Arial" w:hAnsi="Arial"/>
          <w:sz w:val="16"/>
          <w:szCs w:val="16"/>
          <w:color w:val="auto"/>
        </w:rPr>
      </w:pPr>
      <w:r>
        <w:rPr>
          <w:rFonts w:ascii="Arial" w:cs="Arial" w:eastAsia="Arial" w:hAnsi="Arial"/>
          <w:sz w:val="16"/>
          <w:szCs w:val="16"/>
          <w:color w:val="auto"/>
        </w:rPr>
        <w:t>Each installment of the severance payments or benefits due under this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the maximum extent permissible under Section 409A and shall be paid on the dates and terms set forth in this Agreement; and</w:t>
      </w:r>
    </w:p>
    <w:p>
      <w:pPr>
        <w:spacing w:after="0" w:line="102" w:lineRule="exact"/>
        <w:rPr>
          <w:rFonts w:ascii="Arial" w:cs="Arial" w:eastAsia="Arial" w:hAnsi="Arial"/>
          <w:sz w:val="18"/>
          <w:szCs w:val="18"/>
          <w:color w:val="auto"/>
        </w:rPr>
      </w:pPr>
    </w:p>
    <w:p>
      <w:pPr>
        <w:ind w:right="60" w:firstLine="2505"/>
        <w:spacing w:after="0" w:line="269" w:lineRule="auto"/>
        <w:tabs>
          <w:tab w:leader="none" w:pos="2782" w:val="left"/>
        </w:tabs>
        <w:numPr>
          <w:ilvl w:val="4"/>
          <w:numId w:val="79"/>
        </w:numPr>
        <w:rPr>
          <w:rFonts w:ascii="Arial" w:cs="Arial" w:eastAsia="Arial" w:hAnsi="Arial"/>
          <w:sz w:val="17"/>
          <w:szCs w:val="17"/>
          <w:color w:val="auto"/>
        </w:rPr>
      </w:pPr>
      <w:r>
        <w:rPr>
          <w:rFonts w:ascii="Arial" w:cs="Arial" w:eastAsia="Arial" w:hAnsi="Arial"/>
          <w:sz w:val="17"/>
          <w:szCs w:val="17"/>
          <w:color w:val="auto"/>
        </w:rPr>
        <w:t>Each installment of the severance payments or benefits due under this Agreement that is not described in this Section 11(a)(iii)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77" w:lineRule="exact"/>
        <w:rPr>
          <w:rFonts w:ascii="Arial" w:cs="Arial" w:eastAsia="Arial" w:hAnsi="Arial"/>
          <w:sz w:val="17"/>
          <w:szCs w:val="17"/>
          <w:color w:val="auto"/>
        </w:rPr>
      </w:pPr>
    </w:p>
    <w:p>
      <w:pPr>
        <w:ind w:right="20" w:firstLine="1183"/>
        <w:spacing w:after="0" w:line="259" w:lineRule="auto"/>
        <w:tabs>
          <w:tab w:leader="none" w:pos="1429"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determination of whether and when the Executive’s separation from service from the Company has occurred shall be made and in a manner consistent with, and based on the presumptions set forth in, Treasury Regulation Section 1.409A-1(h). Solely for purposes of this Section 11(b), “Company” shall include all persons with whom the Company would be considered a single employer under Section 414(b) and 414(c) of the Internal Revenue Code.</w:t>
      </w:r>
    </w:p>
    <w:p>
      <w:pPr>
        <w:spacing w:after="0" w:line="78" w:lineRule="exact"/>
        <w:rPr>
          <w:rFonts w:ascii="Arial" w:cs="Arial" w:eastAsia="Arial" w:hAnsi="Arial"/>
          <w:sz w:val="18"/>
          <w:szCs w:val="18"/>
          <w:color w:val="auto"/>
        </w:rPr>
      </w:pPr>
    </w:p>
    <w:p>
      <w:pPr>
        <w:ind w:right="40" w:firstLine="1183"/>
        <w:spacing w:after="0" w:line="291" w:lineRule="auto"/>
        <w:tabs>
          <w:tab w:leader="none" w:pos="1419" w:val="left"/>
        </w:tabs>
        <w:numPr>
          <w:ilvl w:val="2"/>
          <w:numId w:val="79"/>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w:t>
      </w:r>
    </w:p>
    <w:p>
      <w:pPr>
        <w:ind w:right="240"/>
        <w:spacing w:after="0" w:line="273" w:lineRule="auto"/>
        <w:rPr>
          <w:rFonts w:ascii="Arial" w:cs="Arial" w:eastAsia="Arial" w:hAnsi="Arial"/>
          <w:sz w:val="16"/>
          <w:szCs w:val="16"/>
          <w:color w:val="auto"/>
        </w:rPr>
      </w:pPr>
      <w:r>
        <w:rPr>
          <w:rFonts w:ascii="Arial" w:cs="Arial" w:eastAsia="Arial" w:hAnsi="Arial"/>
          <w:sz w:val="17"/>
          <w:szCs w:val="17"/>
          <w:color w:val="auto"/>
        </w:rPr>
        <w:t>(i)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68" w:lineRule="exact"/>
        <w:rPr>
          <w:rFonts w:ascii="Arial" w:cs="Arial" w:eastAsia="Arial" w:hAnsi="Arial"/>
          <w:sz w:val="16"/>
          <w:szCs w:val="16"/>
          <w:color w:val="auto"/>
        </w:rPr>
      </w:pPr>
    </w:p>
    <w:p>
      <w:pPr>
        <w:ind w:right="80" w:firstLine="1183"/>
        <w:spacing w:after="0" w:line="263" w:lineRule="auto"/>
        <w:tabs>
          <w:tab w:leader="none" w:pos="1429"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to any other person if any of the provisions of this Agreement (including this Section 11) are determined to constitute deferred compensation subject to Section 409A but that do not satisfy an exemption from, or the conditions of, that section.</w:t>
      </w:r>
    </w:p>
    <w:p>
      <w:pPr>
        <w:spacing w:after="0" w:line="71" w:lineRule="exact"/>
        <w:rPr>
          <w:rFonts w:ascii="Arial" w:cs="Arial" w:eastAsia="Arial" w:hAnsi="Arial"/>
          <w:sz w:val="18"/>
          <w:szCs w:val="18"/>
          <w:color w:val="auto"/>
        </w:rPr>
      </w:pPr>
    </w:p>
    <w:p>
      <w:pPr>
        <w:ind w:firstLine="597"/>
        <w:spacing w:after="0" w:line="287" w:lineRule="auto"/>
        <w:tabs>
          <w:tab w:leader="none" w:pos="858" w:val="left"/>
        </w:tabs>
        <w:numPr>
          <w:ilvl w:val="1"/>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This Agreement sets forth the terms of the Executive’s employment with the Company and supersedes any prior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representations or agreements, whether written or oral, relating to the subject matter of this Agreement. This Agreement may be modified or amended only by an instrument in writing signed by the Executive and the Company. The Executive states and represents that he has had an opportunity to fully discuss and review the terms of this Agreement with an attorney. The Executive further states and represents that he has carefully read this Agreement, understands the contents herein, freely and voluntarily assents to all of the terms and conditions hereof, and signs his name of his own free act. This Agreement shall be governed by and construed in accordance with the internal laws of the State of New York, without regard to the conflict of law provisions thereof. This Agreement shall be binding upon, and inure to the benefit of, the Executive and the Company and the Executive’s and the Company’s respective heirs, successors, legal representatives and assigns. If any part of this Agreement is held by a court of competent jurisdiction to be invalid, illegible or incapable of being enforced in whole or in part by reason of any rule of law or public policy, such part shall be deemed to be severed from the remainder of this Agreement for the purpose only of the particular legal proceedings in question and all other covenants and provisions of this Agreement shall in every other respect continue in full force and effect and no covenant or provision shall be deemed dependent upon any other covenant or provision. This Agreement may be signed in one or more counterparts, each of which shall be deemed to be an original, but all of which together will constitute one and the same agreement. Facsimile copies of signed signature pages shall be binding originals.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3" w:name="page154"/>
    <w:bookmarkEnd w:id="153"/>
    <w:p>
      <w:pPr>
        <w:ind w:left="600"/>
        <w:spacing w:after="0"/>
        <w:rPr>
          <w:sz w:val="20"/>
          <w:szCs w:val="20"/>
          <w:color w:val="auto"/>
        </w:rPr>
      </w:pPr>
      <w:r>
        <w:rPr>
          <w:rFonts w:ascii="Arial" w:cs="Arial" w:eastAsia="Arial" w:hAnsi="Arial"/>
          <w:sz w:val="16"/>
          <w:szCs w:val="16"/>
          <w:b w:val="1"/>
          <w:bCs w:val="1"/>
          <w:u w:val="single" w:color="auto"/>
          <w:color w:val="auto"/>
        </w:rPr>
        <w:t>IN WITNESS WHEREOF</w:t>
      </w:r>
      <w:r>
        <w:rPr>
          <w:rFonts w:ascii="Arial" w:cs="Arial" w:eastAsia="Arial" w:hAnsi="Arial"/>
          <w:sz w:val="16"/>
          <w:szCs w:val="16"/>
          <w:color w:val="auto"/>
        </w:rPr>
        <w:t>, the parties hereto have executed this Employment Agreement as of the date first written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TREVI THERAPEUTICS,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546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L. Good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THOMAS R. SCIASCIA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R. Sciascia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Non-Competition and Non-Solicitation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8"/>
          <w:szCs w:val="18"/>
          <w:u w:val="single" w:color="auto"/>
          <w:color w:val="auto"/>
        </w:rPr>
        <w:t>NON-COMPETITION AND NON-SOLICITATION AGREEMENT</w:t>
      </w:r>
    </w:p>
    <w:p>
      <w:pPr>
        <w:spacing w:after="0" w:line="22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This Agreement is made between Trevi Therapeutics, Inc., a Delaware corporation (hereinafter referred to collectively with its subsidiaries as the “Company”), and Thomas R. Sciascia (the “Employee”).</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good consideration and in consideration of the employment or continued employment of the Employee by the Company, the Employee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agree as follows:</w:t>
      </w:r>
    </w:p>
    <w:p>
      <w:pPr>
        <w:spacing w:after="0" w:line="103" w:lineRule="exact"/>
        <w:rPr>
          <w:sz w:val="20"/>
          <w:szCs w:val="20"/>
          <w:color w:val="auto"/>
        </w:rPr>
      </w:pPr>
    </w:p>
    <w:p>
      <w:pPr>
        <w:ind w:right="20" w:firstLine="597"/>
        <w:spacing w:after="0" w:line="277" w:lineRule="auto"/>
        <w:tabs>
          <w:tab w:leader="none" w:pos="76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 While the Employee is employed by the Company and for a period of two (2) years after the termination or cessation of such employment for any reason, the Employee will not directly or indirectly:</w:t>
      </w:r>
    </w:p>
    <w:p>
      <w:pPr>
        <w:spacing w:after="0" w:line="62" w:lineRule="exact"/>
        <w:rPr>
          <w:rFonts w:ascii="Arial" w:cs="Arial" w:eastAsia="Arial" w:hAnsi="Arial"/>
          <w:sz w:val="18"/>
          <w:szCs w:val="18"/>
          <w:color w:val="auto"/>
        </w:rPr>
      </w:pPr>
    </w:p>
    <w:p>
      <w:pPr>
        <w:ind w:right="160" w:firstLine="1183"/>
        <w:spacing w:after="0" w:line="257" w:lineRule="auto"/>
        <w:tabs>
          <w:tab w:leader="none" w:pos="1419" w:val="left"/>
        </w:tabs>
        <w:numPr>
          <w:ilvl w:val="1"/>
          <w:numId w:val="80"/>
        </w:numPr>
        <w:rPr>
          <w:rFonts w:ascii="Arial" w:cs="Arial" w:eastAsia="Arial" w:hAnsi="Arial"/>
          <w:sz w:val="18"/>
          <w:szCs w:val="18"/>
          <w:color w:val="auto"/>
        </w:rPr>
      </w:pPr>
      <w:r>
        <w:rPr>
          <w:rFonts w:ascii="Arial" w:cs="Arial" w:eastAsia="Arial" w:hAnsi="Arial"/>
          <w:sz w:val="18"/>
          <w:szCs w:val="18"/>
          <w:color w:val="auto"/>
        </w:rPr>
        <w:t>Engage or assist others in engaging in any business or enterprise (whether as owner, partner, officer, director, employee, consultant, investor, lender or otherwise, except as the holder of not more than 1% of the outstanding stock of a publicly-held company) that develops, manufactures, markets, licenses, sells or provides any product intended for the treatment of pruritus or any other dermatological indication for which the Company has developed, manufactured, marketed, licensed, sold or provided a product, or planned to develop, manufacture, market, license, sell or provide a product, while the Employee was employed by the Company; or</w:t>
      </w:r>
    </w:p>
    <w:p>
      <w:pPr>
        <w:spacing w:after="0" w:line="79" w:lineRule="exact"/>
        <w:rPr>
          <w:rFonts w:ascii="Arial" w:cs="Arial" w:eastAsia="Arial" w:hAnsi="Arial"/>
          <w:sz w:val="18"/>
          <w:szCs w:val="18"/>
          <w:color w:val="auto"/>
        </w:rPr>
      </w:pPr>
    </w:p>
    <w:p>
      <w:pPr>
        <w:jc w:val="both"/>
        <w:ind w:firstLine="1183"/>
        <w:spacing w:after="0" w:line="263" w:lineRule="auto"/>
        <w:tabs>
          <w:tab w:leader="none" w:pos="1429" w:val="left"/>
        </w:tabs>
        <w:numPr>
          <w:ilvl w:val="1"/>
          <w:numId w:val="80"/>
        </w:numPr>
        <w:rPr>
          <w:rFonts w:ascii="Arial" w:cs="Arial" w:eastAsia="Arial" w:hAnsi="Arial"/>
          <w:sz w:val="18"/>
          <w:szCs w:val="18"/>
          <w:color w:val="auto"/>
        </w:rPr>
      </w:pPr>
      <w:r>
        <w:rPr>
          <w:rFonts w:ascii="Arial" w:cs="Arial" w:eastAsia="Arial" w:hAnsi="Arial"/>
          <w:sz w:val="18"/>
          <w:szCs w:val="18"/>
          <w:color w:val="auto"/>
        </w:rPr>
        <w:t>Either alone or in association with others, solicit, divert or take away, or attempt to divert or take away, the business or patronage of any of the clients, customers, or business partners of the Company which were contacted, solicited, or served by the Company during the 12-month period prior to the termination or cessation of the Employee’s employment with the Company; or</w:t>
      </w:r>
    </w:p>
    <w:p>
      <w:pPr>
        <w:spacing w:after="0" w:line="75" w:lineRule="exact"/>
        <w:rPr>
          <w:rFonts w:ascii="Arial" w:cs="Arial" w:eastAsia="Arial" w:hAnsi="Arial"/>
          <w:sz w:val="18"/>
          <w:szCs w:val="18"/>
          <w:color w:val="auto"/>
        </w:rPr>
      </w:pPr>
    </w:p>
    <w:p>
      <w:pPr>
        <w:ind w:right="140" w:firstLine="1183"/>
        <w:spacing w:after="0" w:line="275" w:lineRule="auto"/>
        <w:tabs>
          <w:tab w:leader="none" w:pos="1419"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Either alone or in association with others (i) solicit, induce or attempt to induce, any employee or independent contractor of the Company to terminate his or her employment or other engagement with the Company, or (ii) hire, or recruit or attempt to hire, or engage or attempt to engage as an independent contractor, any person who was employed by the Company at any time during the term of the Employee’s employment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(ii) shall not apply to the recruitment or hiring or other engagement of any individual whose employment or other engagement with the Company has been terminated for a period of three months or longer.</w:t>
      </w:r>
    </w:p>
    <w:p>
      <w:pPr>
        <w:spacing w:after="0" w:line="68" w:lineRule="exact"/>
        <w:rPr>
          <w:rFonts w:ascii="Arial" w:cs="Arial" w:eastAsia="Arial" w:hAnsi="Arial"/>
          <w:sz w:val="17"/>
          <w:szCs w:val="17"/>
          <w:color w:val="auto"/>
        </w:rPr>
      </w:pPr>
    </w:p>
    <w:p>
      <w:pPr>
        <w:ind w:right="60" w:firstLine="1183"/>
        <w:spacing w:after="0" w:line="308" w:lineRule="auto"/>
        <w:tabs>
          <w:tab w:leader="none" w:pos="1429"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Extension</w:t>
      </w:r>
      <w:r>
        <w:rPr>
          <w:rFonts w:ascii="Arial" w:cs="Arial" w:eastAsia="Arial" w:hAnsi="Arial"/>
          <w:sz w:val="17"/>
          <w:szCs w:val="17"/>
          <w:color w:val="auto"/>
        </w:rPr>
        <w:t>. If the Employee violates the provisions of any of the preceding paragraphs of this Section 1, the Employee shall continue to be bound by the restrictions set forth in such paragraph until a period of one year has expired without any violation of such provisions.</w:t>
      </w:r>
    </w:p>
    <w:p>
      <w:pPr>
        <w:spacing w:after="0" w:line="38" w:lineRule="exact"/>
        <w:rPr>
          <w:rFonts w:ascii="Arial" w:cs="Arial" w:eastAsia="Arial" w:hAnsi="Arial"/>
          <w:sz w:val="17"/>
          <w:szCs w:val="17"/>
          <w:color w:val="auto"/>
        </w:rPr>
      </w:pPr>
    </w:p>
    <w:p>
      <w:pPr>
        <w:ind w:left="780" w:hanging="183"/>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183"/>
        <w:spacing w:after="0" w:line="255" w:lineRule="auto"/>
        <w:tabs>
          <w:tab w:leader="none" w:pos="1419"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The restrictions contained in this Agreement are necessary for the protection of the business and goodwill of the Company and are considered by the Employee to be reasonable for such purpose. The Employee agrees that any breach of this Agreement is likely to cause the Company substantial and irrevocable damage which is difficult to measure. Therefore, in the event of any such breach or threatened breach, the Employee agrees that the Company, in addition to such other remedies which may be available, shall have the right to obtain an injunction from a court restraining such a breach or threatened breach and the right to specific performance of the provisions of this Agreement and the Employee hereby waives the adequacy of a remedy at law as a defense to such relief.</w:t>
      </w:r>
    </w:p>
    <w:p>
      <w:pPr>
        <w:spacing w:after="0" w:line="84" w:lineRule="exact"/>
        <w:rPr>
          <w:rFonts w:ascii="Arial" w:cs="Arial" w:eastAsia="Arial" w:hAnsi="Arial"/>
          <w:sz w:val="18"/>
          <w:szCs w:val="18"/>
          <w:color w:val="auto"/>
        </w:rPr>
      </w:pPr>
    </w:p>
    <w:p>
      <w:pPr>
        <w:ind w:right="40" w:firstLine="1183"/>
        <w:spacing w:after="0" w:line="277" w:lineRule="auto"/>
        <w:tabs>
          <w:tab w:leader="none" w:pos="1429"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Obligations to Third Parties</w:t>
      </w:r>
      <w:r>
        <w:rPr>
          <w:rFonts w:ascii="Arial" w:cs="Arial" w:eastAsia="Arial" w:hAnsi="Arial"/>
          <w:sz w:val="18"/>
          <w:szCs w:val="18"/>
          <w:color w:val="auto"/>
        </w:rPr>
        <w:t>. The Employee acknowledges and represents that this agreement and the Employee’s employment with the Company will not violate any continuing obligation the Employee has to any former employer or other third party.</w:t>
      </w:r>
    </w:p>
    <w:p>
      <w:pPr>
        <w:spacing w:after="0" w:line="62" w:lineRule="exact"/>
        <w:rPr>
          <w:rFonts w:ascii="Arial" w:cs="Arial" w:eastAsia="Arial" w:hAnsi="Arial"/>
          <w:sz w:val="18"/>
          <w:szCs w:val="18"/>
          <w:color w:val="auto"/>
        </w:rPr>
      </w:pPr>
    </w:p>
    <w:p>
      <w:pPr>
        <w:ind w:right="40" w:firstLine="1183"/>
        <w:spacing w:after="0" w:line="263" w:lineRule="auto"/>
        <w:tabs>
          <w:tab w:leader="none" w:pos="1419"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Disclosure of this Agreement</w:t>
      </w:r>
      <w:r>
        <w:rPr>
          <w:rFonts w:ascii="Arial" w:cs="Arial" w:eastAsia="Arial" w:hAnsi="Arial"/>
          <w:sz w:val="18"/>
          <w:szCs w:val="18"/>
          <w:color w:val="auto"/>
        </w:rPr>
        <w:t>. The Employee hereby authorizes the Company to notify others, including but not limited to customers of the Company and any of the Employee’s future employers or prospective business associates, of the terms and existence of this Agreement and the Employee’s continuing obligations to the Company hereunder.</w:t>
      </w:r>
    </w:p>
    <w:p>
      <w:pPr>
        <w:spacing w:after="0" w:line="75" w:lineRule="exact"/>
        <w:rPr>
          <w:rFonts w:ascii="Arial" w:cs="Arial" w:eastAsia="Arial" w:hAnsi="Arial"/>
          <w:sz w:val="18"/>
          <w:szCs w:val="18"/>
          <w:color w:val="auto"/>
        </w:rPr>
      </w:pPr>
    </w:p>
    <w:p>
      <w:pPr>
        <w:ind w:right="220" w:firstLine="1183"/>
        <w:spacing w:after="0" w:line="342" w:lineRule="auto"/>
        <w:tabs>
          <w:tab w:leader="none" w:pos="1429"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Not Employment Contract</w:t>
      </w:r>
      <w:r>
        <w:rPr>
          <w:rFonts w:ascii="Arial" w:cs="Arial" w:eastAsia="Arial" w:hAnsi="Arial"/>
          <w:sz w:val="16"/>
          <w:szCs w:val="16"/>
          <w:color w:val="auto"/>
        </w:rPr>
        <w:t>. The Employee acknowledges that this Agreement does not constitute a contract of employment, does not imply that the Company will continue his/her employment for any period of time and does not change the at-will nature of his/her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6" w:name="page157"/>
    <w:bookmarkEnd w:id="156"/>
    <w:p>
      <w:pPr>
        <w:ind w:left="-40" w:firstLine="1183"/>
        <w:spacing w:after="0" w:line="271" w:lineRule="auto"/>
        <w:tabs>
          <w:tab w:leader="none" w:pos="1379"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both parties and their respective successors and assigns, including any corporation with which, or into which, the Company may be merged or which may succeed to the Company’s assets or business, provided, however, that the obligations of the Employee are personal and shall not be assigned by him or her. The Employee expressly consents to be bound by the provisions of this Agreement for the benefit of the Company or any subsidiary or affiliate thereof to whose employ the Employee may be transferred without the necessity that this Agreement be re-signed at the time of such transfer. Notwithstanding the foregoing, if the Company is merged with or into a third party which is engaged in multiple lines of business, or if a third party engaged in multiple lines of business succeeds to the Company’s assets or business, then for purposes of Section 1(a), the term “Company” shall mean and refer to the business of the Company as it existed immediately prior to such event and as it subsequently develops and not to the third party’s other businesses.</w:t>
      </w:r>
    </w:p>
    <w:p>
      <w:pPr>
        <w:spacing w:after="0" w:line="70" w:lineRule="exact"/>
        <w:rPr>
          <w:rFonts w:ascii="Arial" w:cs="Arial" w:eastAsia="Arial" w:hAnsi="Arial"/>
          <w:sz w:val="17"/>
          <w:szCs w:val="17"/>
          <w:color w:val="auto"/>
        </w:rPr>
      </w:pPr>
    </w:p>
    <w:p>
      <w:pPr>
        <w:ind w:left="-40" w:right="120" w:firstLine="1183"/>
        <w:spacing w:after="0" w:line="263" w:lineRule="auto"/>
        <w:tabs>
          <w:tab w:leader="none" w:pos="135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If any restriction set forth in Section 1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75" w:lineRule="exact"/>
        <w:rPr>
          <w:rFonts w:ascii="Arial" w:cs="Arial" w:eastAsia="Arial" w:hAnsi="Arial"/>
          <w:sz w:val="18"/>
          <w:szCs w:val="18"/>
          <w:color w:val="auto"/>
        </w:rPr>
      </w:pPr>
    </w:p>
    <w:p>
      <w:pPr>
        <w:ind w:left="-40" w:right="420" w:firstLine="1183"/>
        <w:spacing w:after="0" w:line="277" w:lineRule="auto"/>
        <w:tabs>
          <w:tab w:leader="none" w:pos="138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Agreement shall be invalid, illegal or otherwise unenforceable, the validity, legality and enforceability of the remaining provisions shall in no way be affected or impaired thereby.</w:t>
      </w:r>
    </w:p>
    <w:p>
      <w:pPr>
        <w:spacing w:after="0" w:line="62" w:lineRule="exact"/>
        <w:rPr>
          <w:rFonts w:ascii="Arial" w:cs="Arial" w:eastAsia="Arial" w:hAnsi="Arial"/>
          <w:sz w:val="18"/>
          <w:szCs w:val="18"/>
          <w:color w:val="auto"/>
        </w:rPr>
      </w:pPr>
    </w:p>
    <w:p>
      <w:pPr>
        <w:ind w:left="-40" w:firstLine="1183"/>
        <w:spacing w:after="0" w:line="263" w:lineRule="auto"/>
        <w:tabs>
          <w:tab w:leader="none" w:pos="138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75" w:lineRule="exact"/>
        <w:rPr>
          <w:rFonts w:ascii="Arial" w:cs="Arial" w:eastAsia="Arial" w:hAnsi="Arial"/>
          <w:sz w:val="18"/>
          <w:szCs w:val="18"/>
          <w:color w:val="auto"/>
        </w:rPr>
      </w:pPr>
    </w:p>
    <w:p>
      <w:pPr>
        <w:ind w:left="-40" w:firstLine="1183"/>
        <w:spacing w:after="0" w:line="296" w:lineRule="auto"/>
        <w:tabs>
          <w:tab w:leader="none" w:pos="1349"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(without reference to the conflicts of laws provisions thereof). Any action, suit, or other legal proceeding which is commenced to resolve any matter arising under or relating to any provision of this Agreement shall be commenced only in a court of the State of New York (or, if appropriate, a federal court located within New York), and the Company and the Employee each consents to the jurisdiction of such a court. The Company and the Employee each hereby irrevocably waive any right to a trial by jury in any action, suit or other legal proceeding arising under or relating to any provision of this Agreement.</w:t>
      </w:r>
    </w:p>
    <w:p>
      <w:pPr>
        <w:spacing w:after="0" w:line="53" w:lineRule="exact"/>
        <w:rPr>
          <w:rFonts w:ascii="Arial" w:cs="Arial" w:eastAsia="Arial" w:hAnsi="Arial"/>
          <w:sz w:val="16"/>
          <w:szCs w:val="16"/>
          <w:color w:val="auto"/>
        </w:rPr>
      </w:pPr>
    </w:p>
    <w:p>
      <w:pPr>
        <w:ind w:left="-40" w:right="20" w:firstLine="1183"/>
        <w:spacing w:after="0" w:line="259" w:lineRule="auto"/>
        <w:tabs>
          <w:tab w:leader="none" w:pos="134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supersedes all prior agreements, written or oral, between the Employee and the Company relating to the subject matter of this Agreement. This Agreement may not be modified, changed or discharged in whole or in part, except by an agreement in writing signed by the Employee and the Company. The Employee agrees that any change or changes in his/her duties, salary or compensation after the signing of this Agreement shall not affect the validity or scope of this Agreement.</w:t>
      </w:r>
    </w:p>
    <w:p>
      <w:pPr>
        <w:spacing w:after="0" w:line="78" w:lineRule="exact"/>
        <w:rPr>
          <w:rFonts w:ascii="Arial" w:cs="Arial" w:eastAsia="Arial" w:hAnsi="Arial"/>
          <w:sz w:val="18"/>
          <w:szCs w:val="18"/>
          <w:color w:val="auto"/>
        </w:rPr>
      </w:pPr>
    </w:p>
    <w:p>
      <w:pPr>
        <w:ind w:left="-40" w:right="40" w:firstLine="1183"/>
        <w:spacing w:after="0" w:line="277" w:lineRule="auto"/>
        <w:tabs>
          <w:tab w:leader="none" w:pos="138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of the sections of this Agreement are for convenience of reference only and in no way define, limit or affect the scope or substance of any section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60" w:top="341" w:right="379" w:bottom="1440" w:gutter="0" w:footer="0" w:header="0"/>
        </w:sectPr>
      </w:pPr>
    </w:p>
    <w:bookmarkStart w:id="157" w:name="page158"/>
    <w:bookmarkEnd w:id="157"/>
    <w:p>
      <w:pPr>
        <w:ind w:firstLine="589"/>
        <w:spacing w:after="0" w:line="277" w:lineRule="auto"/>
        <w:rPr>
          <w:sz w:val="20"/>
          <w:szCs w:val="20"/>
          <w:color w:val="auto"/>
        </w:rPr>
      </w:pPr>
      <w:r>
        <w:rPr>
          <w:rFonts w:ascii="Arial" w:cs="Arial" w:eastAsia="Arial" w:hAnsi="Arial"/>
          <w:sz w:val="18"/>
          <w:szCs w:val="18"/>
          <w:color w:val="auto"/>
        </w:rPr>
        <w:t>THE EMPLOYEE ACKNOWLEDGES THAT HE/SHE HAS CAREFULLY READ THIS AGREEMENT AND UNDERSTANDS AND AGREES TO ALL OF THE PROVISIONS IN THIS AGREEMENT.</w:t>
      </w:r>
    </w:p>
    <w:p>
      <w:pPr>
        <w:spacing w:after="0" w:line="19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TREVI THERAPEUTICS, INC.</w:t>
      </w:r>
    </w:p>
    <w:p>
      <w:pPr>
        <w:spacing w:after="0" w:line="225"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333438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-10160</wp:posOffset>
            </wp:positionV>
            <wp:extent cx="13995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Jennifer L. Good</w:t>
      </w:r>
    </w:p>
    <w:p>
      <w:pPr>
        <w:spacing w:after="0" w:line="211"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Date:_</w:t>
      </w:r>
      <w:r>
        <w:rPr>
          <w:sz w:val="20"/>
          <w:szCs w:val="20"/>
          <w:color w:val="auto"/>
        </w:rPr>
        <w:tab/>
      </w:r>
      <w:r>
        <w:rPr>
          <w:rFonts w:ascii="Arial" w:cs="Arial" w:eastAsia="Arial" w:hAnsi="Arial"/>
          <w:sz w:val="17"/>
          <w:szCs w:val="17"/>
          <w:color w:val="auto"/>
        </w:rPr>
        <w:t>THOMAS R. SCIASCIA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-10160</wp:posOffset>
            </wp:positionV>
            <wp:extent cx="13995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7204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20"/>
          </w:cols>
          <w:pgMar w:left="320" w:top="341" w:right="105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Agreement to the 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359410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TREVI THERAPEUTICS,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Agreement to Restricted Stock Agreement</w:t>
      </w:r>
    </w:p>
    <w:p>
      <w:pPr>
        <w:spacing w:after="0" w:line="225" w:lineRule="exact"/>
        <w:rPr>
          <w:sz w:val="20"/>
          <w:szCs w:val="20"/>
          <w:color w:val="auto"/>
        </w:rPr>
      </w:pPr>
    </w:p>
    <w:p>
      <w:pPr>
        <w:ind w:right="220" w:firstLine="589"/>
        <w:spacing w:after="0" w:line="308" w:lineRule="auto"/>
        <w:rPr>
          <w:sz w:val="20"/>
          <w:szCs w:val="20"/>
          <w:color w:val="auto"/>
        </w:rPr>
      </w:pPr>
      <w:r>
        <w:rPr>
          <w:rFonts w:ascii="Arial" w:cs="Arial" w:eastAsia="Arial" w:hAnsi="Arial"/>
          <w:sz w:val="17"/>
          <w:szCs w:val="17"/>
          <w:color w:val="auto"/>
        </w:rPr>
        <w:t>This Amendment Agreement to Restricted Stock Agreement (this “Amendment Agreement”) is entered into by and between Trevi Therapeutics, Inc., a Delaware corporation (the “Company”), and Thomas R. Sciascia (the “Stockholder”) as of the day of December, 2012.</w:t>
      </w:r>
    </w:p>
    <w:p>
      <w:pPr>
        <w:spacing w:after="0" w:line="146"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 xml:space="preserve">WHEREAS, the Company has proposed to enter into on the date hereof a Series A Preferred Stock Purchase Agreement (the “Stock Purchase Agreement”) with the investors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(the “Investors”) pursuant to which the Company will issue to such Investors shares of the Company’s Series A Preferred Stock, $0.001 par value per share (the “Series A Financing”);</w:t>
      </w:r>
    </w:p>
    <w:p>
      <w:pPr>
        <w:spacing w:after="0" w:line="184"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WHEREAS, in order to induce the Investors to enter into the Stock Purchase Agreement and consummate the Series A Financing, the Stockholder has agreed to amend the vesting terms of the Restricted Stock Agreement, dated March 18, 2011 to which the Stockholder is a party with the Company (the “RSA”);</w:t>
      </w:r>
    </w:p>
    <w:p>
      <w:pPr>
        <w:spacing w:after="0" w:line="184"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NOW, THEREFORE, in consideration of the mutual promises and obligations contained herein and acting pursuant to Section 12(h) of the RSA, the Company and Stockholder do hereby consent and agree as follows:</w:t>
      </w:r>
    </w:p>
    <w:p>
      <w:pPr>
        <w:spacing w:after="0" w:line="170" w:lineRule="exact"/>
        <w:rPr>
          <w:sz w:val="20"/>
          <w:szCs w:val="20"/>
          <w:color w:val="auto"/>
        </w:rPr>
      </w:pPr>
    </w:p>
    <w:p>
      <w:pPr>
        <w:ind w:left="1180" w:right="4020" w:hanging="583"/>
        <w:spacing w:after="0" w:line="375" w:lineRule="auto"/>
        <w:tabs>
          <w:tab w:leader="none" w:pos="77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Section 2 of the RSA is hereby amended and restated in its entirety as follows: “2. </w:t>
      </w:r>
      <w:r>
        <w:rPr>
          <w:rFonts w:ascii="Arial" w:cs="Arial" w:eastAsia="Arial" w:hAnsi="Arial"/>
          <w:sz w:val="18"/>
          <w:szCs w:val="18"/>
          <w:u w:val="single" w:color="auto"/>
          <w:color w:val="auto"/>
        </w:rPr>
        <w:t>Purchase Option</w:t>
      </w:r>
      <w:r>
        <w:rPr>
          <w:rFonts w:ascii="Arial" w:cs="Arial" w:eastAsia="Arial" w:hAnsi="Arial"/>
          <w:sz w:val="18"/>
          <w:szCs w:val="18"/>
          <w:color w:val="auto"/>
        </w:rPr>
        <w:t>.</w:t>
      </w:r>
    </w:p>
    <w:p>
      <w:pPr>
        <w:spacing w:after="0" w:line="1" w:lineRule="exact"/>
        <w:rPr>
          <w:sz w:val="20"/>
          <w:szCs w:val="20"/>
          <w:color w:val="auto"/>
        </w:rPr>
      </w:pPr>
    </w:p>
    <w:p>
      <w:pPr>
        <w:jc w:val="both"/>
        <w:ind w:left="1520" w:right="100" w:firstLine="1017"/>
        <w:spacing w:after="0" w:line="311" w:lineRule="auto"/>
        <w:rPr>
          <w:sz w:val="20"/>
          <w:szCs w:val="20"/>
          <w:color w:val="auto"/>
        </w:rPr>
      </w:pPr>
      <w:r>
        <w:rPr>
          <w:rFonts w:ascii="Arial" w:cs="Arial" w:eastAsia="Arial" w:hAnsi="Arial"/>
          <w:sz w:val="16"/>
          <w:szCs w:val="16"/>
          <w:color w:val="auto"/>
        </w:rPr>
        <w:t>(a) In the event that the Stockholder ceases to be an Eligible Participant (as defined below) for any reason or no reason, with or without cause, prior to December , 2015, the Company shall have the right and option (the “Purchase Option”) to purchase from the Stockholder, for a sum of $0.001 per share (the “Option Price”), some or all of the Unvested Shares (as defined below).</w:t>
      </w:r>
    </w:p>
    <w:p>
      <w:pPr>
        <w:spacing w:after="0" w:line="41" w:lineRule="exact"/>
        <w:rPr>
          <w:sz w:val="20"/>
          <w:szCs w:val="20"/>
          <w:color w:val="auto"/>
        </w:rPr>
      </w:pPr>
    </w:p>
    <w:p>
      <w:pPr>
        <w:ind w:left="1520" w:right="100" w:firstLine="1017"/>
        <w:spacing w:after="0" w:line="259" w:lineRule="auto"/>
        <w:rPr>
          <w:sz w:val="20"/>
          <w:szCs w:val="20"/>
          <w:color w:val="auto"/>
        </w:rPr>
      </w:pPr>
      <w:r>
        <w:rPr>
          <w:rFonts w:ascii="Arial" w:cs="Arial" w:eastAsia="Arial" w:hAnsi="Arial"/>
          <w:sz w:val="18"/>
          <w:szCs w:val="18"/>
          <w:color w:val="auto"/>
        </w:rPr>
        <w:t>“Unvested Shares” means the total number of Shares multiplied by the Applicable Percentage at the time the Purchase Option becomes exercisable by the Company. The “Applicable Percentage” shall be (i) 50% less 1.3888% for each one-month period from and after December , 2012 during which the Stockholder is an Eligible Participant, and (ii) zero on or after December , 2015.</w:t>
      </w:r>
    </w:p>
    <w:p>
      <w:pPr>
        <w:spacing w:after="0" w:line="79" w:lineRule="exact"/>
        <w:rPr>
          <w:sz w:val="20"/>
          <w:szCs w:val="20"/>
          <w:color w:val="auto"/>
        </w:rPr>
      </w:pPr>
    </w:p>
    <w:p>
      <w:pPr>
        <w:ind w:left="1520" w:firstLine="1017"/>
        <w:spacing w:after="0" w:line="269" w:lineRule="auto"/>
        <w:rPr>
          <w:sz w:val="20"/>
          <w:szCs w:val="20"/>
          <w:color w:val="auto"/>
        </w:rPr>
      </w:pPr>
      <w:r>
        <w:rPr>
          <w:rFonts w:ascii="Arial" w:cs="Arial" w:eastAsia="Arial" w:hAnsi="Arial"/>
          <w:sz w:val="17"/>
          <w:szCs w:val="17"/>
          <w:color w:val="auto"/>
        </w:rPr>
        <w:t>(b) Notwithstanding the foregoing, upon a Change in Control of the Company prior to December , 2015, 100% of the Shares shall become automatically vested in full and the Applicable Percentage shall be zero. For this purpose, a “Change in Control of the Company” shall mean the consummation of a merger, consolidation, reorganization, recapitalization or statutory share exchange involving the Company or a sale or other disposition of all or substantially all of the assets of the Company (a “Business Combination”), unless, immediately following such Business Combination all or substantially all of the individuals and entities who were the beneficial owners of the then-outstanding securities of the Company entitled to vote generally in the election of directors immediately prior to such Business Combination beneficially own, directly or indirectly, more than 50% of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of the then-outstanding securities of the Company entitled to vote generally in the election of directors immediately prior to such Business Combination.</w:t>
      </w:r>
    </w:p>
    <w:p>
      <w:pPr>
        <w:spacing w:after="0" w:line="71" w:lineRule="exact"/>
        <w:rPr>
          <w:sz w:val="20"/>
          <w:szCs w:val="20"/>
          <w:color w:val="auto"/>
        </w:rPr>
      </w:pPr>
    </w:p>
    <w:p>
      <w:pPr>
        <w:ind w:left="1520" w:right="320" w:firstLine="1015"/>
        <w:spacing w:after="0" w:line="342" w:lineRule="auto"/>
        <w:tabs>
          <w:tab w:leader="none" w:pos="2781"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purposes of this Agreement, the Stockholder shall be an “Eligible Participant” for so long as the Stockholder serves as an employee or officer of, or consultant or advisor to, the Company or a parent or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0" w:name="page161"/>
    <w:bookmarkEnd w:id="160"/>
    <w:p>
      <w:pPr>
        <w:ind w:left="183" w:hanging="183"/>
        <w:spacing w:after="0"/>
        <w:tabs>
          <w:tab w:leader="none" w:pos="18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1943"/>
        <w:spacing w:after="0"/>
        <w:rPr>
          <w:sz w:val="20"/>
          <w:szCs w:val="20"/>
          <w:color w:val="auto"/>
        </w:rPr>
      </w:pPr>
      <w:r>
        <w:rPr>
          <w:rFonts w:ascii="Arial" w:cs="Arial" w:eastAsia="Arial" w:hAnsi="Arial"/>
          <w:sz w:val="16"/>
          <w:szCs w:val="16"/>
          <w:color w:val="auto"/>
        </w:rPr>
        <w:t>(a) Each capitalized term used and not otherwise described herein shall have the meaning ascribed to such term in the</w:t>
      </w:r>
    </w:p>
    <w:p>
      <w:pPr>
        <w:spacing w:after="0" w:line="46" w:lineRule="exact"/>
        <w:rPr>
          <w:sz w:val="20"/>
          <w:szCs w:val="20"/>
          <w:color w:val="auto"/>
        </w:rPr>
      </w:pPr>
    </w:p>
    <w:p>
      <w:pPr>
        <w:ind w:left="923"/>
        <w:spacing w:after="0"/>
        <w:rPr>
          <w:sz w:val="20"/>
          <w:szCs w:val="20"/>
          <w:color w:val="auto"/>
        </w:rPr>
      </w:pPr>
      <w:r>
        <w:rPr>
          <w:rFonts w:ascii="Arial" w:cs="Arial" w:eastAsia="Arial" w:hAnsi="Arial"/>
          <w:sz w:val="18"/>
          <w:szCs w:val="18"/>
          <w:color w:val="auto"/>
        </w:rPr>
        <w:t>RSA.</w:t>
      </w:r>
    </w:p>
    <w:p>
      <w:pPr>
        <w:spacing w:after="0" w:line="103" w:lineRule="exact"/>
        <w:rPr>
          <w:sz w:val="20"/>
          <w:szCs w:val="20"/>
          <w:color w:val="auto"/>
        </w:rPr>
      </w:pPr>
    </w:p>
    <w:p>
      <w:pPr>
        <w:ind w:left="2203" w:hanging="265"/>
        <w:spacing w:after="0"/>
        <w:tabs>
          <w:tab w:leader="none" w:pos="2203"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Except as expressly provided herein, all provisions of the RSA shall remain in full force and effect.</w:t>
      </w:r>
    </w:p>
    <w:p>
      <w:pPr>
        <w:spacing w:after="0" w:line="117" w:lineRule="exact"/>
        <w:rPr>
          <w:rFonts w:ascii="Arial" w:cs="Arial" w:eastAsia="Arial" w:hAnsi="Arial"/>
          <w:sz w:val="18"/>
          <w:szCs w:val="18"/>
          <w:color w:val="auto"/>
        </w:rPr>
      </w:pPr>
    </w:p>
    <w:p>
      <w:pPr>
        <w:ind w:left="923" w:firstLine="1015"/>
        <w:spacing w:after="0" w:line="277" w:lineRule="auto"/>
        <w:tabs>
          <w:tab w:leader="none" w:pos="21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Amendment Agreement shall be governed by and construed and interpreted in accordance with the laws of the State of Delaware, without regard to its rules pertaining to conflicts of laws thereunder.</w:t>
      </w:r>
    </w:p>
    <w:p>
      <w:pPr>
        <w:spacing w:after="0" w:line="62" w:lineRule="exact"/>
        <w:rPr>
          <w:rFonts w:ascii="Arial" w:cs="Arial" w:eastAsia="Arial" w:hAnsi="Arial"/>
          <w:sz w:val="18"/>
          <w:szCs w:val="18"/>
          <w:color w:val="auto"/>
        </w:rPr>
      </w:pPr>
    </w:p>
    <w:p>
      <w:pPr>
        <w:ind w:left="923" w:right="400" w:firstLine="1015"/>
        <w:spacing w:after="0" w:line="277" w:lineRule="auto"/>
        <w:tabs>
          <w:tab w:leader="none" w:pos="21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Amendment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left="3043"/>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344805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03"/>
          </w:cols>
          <w:pgMar w:left="917" w:top="449" w:right="479" w:bottom="1440" w:gutter="0" w:footer="0" w:header="0"/>
        </w:sectPr>
      </w:pPr>
    </w:p>
    <w:bookmarkStart w:id="161" w:name="page162"/>
    <w:bookmarkEnd w:id="161"/>
    <w:p>
      <w:pPr>
        <w:ind w:left="600"/>
        <w:spacing w:after="0"/>
        <w:rPr>
          <w:sz w:val="20"/>
          <w:szCs w:val="20"/>
          <w:color w:val="auto"/>
        </w:rPr>
      </w:pPr>
      <w:r>
        <w:rPr>
          <w:rFonts w:ascii="Arial" w:cs="Arial" w:eastAsia="Arial" w:hAnsi="Arial"/>
          <w:sz w:val="18"/>
          <w:szCs w:val="18"/>
          <w:color w:val="auto"/>
        </w:rPr>
        <w:t>IN WITNESS WHEREOF, the parties hereto have executed this Amendment Agreement as of the date first written above.</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TREVI THERAPEUTICS,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14605</wp:posOffset>
            </wp:positionV>
            <wp:extent cx="25971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Jennifer L. Good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STOCKHOLDER: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Thomas R. Sciascia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60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ind w:left="4060"/>
        <w:spacing w:after="0"/>
        <w:rPr>
          <w:sz w:val="20"/>
          <w:szCs w:val="20"/>
          <w:color w:val="auto"/>
        </w:rPr>
      </w:pPr>
      <w:r>
        <w:rPr>
          <w:rFonts w:ascii="Arial" w:cs="Arial" w:eastAsia="Arial" w:hAnsi="Arial"/>
          <w:sz w:val="18"/>
          <w:szCs w:val="18"/>
          <w:i w:val="1"/>
          <w:iCs w:val="1"/>
          <w:color w:val="auto"/>
        </w:rPr>
        <w:t>[Signature Page to Amendment Agreement]</w:t>
      </w:r>
    </w:p>
    <w:p>
      <w:pPr>
        <w:sectPr>
          <w:pgSz w:w="11900" w:h="16838" w:orient="portrait"/>
          <w:cols w:equalWidth="0" w:num="1">
            <w:col w:w="10420"/>
          </w:cols>
          <w:pgMar w:left="320" w:top="341" w:right="1159" w:bottom="1440" w:gutter="0" w:footer="0" w:header="0"/>
        </w:sectPr>
      </w:pPr>
    </w:p>
    <w:bookmarkStart w:id="162" w:name="page163"/>
    <w:bookmarkEnd w:id="162"/>
    <w:p>
      <w:pPr>
        <w:jc w:val="right"/>
        <w:spacing w:after="0"/>
        <w:rPr>
          <w:sz w:val="20"/>
          <w:szCs w:val="20"/>
          <w:color w:val="auto"/>
        </w:rPr>
      </w:pPr>
      <w:r>
        <w:rPr>
          <w:rFonts w:ascii="Arial" w:cs="Arial" w:eastAsia="Arial" w:hAnsi="Arial"/>
          <w:sz w:val="19"/>
          <w:szCs w:val="19"/>
          <w:color w:val="333333"/>
        </w:rPr>
        <w:t>Exhibit 23.1</w:t>
      </w:r>
    </w:p>
    <w:p>
      <w:pPr>
        <w:spacing w:after="0" w:line="159"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333333"/>
        </w:rPr>
        <w:t>Consent of Independent Registered Public Accounting Firm</w:t>
      </w:r>
    </w:p>
    <w:p>
      <w:pPr>
        <w:spacing w:after="0" w:line="160" w:lineRule="exact"/>
        <w:rPr>
          <w:sz w:val="20"/>
          <w:szCs w:val="20"/>
          <w:color w:val="auto"/>
        </w:rPr>
      </w:pPr>
    </w:p>
    <w:p>
      <w:pPr>
        <w:jc w:val="both"/>
        <w:ind w:right="100"/>
        <w:spacing w:after="0" w:line="245" w:lineRule="auto"/>
        <w:rPr>
          <w:sz w:val="20"/>
          <w:szCs w:val="20"/>
          <w:color w:val="auto"/>
        </w:rPr>
      </w:pPr>
      <w:r>
        <w:rPr>
          <w:rFonts w:ascii="Arial" w:cs="Arial" w:eastAsia="Arial" w:hAnsi="Arial"/>
          <w:sz w:val="19"/>
          <w:szCs w:val="19"/>
          <w:color w:val="333333"/>
        </w:rPr>
        <w:t>We consent to the incorporation by reference in the Registration Statement (Form S-8 No. 333-231260) pertaining to the 2012 Stock Incentive Plan, as amended, the 2019 Stock Incentive Plan, and the 2019 Employee Stock Purchase Plan of Trevi Therapeutics, Inc. of our report dated March 16, 2020, with respect to the consolidated financial statements of Trevi Therapeutics, Inc. included in this Annual Report (Form 10-K) for the year ended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333333"/>
        </w:rPr>
        <w:t>/s/ Ernst &amp; Young LLP</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333333"/>
        </w:rPr>
        <w:t>Stamford, Connecticut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333333"/>
        </w:rPr>
        <w:t>March 16, 2020</w:t>
      </w:r>
    </w:p>
    <w:p>
      <w:pPr>
        <w:sectPr>
          <w:pgSz w:w="11900" w:h="16838" w:orient="portrait"/>
          <w:cols w:equalWidth="0" w:num="1">
            <w:col w:w="10880"/>
          </w:cols>
          <w:pgMar w:left="680" w:top="118" w:right="339" w:bottom="1440" w:gutter="0" w:footer="0" w:header="0"/>
        </w:sectPr>
      </w:pPr>
    </w:p>
    <w:bookmarkStart w:id="163" w:name="page164"/>
    <w:bookmarkEnd w:id="16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Trevi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firstLine="8"/>
        <w:spacing w:after="0" w:line="263" w:lineRule="auto"/>
        <w:tabs>
          <w:tab w:leader="none" w:pos="1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160" w:firstLine="8"/>
        <w:spacing w:after="0" w:line="277" w:lineRule="auto"/>
        <w:tabs>
          <w:tab w:leader="none" w:pos="1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400" w:firstLine="8"/>
        <w:spacing w:after="0" w:line="263" w:lineRule="auto"/>
        <w:tabs>
          <w:tab w:leader="none" w:pos="1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100" w:firstLine="8"/>
        <w:spacing w:after="0" w:line="277" w:lineRule="auto"/>
        <w:tabs>
          <w:tab w:leader="none" w:pos="1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20" w:firstLine="8"/>
        <w:spacing w:after="0" w:line="277" w:lineRule="auto"/>
        <w:tabs>
          <w:tab w:leader="none" w:pos="1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6"/>
          <w:szCs w:val="16"/>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164" w:name="page165"/>
    <w:bookmarkEnd w:id="16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Seiter, certify that:</w:t>
      </w:r>
    </w:p>
    <w:p>
      <w:pPr>
        <w:spacing w:after="0" w:line="225"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Trevi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firstLine="8"/>
        <w:spacing w:after="0" w:line="263" w:lineRule="auto"/>
        <w:tabs>
          <w:tab w:leader="none" w:pos="1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160" w:firstLine="8"/>
        <w:spacing w:after="0" w:line="277" w:lineRule="auto"/>
        <w:tabs>
          <w:tab w:leader="none" w:pos="1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400" w:firstLine="8"/>
        <w:spacing w:after="0" w:line="263" w:lineRule="auto"/>
        <w:tabs>
          <w:tab w:leader="none" w:pos="1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100" w:firstLine="8"/>
        <w:spacing w:after="0" w:line="277" w:lineRule="auto"/>
        <w:tabs>
          <w:tab w:leader="none" w:pos="1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20" w:firstLine="8"/>
        <w:spacing w:after="0" w:line="277" w:lineRule="auto"/>
        <w:tabs>
          <w:tab w:leader="none" w:pos="1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6"/>
          <w:szCs w:val="16"/>
          <w:color w:val="auto"/>
        </w:rPr>
        <w:t>By:  /s/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5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on Form 10-K of Trevi Therapeutics, Inc. (the “Company”) for the period ended December 31, 2019,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In connection with the Annual Report on Form 10-K of Trevi Therapeutics, Inc. (the “Company”) for the period ended December 31, 2019, as filed with the Securities and Exchange Commission on the date hereof (the “Report”), the undersigned, Christopher Seiter, Chief Financial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2"/>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1)"/>
      <w:numFmt w:val="decimal"/>
      <w:start w:val="2"/>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4"/>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decimal"/>
      <w:start w:val="2"/>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1."/>
      <w:numFmt w:val="decimal"/>
      <w:start w:val="3"/>
    </w:lvl>
  </w:abstractNum>
  <w:abstractNum w:abstractNumId="59">
    <w:nsid w:val="42963E5A"/>
    <w:multiLevelType w:val="hybridMultilevel"/>
    <w:lvl w:ilvl="0">
      <w:lvlJc w:val="left"/>
      <w:lvlText w:val="%1."/>
      <w:numFmt w:val="decimal"/>
      <w:start w:val="4"/>
    </w:lvl>
  </w:abstractNum>
  <w:abstractNum w:abstractNumId="60">
    <w:nsid w:val="A0382C5"/>
    <w:multiLevelType w:val="hybridMultilevel"/>
    <w:lvl w:ilvl="0">
      <w:lvlJc w:val="left"/>
      <w:lvlText w:val="%1."/>
      <w:numFmt w:val="decimal"/>
      <w:start w:val="5"/>
    </w:lvl>
  </w:abstractNum>
  <w:abstractNum w:abstractNumId="61">
    <w:nsid w:val="8F2B15E"/>
    <w:multiLevelType w:val="hybridMultilevel"/>
    <w:lvl w:ilvl="0">
      <w:lvlJc w:val="left"/>
      <w:lvlText w:val="%1."/>
      <w:numFmt w:val="decimal"/>
      <w:start w:val="7"/>
    </w:lvl>
  </w:abstractNum>
  <w:abstractNum w:abstractNumId="62">
    <w:nsid w:val="1A32234B"/>
    <w:multiLevelType w:val="hybridMultilevel"/>
    <w:lvl w:ilvl="0">
      <w:lvlJc w:val="left"/>
      <w:lvlText w:val="%1."/>
      <w:numFmt w:val="decimal"/>
      <w:start w:val="8"/>
    </w:lvl>
  </w:abstractNum>
  <w:abstractNum w:abstractNumId="63">
    <w:nsid w:val="3B0FD379"/>
    <w:multiLevelType w:val="hybridMultilevel"/>
    <w:lvl w:ilvl="0">
      <w:lvlJc w:val="left"/>
      <w:lvlText w:val="%1."/>
      <w:numFmt w:val="decimal"/>
      <w:start w:val="9"/>
    </w:lvl>
  </w:abstractNum>
  <w:abstractNum w:abstractNumId="64">
    <w:nsid w:val="68EB2F63"/>
    <w:multiLevelType w:val="hybridMultilevel"/>
    <w:lvl w:ilvl="0">
      <w:lvlJc w:val="left"/>
      <w:lvlText w:val="%1."/>
      <w:numFmt w:val="decimal"/>
      <w:start w:val="10"/>
    </w:lvl>
  </w:abstractNum>
  <w:abstractNum w:abstractNumId="65">
    <w:nsid w:val="4962813B"/>
    <w:multiLevelType w:val="hybridMultilevel"/>
    <w:lvl w:ilvl="0">
      <w:lvlJc w:val="left"/>
      <w:lvlText w:val="%1."/>
      <w:numFmt w:val="decimal"/>
      <w:start w:val="11"/>
    </w:lvl>
  </w:abstractNum>
  <w:abstractNum w:abstractNumId="66">
    <w:nsid w:val="60B6DF70"/>
    <w:multiLevelType w:val="hybridMultilevel"/>
    <w:lvl w:ilvl="0">
      <w:lvlJc w:val="left"/>
      <w:lvlText w:val="%1."/>
      <w:numFmt w:val="decimal"/>
      <w:start w:val="12"/>
    </w:lvl>
  </w:abstractNum>
  <w:abstractNum w:abstractNumId="67">
    <w:nsid w:val="6A5EE64"/>
    <w:multiLevelType w:val="hybridMultilevel"/>
    <w:lvl w:ilvl="0">
      <w:lvlJc w:val="left"/>
      <w:lvlText w:val="%1."/>
      <w:numFmt w:val="decimal"/>
      <w:start w:val="13"/>
    </w:lvl>
  </w:abstractNum>
  <w:abstractNum w:abstractNumId="68">
    <w:nsid w:val="14330624"/>
    <w:multiLevelType w:val="hybridMultilevel"/>
    <w:lvl w:ilvl="0">
      <w:lvlJc w:val="left"/>
      <w:lvlText w:val="%1."/>
      <w:numFmt w:val="decimal"/>
      <w:start w:val="14"/>
    </w:lvl>
  </w:abstractNum>
  <w:abstractNum w:abstractNumId="69">
    <w:nsid w:val="7FFFCA11"/>
    <w:multiLevelType w:val="hybridMultilevel"/>
    <w:lvl w:ilvl="0">
      <w:lvlJc w:val="left"/>
      <w:lvlText w:val="%1."/>
      <w:numFmt w:val="decimal"/>
      <w:start w:val="15"/>
    </w:lvl>
  </w:abstractNum>
  <w:abstractNum w:abstractNumId="70">
    <w:nsid w:val="1A27709E"/>
    <w:multiLevelType w:val="hybridMultilevel"/>
    <w:lvl w:ilvl="0">
      <w:lvlJc w:val="left"/>
      <w:lvlText w:val="%1."/>
      <w:numFmt w:val="decimal"/>
      <w:start w:val="1"/>
    </w:lvl>
    <w:lvl w:ilvl="1">
      <w:lvlJc w:val="left"/>
      <w:lvlText w:val="(%2)"/>
      <w:numFmt w:val="lowerLetter"/>
      <w:start w:val="1"/>
    </w:lvl>
  </w:abstractNum>
  <w:abstractNum w:abstractNumId="71">
    <w:nsid w:val="71EA110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72">
    <w:nsid w:val="100F59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73">
    <w:nsid w:val="7FB7E0AA"/>
    <w:multiLevelType w:val="hybridMultilevel"/>
    <w:lvl w:ilvl="0">
      <w:lvlJc w:val="left"/>
      <w:lvlText w:val="(%1)"/>
      <w:numFmt w:val="lowerLetter"/>
      <w:start w:val="4"/>
    </w:lvl>
  </w:abstractNum>
  <w:abstractNum w:abstractNumId="74">
    <w:nsid w:val="6EB5BD4"/>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75">
    <w:nsid w:val="6F6DD9AC"/>
    <w:multiLevelType w:val="hybridMultilevel"/>
    <w:lvl w:ilvl="0">
      <w:lvlJc w:val="left"/>
      <w:lvlText w:val="(%1)"/>
      <w:numFmt w:val="lowerLetter"/>
      <w:start w:val="4"/>
    </w:lvl>
    <w:lvl w:ilvl="1">
      <w:lvlJc w:val="left"/>
      <w:lvlText w:val="(%2)"/>
      <w:numFmt w:val="lowerRoman"/>
      <w:start w:val="1"/>
    </w:lvl>
  </w:abstractNum>
  <w:abstractNum w:abstractNumId="76">
    <w:nsid w:val="94211F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7">
    <w:nsid w:val="885E1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lvl w:ilvl="4">
      <w:lvlJc w:val="left"/>
      <w:lvlText w:val="(%5)"/>
      <w:numFmt w:val="upperLetter"/>
      <w:start w:val="1"/>
    </w:lvl>
  </w:abstractNum>
  <w:abstractNum w:abstractNumId="78">
    <w:nsid w:val="76272110"/>
    <w:multiLevelType w:val="hybridMultilevel"/>
    <w:lvl w:ilvl="0">
      <w:lvlJc w:val="left"/>
      <w:lvlText w:val="(%1)"/>
      <w:numFmt w:val="decimal"/>
      <w:start w:val="4"/>
    </w:lvl>
    <w:lvl w:ilvl="1">
      <w:lvlJc w:val="left"/>
      <w:lvlText w:val="%2."/>
      <w:numFmt w:val="decimal"/>
      <w:start w:val="11"/>
    </w:lvl>
    <w:lvl w:ilvl="2">
      <w:lvlJc w:val="left"/>
      <w:lvlText w:val="(%3)"/>
      <w:numFmt w:val="lowerLetter"/>
      <w:start w:val="1"/>
    </w:lvl>
    <w:lvl w:ilvl="3">
      <w:lvlJc w:val="left"/>
      <w:lvlText w:val="%4"/>
      <w:numFmt w:val="lowerLetter"/>
      <w:start w:val="1"/>
    </w:lvl>
    <w:lvl w:ilvl="4">
      <w:lvlJc w:val="left"/>
      <w:lvlText w:val="(%5)"/>
      <w:numFmt w:val="upperLetter"/>
      <w:start w:val="2"/>
    </w:lvl>
  </w:abstractNum>
  <w:abstractNum w:abstractNumId="79">
    <w:nsid w:val="4C04A8AF"/>
    <w:multiLevelType w:val="hybridMultilevel"/>
    <w:lvl w:ilvl="0">
      <w:lvlJc w:val="left"/>
      <w:lvlText w:val="%1."/>
      <w:numFmt w:val="decimal"/>
      <w:start w:val="1"/>
    </w:lvl>
    <w:lvl w:ilvl="1">
      <w:lvlJc w:val="left"/>
      <w:lvlText w:val="(%2)"/>
      <w:numFmt w:val="lowerLetter"/>
      <w:start w:val="1"/>
    </w:lvl>
  </w:abstractNum>
  <w:abstractNum w:abstractNumId="80">
    <w:nsid w:val="1716703B"/>
    <w:multiLevelType w:val="hybridMultilevel"/>
    <w:lvl w:ilvl="0">
      <w:lvlJc w:val="left"/>
      <w:lvlText w:val="(%1)"/>
      <w:numFmt w:val="lowerLetter"/>
      <w:start w:val="5"/>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lowerLetter"/>
      <w:start w:val="3"/>
    </w:lvl>
  </w:abstractNum>
  <w:abstractNum w:abstractNumId="83">
    <w:nsid w:val="74DE0EE3"/>
    <w:multiLevelType w:val="hybridMultilevel"/>
    <w:lvl w:ilvl="0">
      <w:lvlJc w:val="left"/>
      <w:lvlText w:val="%1."/>
      <w:numFmt w:val="decimal"/>
      <w:start w:val="2"/>
    </w:lvl>
  </w:abstractNum>
  <w:abstractNum w:abstractNumId="84">
    <w:nsid w:val="68EBC550"/>
    <w:multiLevelType w:val="hybridMultilevel"/>
    <w:lvl w:ilvl="0">
      <w:lvlJc w:val="left"/>
      <w:lvlText w:val="(%1)"/>
      <w:numFmt w:val="lowerLetter"/>
      <w:start w:val="2"/>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decimal"/>
      <w:start w:val="5"/>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5"/>
    </w:lvl>
  </w:abstractNum>
  <w:abstractNum w:abstractNumId="92">
    <w:nsid w:val="60EF0119"/>
    <w:multiLevelType w:val="hybridMultilevel"/>
    <w:lvl w:ilvl="0">
      <w:lvlJc w:val="left"/>
      <w:lvlText w:val="%1)"/>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136" Type="http://schemas.openxmlformats.org/officeDocument/2006/relationships/hyperlink" Target="http://www.sec.gov/Archives/edgar/data/1563880/000119312519142949/d740290dex31.htm" TargetMode="External"/><Relationship Id="rId137" Type="http://schemas.openxmlformats.org/officeDocument/2006/relationships/hyperlink" Target="http://www.sec.gov/Archives/edgar/data/1563880/000119312519142949/d740290dex32.htm" TargetMode="External"/><Relationship Id="rId138" Type="http://schemas.openxmlformats.org/officeDocument/2006/relationships/hyperlink" Target="http://www.sec.gov/Archives/edgar/data/1563880/000119312519099340/d643194dex41.htm" TargetMode="External"/><Relationship Id="rId139" Type="http://schemas.openxmlformats.org/officeDocument/2006/relationships/hyperlink" Target="http://www.sec.gov/Archives/edgar/data/1563880/000119312519099340/d643194dex101.htm" TargetMode="External"/><Relationship Id="rId140" Type="http://schemas.openxmlformats.org/officeDocument/2006/relationships/hyperlink" Target="http://www.sec.gov/Archives/edgar/data/1563880/000119312519099340/d643194dex102.htm" TargetMode="External"/><Relationship Id="rId141" Type="http://schemas.openxmlformats.org/officeDocument/2006/relationships/hyperlink" Target="http://www.sec.gov/Archives/edgar/data/1563880/000119312519099340/d643194dex103.htm" TargetMode="External"/><Relationship Id="rId142" Type="http://schemas.openxmlformats.org/officeDocument/2006/relationships/hyperlink" Target="http://www.sec.gov/Archives/edgar/data/1563880/000119312519099340/d643194dex104.htm" TargetMode="External"/><Relationship Id="rId143" Type="http://schemas.openxmlformats.org/officeDocument/2006/relationships/hyperlink" Target="http://www.sec.gov/Archives/edgar/data/1563880/000119312519099340/d643194dex105.htm" TargetMode="External"/><Relationship Id="rId144" Type="http://schemas.openxmlformats.org/officeDocument/2006/relationships/hyperlink" Target="http://www.sec.gov/Archives/edgar/data/1563880/000119312519099340/d643194dex106.htm" TargetMode="External"/><Relationship Id="rId145" Type="http://schemas.openxmlformats.org/officeDocument/2006/relationships/hyperlink" Target="http://www.sec.gov/Archives/edgar/data/1563880/000119312519099340/d643194dex107.htm" TargetMode="External"/><Relationship Id="rId148" Type="http://schemas.openxmlformats.org/officeDocument/2006/relationships/hyperlink" Target="http://www.sec.gov/Archives/edgar/data/1563880/000119312519253605/d808144dex101.htm" TargetMode="External"/><Relationship Id="rId149" Type="http://schemas.openxmlformats.org/officeDocument/2006/relationships/hyperlink" Target="http://www.sec.gov/Archives/edgar/data/1563880/000119312519099340/d643194dex108.htm" TargetMode="External"/><Relationship Id="rId150" Type="http://schemas.openxmlformats.org/officeDocument/2006/relationships/hyperlink" Target="http://www.sec.gov/Archives/edgar/data/1563880/000119312519099340/d643194dex1010.htm" TargetMode="External"/><Relationship Id="rId151" Type="http://schemas.openxmlformats.org/officeDocument/2006/relationships/hyperlink" Target="http://www.sec.gov/Archives/edgar/data/1563880/000119312519099340/d643194dex1011.htm" TargetMode="External"/><Relationship Id="rId152" Type="http://schemas.openxmlformats.org/officeDocument/2006/relationships/hyperlink" Target="http://www.sec.gov/Archives/edgar/data/1563880/000119312519099340/d643194dex1012.htm" TargetMode="External"/><Relationship Id="rId153" Type="http://schemas.openxmlformats.org/officeDocument/2006/relationships/hyperlink" Target="http://www.sec.gov/Archives/edgar/data/1563880/000119312519099340/d643194dex1013.htm" TargetMode="External"/><Relationship Id="rId154" Type="http://schemas.openxmlformats.org/officeDocument/2006/relationships/hyperlink" Target="http://www.sec.gov/Archives/edgar/data/1563880/000119312519099340/d643194dex1014.htm" TargetMode="External"/><Relationship Id="rId155" Type="http://schemas.openxmlformats.org/officeDocument/2006/relationships/hyperlink" Target="http://www.sec.gov/Archives/edgar/data/1563880/000119312519099340/d643194dex1015.htm" TargetMode="External"/><Relationship Id="rId156" Type="http://schemas.openxmlformats.org/officeDocument/2006/relationships/hyperlink" Target="http://www.sec.gov/Archives/edgar/data/1563880/000119312519099340/d643194dex1016.htm" TargetMode="External"/><Relationship Id="rId157" Type="http://schemas.openxmlformats.org/officeDocument/2006/relationships/hyperlink" Target="http://www.sec.gov/Archives/edgar/data/1563880/000119312519138831/d643194dex1017.htm" TargetMode="External"/><Relationship Id="rId158" Type="http://schemas.openxmlformats.org/officeDocument/2006/relationships/hyperlink" Target="http://www.sec.gov/Archives/edgar/data/1563880/000119312519099340/d64319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2020-03-16T07:21:05Z</dcterms:created>
  <dcterms:modified xsi:type="dcterms:W3CDTF">2020-03-16T07:21:05Z</dcterms:modified>
</cp:coreProperties>
</file>