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rvi-20230930.htm"/>
      <w:bookmarkStart w:id="1" w:name="kstrvi20230930"/>
      <w:bookmarkEnd w:id="0"/>
      <w:bookmarkEnd w:id="1"/>
      <w:r>
        <w:rPr/>
        <w:t> </w:t>
      </w:r>
    </w:p>
    <w:p>
      <w:pPr>
        <w:pStyle w:val="TextBody"/>
        <w:pBdr>
          <w:bottom w:val="double" w:sz="6" w:space="1" w:color="000000"/>
        </w:pBdr>
        <w:bidi w:val="0"/>
        <w:jc w:val="center"/>
        <w:rPr>
          <w:rFonts w:ascii="Times New Roman" w:hAnsi="Times New Roman"/>
          <w:b/>
          <w:color w:val="000000"/>
          <w:sz w:val="8"/>
        </w:rPr>
      </w:pPr>
      <w:r>
        <w:rPr>
          <w:rFonts w:ascii="Times New Roman" w:hAnsi="Times New Roman"/>
          <w:b/>
          <w:color w:val="000000"/>
          <w:sz w:val="8"/>
        </w:rPr>
        <w:t>h</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u w:val="single"/>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b/>
          <w:color w:val="222222"/>
          <w:sz w:val="20"/>
        </w:rPr>
        <w:t>001-38886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TREVI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45-0834299</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vAlign w:val="center"/>
          </w:tcPr>
          <w:p>
            <w:pPr>
              <w:pStyle w:val="TableContents"/>
              <w:bidi w:val="0"/>
              <w:spacing w:before="120" w:after="283"/>
              <w:jc w:val="center"/>
              <w:rPr>
                <w:rFonts w:ascii="Times New Roman" w:hAnsi="Times New Roman"/>
                <w:sz w:val="20"/>
              </w:rPr>
            </w:pPr>
            <w:r>
              <w:rPr>
                <w:rFonts w:ascii="Times New Roman" w:hAnsi="Times New Roman"/>
                <w:b/>
                <w:color w:val="000000"/>
                <w:sz w:val="20"/>
              </w:rPr>
              <w:t>195 Church Street, 16</w:t>
            </w:r>
            <w:r>
              <w:rPr>
                <w:rFonts w:ascii="Times New Roman" w:hAnsi="Times New Roman"/>
                <w:b/>
                <w:color w:val="000000"/>
                <w:sz w:val="13"/>
              </w:rPr>
              <w:t>th</w:t>
            </w:r>
            <w:r>
              <w:rPr>
                <w:rFonts w:ascii="Times New Roman" w:hAnsi="Times New Roman"/>
                <w:color w:val="000000"/>
                <w:sz w:val="20"/>
              </w:rPr>
              <w:t xml:space="preserve"> </w:t>
            </w:r>
            <w:r>
              <w:rPr>
                <w:rFonts w:ascii="Times New Roman" w:hAnsi="Times New Roman"/>
                <w:b/>
                <w:color w:val="000000"/>
                <w:sz w:val="20"/>
              </w:rPr>
              <w:t>Floor</w:t>
            </w:r>
          </w:p>
          <w:p>
            <w:pPr>
              <w:pStyle w:val="TableContents"/>
              <w:bidi w:val="0"/>
              <w:spacing w:before="0" w:after="283"/>
              <w:jc w:val="center"/>
              <w:rPr>
                <w:rFonts w:ascii="Times New Roman" w:hAnsi="Times New Roman"/>
                <w:sz w:val="20"/>
              </w:rPr>
            </w:pPr>
            <w:r>
              <w:rPr>
                <w:rFonts w:ascii="Times New Roman" w:hAnsi="Times New Roman"/>
                <w:b/>
                <w:color w:val="000000"/>
                <w:sz w:val="20"/>
              </w:rPr>
              <w:t>New Haven, Connecticut</w:t>
            </w:r>
            <w:r>
              <w:rPr>
                <w:rFonts w:ascii="Times New Roman" w:hAnsi="Times New Roman"/>
                <w:color w:val="000000"/>
                <w:sz w:val="20"/>
              </w:rPr>
              <w:t xml:space="preserve"> </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06510</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(203) 304-2499</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00" w:type="dxa"/>
        <w:jc w:val="left"/>
        <w:tblInd w:w="0" w:type="dxa"/>
        <w:tblLayout w:type="fixed"/>
        <w:tblCellMar>
          <w:top w:w="28" w:type="dxa"/>
          <w:left w:w="28" w:type="dxa"/>
          <w:bottom w:w="28" w:type="dxa"/>
          <w:right w:w="28" w:type="dxa"/>
        </w:tblCellMar>
      </w:tblPr>
      <w:tblGrid>
        <w:gridCol w:w="3766"/>
        <w:gridCol w:w="146"/>
        <w:gridCol w:w="826"/>
        <w:gridCol w:w="146"/>
        <w:gridCol w:w="331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$0.001 par value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TRVI</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b w:val="false"/>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As of November 9, 2023, the registrant had 63,857,622</w:t>
      </w:r>
      <w:r>
        <w:rPr>
          <w:rFonts w:ascii="Times New Roman" w:hAnsi="Times New Roman"/>
          <w:color w:val="000000"/>
          <w:sz w:val="20"/>
        </w:rPr>
        <w:t xml:space="preserve"> </w:t>
      </w:r>
      <w:r>
        <w:rPr>
          <w:rFonts w:ascii="Times New Roman" w:hAnsi="Times New Roman"/>
          <w:b w:val="false"/>
          <w:color w:val="000000"/>
          <w:sz w:val="18"/>
        </w:rPr>
        <w:t>shares of common stock, $0.001 par value per share, outstanding.</w:t>
      </w:r>
    </w:p>
    <w:p>
      <w:pPr>
        <w:pStyle w:val="TextBody"/>
        <w:pBdr>
          <w:bottom w:val="double" w:sz="6"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 AND INDUSTRY DATA</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forward-looking statements in this Quarterly Report on Form 10-Q include, among other things, statements about: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clinical trials, including our planned trials of Haduvio for the treatment of chronic cough in idiopathic pulmonary fibrosis, or IPF, our Phase 2a RIVER clinical trial of Haduvio for the treatment of refractory chronic cough and our Phase 2b/3 PRISM trial of Haduvio for the treatment of prurigo nodularis;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plans to develop and, if approved, subsequently commercialize Haduvio for the treatment of chronic cough in IPF and refractory chronic cough and for the treatment of prurigo nodularis;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expectations regarding the timing for the initiation of clinical trials and the reporting of data from such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of and our ability to submit applications for and to obtain and maintain regulatory approvals for Haduvio;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expectations regarding our ability to fund our operating expenses, including our ongoing and planned clinical trials, with our cash, cash equivalents and marketable securities;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estimates regarding expenses, future revenue, timing of any future revenue, capital requirements and needs for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impact of government laws and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competitive position;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establish and maintain collaborations.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Haduvio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own or have rights to trademarks, service marks and trade names that we use in connection with the operation of our business, including our corporate name, logos and website names. We own the trademarks Trevi</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 xml:space="preserve">and Haduvio.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and  symbols, but we will assert, to the fullest extent under applicable law, our rights to our trademarks, service marks and trade names. We intend to propose Haduvio as the trade name for our oral nalbuphine ER investigational product.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the “Risk Factors” section of this Quarterly Report on Form 10-Q and should be carefully considered, together with other information in this Quarterly Report on Form 10-Q and our other filings with the Securities and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incurred significant losses since inception and expect to continue to incur significant and increasing losses for the foreseeable future. We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will need substantial additional funding. If we are unable to raise sufficient capital when needed on acceptable terms or at all, we could be forced to delay, reduce or abandon our product development programs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in the process of designing future clinical trials of Haduvio for the treatment of chronic cough in IPF and have initiated our Phase 2a RIVER trial of Haduvio for the treatment of refractory chronic cough. Before initiating the trials at sites in the U.S., we will need to submit an IND for Haduvio to the U.S. Food and Drug Administration, or FDA. Prior to initiating the trials at sites outside the U.S., we will need to complete regulatory submissions in countries selected for the trials. Changes in the design of ongoing or planned trials or regulatory delays may affect the timing and costs of the trials and changes in the timing or costs of the trials for these or other reasons may affect our ability to complete the planned trials with our existing cash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outcome of clinical trials may not be predictive of the success of later clinical trials. For instance, Haduvio may fail to show the desired safety and efficacy in clinical development despite demonstrating positive results in earlier clinical trials. The results of our Phase 2 CANAL trial may not be predictive of the results of future trials of Haduvio for the treatment of chronic cough in IPF or our Phase 2a RIVER clinical trial of Haduvio for the treatment of refractory chronic cough, and the results of our Phase 2b/3 PRISM trial in Haduvio for the treatment of prurigo nodularis may not be predictive of the results of any future trial in prurigo nodularis.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experienced delays and difficulties in the enrollment of subjects in our clinical trials in the past, including in our Phase 2 CANAL trial and our Phase 2b/3 PRISM trial. If we experience delays or difficulties in the enrollment of subjects in future clinical trials, our receipt of necessary regulatory approvals could be delayed or prevented. Other companies are conducting clinical trials or have announced plans for future clinical trials that are seeking or are likely to seek to enroll subjects with IPF, refractory chronic cough and prurigo nodularis, and subjects are generally only able to enroll in a single trial at a time. In addition, many patients use various treatments off-label to treat chronic cough associated with IPF, refractory chronic cough and prurigo nodularis, and these patients and their physicians may be reluctant to forgo, discontinue or otherwise alter their use of such off-label therapeutic approaches to participate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Clinical drug development involves a lengthy and expensive process with an uncertain outcome. Even if we complete the necessary preclinical studies and clinical trials, the regulatory approval process is expensive, time-consuming and uncertain, which may prevent us from obtaining approvals for the commercialization of Haduvio or any future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Adverse events or undesirable side effects caused by, or other unexpected properties of, Haduvio or any future project candidate may be identified during development and could delay or prevent the marketing approval or limit the use of Haduvio or any future product. Haduvio, as a mixed κ-opioid receptor agonist and μ-opioid receptor antagonist, may be susceptible to side effects associated with drugs having either of those mechanisms of action, including psychiatric side effects, withdrawal effects, respiratory depression and potential cardiac risk, as well as endocrine side effects associated with opioids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drug label for nalbuphine, the active ingredient in Haduvio, carries an opioid class label warning for serious, life-threatening or fatal respiratory depression and Haduvio, if approved for marketing in any indication, will likely carry a similar opioid class label. We intend to conduct a Phase 1b study of Haduvio to evaluate the effect of Haduvio on respiratory physiology in patients with IPF of varying disease severity. If there is a safety signal in the Phase 1b study, it could affect our ability to conduct a trial in this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Many currently approved μ-opioid products are subject to restrictive marketing and distribution regulations which, if applied to Haduvio, could potentially restrict its use and harm our ability to generate profits. We are conducting a human abuse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potential, or HAP, study to determine the abuse potential of oral nalbuphine ER relative to intravenous, or IV, butorphanol. If the results of the HAP study suggest that Haduvio may carry risks of misuse, abuse or addiction or even if the trial indicates that Haduvio does not carry such risks, the FDA may require us to implement a Risk Evaluation and Mitigation Strategy in connection with any commercialization of Haduvio and the U.S. Drug Enforcement Agency could determine that Haduvio should be classified as a controlled substance.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face substantial competition, which may result in others developing or commercializing products before or more successfully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contract with third parties to conduct our clinical trials and for the manufacture, storage, packaging and distribution of Haduvio and other drug product for clinical trials, including a single supplier for the active ingredient in Haduvio. We expect to continue to rely on third parties for these services in connection with our future development and commercialization efforts for Haduvio. If they do not perform satisfactorily or if they experience delays or shortages, our business could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fail to comply with our obligations under our existing and any future intellectual property licenses with third parties, including our license with Endo Pharmaceuticals Inc., we could lose license rights that are critical to our business or owe damages to the licensor of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are unable to obtain and maintain sufficient patent protection for Haduvio or any future product candidate and the disease indications for which we are developing or may in the future develop Haduvio or any other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financings.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b w:val="false"/>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b w:val="false"/>
                  <w:color w:val="0000FF"/>
                  <w:sz w:val="20"/>
                  <w:u w:val="single"/>
                </w:rPr>
                <w:t>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b w:val="false"/>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b w:val="false"/>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_of_stockholders_e">
              <w:r>
                <w:rPr>
                  <w:rStyle w:val="InternetLink"/>
                  <w:rFonts w:ascii="Times New Roman" w:hAnsi="Times New Roman"/>
                  <w:b w:val="false"/>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b w:val="false"/>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b w:val="false"/>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b w:val="false"/>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Condensed Consolidated Financial Statements.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93"/>
        <w:gridCol w:w="146"/>
        <w:gridCol w:w="215"/>
        <w:gridCol w:w="861"/>
        <w:gridCol w:w="166"/>
        <w:gridCol w:w="146"/>
        <w:gridCol w:w="213"/>
        <w:gridCol w:w="851"/>
        <w:gridCol w:w="614"/>
      </w:tblGrid>
      <w:tr>
        <w:trPr/>
        <w:tc>
          <w:tcPr>
            <w:tcW w:w="6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993" w:type="dxa"/>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br/>
            </w:r>
            <w:r>
              <w:rPr>
                <w:rFonts w:ascii="Times New Roman" w:hAnsi="Times New Roman"/>
                <w:color w:val="000000"/>
                <w:sz w:val="16"/>
              </w:rPr>
              <w:t> </w:t>
            </w:r>
          </w:p>
        </w:tc>
        <w:tc>
          <w:tcPr>
            <w:tcW w:w="146" w:type="dxa"/>
            <w:tcBorders/>
            <w:shd w:fill="FFFFFF" w:val="cle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3"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4"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jc w:val="right"/>
              <w:rPr/>
            </w:pPr>
            <w:r>
              <w:rPr/>
              <w:t> </w:t>
            </w:r>
          </w:p>
        </w:tc>
      </w:tr>
      <w:tr>
        <w:trPr/>
        <w:tc>
          <w:tcPr>
            <w:tcW w:w="6993"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Current assets:</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4"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ind w:left="0" w:right="0" w:firstLine="200"/>
              <w:jc w:val="right"/>
              <w:rPr/>
            </w:pPr>
            <w:r>
              <w:rPr/>
              <w:t> </w:t>
            </w:r>
          </w:p>
        </w:tc>
      </w:tr>
      <w:tr>
        <w:trPr/>
        <w:tc>
          <w:tcPr>
            <w:tcW w:w="699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Cash and cash equivalents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25,965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12,589</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99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Marketable securities</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62,903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107,921</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99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Prepaid expenses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4,039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795</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99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Other current assets</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1,311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3"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9"/>
              </w:rPr>
            </w:pPr>
            <w:r>
              <w:rPr>
                <w:rFonts w:ascii="Times New Roman" w:hAnsi="Times New Roman"/>
                <w:b w:val="false"/>
                <w:color w:val="000000"/>
                <w:sz w:val="19"/>
              </w:rPr>
              <w:t>Total current assets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93,953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122,616</w:t>
            </w:r>
          </w:p>
        </w:tc>
        <w:tc>
          <w:tcPr>
            <w:tcW w:w="614" w:type="dxa"/>
            <w:tcBorders/>
            <w:shd w:fill="CFF0FC" w:val="clear"/>
            <w:vAlign w:val="center"/>
          </w:tcPr>
          <w:p>
            <w:pPr>
              <w:pStyle w:val="TableContents"/>
              <w:bidi w:val="0"/>
              <w:spacing w:before="0" w:after="283"/>
              <w:jc w:val="left"/>
              <w:rPr/>
            </w:pPr>
            <w:r>
              <w:rPr/>
              <w:t> </w:t>
            </w:r>
          </w:p>
        </w:tc>
      </w:tr>
      <w:tr>
        <w:trPr/>
        <w:tc>
          <w:tcPr>
            <w:tcW w:w="6993"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24</w:t>
            </w:r>
          </w:p>
        </w:tc>
        <w:tc>
          <w:tcPr>
            <w:tcW w:w="614" w:type="dxa"/>
            <w:tcBorders/>
            <w:shd w:fill="FFFFFF" w:val="clear"/>
            <w:vAlign w:val="center"/>
          </w:tcPr>
          <w:p>
            <w:pPr>
              <w:pStyle w:val="TableContents"/>
              <w:bidi w:val="0"/>
              <w:spacing w:before="0" w:after="283"/>
              <w:jc w:val="left"/>
              <w:rPr/>
            </w:pPr>
            <w:r>
              <w:rPr/>
              <w:t> </w:t>
            </w:r>
          </w:p>
        </w:tc>
      </w:tr>
      <w:tr>
        <w:trPr/>
        <w:tc>
          <w:tcPr>
            <w:tcW w:w="6993"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Other non-current assets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205</w:t>
            </w:r>
          </w:p>
        </w:tc>
        <w:tc>
          <w:tcPr>
            <w:tcW w:w="614" w:type="dxa"/>
            <w:tcBorders/>
            <w:shd w:fill="CFF0FC" w:val="clear"/>
            <w:vAlign w:val="center"/>
          </w:tcPr>
          <w:p>
            <w:pPr>
              <w:pStyle w:val="TableContents"/>
              <w:bidi w:val="0"/>
              <w:spacing w:before="0" w:after="283"/>
              <w:jc w:val="left"/>
              <w:rPr/>
            </w:pPr>
            <w:r>
              <w:rPr/>
              <w:t> </w:t>
            </w:r>
          </w:p>
        </w:tc>
      </w:tr>
      <w:tr>
        <w:trPr/>
        <w:tc>
          <w:tcPr>
            <w:tcW w:w="6993"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Property, equipment and leasehold improvements, net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170</w:t>
            </w:r>
          </w:p>
        </w:tc>
        <w:tc>
          <w:tcPr>
            <w:tcW w:w="614" w:type="dxa"/>
            <w:tcBorders/>
            <w:shd w:fill="FFFFFF" w:val="clear"/>
            <w:vAlign w:val="center"/>
          </w:tcPr>
          <w:p>
            <w:pPr>
              <w:pStyle w:val="TableContents"/>
              <w:bidi w:val="0"/>
              <w:spacing w:before="0" w:after="283"/>
              <w:jc w:val="left"/>
              <w:rPr/>
            </w:pPr>
            <w:r>
              <w:rPr/>
              <w:t> </w:t>
            </w:r>
          </w:p>
        </w:tc>
      </w:tr>
      <w:tr>
        <w:trPr/>
        <w:tc>
          <w:tcPr>
            <w:tcW w:w="6993"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Finance lease right-of-use assets</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3"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9"/>
              </w:rPr>
            </w:pPr>
            <w:r>
              <w:rPr>
                <w:rFonts w:ascii="Times New Roman" w:hAnsi="Times New Roman"/>
                <w:b w:val="false"/>
                <w:color w:val="000000"/>
                <w:sz w:val="19"/>
              </w:rPr>
              <w:t>Total assets</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95,896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123,015</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3"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4"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6993"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Current liabilities:</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4"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ind w:left="0" w:right="0" w:firstLine="200"/>
              <w:jc w:val="right"/>
              <w:rPr/>
            </w:pPr>
            <w:r>
              <w:rPr/>
              <w:t> </w:t>
            </w:r>
          </w:p>
        </w:tc>
      </w:tr>
      <w:tr>
        <w:trPr/>
        <w:tc>
          <w:tcPr>
            <w:tcW w:w="699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Accounts payable</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2,857</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99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Accrued expenses</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3,625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3,518</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99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25</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99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Finance lease liabilities</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99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Term loan</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7,000</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3"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9"/>
              </w:rPr>
            </w:pPr>
            <w:r>
              <w:rPr>
                <w:rFonts w:ascii="Times New Roman" w:hAnsi="Times New Roman"/>
                <w:b w:val="false"/>
                <w:color w:val="000000"/>
                <w:sz w:val="19"/>
              </w:rPr>
              <w:t>Total current liabilities</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5,173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13,400</w:t>
            </w:r>
          </w:p>
        </w:tc>
        <w:tc>
          <w:tcPr>
            <w:tcW w:w="614" w:type="dxa"/>
            <w:tcBorders/>
            <w:shd w:fill="FFFFFF" w:val="clear"/>
            <w:vAlign w:val="center"/>
          </w:tcPr>
          <w:p>
            <w:pPr>
              <w:pStyle w:val="TableContents"/>
              <w:bidi w:val="0"/>
              <w:spacing w:before="0" w:after="283"/>
              <w:jc w:val="left"/>
              <w:rPr/>
            </w:pPr>
            <w:r>
              <w:rPr/>
              <w:t> </w:t>
            </w:r>
          </w:p>
        </w:tc>
      </w:tr>
      <w:tr>
        <w:trPr/>
        <w:tc>
          <w:tcPr>
            <w:tcW w:w="6993"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w:t>
            </w:r>
          </w:p>
        </w:tc>
        <w:tc>
          <w:tcPr>
            <w:tcW w:w="614" w:type="dxa"/>
            <w:tcBorders/>
            <w:shd w:fill="CFF0FC" w:val="clear"/>
            <w:vAlign w:val="center"/>
          </w:tcPr>
          <w:p>
            <w:pPr>
              <w:pStyle w:val="TableContents"/>
              <w:bidi w:val="0"/>
              <w:spacing w:before="0" w:after="283"/>
              <w:jc w:val="left"/>
              <w:rPr/>
            </w:pPr>
            <w:r>
              <w:rPr/>
              <w:t> </w:t>
            </w:r>
          </w:p>
        </w:tc>
      </w:tr>
      <w:tr>
        <w:trPr/>
        <w:tc>
          <w:tcPr>
            <w:tcW w:w="6993"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Finance lease liabilities</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jc w:val="left"/>
              <w:rPr/>
            </w:pPr>
            <w:r>
              <w:rPr/>
              <w:t> </w:t>
            </w:r>
          </w:p>
        </w:tc>
      </w:tr>
      <w:tr>
        <w:trPr/>
        <w:tc>
          <w:tcPr>
            <w:tcW w:w="6993"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Term loan</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2,151</w:t>
            </w:r>
          </w:p>
        </w:tc>
        <w:tc>
          <w:tcPr>
            <w:tcW w:w="614" w:type="dxa"/>
            <w:tcBorders/>
            <w:shd w:fill="CFF0FC" w:val="clear"/>
            <w:vAlign w:val="center"/>
          </w:tcPr>
          <w:p>
            <w:pPr>
              <w:pStyle w:val="TableContents"/>
              <w:bidi w:val="0"/>
              <w:spacing w:before="0" w:after="283"/>
              <w:jc w:val="left"/>
              <w:rPr/>
            </w:pPr>
            <w:r>
              <w:rPr/>
              <w:t> </w:t>
            </w:r>
          </w:p>
        </w:tc>
      </w:tr>
      <w:tr>
        <w:trPr/>
        <w:tc>
          <w:tcPr>
            <w:tcW w:w="6993"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3"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9"/>
              </w:rPr>
            </w:pPr>
            <w:r>
              <w:rPr>
                <w:rFonts w:ascii="Times New Roman" w:hAnsi="Times New Roman"/>
                <w:b w:val="false"/>
                <w:color w:val="000000"/>
                <w:sz w:val="19"/>
              </w:rPr>
              <w:t>Total liabilities</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15,556</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3"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Commitments and contingencies (Note 12)</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4"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jc w:val="right"/>
              <w:rPr/>
            </w:pPr>
            <w:r>
              <w:rPr/>
              <w:t> </w:t>
            </w:r>
          </w:p>
        </w:tc>
      </w:tr>
      <w:tr>
        <w:trPr/>
        <w:tc>
          <w:tcPr>
            <w:tcW w:w="6993"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Stockholders’ equity:</w:t>
            </w:r>
          </w:p>
        </w:tc>
        <w:tc>
          <w:tcPr>
            <w:tcW w:w="146" w:type="dxa"/>
            <w:tcBorders/>
            <w:shd w:fill="CFF0FC" w:val="clear"/>
            <w:vAlign w:val="center"/>
          </w:tcPr>
          <w:p>
            <w:pPr>
              <w:pStyle w:val="TableContents"/>
              <w:bidi w:val="0"/>
              <w:spacing w:before="0" w:after="283"/>
              <w:jc w:val="left"/>
              <w:rPr/>
            </w:pPr>
            <w:r>
              <w:rPr/>
              <w:t> </w:t>
            </w:r>
          </w:p>
        </w:tc>
        <w:tc>
          <w:tcPr>
            <w:tcW w:w="10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4"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ind w:left="0" w:right="0" w:firstLine="200"/>
              <w:jc w:val="right"/>
              <w:rPr/>
            </w:pPr>
            <w:r>
              <w:rPr/>
              <w:t> </w:t>
            </w:r>
          </w:p>
        </w:tc>
      </w:tr>
      <w:tr>
        <w:trPr/>
        <w:tc>
          <w:tcPr>
            <w:tcW w:w="6993"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9"/>
              </w:rPr>
              <w:t>Preferred stock: $0.001</w:t>
            </w:r>
            <w:r>
              <w:rPr>
                <w:rFonts w:ascii="Times New Roman" w:hAnsi="Times New Roman"/>
                <w:color w:val="000000"/>
                <w:sz w:val="20"/>
              </w:rPr>
              <w:t> </w:t>
            </w:r>
            <w:r>
              <w:rPr>
                <w:rFonts w:ascii="Times New Roman" w:hAnsi="Times New Roman"/>
                <w:b w:val="false"/>
                <w:color w:val="000000"/>
                <w:sz w:val="19"/>
              </w:rPr>
              <w:t>par value; 5,000,000</w:t>
            </w:r>
            <w:r>
              <w:rPr>
                <w:rFonts w:ascii="Times New Roman" w:hAnsi="Times New Roman"/>
                <w:color w:val="000000"/>
                <w:sz w:val="20"/>
              </w:rPr>
              <w:t> </w:t>
            </w:r>
            <w:r>
              <w:rPr>
                <w:rFonts w:ascii="Times New Roman" w:hAnsi="Times New Roman"/>
                <w:b w:val="false"/>
                <w:color w:val="000000"/>
                <w:sz w:val="19"/>
              </w:rPr>
              <w:t>shares authorized at September 30, 2023 and December 31, 2022; no</w:t>
            </w:r>
            <w:r>
              <w:rPr>
                <w:rFonts w:ascii="Times New Roman" w:hAnsi="Times New Roman"/>
                <w:color w:val="000000"/>
                <w:sz w:val="20"/>
              </w:rPr>
              <w:t> </w:t>
            </w:r>
            <w:r>
              <w:rPr>
                <w:rFonts w:ascii="Times New Roman" w:hAnsi="Times New Roman"/>
                <w:b w:val="false"/>
                <w:color w:val="000000"/>
                <w:sz w:val="19"/>
              </w:rPr>
              <w:t>shares issued or outstanding at September 30, 2023 and December 31, 2022.</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993"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9"/>
              </w:rPr>
              <w:t>Common stock: $0.001</w:t>
            </w:r>
            <w:r>
              <w:rPr>
                <w:rFonts w:ascii="Times New Roman" w:hAnsi="Times New Roman"/>
                <w:color w:val="000000"/>
                <w:sz w:val="20"/>
              </w:rPr>
              <w:t> </w:t>
            </w:r>
            <w:r>
              <w:rPr>
                <w:rFonts w:ascii="Times New Roman" w:hAnsi="Times New Roman"/>
                <w:b w:val="false"/>
                <w:color w:val="000000"/>
                <w:sz w:val="19"/>
              </w:rPr>
              <w:t>par value; 200,000,000</w:t>
            </w:r>
            <w:r>
              <w:rPr>
                <w:rFonts w:ascii="Times New Roman" w:hAnsi="Times New Roman"/>
                <w:color w:val="000000"/>
                <w:sz w:val="20"/>
              </w:rPr>
              <w:t> </w:t>
            </w:r>
            <w:r>
              <w:rPr>
                <w:rFonts w:ascii="Times New Roman" w:hAnsi="Times New Roman"/>
                <w:b w:val="false"/>
                <w:color w:val="000000"/>
                <w:sz w:val="19"/>
              </w:rPr>
              <w:t>shares authorized at September 30, 2023 and December 31, 2022; and 63,855,330</w:t>
            </w:r>
            <w:r>
              <w:rPr>
                <w:rFonts w:ascii="Times New Roman" w:hAnsi="Times New Roman"/>
                <w:color w:val="000000"/>
                <w:sz w:val="20"/>
              </w:rPr>
              <w:t> </w:t>
            </w:r>
            <w:r>
              <w:rPr>
                <w:rFonts w:ascii="Times New Roman" w:hAnsi="Times New Roman"/>
                <w:b w:val="false"/>
                <w:color w:val="000000"/>
                <w:sz w:val="19"/>
              </w:rPr>
              <w:t>and 59,943,430</w:t>
            </w:r>
            <w:r>
              <w:rPr>
                <w:rFonts w:ascii="Times New Roman" w:hAnsi="Times New Roman"/>
                <w:color w:val="000000"/>
                <w:sz w:val="20"/>
              </w:rPr>
              <w:t> </w:t>
            </w:r>
            <w:r>
              <w:rPr>
                <w:rFonts w:ascii="Times New Roman" w:hAnsi="Times New Roman"/>
                <w:b w:val="false"/>
                <w:color w:val="000000"/>
                <w:sz w:val="19"/>
              </w:rPr>
              <w:t>shares issued and outstanding at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60</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99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Additional paid-in capital</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321,076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317,590</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99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(122</w:t>
            </w:r>
          </w:p>
        </w:tc>
        <w:tc>
          <w:tcPr>
            <w:tcW w:w="61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9"/>
              </w:rPr>
            </w:pPr>
            <w:r>
              <w:rPr>
                <w:rFonts w:ascii="Times New Roman" w:hAnsi="Times New Roman"/>
                <w:b w:val="false"/>
                <w:color w:val="000000"/>
                <w:sz w:val="19"/>
              </w:rPr>
              <w:t>)</w:t>
            </w:r>
          </w:p>
        </w:tc>
      </w:tr>
      <w:tr>
        <w:trPr/>
        <w:tc>
          <w:tcPr>
            <w:tcW w:w="699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Accumulated deficit</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(231,313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(210,069</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19"/>
              </w:rPr>
            </w:pPr>
            <w:r>
              <w:rPr>
                <w:rFonts w:ascii="Times New Roman" w:hAnsi="Times New Roman"/>
                <w:b w:val="false"/>
                <w:color w:val="000000"/>
                <w:sz w:val="19"/>
              </w:rPr>
              <w:t>)</w:t>
            </w:r>
          </w:p>
        </w:tc>
      </w:tr>
      <w:tr>
        <w:trPr/>
        <w:tc>
          <w:tcPr>
            <w:tcW w:w="6993"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9"/>
              </w:rPr>
            </w:pPr>
            <w:r>
              <w:rPr>
                <w:rFonts w:ascii="Times New Roman" w:hAnsi="Times New Roman"/>
                <w:b w:val="false"/>
                <w:color w:val="000000"/>
                <w:sz w:val="19"/>
              </w:rPr>
              <w:t>Total stockholders’ equity</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89,610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107,459</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3"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9"/>
              </w:rPr>
            </w:pPr>
            <w:r>
              <w:rPr>
                <w:rFonts w:ascii="Times New Roman" w:hAnsi="Times New Roman"/>
                <w:b w:val="false"/>
                <w:color w:val="000000"/>
                <w:sz w:val="19"/>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95,896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123,015</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val="false"/>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solidated_statements_operations"/>
      <w:bookmarkEnd w:id="5"/>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15,517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7,733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(9,045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(24,990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(23,250</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(889</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fair value of term loan derivative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24"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(7,711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(8,273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(21,294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(23,663</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tax benefit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(23,647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Basic and diluted net loss per common share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(0.44</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common shares used in net loss per share</w:t>
              <w:br/>
              <w:t>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99,325,540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68,898,810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98,880,882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53,221,949</w:t>
            </w:r>
          </w:p>
        </w:tc>
        <w:tc>
          <w:tcPr>
            <w:tcW w:w="611" w:type="dxa"/>
            <w:tcBorders/>
            <w:shd w:fill="CFF0FC" w:val="cle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(8,266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(21,244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(23,647</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loss: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100"/>
              <w:jc w:val="left"/>
              <w:rPr/>
            </w:pPr>
            <w:r>
              <w:rPr/>
              <w:t> </w:t>
            </w:r>
          </w:p>
        </w:tc>
      </w:tr>
      <w:tr>
        <w:trPr/>
        <w:tc>
          <w:tcPr>
            <w:tcW w:w="352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unrealized gains (losses) on available-for-sale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(23,910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val="false"/>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consolidated_statement_of_stockholders_e"/>
      <w:bookmarkEnd w:id="6"/>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0"/>
        <w:gridCol w:w="146"/>
        <w:gridCol w:w="146"/>
        <w:gridCol w:w="916"/>
        <w:gridCol w:w="146"/>
        <w:gridCol w:w="146"/>
        <w:gridCol w:w="271"/>
        <w:gridCol w:w="480"/>
        <w:gridCol w:w="146"/>
        <w:gridCol w:w="146"/>
        <w:gridCol w:w="205"/>
        <w:gridCol w:w="726"/>
        <w:gridCol w:w="146"/>
        <w:gridCol w:w="146"/>
        <w:gridCol w:w="502"/>
        <w:gridCol w:w="838"/>
        <w:gridCol w:w="166"/>
        <w:gridCol w:w="146"/>
        <w:gridCol w:w="233"/>
        <w:gridCol w:w="893"/>
        <w:gridCol w:w="166"/>
        <w:gridCol w:w="146"/>
        <w:gridCol w:w="246"/>
        <w:gridCol w:w="871"/>
        <w:gridCol w:w="212"/>
      </w:tblGrid>
      <w:tr>
        <w:trPr/>
        <w:tc>
          <w:tcPr>
            <w:tcW w:w="2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0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2" w:type="dxa"/>
            <w:tcBorders/>
            <w:shd w:fill="FFFFFF" w:val="clear"/>
            <w:vAlign w:val="center"/>
          </w:tcPr>
          <w:p>
            <w:pPr>
              <w:pStyle w:val="TableContents"/>
              <w:bidi w:val="0"/>
              <w:spacing w:before="0" w:after="283"/>
              <w:jc w:val="center"/>
              <w:rPr/>
            </w:pPr>
            <w:r>
              <w:rPr/>
              <w:t> </w:t>
            </w:r>
          </w:p>
        </w:tc>
      </w:tr>
      <w:tr>
        <w:trPr/>
        <w:tc>
          <w:tcPr>
            <w:tcW w:w="20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212" w:type="dxa"/>
            <w:tcBorders/>
            <w:shd w:fill="FFFFFF" w:val="clear"/>
            <w:vAlign w:val="center"/>
          </w:tcPr>
          <w:p>
            <w:pPr>
              <w:pStyle w:val="TableContents"/>
              <w:bidi w:val="0"/>
              <w:spacing w:before="0" w:after="283"/>
              <w:jc w:val="center"/>
              <w:rPr/>
            </w:pPr>
            <w:r>
              <w:rPr/>
              <w:t> </w:t>
            </w:r>
          </w:p>
        </w:tc>
      </w:tr>
      <w:tr>
        <w:trPr/>
        <w:tc>
          <w:tcPr>
            <w:tcW w:w="20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0"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2023</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63,098,455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318,873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(223,615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95,073</w:t>
            </w:r>
          </w:p>
        </w:tc>
        <w:tc>
          <w:tcPr>
            <w:tcW w:w="212" w:type="dxa"/>
            <w:tcBorders/>
            <w:shd w:fill="CFF0FC" w:val="clear"/>
            <w:vAlign w:val="center"/>
          </w:tcPr>
          <w:p>
            <w:pPr>
              <w:pStyle w:val="TableContents"/>
              <w:bidi w:val="0"/>
              <w:spacing w:before="0" w:after="283"/>
              <w:jc w:val="left"/>
              <w:rPr/>
            </w:pPr>
            <w:r>
              <w:rPr/>
              <w:t> </w:t>
            </w:r>
          </w:p>
        </w:tc>
      </w:tr>
      <w:tr>
        <w:trPr/>
        <w:tc>
          <w:tcPr>
            <w:tcW w:w="202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02"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530</w:t>
            </w:r>
          </w:p>
        </w:tc>
        <w:tc>
          <w:tcPr>
            <w:tcW w:w="212" w:type="dxa"/>
            <w:tcBorders/>
            <w:shd w:fill="FFFFFF" w:val="clear"/>
            <w:vAlign w:val="center"/>
          </w:tcPr>
          <w:p>
            <w:pPr>
              <w:pStyle w:val="TableContents"/>
              <w:bidi w:val="0"/>
              <w:spacing w:before="0" w:after="283"/>
              <w:jc w:val="left"/>
              <w:rPr/>
            </w:pPr>
            <w:r>
              <w:rPr/>
              <w:t> </w:t>
            </w:r>
          </w:p>
        </w:tc>
      </w:tr>
      <w:tr>
        <w:trPr/>
        <w:tc>
          <w:tcPr>
            <w:tcW w:w="202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common stock from exercise of stock options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212" w:type="dxa"/>
            <w:tcBorders/>
            <w:shd w:fill="CFF0FC" w:val="clear"/>
            <w:vAlign w:val="center"/>
          </w:tcPr>
          <w:p>
            <w:pPr>
              <w:pStyle w:val="TableContents"/>
              <w:bidi w:val="0"/>
              <w:spacing w:before="0" w:after="283"/>
              <w:jc w:val="left"/>
              <w:rPr/>
            </w:pPr>
            <w:r>
              <w:rPr/>
              <w:t> </w:t>
            </w:r>
          </w:p>
        </w:tc>
      </w:tr>
      <w:tr>
        <w:trPr/>
        <w:tc>
          <w:tcPr>
            <w:tcW w:w="202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common stock under the at-the-market sales agreement, net of commissions and allocated fees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02"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1,671</w:t>
            </w:r>
          </w:p>
        </w:tc>
        <w:tc>
          <w:tcPr>
            <w:tcW w:w="212" w:type="dxa"/>
            <w:tcBorders/>
            <w:shd w:fill="FFFFFF" w:val="clear"/>
            <w:vAlign w:val="center"/>
          </w:tcPr>
          <w:p>
            <w:pPr>
              <w:pStyle w:val="TableContents"/>
              <w:bidi w:val="0"/>
              <w:spacing w:before="0" w:after="283"/>
              <w:jc w:val="left"/>
              <w:rPr/>
            </w:pPr>
            <w:r>
              <w:rPr/>
              <w:t> </w:t>
            </w:r>
          </w:p>
        </w:tc>
      </w:tr>
      <w:tr>
        <w:trPr/>
        <w:tc>
          <w:tcPr>
            <w:tcW w:w="202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Unrealized gains on available-for-sale marketable securities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w:t>
            </w:r>
          </w:p>
        </w:tc>
        <w:tc>
          <w:tcPr>
            <w:tcW w:w="212" w:type="dxa"/>
            <w:tcBorders/>
            <w:shd w:fill="CFF0FC" w:val="clear"/>
            <w:vAlign w:val="center"/>
          </w:tcPr>
          <w:p>
            <w:pPr>
              <w:pStyle w:val="TableContents"/>
              <w:bidi w:val="0"/>
              <w:spacing w:before="0" w:after="283"/>
              <w:jc w:val="left"/>
              <w:rPr/>
            </w:pPr>
            <w:r>
              <w:rPr/>
              <w:t> </w:t>
            </w:r>
          </w:p>
        </w:tc>
      </w:tr>
      <w:tr>
        <w:trPr/>
        <w:tc>
          <w:tcPr>
            <w:tcW w:w="202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(7,698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020"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September 30, 2023</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63,855,330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321,076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(231,313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89,610</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3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17" w:type="dxa"/>
            <w:gridSpan w:val="2"/>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right"/>
              <w:rPr/>
            </w:pPr>
            <w:r>
              <w:rPr/>
              <w:t> </w:t>
            </w:r>
          </w:p>
        </w:tc>
      </w:tr>
      <w:tr>
        <w:trPr/>
        <w:tc>
          <w:tcPr>
            <w:tcW w:w="2020"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39,719,572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256,908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0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(196,298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60,515</w:t>
            </w:r>
          </w:p>
        </w:tc>
        <w:tc>
          <w:tcPr>
            <w:tcW w:w="212" w:type="dxa"/>
            <w:tcBorders/>
            <w:shd w:fill="FFFFFF" w:val="clear"/>
            <w:vAlign w:val="center"/>
          </w:tcPr>
          <w:p>
            <w:pPr>
              <w:pStyle w:val="TableContents"/>
              <w:bidi w:val="0"/>
              <w:spacing w:before="0" w:after="283"/>
              <w:jc w:val="left"/>
              <w:rPr/>
            </w:pPr>
            <w:r>
              <w:rPr/>
              <w:t> </w:t>
            </w:r>
          </w:p>
        </w:tc>
      </w:tr>
      <w:tr>
        <w:trPr/>
        <w:tc>
          <w:tcPr>
            <w:tcW w:w="202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569</w:t>
            </w:r>
          </w:p>
        </w:tc>
        <w:tc>
          <w:tcPr>
            <w:tcW w:w="212" w:type="dxa"/>
            <w:tcBorders/>
            <w:shd w:fill="CFF0FC" w:val="clear"/>
            <w:vAlign w:val="center"/>
          </w:tcPr>
          <w:p>
            <w:pPr>
              <w:pStyle w:val="TableContents"/>
              <w:bidi w:val="0"/>
              <w:spacing w:before="0" w:after="283"/>
              <w:jc w:val="left"/>
              <w:rPr/>
            </w:pPr>
            <w:r>
              <w:rPr/>
              <w:t> </w:t>
            </w:r>
          </w:p>
        </w:tc>
      </w:tr>
      <w:tr>
        <w:trPr/>
        <w:tc>
          <w:tcPr>
            <w:tcW w:w="202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common stock from exercise of stock options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02"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139</w:t>
            </w:r>
          </w:p>
        </w:tc>
        <w:tc>
          <w:tcPr>
            <w:tcW w:w="212" w:type="dxa"/>
            <w:tcBorders/>
            <w:shd w:fill="FFFFFF" w:val="clear"/>
            <w:vAlign w:val="center"/>
          </w:tcPr>
          <w:p>
            <w:pPr>
              <w:pStyle w:val="TableContents"/>
              <w:bidi w:val="0"/>
              <w:spacing w:before="0" w:after="283"/>
              <w:jc w:val="left"/>
              <w:rPr/>
            </w:pPr>
            <w:r>
              <w:rPr/>
              <w:t> </w:t>
            </w:r>
          </w:p>
        </w:tc>
      </w:tr>
      <w:tr>
        <w:trPr/>
        <w:tc>
          <w:tcPr>
            <w:tcW w:w="202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common stock and warrants in public offering, less issuance costs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14,252,670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51,170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51,184</w:t>
            </w:r>
          </w:p>
        </w:tc>
        <w:tc>
          <w:tcPr>
            <w:tcW w:w="212" w:type="dxa"/>
            <w:tcBorders/>
            <w:shd w:fill="CFF0FC" w:val="clear"/>
            <w:vAlign w:val="center"/>
          </w:tcPr>
          <w:p>
            <w:pPr>
              <w:pStyle w:val="TableContents"/>
              <w:bidi w:val="0"/>
              <w:spacing w:before="0" w:after="283"/>
              <w:jc w:val="left"/>
              <w:rPr/>
            </w:pPr>
            <w:r>
              <w:rPr/>
              <w:t> </w:t>
            </w:r>
          </w:p>
        </w:tc>
      </w:tr>
      <w:tr>
        <w:trPr/>
        <w:tc>
          <w:tcPr>
            <w:tcW w:w="202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common stock from warrant 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4,299,270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02"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5,890</w:t>
            </w:r>
          </w:p>
        </w:tc>
        <w:tc>
          <w:tcPr>
            <w:tcW w:w="212" w:type="dxa"/>
            <w:tcBorders/>
            <w:shd w:fill="FFFFFF" w:val="clear"/>
            <w:vAlign w:val="center"/>
          </w:tcPr>
          <w:p>
            <w:pPr>
              <w:pStyle w:val="TableContents"/>
              <w:bidi w:val="0"/>
              <w:spacing w:before="0" w:after="283"/>
              <w:jc w:val="left"/>
              <w:rPr/>
            </w:pPr>
            <w:r>
              <w:rPr/>
              <w:t> </w:t>
            </w:r>
          </w:p>
        </w:tc>
      </w:tr>
      <w:tr>
        <w:trPr/>
        <w:tc>
          <w:tcPr>
            <w:tcW w:w="202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Unrealized losses on available-for-sale marketable securities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(128</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02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(8,266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020"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September 30, 2022</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58,322,517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314,672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(204,564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109,903</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01"/>
        <w:gridCol w:w="146"/>
        <w:gridCol w:w="146"/>
        <w:gridCol w:w="916"/>
        <w:gridCol w:w="146"/>
        <w:gridCol w:w="146"/>
        <w:gridCol w:w="271"/>
        <w:gridCol w:w="480"/>
        <w:gridCol w:w="146"/>
        <w:gridCol w:w="146"/>
        <w:gridCol w:w="205"/>
        <w:gridCol w:w="726"/>
        <w:gridCol w:w="166"/>
        <w:gridCol w:w="146"/>
        <w:gridCol w:w="502"/>
        <w:gridCol w:w="837"/>
        <w:gridCol w:w="166"/>
        <w:gridCol w:w="146"/>
        <w:gridCol w:w="233"/>
        <w:gridCol w:w="893"/>
        <w:gridCol w:w="166"/>
        <w:gridCol w:w="146"/>
        <w:gridCol w:w="246"/>
        <w:gridCol w:w="870"/>
        <w:gridCol w:w="213"/>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9"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6" w:type="dxa"/>
            <w:gridSpan w:val="2"/>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9"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3" w:type="dxa"/>
            <w:tcBorders/>
            <w:shd w:fill="FFFFFF" w:val="clear"/>
            <w:vAlign w:val="center"/>
          </w:tcPr>
          <w:p>
            <w:pPr>
              <w:pStyle w:val="TableContents"/>
              <w:bidi w:val="0"/>
              <w:spacing w:before="0" w:after="283"/>
              <w:jc w:val="center"/>
              <w:rPr/>
            </w:pPr>
            <w:r>
              <w:rPr/>
              <w:t> </w:t>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9"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213" w:type="dxa"/>
            <w:tcBorders/>
            <w:shd w:fill="FFFFFF" w:val="clear"/>
            <w:vAlign w:val="center"/>
          </w:tcPr>
          <w:p>
            <w:pPr>
              <w:pStyle w:val="TableContents"/>
              <w:bidi w:val="0"/>
              <w:spacing w:before="0" w:after="283"/>
              <w:jc w:val="center"/>
              <w:rPr/>
            </w:pPr>
            <w:r>
              <w:rPr/>
              <w:t> </w:t>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59,943,430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317,590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(210,069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107,459</w:t>
            </w:r>
          </w:p>
        </w:tc>
        <w:tc>
          <w:tcPr>
            <w:tcW w:w="213" w:type="dxa"/>
            <w:tcBorders/>
            <w:shd w:fill="CFF0FC" w:val="cle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1,713</w:t>
            </w:r>
          </w:p>
        </w:tc>
        <w:tc>
          <w:tcPr>
            <w:tcW w:w="213" w:type="dxa"/>
            <w:tcBorders/>
            <w:shd w:fill="FFFFFF" w:val="cle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common stock from exercise of stock options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143,789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2"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w:t>
            </w:r>
          </w:p>
        </w:tc>
        <w:tc>
          <w:tcPr>
            <w:tcW w:w="213" w:type="dxa"/>
            <w:tcBorders/>
            <w:shd w:fill="CFF0FC" w:val="cle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common stock under the at-the-market sales agreement, net of commissions and allocated fees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0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1,671</w:t>
            </w:r>
          </w:p>
        </w:tc>
        <w:tc>
          <w:tcPr>
            <w:tcW w:w="213" w:type="dxa"/>
            <w:tcBorders/>
            <w:shd w:fill="FFFFFF" w:val="cle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common stock from Employee Stock Purchase Plan</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19,273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w:t>
            </w:r>
          </w:p>
        </w:tc>
        <w:tc>
          <w:tcPr>
            <w:tcW w:w="213" w:type="dxa"/>
            <w:tcBorders/>
            <w:shd w:fill="CFF0FC" w:val="cle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common stock from pre-funded warrant exercise</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2,998,838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50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Unrealized losses on available-for-sale marketable securities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02"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(95</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0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(21,244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00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September 30, 2023</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63,855,330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321,076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(231,313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89,610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3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28,505,804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197,963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(180,917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17,075</w:t>
            </w:r>
          </w:p>
        </w:tc>
        <w:tc>
          <w:tcPr>
            <w:tcW w:w="213" w:type="dxa"/>
            <w:tcBorders/>
            <w:shd w:fill="FFFFFF" w:val="cle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1,826</w:t>
            </w:r>
          </w:p>
        </w:tc>
        <w:tc>
          <w:tcPr>
            <w:tcW w:w="213" w:type="dxa"/>
            <w:tcBorders/>
            <w:shd w:fill="CFF0FC" w:val="cle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common stock from exercise of stock options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139</w:t>
            </w:r>
          </w:p>
        </w:tc>
        <w:tc>
          <w:tcPr>
            <w:tcW w:w="213" w:type="dxa"/>
            <w:tcBorders/>
            <w:shd w:fill="FFFFFF" w:val="cle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common stock under the at-the-market sales agreement, net of commissions and allocated fees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0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common stock from Employee Stock Purchase Plan</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33,972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w:t>
            </w:r>
          </w:p>
        </w:tc>
        <w:tc>
          <w:tcPr>
            <w:tcW w:w="213" w:type="dxa"/>
            <w:tcBorders/>
            <w:shd w:fill="FFFFFF" w:val="cle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common stock and warrants in public offering, less issuance costs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18,833,196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102,991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103,010</w:t>
            </w:r>
          </w:p>
        </w:tc>
        <w:tc>
          <w:tcPr>
            <w:tcW w:w="213" w:type="dxa"/>
            <w:tcBorders/>
            <w:shd w:fill="CFF0FC" w:val="clear"/>
            <w:vAlign w:val="center"/>
          </w:tcPr>
          <w:p>
            <w:pPr>
              <w:pStyle w:val="TableContents"/>
              <w:bidi w:val="0"/>
              <w:spacing w:before="0" w:after="283"/>
              <w:jc w:val="left"/>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Issuance of common stock from warrant exercise</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10,898,540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11,782</w:t>
            </w:r>
          </w:p>
        </w:tc>
        <w:tc>
          <w:tcPr>
            <w:tcW w:w="213" w:type="dxa"/>
            <w:tcBorders/>
            <w:shd w:fill="FFFFFF" w:val="clear"/>
            <w:vAlign w:val="center"/>
          </w:tcPr>
          <w:p>
            <w:pPr>
              <w:pStyle w:val="TableContents"/>
              <w:bidi w:val="0"/>
              <w:spacing w:before="0" w:after="283"/>
              <w:jc w:val="left"/>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Unrealized losses on available-for-sale marketable securities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(263</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0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(23,647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00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September 30, 2022</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58,322,517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314,672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(204,564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109,903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val="false"/>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cash_flow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(Amounts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65"/>
        <w:gridCol w:w="146"/>
        <w:gridCol w:w="232"/>
        <w:gridCol w:w="811"/>
        <w:gridCol w:w="182"/>
        <w:gridCol w:w="160"/>
        <w:gridCol w:w="232"/>
        <w:gridCol w:w="861"/>
        <w:gridCol w:w="816"/>
      </w:tblGrid>
      <w:tr>
        <w:trPr/>
        <w:tc>
          <w:tcPr>
            <w:tcW w:w="6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676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5"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Operating activities:</w:t>
            </w:r>
          </w:p>
        </w:tc>
        <w:tc>
          <w:tcPr>
            <w:tcW w:w="14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right"/>
              <w:rPr/>
            </w:pPr>
            <w:r>
              <w:rPr/>
              <w:t> </w:t>
            </w:r>
          </w:p>
        </w:tc>
        <w:tc>
          <w:tcPr>
            <w:tcW w:w="816" w:type="dxa"/>
            <w:tcBorders/>
            <w:shd w:fill="FFFFFF" w:val="clear"/>
            <w:vAlign w:val="center"/>
          </w:tcPr>
          <w:p>
            <w:pPr>
              <w:pStyle w:val="TableContents"/>
              <w:bidi w:val="0"/>
              <w:spacing w:before="0" w:after="283"/>
              <w:jc w:val="right"/>
              <w:rPr/>
            </w:pPr>
            <w:r>
              <w:rPr/>
              <w:t> </w:t>
            </w:r>
          </w:p>
        </w:tc>
      </w:tr>
      <w:tr>
        <w:trPr/>
        <w:tc>
          <w:tcPr>
            <w:tcW w:w="6765"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Net loss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(21,244</w:t>
            </w:r>
          </w:p>
        </w:tc>
        <w:tc>
          <w:tcPr>
            <w:tcW w:w="182"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(23,647</w:t>
            </w:r>
          </w:p>
        </w:tc>
        <w:tc>
          <w:tcPr>
            <w:tcW w:w="81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6765"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Adjustments to reconcile net loss to 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right"/>
              <w:rPr/>
            </w:pPr>
            <w:r>
              <w:rPr/>
              <w:t> </w:t>
            </w:r>
          </w:p>
        </w:tc>
        <w:tc>
          <w:tcPr>
            <w:tcW w:w="816" w:type="dxa"/>
            <w:tcBorders/>
            <w:shd w:fill="FFFFFF" w:val="clear"/>
            <w:vAlign w:val="center"/>
          </w:tcPr>
          <w:p>
            <w:pPr>
              <w:pStyle w:val="TableContents"/>
              <w:bidi w:val="0"/>
              <w:spacing w:before="0" w:after="283"/>
              <w:ind w:left="0" w:right="0" w:firstLine="200"/>
              <w:jc w:val="right"/>
              <w:rPr/>
            </w:pPr>
            <w:r>
              <w:rPr/>
              <w:t> </w:t>
            </w:r>
          </w:p>
        </w:tc>
      </w:tr>
      <w:tr>
        <w:trPr/>
        <w:tc>
          <w:tcPr>
            <w:tcW w:w="67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Stock-based compensation</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1,713</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1,826</w:t>
            </w:r>
          </w:p>
        </w:tc>
        <w:tc>
          <w:tcPr>
            <w:tcW w:w="816" w:type="dxa"/>
            <w:tcBorders/>
            <w:shd w:fill="CFF0FC" w:val="clear"/>
            <w:vAlign w:val="center"/>
          </w:tcPr>
          <w:p>
            <w:pPr>
              <w:pStyle w:val="TableContents"/>
              <w:bidi w:val="0"/>
              <w:spacing w:before="0" w:after="283"/>
              <w:ind w:left="0" w:right="0" w:firstLine="200"/>
              <w:jc w:val="left"/>
              <w:rPr/>
            </w:pPr>
            <w:r>
              <w:rPr/>
              <w:t> </w:t>
            </w:r>
          </w:p>
        </w:tc>
      </w:tr>
      <w:tr>
        <w:trPr/>
        <w:tc>
          <w:tcPr>
            <w:tcW w:w="67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259</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100</w:t>
            </w:r>
          </w:p>
        </w:tc>
        <w:tc>
          <w:tcPr>
            <w:tcW w:w="816" w:type="dxa"/>
            <w:tcBorders/>
            <w:shd w:fill="FFFFFF" w:val="clear"/>
            <w:vAlign w:val="center"/>
          </w:tcPr>
          <w:p>
            <w:pPr>
              <w:pStyle w:val="TableContents"/>
              <w:bidi w:val="0"/>
              <w:spacing w:before="0" w:after="283"/>
              <w:ind w:left="0" w:right="0" w:firstLine="200"/>
              <w:jc w:val="left"/>
              <w:rPr/>
            </w:pPr>
            <w:r>
              <w:rPr/>
              <w:t> </w:t>
            </w:r>
          </w:p>
        </w:tc>
      </w:tr>
      <w:tr>
        <w:trPr/>
        <w:tc>
          <w:tcPr>
            <w:tcW w:w="67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Accretion/accrual of term loan discounts and debt issuance costs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180</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419</w:t>
            </w:r>
          </w:p>
        </w:tc>
        <w:tc>
          <w:tcPr>
            <w:tcW w:w="816" w:type="dxa"/>
            <w:tcBorders/>
            <w:shd w:fill="CFF0FC" w:val="clear"/>
            <w:vAlign w:val="center"/>
          </w:tcPr>
          <w:p>
            <w:pPr>
              <w:pStyle w:val="TableContents"/>
              <w:bidi w:val="0"/>
              <w:spacing w:before="0" w:after="283"/>
              <w:ind w:left="0" w:right="0" w:firstLine="200"/>
              <w:jc w:val="left"/>
              <w:rPr/>
            </w:pPr>
            <w:r>
              <w:rPr/>
              <w:t> </w:t>
            </w:r>
          </w:p>
        </w:tc>
      </w:tr>
      <w:tr>
        <w:trPr/>
        <w:tc>
          <w:tcPr>
            <w:tcW w:w="67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88</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28</w:t>
            </w:r>
          </w:p>
        </w:tc>
        <w:tc>
          <w:tcPr>
            <w:tcW w:w="816" w:type="dxa"/>
            <w:tcBorders/>
            <w:shd w:fill="FFFFFF" w:val="clear"/>
            <w:vAlign w:val="center"/>
          </w:tcPr>
          <w:p>
            <w:pPr>
              <w:pStyle w:val="TableContents"/>
              <w:bidi w:val="0"/>
              <w:spacing w:before="0" w:after="283"/>
              <w:ind w:left="0" w:right="0" w:firstLine="200"/>
              <w:jc w:val="left"/>
              <w:rPr/>
            </w:pPr>
            <w:r>
              <w:rPr/>
              <w:t> </w:t>
            </w:r>
          </w:p>
        </w:tc>
      </w:tr>
      <w:tr>
        <w:trPr/>
        <w:tc>
          <w:tcPr>
            <w:tcW w:w="67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Loss on disposal of property, equipment and leasehold improvements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color w:val="000000"/>
              </w:rPr>
            </w:pPr>
            <w:r>
              <w:rPr>
                <w:color w:val="000000"/>
              </w:rPr>
              <w:t>—</w:t>
            </w:r>
          </w:p>
        </w:tc>
        <w:tc>
          <w:tcPr>
            <w:tcW w:w="816" w:type="dxa"/>
            <w:tcBorders/>
            <w:shd w:fill="CFF0FC" w:val="clear"/>
            <w:vAlign w:val="center"/>
          </w:tcPr>
          <w:p>
            <w:pPr>
              <w:pStyle w:val="TableContents"/>
              <w:bidi w:val="0"/>
              <w:spacing w:before="0" w:after="283"/>
              <w:ind w:left="0" w:right="0" w:firstLine="200"/>
              <w:jc w:val="left"/>
              <w:rPr/>
            </w:pPr>
            <w:r>
              <w:rPr/>
              <w:t> </w:t>
            </w:r>
          </w:p>
        </w:tc>
      </w:tr>
      <w:tr>
        <w:trPr/>
        <w:tc>
          <w:tcPr>
            <w:tcW w:w="67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Accretion of available-for-sale marketable securities, net</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(1,774</w:t>
            </w:r>
          </w:p>
        </w:tc>
        <w:tc>
          <w:tcPr>
            <w:tcW w:w="182"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(268</w:t>
            </w:r>
          </w:p>
        </w:tc>
        <w:tc>
          <w:tcPr>
            <w:tcW w:w="8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9"/>
              </w:rPr>
            </w:pPr>
            <w:r>
              <w:rPr>
                <w:rFonts w:ascii="Times New Roman" w:hAnsi="Times New Roman"/>
                <w:b w:val="false"/>
                <w:color w:val="000000"/>
                <w:sz w:val="19"/>
              </w:rPr>
              <w:t>)</w:t>
            </w:r>
          </w:p>
        </w:tc>
      </w:tr>
      <w:tr>
        <w:trPr/>
        <w:tc>
          <w:tcPr>
            <w:tcW w:w="67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Change in fair value of term loan derivative liability</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147</w:t>
            </w:r>
          </w:p>
        </w:tc>
        <w:tc>
          <w:tcPr>
            <w:tcW w:w="816" w:type="dxa"/>
            <w:tcBorders/>
            <w:shd w:fill="CFF0FC" w:val="clear"/>
            <w:vAlign w:val="center"/>
          </w:tcPr>
          <w:p>
            <w:pPr>
              <w:pStyle w:val="TableContents"/>
              <w:bidi w:val="0"/>
              <w:spacing w:before="0" w:after="283"/>
              <w:jc w:val="left"/>
              <w:rPr/>
            </w:pPr>
            <w:r>
              <w:rPr/>
              <w:t> </w:t>
            </w:r>
          </w:p>
        </w:tc>
      </w:tr>
      <w:tr>
        <w:trPr/>
        <w:tc>
          <w:tcPr>
            <w:tcW w:w="6765"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right"/>
              <w:rPr/>
            </w:pPr>
            <w:r>
              <w:rPr/>
              <w:t> </w:t>
            </w:r>
          </w:p>
        </w:tc>
        <w:tc>
          <w:tcPr>
            <w:tcW w:w="816" w:type="dxa"/>
            <w:tcBorders/>
            <w:shd w:fill="FFFFFF" w:val="clear"/>
            <w:vAlign w:val="center"/>
          </w:tcPr>
          <w:p>
            <w:pPr>
              <w:pStyle w:val="TableContents"/>
              <w:bidi w:val="0"/>
              <w:spacing w:before="0" w:after="283"/>
              <w:ind w:left="0" w:right="0" w:firstLine="400"/>
              <w:jc w:val="right"/>
              <w:rPr/>
            </w:pPr>
            <w:r>
              <w:rPr/>
              <w:t> </w:t>
            </w:r>
          </w:p>
        </w:tc>
      </w:tr>
      <w:tr>
        <w:trPr/>
        <w:tc>
          <w:tcPr>
            <w:tcW w:w="6765"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9"/>
              </w:rPr>
            </w:pPr>
            <w:r>
              <w:rPr>
                <w:rFonts w:ascii="Times New Roman" w:hAnsi="Times New Roman"/>
                <w:b w:val="false"/>
                <w:color w:val="000000"/>
                <w:sz w:val="19"/>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(2,935</w:t>
            </w:r>
          </w:p>
        </w:tc>
        <w:tc>
          <w:tcPr>
            <w:tcW w:w="182"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(579</w:t>
            </w:r>
          </w:p>
        </w:tc>
        <w:tc>
          <w:tcPr>
            <w:tcW w:w="81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9"/>
              </w:rPr>
            </w:pPr>
            <w:r>
              <w:rPr>
                <w:rFonts w:ascii="Times New Roman" w:hAnsi="Times New Roman"/>
                <w:b w:val="false"/>
                <w:color w:val="000000"/>
                <w:sz w:val="19"/>
              </w:rPr>
              <w:t>)</w:t>
            </w:r>
          </w:p>
        </w:tc>
      </w:tr>
      <w:tr>
        <w:trPr/>
        <w:tc>
          <w:tcPr>
            <w:tcW w:w="6765"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9"/>
              </w:rPr>
            </w:pPr>
            <w:r>
              <w:rPr>
                <w:rFonts w:ascii="Times New Roman" w:hAnsi="Times New Roman"/>
                <w:b w:val="false"/>
                <w:color w:val="000000"/>
                <w:sz w:val="19"/>
              </w:rPr>
              <w:t>Accounts payable</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(1,676</w:t>
            </w:r>
          </w:p>
        </w:tc>
        <w:tc>
          <w:tcPr>
            <w:tcW w:w="182"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(527</w:t>
            </w:r>
          </w:p>
        </w:tc>
        <w:tc>
          <w:tcPr>
            <w:tcW w:w="816"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9"/>
              </w:rPr>
            </w:pPr>
            <w:r>
              <w:rPr>
                <w:rFonts w:ascii="Times New Roman" w:hAnsi="Times New Roman"/>
                <w:b w:val="false"/>
                <w:color w:val="000000"/>
                <w:sz w:val="19"/>
              </w:rPr>
              <w:t>)</w:t>
            </w:r>
          </w:p>
        </w:tc>
      </w:tr>
      <w:tr>
        <w:trPr/>
        <w:tc>
          <w:tcPr>
            <w:tcW w:w="6765"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9"/>
              </w:rPr>
            </w:pPr>
            <w:r>
              <w:rPr>
                <w:rFonts w:ascii="Times New Roman" w:hAnsi="Times New Roman"/>
                <w:b w:val="false"/>
                <w:color w:val="000000"/>
                <w:sz w:val="19"/>
              </w:rPr>
              <w:t>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28</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657</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65"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9"/>
              </w:rPr>
            </w:pPr>
            <w:r>
              <w:rPr>
                <w:rFonts w:ascii="Times New Roman" w:hAnsi="Times New Roman"/>
                <w:b w:val="false"/>
                <w:color w:val="000000"/>
                <w:sz w:val="19"/>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(25,351</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60"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(21,844</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6765"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Investing activities:</w:t>
            </w:r>
          </w:p>
        </w:tc>
        <w:tc>
          <w:tcPr>
            <w:tcW w:w="146" w:type="dxa"/>
            <w:tcBorders/>
            <w:shd w:fill="CFF0FC" w:val="clear"/>
            <w:vAlign w:val="center"/>
          </w:tcPr>
          <w:p>
            <w:pPr>
              <w:pStyle w:val="TableContents"/>
              <w:bidi w:val="0"/>
              <w:spacing w:before="0" w:after="283"/>
              <w:jc w:val="left"/>
              <w:rPr/>
            </w:pPr>
            <w:r>
              <w:rPr/>
              <w:t> </w:t>
            </w:r>
          </w:p>
        </w:tc>
        <w:tc>
          <w:tcPr>
            <w:tcW w:w="1043" w:type="dxa"/>
            <w:gridSpan w:val="2"/>
            <w:tcBorders/>
            <w:shd w:fill="CFF0FC" w:val="clear"/>
            <w:vAlign w:val="center"/>
          </w:tcPr>
          <w:p>
            <w:pPr>
              <w:pStyle w:val="TableContents"/>
              <w:bidi w:val="0"/>
              <w:spacing w:before="0" w:after="283"/>
              <w:jc w:val="right"/>
              <w:rPr/>
            </w:pPr>
            <w:r>
              <w:rPr/>
              <w:t> </w:t>
            </w:r>
          </w:p>
        </w:tc>
        <w:tc>
          <w:tcPr>
            <w:tcW w:w="182"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left"/>
              <w:rPr/>
            </w:pPr>
            <w:r>
              <w:rPr/>
              <w:t> </w:t>
            </w:r>
          </w:p>
        </w:tc>
        <w:tc>
          <w:tcPr>
            <w:tcW w:w="1093" w:type="dxa"/>
            <w:gridSpan w:val="2"/>
            <w:tcBorders/>
            <w:shd w:fill="CFF0FC" w:val="clear"/>
            <w:vAlign w:val="center"/>
          </w:tcPr>
          <w:p>
            <w:pPr>
              <w:pStyle w:val="TableContents"/>
              <w:bidi w:val="0"/>
              <w:spacing w:before="0" w:after="283"/>
              <w:jc w:val="right"/>
              <w:rPr/>
            </w:pPr>
            <w:r>
              <w:rPr/>
              <w:t> </w:t>
            </w:r>
          </w:p>
        </w:tc>
        <w:tc>
          <w:tcPr>
            <w:tcW w:w="816" w:type="dxa"/>
            <w:tcBorders/>
            <w:shd w:fill="CFF0FC" w:val="clear"/>
            <w:vAlign w:val="center"/>
          </w:tcPr>
          <w:p>
            <w:pPr>
              <w:pStyle w:val="TableContents"/>
              <w:bidi w:val="0"/>
              <w:spacing w:before="0" w:after="283"/>
              <w:jc w:val="right"/>
              <w:rPr/>
            </w:pPr>
            <w:r>
              <w:rPr/>
              <w:t> </w:t>
            </w:r>
          </w:p>
        </w:tc>
      </w:tr>
      <w:tr>
        <w:trPr/>
        <w:tc>
          <w:tcPr>
            <w:tcW w:w="6765"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Proceeds from maturities of available-for-sale marketable securities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55,679</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2,001</w:t>
            </w:r>
          </w:p>
        </w:tc>
        <w:tc>
          <w:tcPr>
            <w:tcW w:w="816" w:type="dxa"/>
            <w:tcBorders/>
            <w:shd w:fill="FFFFFF" w:val="clear"/>
            <w:vAlign w:val="center"/>
          </w:tcPr>
          <w:p>
            <w:pPr>
              <w:pStyle w:val="TableContents"/>
              <w:bidi w:val="0"/>
              <w:spacing w:before="0" w:after="283"/>
              <w:jc w:val="left"/>
              <w:rPr/>
            </w:pPr>
            <w:r>
              <w:rPr/>
              <w:t> </w:t>
            </w:r>
          </w:p>
        </w:tc>
      </w:tr>
      <w:tr>
        <w:trPr/>
        <w:tc>
          <w:tcPr>
            <w:tcW w:w="6765"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Purchases of available-for-sale marketable securities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(8,981</w:t>
            </w:r>
          </w:p>
        </w:tc>
        <w:tc>
          <w:tcPr>
            <w:tcW w:w="182"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(61,025</w:t>
            </w:r>
          </w:p>
        </w:tc>
        <w:tc>
          <w:tcPr>
            <w:tcW w:w="81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6765"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Purchases of property, equipment and leasehold improvements</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60"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(43</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19"/>
              </w:rPr>
            </w:pPr>
            <w:r>
              <w:rPr>
                <w:rFonts w:ascii="Times New Roman" w:hAnsi="Times New Roman"/>
                <w:b w:val="false"/>
                <w:color w:val="000000"/>
                <w:sz w:val="19"/>
              </w:rPr>
              <w:t>)</w:t>
            </w:r>
          </w:p>
        </w:tc>
      </w:tr>
      <w:tr>
        <w:trPr/>
        <w:tc>
          <w:tcPr>
            <w:tcW w:w="6765"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9"/>
              </w:rPr>
            </w:pPr>
            <w:r>
              <w:rPr>
                <w:rFonts w:ascii="Times New Roman" w:hAnsi="Times New Roman"/>
                <w:b w:val="false"/>
                <w:color w:val="000000"/>
                <w:sz w:val="19"/>
              </w:rPr>
              <w:t>Net 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46,583</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(59,067</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6765"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Financing activities:</w:t>
            </w:r>
          </w:p>
        </w:tc>
        <w:tc>
          <w:tcPr>
            <w:tcW w:w="146" w:type="dxa"/>
            <w:tcBorders/>
            <w:shd w:fill="FFFFFF" w:val="clear"/>
            <w:vAlign w:val="center"/>
          </w:tcPr>
          <w:p>
            <w:pPr>
              <w:pStyle w:val="TableContents"/>
              <w:bidi w:val="0"/>
              <w:spacing w:before="0" w:after="283"/>
              <w:jc w:val="left"/>
              <w:rPr/>
            </w:pPr>
            <w:r>
              <w:rPr/>
              <w:t> </w:t>
            </w:r>
          </w:p>
        </w:tc>
        <w:tc>
          <w:tcPr>
            <w:tcW w:w="1043" w:type="dxa"/>
            <w:gridSpan w:val="2"/>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right"/>
              <w:rPr/>
            </w:pPr>
            <w:r>
              <w:rPr/>
              <w:t> </w:t>
            </w:r>
          </w:p>
        </w:tc>
        <w:tc>
          <w:tcPr>
            <w:tcW w:w="816" w:type="dxa"/>
            <w:tcBorders/>
            <w:shd w:fill="FFFFFF" w:val="clear"/>
            <w:vAlign w:val="center"/>
          </w:tcPr>
          <w:p>
            <w:pPr>
              <w:pStyle w:val="TableContents"/>
              <w:bidi w:val="0"/>
              <w:spacing w:before="0" w:after="283"/>
              <w:jc w:val="right"/>
              <w:rPr/>
            </w:pPr>
            <w:r>
              <w:rPr/>
              <w:t> </w:t>
            </w:r>
          </w:p>
        </w:tc>
      </w:tr>
      <w:tr>
        <w:trPr/>
        <w:tc>
          <w:tcPr>
            <w:tcW w:w="6765"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Proceeds from at-the-market sales, net of commissions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1,710</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color w:val="000000"/>
              </w:rPr>
            </w:pPr>
            <w:r>
              <w:rPr>
                <w:color w:val="000000"/>
              </w:rPr>
              <w:t>—</w:t>
            </w:r>
          </w:p>
        </w:tc>
        <w:tc>
          <w:tcPr>
            <w:tcW w:w="816" w:type="dxa"/>
            <w:tcBorders/>
            <w:shd w:fill="CFF0FC" w:val="clear"/>
            <w:vAlign w:val="center"/>
          </w:tcPr>
          <w:p>
            <w:pPr>
              <w:pStyle w:val="TableContents"/>
              <w:bidi w:val="0"/>
              <w:spacing w:before="0" w:after="283"/>
              <w:jc w:val="left"/>
              <w:rPr/>
            </w:pPr>
            <w:r>
              <w:rPr/>
              <w:t> </w:t>
            </w:r>
          </w:p>
        </w:tc>
      </w:tr>
      <w:tr>
        <w:trPr/>
        <w:tc>
          <w:tcPr>
            <w:tcW w:w="6765"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Proceeds from exercises of stock options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73</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139</w:t>
            </w:r>
          </w:p>
        </w:tc>
        <w:tc>
          <w:tcPr>
            <w:tcW w:w="816" w:type="dxa"/>
            <w:tcBorders/>
            <w:shd w:fill="FFFFFF" w:val="clear"/>
            <w:vAlign w:val="center"/>
          </w:tcPr>
          <w:p>
            <w:pPr>
              <w:pStyle w:val="TableContents"/>
              <w:bidi w:val="0"/>
              <w:spacing w:before="0" w:after="283"/>
              <w:jc w:val="left"/>
              <w:rPr/>
            </w:pPr>
            <w:r>
              <w:rPr/>
              <w:t> </w:t>
            </w:r>
          </w:p>
        </w:tc>
      </w:tr>
      <w:tr>
        <w:trPr/>
        <w:tc>
          <w:tcPr>
            <w:tcW w:w="6765"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Proceeds from employee stock purchase plan</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33</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23</w:t>
            </w:r>
          </w:p>
        </w:tc>
        <w:tc>
          <w:tcPr>
            <w:tcW w:w="816" w:type="dxa"/>
            <w:tcBorders/>
            <w:shd w:fill="CFF0FC" w:val="clear"/>
            <w:vAlign w:val="center"/>
          </w:tcPr>
          <w:p>
            <w:pPr>
              <w:pStyle w:val="TableContents"/>
              <w:bidi w:val="0"/>
              <w:spacing w:before="0" w:after="283"/>
              <w:jc w:val="left"/>
              <w:rPr/>
            </w:pPr>
            <w:r>
              <w:rPr/>
              <w:t> </w:t>
            </w:r>
          </w:p>
        </w:tc>
      </w:tr>
      <w:tr>
        <w:trPr/>
        <w:tc>
          <w:tcPr>
            <w:tcW w:w="6765"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Repayments of term loan, term loan final fee and prepayment premium</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(9,409</w:t>
            </w:r>
          </w:p>
        </w:tc>
        <w:tc>
          <w:tcPr>
            <w:tcW w:w="182"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(4,083</w:t>
            </w:r>
          </w:p>
        </w:tc>
        <w:tc>
          <w:tcPr>
            <w:tcW w:w="81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6765"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Payments of offering costs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(200</w:t>
            </w:r>
          </w:p>
        </w:tc>
        <w:tc>
          <w:tcPr>
            <w:tcW w:w="182"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(195</w:t>
            </w:r>
          </w:p>
        </w:tc>
        <w:tc>
          <w:tcPr>
            <w:tcW w:w="81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6765"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Payments of finance lease</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(63</w:t>
            </w:r>
          </w:p>
        </w:tc>
        <w:tc>
          <w:tcPr>
            <w:tcW w:w="182"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color w:val="000000"/>
              </w:rPr>
            </w:pPr>
            <w:r>
              <w:rPr>
                <w:color w:val="000000"/>
              </w:rPr>
              <w:t>—</w:t>
            </w:r>
          </w:p>
        </w:tc>
        <w:tc>
          <w:tcPr>
            <w:tcW w:w="816" w:type="dxa"/>
            <w:tcBorders/>
            <w:shd w:fill="FFFFFF" w:val="clear"/>
            <w:vAlign w:val="center"/>
          </w:tcPr>
          <w:p>
            <w:pPr>
              <w:pStyle w:val="TableContents"/>
              <w:bidi w:val="0"/>
              <w:spacing w:before="0" w:after="283"/>
              <w:jc w:val="left"/>
              <w:rPr/>
            </w:pPr>
            <w:r>
              <w:rPr/>
              <w:t> </w:t>
            </w:r>
          </w:p>
        </w:tc>
      </w:tr>
      <w:tr>
        <w:trPr/>
        <w:tc>
          <w:tcPr>
            <w:tcW w:w="6765"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Proceeds from sale of common stock and warrants in public offering and private placement, net of issuance costs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103,010</w:t>
            </w:r>
          </w:p>
        </w:tc>
        <w:tc>
          <w:tcPr>
            <w:tcW w:w="816" w:type="dxa"/>
            <w:tcBorders/>
            <w:shd w:fill="CFF0FC" w:val="clear"/>
            <w:vAlign w:val="center"/>
          </w:tcPr>
          <w:p>
            <w:pPr>
              <w:pStyle w:val="TableContents"/>
              <w:bidi w:val="0"/>
              <w:spacing w:before="0" w:after="283"/>
              <w:jc w:val="left"/>
              <w:rPr/>
            </w:pPr>
            <w:r>
              <w:rPr/>
              <w:t> </w:t>
            </w:r>
          </w:p>
        </w:tc>
      </w:tr>
      <w:tr>
        <w:trPr/>
        <w:tc>
          <w:tcPr>
            <w:tcW w:w="6765"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Proceeds from exercises of warrants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11,782</w:t>
            </w:r>
          </w:p>
        </w:tc>
        <w:tc>
          <w:tcPr>
            <w:tcW w:w="816" w:type="dxa"/>
            <w:tcBorders/>
            <w:shd w:fill="FFFFFF" w:val="clear"/>
            <w:vAlign w:val="center"/>
          </w:tcPr>
          <w:p>
            <w:pPr>
              <w:pStyle w:val="TableContents"/>
              <w:bidi w:val="0"/>
              <w:spacing w:before="0" w:after="283"/>
              <w:jc w:val="left"/>
              <w:rPr/>
            </w:pPr>
            <w:r>
              <w:rPr/>
              <w:t> </w:t>
            </w:r>
          </w:p>
        </w:tc>
      </w:tr>
      <w:tr>
        <w:trPr/>
        <w:tc>
          <w:tcPr>
            <w:tcW w:w="6765"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Payments of financing costs of term loan</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19"/>
              </w:rPr>
            </w:pPr>
            <w:r>
              <w:rPr>
                <w:rFonts w:ascii="Times New Roman" w:hAnsi="Times New Roman"/>
                <w:b w:val="false"/>
                <w:color w:val="000000"/>
                <w:sz w:val="19"/>
              </w:rPr>
              <w:t>)</w:t>
            </w:r>
          </w:p>
        </w:tc>
      </w:tr>
      <w:tr>
        <w:trPr/>
        <w:tc>
          <w:tcPr>
            <w:tcW w:w="6765"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9"/>
              </w:rPr>
            </w:pPr>
            <w:r>
              <w:rPr>
                <w:rFonts w:ascii="Times New Roman" w:hAnsi="Times New Roman"/>
                <w:b w:val="false"/>
                <w:color w:val="000000"/>
                <w:sz w:val="19"/>
              </w:rPr>
              <w:t>Net cash (used in) provided by financing activities</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(7,856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60"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110,655</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5"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Net increase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13,376</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29,744</w:t>
            </w:r>
          </w:p>
        </w:tc>
        <w:tc>
          <w:tcPr>
            <w:tcW w:w="816" w:type="dxa"/>
            <w:tcBorders/>
            <w:shd w:fill="CFF0FC" w:val="clear"/>
            <w:vAlign w:val="center"/>
          </w:tcPr>
          <w:p>
            <w:pPr>
              <w:pStyle w:val="TableContents"/>
              <w:bidi w:val="0"/>
              <w:spacing w:before="0" w:after="283"/>
              <w:jc w:val="left"/>
              <w:rPr/>
            </w:pPr>
            <w:r>
              <w:rPr/>
              <w:t> </w:t>
            </w:r>
          </w:p>
        </w:tc>
      </w:tr>
      <w:tr>
        <w:trPr/>
        <w:tc>
          <w:tcPr>
            <w:tcW w:w="6765"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Cash and cash equivalents at beginning of period</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12,589</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36,830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5"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Cash and cash equivalents at end of period</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25,965</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66,574</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val="false"/>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consolidated_financial_statemen"/>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Nature of the Business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Trevi Therapeutics, Inc. (“Trevi” or the “Company”) is a clinical-stage biopharmaceutical company focused on the development and commercialization of the investigational therapy Haduvio (oral nalbuphine ER) for the treatment of chronic cough in idiopathic pulmonary fibrosis (“IPF”) and refractory chronic cough and for the treatment of prurigo nodularis. These conditions share a common pathophysiology that is mediated through opioid receptors in the central and peripheral nervous systems. Due to nalbuphine’s mechanism of action as a modulator of opioid receptors, the Company believes Haduvio has the potential to be effective in treating each of these conditions.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Haduvio is an oral extended-release formulation of nalbuphine. Nalbuphine is a mixed κ-opioid receptor agonist and μ-opioid receptor antagonist that has been approved and marketed as an injectable for pain indications for more than 20 years in the United States and Europe. The κ- and μ-opioid receptors are known to be critical mediators of cough and itch. Nalbuphine’s mechanism of action also mitigates the risk of abuse associated with μ-opioid agonists because it antagonizes, or blocks, the μ-opioid receptor. Parenteral nalbuphine is not scheduled as a controlled substance in the U.S. and most of Europe.</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accompanying unaudited interim Condensed Consolidated Financial Statements for the three and nine months ended September 30, 2023 and 2022 included herein have been prepared in accordance with accounting principles generally accepted in the U.S. (“GAAP”) for interim financial information and the rules and regulations of the Securities and Exchange Commission (“SEC”) for interim information. Certain information and footnote disclosures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included in the Company’s Annual Report on Form 10-K for the year ended December 31, 2022. Certain prior year balances have been reclassified to conform to the current year presentation. Such reclassifications did not affect loss from operations or net loss.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accompanying Condensed Consolidated Financial Statements include the accounts of Trevi Therapeutics, Inc. and its wholly-owned subsidiary Trevi Therapeutics Limited. Intercompany balances and transactions have been eliminated.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All amounts presented are in thousands of dollars, except share and per share amounts, unless noted otherwise. The Company has evaluated events occurring subsequent to September 30, 2023</w:t>
      </w:r>
      <w:r>
        <w:rPr>
          <w:rFonts w:ascii="Times New Roman" w:hAnsi="Times New Roman"/>
          <w:color w:val="000000"/>
          <w:sz w:val="20"/>
        </w:rPr>
        <w:t xml:space="preserve"> </w:t>
      </w:r>
      <w:r>
        <w:rPr>
          <w:rFonts w:ascii="Times New Roman" w:hAnsi="Times New Roman"/>
          <w:b w:val="false"/>
          <w:color w:val="000000"/>
          <w:sz w:val="20"/>
        </w:rPr>
        <w:t>for potential recognition or disclosure in the Condensed Consolidated Financial Statements and concluded there were no subsequent events that required recognition or disclosure.</w:t>
      </w:r>
    </w:p>
    <w:p>
      <w:pPr>
        <w:pStyle w:val="TextBody"/>
        <w:bidi w:val="0"/>
        <w:spacing w:before="12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research and development (“R&amp;D”) expenses, the valuation of stock-based awards and the valuation allowance of deferred tax assets. In addition, management’s assessment of the Company’s ability to continue as a going concern involves the estimation of the amount and timing of future cash inflows and outflows. Changes in estimates are recorded in the period in which they become known. Actual results could differ from those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accompanying interim Condensed Consolidated Balance Sheet as of September 30, 2023, the Condensed Consolidated Statements of Comprehensive Loss and the Condensed Consolidated Statements of Stockholders’ Equity for the three and nine months ended September 30, 2023 and 2022 and the Condensed Consolidated Statements of Cash Flows for the nine months ended September 30, 2023 and 2022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September 30, 2023 and the results of its operations and its cash flows for the three and nine months ended September 30, 2023 and 2022. The results for the three and nine months ended September 30, 2023 and 2022 are not necessarily indicative of results to be expected for the year ending December 31, 2023</w:t>
      </w:r>
      <w:r>
        <w:rPr>
          <w:rFonts w:ascii="Times New Roman" w:hAnsi="Times New Roman"/>
          <w:color w:val="000000"/>
          <w:sz w:val="20"/>
        </w:rPr>
        <w:t xml:space="preserve"> </w:t>
      </w:r>
      <w:r>
        <w:rPr>
          <w:rFonts w:ascii="Times New Roman" w:hAnsi="Times New Roman"/>
          <w:b w:val="false"/>
          <w:color w:val="000000"/>
          <w:sz w:val="20"/>
        </w:rPr>
        <w:t>or any other interim period or any future year or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Equivalents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classifies short-term, highly liquid investments with an original term of three months or less at the date of purchase as cash equivalents.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generally invests its excess cash in money market funds and investment grade short- to intermediate-term fixed income securities. Such investments are included in cash and cash equivalents or marketable securities on the Condensed Consolidated Balance Sheets. Marketable securities with an original maturity date greater than 90 days at each balance sheet date are classified as short-term. Marketable securities are classified as current assets as these investments are intended to be available to the Company for use in funding current operations. All of the Company’s marketable securities are considered available-for-sale and are reported at fair value with unrealized gains and losses included as a component of stockholders’ equity. The amortized cost of debt securities is adjusted for amortization of premiums and accretion of discounts to maturity, which is included in interest income, net on the Condensed Consolidated Statements of Comprehensive Loss. Realized gains and losses and declines in value judged to be other than temporary, if any, on marketable securities are included in interest income, net on the Condensed Consolidated Statements of Comprehensive Loss. The cost of securities sold is determined using specific identification.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evaluates whether declines in the fair values of its marketable securities below their amortized cost are other than temporary on a quarterly basis. This evaluation consists of several qualitative and quantitative factors regarding the severity and duration of the unrealized loss, as well as the Company’s ability and intent to hold the marketable security until a forecasted recovery occurs. Additionally, the Company assesses whether it has plans to sell the marketable security or whether it is more likely than not that it will be required to sell any marketable securities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the Company’s strategy and intentions for holding the marketable security.</w:t>
      </w:r>
    </w:p>
    <w:p>
      <w:pPr>
        <w:pStyle w:val="TextBody"/>
        <w:bidi w:val="0"/>
        <w:spacing w:before="120" w:after="283"/>
        <w:jc w:val="left"/>
        <w:rPr>
          <w:rFonts w:ascii="Times New Roman" w:hAnsi="Times New Roman"/>
          <w:sz w:val="20"/>
        </w:rPr>
      </w:pPr>
      <w:r>
        <w:rPr>
          <w:rFonts w:ascii="Times New Roman" w:hAnsi="Times New Roman"/>
          <w:b/>
          <w:i/>
          <w:color w:val="000000"/>
          <w:sz w:val="20"/>
        </w:rPr>
        <w:t>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financial instruments have consisted of cash and cash equivalents, available-for-sale marketable securities, other current assets, accounts payable, accrued expenses, term loans and warrants to acquire the Company’s common stock. Fair 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Available-for-sale marketable securities are reported at their fair values, based upon pricing of securities with the same or similar investment characteristics as provided by third-party pricing services, as described below. The carrying amount of the term loan approximates its fair value due to its floating market-based interest rate. The fair value of the term loan derivative liability is estimated utilizing a probability-weighted cash flow approach. The warrants to acquire the Company’s common stock are not required to be accounted for at fair value.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Current accounting guidance defines fair value, establishes a framework for measuring fair value in accordance with Accounting Standards Codification (“ASC”) 820, </w:t>
      </w:r>
      <w:r>
        <w:rPr>
          <w:rFonts w:ascii="Times New Roman" w:hAnsi="Times New Roman"/>
          <w:b w:val="false"/>
          <w:i/>
          <w:color w:val="000000"/>
          <w:sz w:val="20"/>
        </w:rPr>
        <w:t>Fair Value Measurements and Disclosures,</w:t>
      </w:r>
      <w:r>
        <w:rPr>
          <w:rFonts w:ascii="Times New Roman" w:hAnsi="Times New Roman"/>
          <w:color w:val="000000"/>
          <w:sz w:val="20"/>
        </w:rPr>
        <w:t xml:space="preserve"> </w:t>
      </w:r>
      <w:r>
        <w:rPr>
          <w:rFonts w:ascii="Times New Roman" w:hAnsi="Times New Roman"/>
          <w:b w:val="false"/>
          <w:color w:val="000000"/>
          <w:sz w:val="20"/>
        </w:rPr>
        <w:t>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Level 1—Observable inputs—quoted prices in active markets for identical assets and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Level 3—Unobservable inputs—includes amounts derived from valuation models where one or more significant inputs are unobservable and require the company to develop relevant assumptions.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Valuation Techniques - Level 2 Inputs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estimates the fair values of its financial instruments categorized as level 2 in the fair value hierarchy, including U.S. government agency obligations, corporate bonds, commercial paper, asset-backed securities and municipal bonds, by taking into consideration valuations obtained from third-party pricing services. The pricing services use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benchmark yields, issuer credit spreads, benchmark securities, and other observable inputs. The Company obtains a single price for each financial instrument and does not adjust the prices obtained from the pricing service.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Equipment and Leasehold Improvements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w:t>
      </w:r>
      <w:r>
        <w:rPr>
          <w:rFonts w:ascii="Times New Roman" w:hAnsi="Times New Roman"/>
          <w:color w:val="000000"/>
          <w:sz w:val="20"/>
        </w:rPr>
        <w:t xml:space="preserve"> </w:t>
      </w:r>
      <w:r>
        <w:rPr>
          <w:rFonts w:ascii="Times New Roman" w:hAnsi="Times New Roman"/>
          <w:b w:val="false"/>
          <w:color w:val="000000"/>
          <w:sz w:val="20"/>
        </w:rPr>
        <w:t>for computer equipment, five years</w:t>
      </w:r>
      <w:r>
        <w:rPr>
          <w:rFonts w:ascii="Times New Roman" w:hAnsi="Times New Roman"/>
          <w:color w:val="000000"/>
          <w:sz w:val="20"/>
        </w:rPr>
        <w:t xml:space="preserve"> </w:t>
      </w:r>
      <w:r>
        <w:rPr>
          <w:rFonts w:ascii="Times New Roman" w:hAnsi="Times New Roman"/>
          <w:b w:val="false"/>
          <w:color w:val="000000"/>
          <w:sz w:val="20"/>
        </w:rPr>
        <w:t>for furniture and office equipment, and the shorter of the term of the lease or useful life for leasehold improvements).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Foreign Currency Transactions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at times, contracts with vendors and consultants outside of the U.S., resulting in liabilities denominated in foreign currency. The transactions are recorded in U.S. dollars on the transaction dates and any currency fluctuation through the payment date is recorded as currency gains or losses in the Condensed Consolidated Statements of Comprehensive Loss.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Deferred Offering Costs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financings. Should the planned equity financing no longer be considered probable of being consummated, the deferred offering costs are expensed immediately as a charge to general and administrative expenses. The deferred offering costs are included in Other current and non-current assets on the Condensed Consolidated Balance Sheets.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(“R&amp;D”)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of the Company’s R&amp;D expenses consist of expenses incurred in connection with the development of Haduvio. These expenses include certain payroll and personnel expenses, including stock-based compensation, consulting costs, contract manufacturing costs and fees paid to contract research organizations (“CROs”) to conduct certain R&amp;D activities on the Company’s behalf. The Company expenses both internal and external R&amp;D expenses as they are incurred.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Accrued R&amp;D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has entered into agreements with CROs, contract manufacturing organizations (“CMOs”) and other companies that provide services in connection with the Company’s R&amp;D activities. The Company’s R&amp;D accruals are estimated based on the level of services performed, progress of the studies, including the phase or completion of events and contracted costs. The estimated costs of R&amp;D provided, but not yet invoiced, are included in accrued expenses on the Condensed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other non-current assets, as applicable, and are recognized as expenses as the goods are delivered or the related services are performed.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Costs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patent-related costs in connection with filing and prosecuting patent applications are expensed to general and administrative expense as incurred, as recoverability of such expenditures is uncertain.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 Company determines the accounting classification of warrants that are issued, as either liability or equity, by first assessing whether the warrants meet liability classification in accordance with ASC 480, </w:t>
      </w:r>
      <w:r>
        <w:rPr>
          <w:rFonts w:ascii="Times New Roman" w:hAnsi="Times New Roman"/>
          <w:b w:val="false"/>
          <w:i/>
          <w:color w:val="000000"/>
          <w:sz w:val="20"/>
        </w:rPr>
        <w:t xml:space="preserve">Distinguishing Liabilities from Equity </w:t>
      </w:r>
      <w:r>
        <w:rPr>
          <w:rFonts w:ascii="Times New Roman" w:hAnsi="Times New Roman"/>
          <w:b w:val="false"/>
          <w:color w:val="000000"/>
          <w:sz w:val="20"/>
        </w:rPr>
        <w:t xml:space="preserve">(“ASC 480”), and then in accordance with ASC 815, </w:t>
      </w:r>
      <w:r>
        <w:rPr>
          <w:rFonts w:ascii="Times New Roman" w:hAnsi="Times New Roman"/>
          <w:b w:val="false"/>
          <w:i/>
          <w:color w:val="000000"/>
          <w:sz w:val="20"/>
        </w:rPr>
        <w:t>Derivatives and Hedging</w:t>
      </w:r>
      <w:r>
        <w:rPr>
          <w:rFonts w:ascii="Times New Roman" w:hAnsi="Times New Roman"/>
          <w:color w:val="000000"/>
          <w:sz w:val="20"/>
        </w:rPr>
        <w:t xml:space="preserve"> </w:t>
      </w:r>
      <w:r>
        <w:rPr>
          <w:rFonts w:ascii="Times New Roman" w:hAnsi="Times New Roman"/>
          <w:b w:val="false"/>
          <w:color w:val="000000"/>
          <w:sz w:val="20"/>
        </w:rPr>
        <w:t>(“ASC 815”), depending on the specific terms of the warrant.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the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in order to conclude equity classification, the Company assesses whether the warrants are indexed to its common stock and whether the warrants are classified as equity under ASC 815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comprehensive loss as a gain or loss. For equity classified warrants, no changes in fair value are recognized after the issuance date.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 Company accounts for stock-based compensation arrangements with employees and non-employees for consultancy services in accordance with ASC 718, </w:t>
      </w:r>
      <w:r>
        <w:rPr>
          <w:rFonts w:ascii="Times New Roman" w:hAnsi="Times New Roman"/>
          <w:b w:val="false"/>
          <w:i/>
          <w:color w:val="000000"/>
          <w:sz w:val="20"/>
        </w:rPr>
        <w:t xml:space="preserve">Stock Compensation </w:t>
      </w:r>
      <w:r>
        <w:rPr>
          <w:rFonts w:ascii="Times New Roman" w:hAnsi="Times New Roman"/>
          <w:b w:val="false"/>
          <w:color w:val="000000"/>
          <w:sz w:val="20"/>
        </w:rPr>
        <w:t>(“ASC 718”). ASC 718 requires the recognition of compensation expense, using a fair-value based method, for costs related to all stock-based awards including stock options. The Company’s determination of the fair value of stock-based awards on the date of grant utilizes the Black-Scholes valuation model for stock options with time-based and performance-based vesting and is impacted by the price of its common stock as well as changes in assumptions regarding a number of subjective variables. These variables include the expected term that stock options will remain outstanding, expected common stock price volatility over the term of the stock options, risk-free interest rates and expected dividends.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the variables can materially affect the fair value and ultimately how much stock-based compensation expense is recognized. These inputs are subjective and generally require analysis and judgment to develop.</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Expected Term—The expected term assumption represents the weighted average period that the stock-based awards are expected to be outstanding. The Company has elected to use the “simplified method” for estimating the expected term of its stock options, whereby the expected term equals the arithmetic average of the vesting term and the original contractual term of the stock option.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Expected Dividend—The Black-Scholes valuation model calls for a single expected dividend yield as an input. The Company currently has no</w:t>
      </w:r>
      <w:r>
        <w:rPr>
          <w:rFonts w:ascii="Times New Roman" w:hAnsi="Times New Roman"/>
          <w:color w:val="000000"/>
          <w:sz w:val="20"/>
        </w:rPr>
        <w:t xml:space="preserve"> </w:t>
      </w:r>
      <w:r>
        <w:rPr>
          <w:rFonts w:ascii="Times New Roman" w:hAnsi="Times New Roman"/>
          <w:b w:val="false"/>
          <w:color w:val="000000"/>
          <w:sz w:val="20"/>
        </w:rPr>
        <w:t>history or expectation of paying cash dividends on its common stock.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Risk-Free Interest Rate—The risk-free interest rate is based on the yield available on U.S. Treasury zero-coupon issues similar in duration to the expected term of the stock-based award.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fair value is recognized over the period during which an optionee is required to provide services in exchange for the stock option, known as the requisite service period (usually the vesting period) on a straight-line basis. For performance-based vesting, the fair value is recognized when it is probable the performance conditions will be achieved. The Company reassesses the probability of achieving the performance conditions at each reporting date. Forfeitures are accounted for as they occur.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 Company applies the provisions of ASC 740, </w:t>
      </w:r>
      <w:r>
        <w:rPr>
          <w:rFonts w:ascii="Times New Roman" w:hAnsi="Times New Roman"/>
          <w:b w:val="false"/>
          <w:i/>
          <w:color w:val="000000"/>
          <w:sz w:val="20"/>
        </w:rPr>
        <w:t>Income Taxes</w:t>
      </w:r>
      <w:r>
        <w:rPr>
          <w:rFonts w:ascii="Times New Roman" w:hAnsi="Times New Roman"/>
          <w:color w:val="000000"/>
          <w:sz w:val="20"/>
        </w:rPr>
        <w:t xml:space="preserve"> </w:t>
      </w:r>
      <w:r>
        <w:rPr>
          <w:rFonts w:ascii="Times New Roman" w:hAnsi="Times New Roman"/>
          <w:b w:val="false"/>
          <w:color w:val="000000"/>
          <w:sz w:val="20"/>
        </w:rPr>
        <w:t>(“ASC 740”), which prescribes a comprehensive model for how a company should recognize, measure, present and disclose in its financial statements uncertain tax positions that the Company has taken or expects to take on a tax return. These Condensed Consolidated Financial Statements reflect expected future tax consequences of such positions presuming the taxing authorities possess full knowledge of the position and all relevant facts. There are no material uncertainties regarding the tax positions that the Company has taken through September 30, 2023 and December 31, 2022. The Company does not have any interest or penalties accrued related to tax positions as it does not have any unrecognized tax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Under ASC 842, </w:t>
      </w:r>
      <w:r>
        <w:rPr>
          <w:rFonts w:ascii="Times New Roman" w:hAnsi="Times New Roman"/>
          <w:b w:val="false"/>
          <w:i/>
          <w:color w:val="000000"/>
          <w:sz w:val="20"/>
        </w:rPr>
        <w:t>Leases</w:t>
      </w:r>
      <w:r>
        <w:rPr>
          <w:rFonts w:ascii="Times New Roman" w:hAnsi="Times New Roman"/>
          <w:color w:val="000000"/>
          <w:sz w:val="20"/>
        </w:rPr>
        <w:t xml:space="preserve"> </w:t>
      </w:r>
      <w:r>
        <w:rPr>
          <w:rFonts w:ascii="Times New Roman" w:hAnsi="Times New Roman"/>
          <w:b w:val="false"/>
          <w:color w:val="000000"/>
          <w:sz w:val="20"/>
        </w:rPr>
        <w:t>(“ASC 842”), the Company determines if an arrangement is a lease at its inception. Leases are classified as either operating or finance, based on the Company’s evaluation of certain criteria. If a lease has a term greater than one year, the lease is recognized in the balance sheet as a right-of-use asset and a lease liability at lease commencement. The Company elected the short-term lease practical expedient, therefore, if a lease has a term less than one year, the Company will not recognize the lease on its balance sheet. The right-of-use asset represents the Company’s right of use to an underlying asset for the term of the lease and the liability represents the Company’s obligation to make lease payments arising from the lease. If the Company’s leases do not provide an implicit rate within the lease, the Company uses its incremental borrowing rate, based on information available at the commencement date of the lease to determine the present value of the lease payments.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Operating lease right-of-use assets and operating lease liabilities are determined and recognized on the commencement date of the lease based on the present value of lease payments over the term of the lease. For operating leases, rent expense is recognized on a straight-line basis over the term of the lease, and right-of-use assets are subsequently re-measured to reflect the effect of uneven lease payments.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finance leases, right-of-use assets are amortized on a straight-line basis over the shorter of the lease term or the useful life of the underlying asset. Expenses for finance leases include the amortization of right-of-use assets, which is recorded as depreciation and amortization expense, and interest expense, which reflects interest accrued on the lease liability.</w:t>
      </w:r>
    </w:p>
    <w:p>
      <w:pPr>
        <w:pStyle w:val="TextBody"/>
        <w:bidi w:val="0"/>
        <w:spacing w:before="120" w:after="283"/>
        <w:jc w:val="left"/>
        <w:rPr>
          <w:rFonts w:ascii="Times New Roman" w:hAnsi="Times New Roman"/>
          <w:sz w:val="20"/>
        </w:rPr>
      </w:pPr>
      <w:r>
        <w:rPr>
          <w:rFonts w:ascii="Times New Roman" w:hAnsi="Times New Roman"/>
          <w:b/>
          <w:i/>
          <w:color w:val="000000"/>
          <w:sz w:val="20"/>
        </w:rPr>
        <w:t>Basic and Diluted Net Loss per Common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Basic and diluted net loss per common share outstanding is determined by dividing net loss by the weighted average common shares outstanding during the period. Basic shares outstanding includes the weighted average effect of the Company’s outstanding pre-funded warrants, the exercise of which requires little or no consideration for the delivery of shares of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all periods presented, shares issuable upon exercise of stock options and warrants to purchase shares of common stock (other than pre-funded warrants) have been excluded from the calculation because their effects would be anti-dilutive. Therefore,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weighted average common shares used to calculate both basic and diluted net loss per share are the same for each of the periods presented.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Segments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one</w:t>
      </w:r>
      <w:r>
        <w:rPr>
          <w:rFonts w:ascii="Times New Roman" w:hAnsi="Times New Roman"/>
          <w:color w:val="000000"/>
          <w:sz w:val="20"/>
        </w:rPr>
        <w:t xml:space="preserve"> </w:t>
      </w:r>
      <w:r>
        <w:rPr>
          <w:rFonts w:ascii="Times New Roman" w:hAnsi="Times New Roman"/>
          <w:b w:val="false"/>
          <w:color w:val="000000"/>
          <w:sz w:val="20"/>
        </w:rPr>
        <w:t>reporting segment which is also the Company’s only operating segment. Management uses one measurement of profitability and does not segregate its business for internal reporting. All long-lived assets are maintained in the U.S.</w:t>
      </w:r>
    </w:p>
    <w:p>
      <w:pPr>
        <w:pStyle w:val="TextBody"/>
        <w:bidi w:val="0"/>
        <w:spacing w:before="120" w:after="283"/>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have been no new pronouncements adopted during the nine months ended September 30, 2023.</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have been no new pronouncements issued during the nine months ended September 30, 2023, which could be expected to materially impact the Company’s Condensed Consolidated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fair value and amortized cost of available-for-sale marketable securities by major security type as of September 30, 2023 and December 31, 2022 are presented in the following table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54"/>
        <w:gridCol w:w="146"/>
        <w:gridCol w:w="307"/>
        <w:gridCol w:w="987"/>
        <w:gridCol w:w="146"/>
        <w:gridCol w:w="146"/>
        <w:gridCol w:w="673"/>
        <w:gridCol w:w="1106"/>
        <w:gridCol w:w="146"/>
        <w:gridCol w:w="146"/>
        <w:gridCol w:w="553"/>
        <w:gridCol w:w="1267"/>
        <w:gridCol w:w="166"/>
        <w:gridCol w:w="146"/>
        <w:gridCol w:w="384"/>
        <w:gridCol w:w="1237"/>
        <w:gridCol w:w="295"/>
      </w:tblGrid>
      <w:tr>
        <w:trPr/>
        <w:tc>
          <w:tcPr>
            <w:tcW w:w="2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35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54,152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53,952</w:t>
            </w:r>
          </w:p>
        </w:tc>
        <w:tc>
          <w:tcPr>
            <w:tcW w:w="295" w:type="dxa"/>
            <w:tcBorders/>
            <w:shd w:fill="CFF0FC" w:val="clear"/>
            <w:vAlign w:val="center"/>
          </w:tcPr>
          <w:p>
            <w:pPr>
              <w:pStyle w:val="TableContents"/>
              <w:bidi w:val="0"/>
              <w:spacing w:before="0" w:after="283"/>
              <w:jc w:val="left"/>
              <w:rPr/>
            </w:pPr>
            <w:r>
              <w:rPr/>
              <w:t> </w:t>
            </w:r>
          </w:p>
        </w:tc>
      </w:tr>
      <w:tr>
        <w:trPr/>
        <w:tc>
          <w:tcPr>
            <w:tcW w:w="23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agency securities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4,978</w:t>
            </w:r>
          </w:p>
        </w:tc>
        <w:tc>
          <w:tcPr>
            <w:tcW w:w="295" w:type="dxa"/>
            <w:tcBorders/>
            <w:shd w:fill="FFFFFF" w:val="clear"/>
            <w:vAlign w:val="center"/>
          </w:tcPr>
          <w:p>
            <w:pPr>
              <w:pStyle w:val="TableContents"/>
              <w:bidi w:val="0"/>
              <w:spacing w:before="0" w:after="283"/>
              <w:jc w:val="left"/>
              <w:rPr/>
            </w:pPr>
            <w:r>
              <w:rPr/>
              <w:t> </w:t>
            </w:r>
          </w:p>
        </w:tc>
      </w:tr>
      <w:tr>
        <w:trPr/>
        <w:tc>
          <w:tcPr>
            <w:tcW w:w="23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11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left"/>
              <w:rPr/>
            </w:pPr>
            <w:r>
              <w:rPr/>
              <w:t> </w:t>
            </w:r>
          </w:p>
        </w:tc>
        <w:tc>
          <w:tcPr>
            <w:tcW w:w="126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pPr>
            <w:r>
              <w:rPr/>
              <w:t> </w:t>
            </w:r>
          </w:p>
        </w:tc>
        <w:tc>
          <w:tcPr>
            <w:tcW w:w="12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1,994</w:t>
            </w:r>
          </w:p>
        </w:tc>
        <w:tc>
          <w:tcPr>
            <w:tcW w:w="295" w:type="dxa"/>
            <w:tcBorders/>
            <w:shd w:fill="CFF0FC" w:val="clear"/>
            <w:vAlign w:val="center"/>
          </w:tcPr>
          <w:p>
            <w:pPr>
              <w:pStyle w:val="TableContents"/>
              <w:bidi w:val="0"/>
              <w:spacing w:before="0" w:after="283"/>
              <w:jc w:val="left"/>
              <w:rPr/>
            </w:pPr>
            <w:r>
              <w:rPr/>
              <w:t> </w:t>
            </w:r>
          </w:p>
        </w:tc>
      </w:tr>
      <w:tr>
        <w:trPr/>
        <w:tc>
          <w:tcPr>
            <w:tcW w:w="23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 backed securities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1,979</w:t>
            </w:r>
          </w:p>
        </w:tc>
        <w:tc>
          <w:tcPr>
            <w:tcW w:w="295" w:type="dxa"/>
            <w:tcBorders/>
            <w:shd w:fill="FFFFFF" w:val="clear"/>
            <w:vAlign w:val="center"/>
          </w:tcPr>
          <w:p>
            <w:pPr>
              <w:pStyle w:val="TableContents"/>
              <w:bidi w:val="0"/>
              <w:spacing w:before="0" w:after="283"/>
              <w:ind w:left="0" w:right="0" w:firstLine="100"/>
              <w:jc w:val="left"/>
              <w:rPr/>
            </w:pPr>
            <w:r>
              <w:rPr/>
              <w:t> </w:t>
            </w:r>
          </w:p>
        </w:tc>
      </w:tr>
      <w:tr>
        <w:trPr/>
        <w:tc>
          <w:tcPr>
            <w:tcW w:w="235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marketable securities</w:t>
            </w:r>
          </w:p>
        </w:tc>
        <w:tc>
          <w:tcPr>
            <w:tcW w:w="146" w:type="dxa"/>
            <w:tcBorders/>
            <w:shd w:fill="CFF0FC" w:val="clear"/>
            <w:vAlign w:val="center"/>
          </w:tcPr>
          <w:p>
            <w:pPr>
              <w:pStyle w:val="TableContents"/>
              <w:bidi w:val="0"/>
              <w:spacing w:before="0" w:after="283"/>
              <w:jc w:val="left"/>
              <w:rPr/>
            </w:pPr>
            <w:r>
              <w:rPr/>
              <w:t> </w:t>
            </w:r>
          </w:p>
        </w:tc>
        <w:tc>
          <w:tcPr>
            <w:tcW w:w="3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63,120</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8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62,903</w:t>
            </w:r>
          </w:p>
        </w:tc>
        <w:tc>
          <w:tcPr>
            <w:tcW w:w="29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51"/>
        <w:gridCol w:w="146"/>
        <w:gridCol w:w="273"/>
        <w:gridCol w:w="1020"/>
        <w:gridCol w:w="146"/>
        <w:gridCol w:w="146"/>
        <w:gridCol w:w="672"/>
        <w:gridCol w:w="1105"/>
        <w:gridCol w:w="146"/>
        <w:gridCol w:w="146"/>
        <w:gridCol w:w="552"/>
        <w:gridCol w:w="1266"/>
        <w:gridCol w:w="166"/>
        <w:gridCol w:w="146"/>
        <w:gridCol w:w="346"/>
        <w:gridCol w:w="1283"/>
        <w:gridCol w:w="295"/>
      </w:tblGrid>
      <w:tr>
        <w:trPr/>
        <w:tc>
          <w:tcPr>
            <w:tcW w:w="2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1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62,573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0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62,513</w:t>
            </w:r>
          </w:p>
        </w:tc>
        <w:tc>
          <w:tcPr>
            <w:tcW w:w="295" w:type="dxa"/>
            <w:tcBorders/>
            <w:shd w:fill="FFFFFF" w:val="clear"/>
            <w:vAlign w:val="center"/>
          </w:tcPr>
          <w:p>
            <w:pPr>
              <w:pStyle w:val="TableContents"/>
              <w:bidi w:val="0"/>
              <w:spacing w:before="0" w:after="283"/>
              <w:jc w:val="left"/>
              <w:rPr/>
            </w:pPr>
            <w:r>
              <w:rPr/>
              <w:t> </w:t>
            </w:r>
          </w:p>
        </w:tc>
      </w:tr>
      <w:tr>
        <w:trPr/>
        <w:tc>
          <w:tcPr>
            <w:tcW w:w="2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0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left"/>
              <w:rPr/>
            </w:pPr>
            <w:r>
              <w:rPr/>
              <w:t> </w:t>
            </w:r>
          </w:p>
        </w:tc>
        <w:tc>
          <w:tcPr>
            <w:tcW w:w="110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2"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2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30,739</w:t>
            </w:r>
          </w:p>
        </w:tc>
        <w:tc>
          <w:tcPr>
            <w:tcW w:w="295" w:type="dxa"/>
            <w:tcBorders/>
            <w:shd w:fill="CFF0FC" w:val="clear"/>
            <w:vAlign w:val="center"/>
          </w:tcPr>
          <w:p>
            <w:pPr>
              <w:pStyle w:val="TableContents"/>
              <w:bidi w:val="0"/>
              <w:spacing w:before="0" w:after="283"/>
              <w:jc w:val="left"/>
              <w:rPr/>
            </w:pPr>
            <w:r>
              <w:rPr/>
              <w:t> </w:t>
            </w:r>
          </w:p>
        </w:tc>
      </w:tr>
      <w:tr>
        <w:trPr/>
        <w:tc>
          <w:tcPr>
            <w:tcW w:w="2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9,852</w:t>
            </w:r>
          </w:p>
        </w:tc>
        <w:tc>
          <w:tcPr>
            <w:tcW w:w="295" w:type="dxa"/>
            <w:tcBorders/>
            <w:shd w:fill="FFFFFF" w:val="clear"/>
            <w:vAlign w:val="center"/>
          </w:tcPr>
          <w:p>
            <w:pPr>
              <w:pStyle w:val="TableContents"/>
              <w:bidi w:val="0"/>
              <w:spacing w:before="0" w:after="283"/>
              <w:jc w:val="left"/>
              <w:rPr/>
            </w:pPr>
            <w:r>
              <w:rPr/>
              <w:t> </w:t>
            </w:r>
          </w:p>
        </w:tc>
      </w:tr>
      <w:tr>
        <w:trPr/>
        <w:tc>
          <w:tcPr>
            <w:tcW w:w="2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agency securities</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0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left"/>
              <w:rPr/>
            </w:pPr>
            <w:r>
              <w:rPr/>
              <w:t> </w:t>
            </w:r>
          </w:p>
        </w:tc>
        <w:tc>
          <w:tcPr>
            <w:tcW w:w="11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2"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2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2,903</w:t>
            </w:r>
          </w:p>
        </w:tc>
        <w:tc>
          <w:tcPr>
            <w:tcW w:w="295" w:type="dxa"/>
            <w:tcBorders/>
            <w:shd w:fill="CFF0FC" w:val="clear"/>
            <w:vAlign w:val="center"/>
          </w:tcPr>
          <w:p>
            <w:pPr>
              <w:pStyle w:val="TableContents"/>
              <w:bidi w:val="0"/>
              <w:spacing w:before="0" w:after="283"/>
              <w:jc w:val="left"/>
              <w:rPr/>
            </w:pPr>
            <w:r>
              <w:rPr/>
              <w:t> </w:t>
            </w:r>
          </w:p>
        </w:tc>
      </w:tr>
      <w:tr>
        <w:trPr/>
        <w:tc>
          <w:tcPr>
            <w:tcW w:w="23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 backed securities</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1,914</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marketable securities</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108,043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107,921</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net amortized cost and fair value of available-for-sale marketable securities at September 30, 2023 and December 31, 2022, respectively, are shown below by contractual maturity. Actual maturities may differ from contractual maturities because securities may be restructured, called or prepaid, or the Company may intend to sell a security prior to maturity.</w:t>
      </w:r>
    </w:p>
    <w:p>
      <w:pPr>
        <w:pStyle w:val="TextBody"/>
        <w:bidi w:val="0"/>
        <w:jc w:val="left"/>
        <w:rPr/>
      </w:pPr>
      <w:r>
        <w:rPr/>
        <w:t> </w:t>
      </w:r>
    </w:p>
    <w:tbl>
      <w:tblPr>
        <w:tblW w:w="5615" w:type="dxa"/>
        <w:jc w:val="left"/>
        <w:tblInd w:w="0" w:type="dxa"/>
        <w:tblLayout w:type="fixed"/>
        <w:tblCellMar>
          <w:top w:w="28" w:type="dxa"/>
          <w:left w:w="28" w:type="dxa"/>
          <w:bottom w:w="28" w:type="dxa"/>
          <w:right w:w="28" w:type="dxa"/>
        </w:tblCellMar>
      </w:tblPr>
      <w:tblGrid>
        <w:gridCol w:w="2441"/>
        <w:gridCol w:w="146"/>
        <w:gridCol w:w="338"/>
        <w:gridCol w:w="1087"/>
        <w:gridCol w:w="146"/>
        <w:gridCol w:w="146"/>
        <w:gridCol w:w="242"/>
        <w:gridCol w:w="778"/>
        <w:gridCol w:w="291"/>
      </w:tblGrid>
      <w:tr>
        <w:trPr/>
        <w:tc>
          <w:tcPr>
            <w:tcW w:w="2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Due to mature:</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44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Less than one year</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57,666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57,469</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44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One year through two years</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5,434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63,120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62,903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615" w:type="dxa"/>
        <w:jc w:val="left"/>
        <w:tblInd w:w="0" w:type="dxa"/>
        <w:tblLayout w:type="fixed"/>
        <w:tblCellMar>
          <w:top w:w="28" w:type="dxa"/>
          <w:left w:w="28" w:type="dxa"/>
          <w:bottom w:w="28" w:type="dxa"/>
          <w:right w:w="28" w:type="dxa"/>
        </w:tblCellMar>
      </w:tblPr>
      <w:tblGrid>
        <w:gridCol w:w="2441"/>
        <w:gridCol w:w="146"/>
        <w:gridCol w:w="301"/>
        <w:gridCol w:w="1124"/>
        <w:gridCol w:w="146"/>
        <w:gridCol w:w="146"/>
        <w:gridCol w:w="217"/>
        <w:gridCol w:w="803"/>
        <w:gridCol w:w="291"/>
      </w:tblGrid>
      <w:tr>
        <w:trPr/>
        <w:tc>
          <w:tcPr>
            <w:tcW w:w="2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Due to mature:</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44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Less than one year</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69,527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69,367</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44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One year through two years</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38,554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108,043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107,921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three and nine months ended September 30, 2023 and 2022, there were no</w:t>
      </w:r>
      <w:r>
        <w:rPr>
          <w:rFonts w:ascii="Times New Roman" w:hAnsi="Times New Roman"/>
          <w:color w:val="000000"/>
          <w:sz w:val="20"/>
        </w:rPr>
        <w:t xml:space="preserve"> </w:t>
      </w:r>
      <w:r>
        <w:rPr>
          <w:rFonts w:ascii="Times New Roman" w:hAnsi="Times New Roman"/>
          <w:b w:val="false"/>
          <w:color w:val="000000"/>
          <w:sz w:val="20"/>
        </w:rPr>
        <w:t>realized gains or losses on available-for-sale marketable securities.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summarizes the financial assets and financial liabilities measured at fair value on a recurring basis as of September 30, 2023 and December 31, 2022, and the basis for that measurement, by level within the fair value hierarchy: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5"/>
        <w:gridCol w:w="146"/>
        <w:gridCol w:w="2866"/>
        <w:gridCol w:w="146"/>
        <w:gridCol w:w="211"/>
        <w:gridCol w:w="676"/>
        <w:gridCol w:w="146"/>
        <w:gridCol w:w="146"/>
        <w:gridCol w:w="211"/>
        <w:gridCol w:w="676"/>
        <w:gridCol w:w="146"/>
        <w:gridCol w:w="146"/>
        <w:gridCol w:w="276"/>
        <w:gridCol w:w="456"/>
        <w:gridCol w:w="146"/>
        <w:gridCol w:w="146"/>
        <w:gridCol w:w="211"/>
        <w:gridCol w:w="676"/>
        <w:gridCol w:w="293"/>
      </w:tblGrid>
      <w:tr>
        <w:trPr/>
        <w:tc>
          <w:tcPr>
            <w:tcW w:w="2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4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 Using:</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 2023</w:t>
            </w:r>
          </w:p>
        </w:tc>
        <w:tc>
          <w:tcPr>
            <w:tcW w:w="146" w:type="dxa"/>
            <w:tcBorders/>
            <w:shd w:fill="FFFFFF" w:val="clear"/>
            <w:vAlign w:val="center"/>
          </w:tcPr>
          <w:p>
            <w:pPr>
              <w:pStyle w:val="TableContents"/>
              <w:bidi w:val="0"/>
              <w:spacing w:before="0" w:after="283"/>
              <w:jc w:val="left"/>
              <w:rPr/>
            </w:pPr>
            <w:r>
              <w:rPr/>
              <w:t> </w:t>
            </w:r>
          </w:p>
        </w:tc>
        <w:tc>
          <w:tcPr>
            <w:tcW w:w="2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right"/>
              <w:rPr/>
            </w:pPr>
            <w:r>
              <w:rPr/>
              <w:t> </w:t>
            </w:r>
          </w:p>
        </w:tc>
      </w:tr>
      <w:tr>
        <w:trPr/>
        <w:tc>
          <w:tcPr>
            <w:tcW w:w="248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Financial assets:</w:t>
            </w:r>
          </w:p>
        </w:tc>
        <w:tc>
          <w:tcPr>
            <w:tcW w:w="146" w:type="dxa"/>
            <w:tcBorders/>
            <w:shd w:fill="FFFFFF" w:val="clear"/>
            <w:vAlign w:val="center"/>
          </w:tcPr>
          <w:p>
            <w:pPr>
              <w:pStyle w:val="TableContents"/>
              <w:bidi w:val="0"/>
              <w:spacing w:before="0" w:after="283"/>
              <w:jc w:val="left"/>
              <w:rPr/>
            </w:pPr>
            <w:r>
              <w:rPr/>
              <w:t> </w:t>
            </w:r>
          </w:p>
        </w:tc>
        <w:tc>
          <w:tcPr>
            <w:tcW w:w="2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ind w:left="0" w:right="0" w:firstLine="100"/>
              <w:jc w:val="right"/>
              <w:rPr/>
            </w:pPr>
            <w:r>
              <w:rPr/>
              <w:t> </w:t>
            </w:r>
          </w:p>
        </w:tc>
      </w:tr>
      <w:tr>
        <w:trPr/>
        <w:tc>
          <w:tcPr>
            <w:tcW w:w="2485"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28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25,715</w:t>
            </w:r>
          </w:p>
        </w:tc>
        <w:tc>
          <w:tcPr>
            <w:tcW w:w="293" w:type="dxa"/>
            <w:tcBorders/>
            <w:shd w:fill="CFF0FC" w:val="clear"/>
            <w:vAlign w:val="center"/>
          </w:tcPr>
          <w:p>
            <w:pPr>
              <w:pStyle w:val="TableContents"/>
              <w:bidi w:val="0"/>
              <w:spacing w:before="0" w:after="283"/>
              <w:ind w:left="0" w:right="0" w:firstLine="100"/>
              <w:jc w:val="left"/>
              <w:rPr/>
            </w:pPr>
            <w:r>
              <w:rPr/>
              <w:t> </w:t>
            </w:r>
          </w:p>
        </w:tc>
      </w:tr>
      <w:tr>
        <w:trPr/>
        <w:tc>
          <w:tcPr>
            <w:tcW w:w="2485"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8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53,952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53,952</w:t>
            </w:r>
          </w:p>
        </w:tc>
        <w:tc>
          <w:tcPr>
            <w:tcW w:w="293" w:type="dxa"/>
            <w:tcBorders/>
            <w:shd w:fill="FFFFFF" w:val="clear"/>
            <w:vAlign w:val="center"/>
          </w:tcPr>
          <w:p>
            <w:pPr>
              <w:pStyle w:val="TableContents"/>
              <w:bidi w:val="0"/>
              <w:spacing w:before="0" w:after="283"/>
              <w:ind w:left="0" w:right="0" w:firstLine="100"/>
              <w:jc w:val="left"/>
              <w:rPr/>
            </w:pPr>
            <w:r>
              <w:rPr/>
              <w:t> </w:t>
            </w:r>
          </w:p>
        </w:tc>
      </w:tr>
      <w:tr>
        <w:trPr/>
        <w:tc>
          <w:tcPr>
            <w:tcW w:w="2485"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28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agency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4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4,978</w:t>
            </w:r>
          </w:p>
        </w:tc>
        <w:tc>
          <w:tcPr>
            <w:tcW w:w="293" w:type="dxa"/>
            <w:tcBorders/>
            <w:shd w:fill="CFF0FC" w:val="clear"/>
            <w:vAlign w:val="center"/>
          </w:tcPr>
          <w:p>
            <w:pPr>
              <w:pStyle w:val="TableContents"/>
              <w:bidi w:val="0"/>
              <w:spacing w:before="0" w:after="283"/>
              <w:ind w:left="0" w:right="0" w:firstLine="100"/>
              <w:jc w:val="left"/>
              <w:rPr/>
            </w:pPr>
            <w:r>
              <w:rPr/>
              <w:t> </w:t>
            </w:r>
          </w:p>
        </w:tc>
      </w:tr>
      <w:tr>
        <w:trPr/>
        <w:tc>
          <w:tcPr>
            <w:tcW w:w="2485"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8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1,994</w:t>
            </w:r>
          </w:p>
        </w:tc>
        <w:tc>
          <w:tcPr>
            <w:tcW w:w="293" w:type="dxa"/>
            <w:tcBorders/>
            <w:shd w:fill="FFFFFF" w:val="clear"/>
            <w:vAlign w:val="center"/>
          </w:tcPr>
          <w:p>
            <w:pPr>
              <w:pStyle w:val="TableContents"/>
              <w:bidi w:val="0"/>
              <w:spacing w:before="0" w:after="283"/>
              <w:ind w:left="0" w:right="0" w:firstLine="100"/>
              <w:jc w:val="left"/>
              <w:rPr/>
            </w:pPr>
            <w:r>
              <w:rPr/>
              <w:t> </w:t>
            </w:r>
          </w:p>
        </w:tc>
      </w:tr>
      <w:tr>
        <w:trPr/>
        <w:tc>
          <w:tcPr>
            <w:tcW w:w="2485"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28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 backed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4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1,979</w:t>
            </w:r>
          </w:p>
        </w:tc>
        <w:tc>
          <w:tcPr>
            <w:tcW w:w="293" w:type="dxa"/>
            <w:tcBorders/>
            <w:shd w:fill="CFF0FC" w:val="clear"/>
            <w:vAlign w:val="center"/>
          </w:tcPr>
          <w:p>
            <w:pPr>
              <w:pStyle w:val="TableContents"/>
              <w:bidi w:val="0"/>
              <w:spacing w:before="0" w:after="283"/>
              <w:jc w:val="left"/>
              <w:rPr/>
            </w:pPr>
            <w:r>
              <w:rPr/>
              <w:t> </w:t>
            </w:r>
          </w:p>
        </w:tc>
      </w:tr>
      <w:tr>
        <w:trPr/>
        <w:tc>
          <w:tcPr>
            <w:tcW w:w="248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25,715</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62,903</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88,618</w:t>
            </w:r>
          </w:p>
        </w:tc>
        <w:tc>
          <w:tcPr>
            <w:tcW w:w="293"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5"/>
        <w:gridCol w:w="146"/>
        <w:gridCol w:w="2807"/>
        <w:gridCol w:w="146"/>
        <w:gridCol w:w="211"/>
        <w:gridCol w:w="676"/>
        <w:gridCol w:w="146"/>
        <w:gridCol w:w="146"/>
        <w:gridCol w:w="211"/>
        <w:gridCol w:w="676"/>
        <w:gridCol w:w="146"/>
        <w:gridCol w:w="146"/>
        <w:gridCol w:w="274"/>
        <w:gridCol w:w="453"/>
        <w:gridCol w:w="146"/>
        <w:gridCol w:w="146"/>
        <w:gridCol w:w="211"/>
        <w:gridCol w:w="781"/>
        <w:gridCol w:w="292"/>
      </w:tblGrid>
      <w:tr>
        <w:trPr/>
        <w:tc>
          <w:tcPr>
            <w:tcW w:w="24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44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 Using:</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2022</w:t>
            </w:r>
          </w:p>
        </w:tc>
        <w:tc>
          <w:tcPr>
            <w:tcW w:w="146" w:type="dxa"/>
            <w:tcBorders/>
            <w:shd w:fill="FFFFFF" w:val="clear"/>
            <w:vAlign w:val="center"/>
          </w:tcPr>
          <w:p>
            <w:pPr>
              <w:pStyle w:val="TableContents"/>
              <w:bidi w:val="0"/>
              <w:spacing w:before="0" w:after="283"/>
              <w:jc w:val="left"/>
              <w:rPr/>
            </w:pPr>
            <w:r>
              <w:rPr/>
              <w:t> </w:t>
            </w:r>
          </w:p>
        </w:tc>
        <w:tc>
          <w:tcPr>
            <w:tcW w:w="28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right"/>
              <w:rPr/>
            </w:pPr>
            <w:r>
              <w:rPr/>
              <w:t> </w:t>
            </w:r>
          </w:p>
        </w:tc>
      </w:tr>
      <w:tr>
        <w:trPr/>
        <w:tc>
          <w:tcPr>
            <w:tcW w:w="24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Financial assets:</w:t>
            </w:r>
          </w:p>
        </w:tc>
        <w:tc>
          <w:tcPr>
            <w:tcW w:w="146" w:type="dxa"/>
            <w:tcBorders/>
            <w:shd w:fill="FFFFFF" w:val="clear"/>
            <w:vAlign w:val="center"/>
          </w:tcPr>
          <w:p>
            <w:pPr>
              <w:pStyle w:val="TableContents"/>
              <w:bidi w:val="0"/>
              <w:spacing w:before="0" w:after="283"/>
              <w:jc w:val="left"/>
              <w:rPr/>
            </w:pPr>
            <w:r>
              <w:rPr/>
              <w:t> </w:t>
            </w:r>
          </w:p>
        </w:tc>
        <w:tc>
          <w:tcPr>
            <w:tcW w:w="28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ind w:left="0" w:right="0" w:firstLine="100"/>
              <w:jc w:val="right"/>
              <w:rPr/>
            </w:pPr>
            <w:r>
              <w:rPr/>
              <w:t> </w:t>
            </w:r>
          </w:p>
        </w:tc>
      </w:tr>
      <w:tr>
        <w:trPr/>
        <w:tc>
          <w:tcPr>
            <w:tcW w:w="2445"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280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11,589</w:t>
            </w:r>
          </w:p>
        </w:tc>
        <w:tc>
          <w:tcPr>
            <w:tcW w:w="292" w:type="dxa"/>
            <w:tcBorders/>
            <w:shd w:fill="FFFFFF" w:val="clear"/>
            <w:vAlign w:val="center"/>
          </w:tcPr>
          <w:p>
            <w:pPr>
              <w:pStyle w:val="TableContents"/>
              <w:bidi w:val="0"/>
              <w:spacing w:before="0" w:after="283"/>
              <w:ind w:left="0" w:right="0" w:firstLine="100"/>
              <w:jc w:val="left"/>
              <w:rPr/>
            </w:pPr>
            <w:r>
              <w:rPr/>
              <w:t> </w:t>
            </w:r>
          </w:p>
        </w:tc>
      </w:tr>
      <w:tr>
        <w:trPr/>
        <w:tc>
          <w:tcPr>
            <w:tcW w:w="2445"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28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62,513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62,513</w:t>
            </w:r>
          </w:p>
        </w:tc>
        <w:tc>
          <w:tcPr>
            <w:tcW w:w="292" w:type="dxa"/>
            <w:tcBorders/>
            <w:shd w:fill="CFF0FC" w:val="clear"/>
            <w:vAlign w:val="center"/>
          </w:tcPr>
          <w:p>
            <w:pPr>
              <w:pStyle w:val="TableContents"/>
              <w:bidi w:val="0"/>
              <w:spacing w:before="0" w:after="283"/>
              <w:ind w:left="0" w:right="0" w:firstLine="100"/>
              <w:jc w:val="left"/>
              <w:rPr/>
            </w:pPr>
            <w:r>
              <w:rPr/>
              <w:t> </w:t>
            </w:r>
          </w:p>
        </w:tc>
      </w:tr>
      <w:tr>
        <w:trPr/>
        <w:tc>
          <w:tcPr>
            <w:tcW w:w="2445"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80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30,739</w:t>
            </w:r>
          </w:p>
        </w:tc>
        <w:tc>
          <w:tcPr>
            <w:tcW w:w="292" w:type="dxa"/>
            <w:tcBorders/>
            <w:shd w:fill="FFFFFF" w:val="clear"/>
            <w:vAlign w:val="center"/>
          </w:tcPr>
          <w:p>
            <w:pPr>
              <w:pStyle w:val="TableContents"/>
              <w:bidi w:val="0"/>
              <w:spacing w:before="0" w:after="283"/>
              <w:ind w:left="0" w:right="0" w:firstLine="100"/>
              <w:jc w:val="left"/>
              <w:rPr/>
            </w:pPr>
            <w:r>
              <w:rPr/>
              <w:t> </w:t>
            </w:r>
          </w:p>
        </w:tc>
      </w:tr>
      <w:tr>
        <w:trPr/>
        <w:tc>
          <w:tcPr>
            <w:tcW w:w="2445"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28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9,852</w:t>
            </w:r>
          </w:p>
        </w:tc>
        <w:tc>
          <w:tcPr>
            <w:tcW w:w="292" w:type="dxa"/>
            <w:tcBorders/>
            <w:shd w:fill="CFF0FC" w:val="clear"/>
            <w:vAlign w:val="center"/>
          </w:tcPr>
          <w:p>
            <w:pPr>
              <w:pStyle w:val="TableContents"/>
              <w:bidi w:val="0"/>
              <w:spacing w:before="0" w:after="283"/>
              <w:ind w:left="0" w:right="0" w:firstLine="100"/>
              <w:jc w:val="left"/>
              <w:rPr/>
            </w:pPr>
            <w:r>
              <w:rPr/>
              <w:t> </w:t>
            </w:r>
          </w:p>
        </w:tc>
      </w:tr>
      <w:tr>
        <w:trPr/>
        <w:tc>
          <w:tcPr>
            <w:tcW w:w="2445"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80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agency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2,903</w:t>
            </w:r>
          </w:p>
        </w:tc>
        <w:tc>
          <w:tcPr>
            <w:tcW w:w="292" w:type="dxa"/>
            <w:tcBorders/>
            <w:shd w:fill="FFFFFF" w:val="clear"/>
            <w:vAlign w:val="center"/>
          </w:tcPr>
          <w:p>
            <w:pPr>
              <w:pStyle w:val="TableContents"/>
              <w:bidi w:val="0"/>
              <w:spacing w:before="0" w:after="283"/>
              <w:ind w:left="0" w:right="0" w:firstLine="100"/>
              <w:jc w:val="left"/>
              <w:rPr/>
            </w:pPr>
            <w:r>
              <w:rPr/>
              <w:t> </w:t>
            </w:r>
          </w:p>
        </w:tc>
      </w:tr>
      <w:tr>
        <w:trPr/>
        <w:tc>
          <w:tcPr>
            <w:tcW w:w="2445"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28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 backed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1,914</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8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98,069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119,510</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entered into a lease for office space in New Haven, Connecticut, effective March 1, 2013, and entered into a First Amendment (the “First Amendment”) to such lease on December 5, 2017 and a Second Amendment (the “Second Amendment”) to such lease on November 21, 2022 (collectively, the “Office Space Lease”). The leased space approximated 5,600</w:t>
      </w:r>
      <w:r>
        <w:rPr>
          <w:rFonts w:ascii="Times New Roman" w:hAnsi="Times New Roman"/>
          <w:color w:val="000000"/>
          <w:sz w:val="20"/>
        </w:rPr>
        <w:t xml:space="preserve"> </w:t>
      </w:r>
      <w:r>
        <w:rPr>
          <w:rFonts w:ascii="Times New Roman" w:hAnsi="Times New Roman"/>
          <w:b w:val="false"/>
          <w:color w:val="000000"/>
          <w:sz w:val="20"/>
        </w:rPr>
        <w:t>square feet and, prior to the Second Amendment, the Office Space Lease had a term of 60</w:t>
      </w:r>
      <w:r>
        <w:rPr>
          <w:rFonts w:ascii="Times New Roman" w:hAnsi="Times New Roman"/>
          <w:color w:val="000000"/>
          <w:sz w:val="20"/>
        </w:rPr>
        <w:t xml:space="preserve"> </w:t>
      </w:r>
      <w:r>
        <w:rPr>
          <w:rFonts w:ascii="Times New Roman" w:hAnsi="Times New Roman"/>
          <w:b w:val="false"/>
          <w:color w:val="000000"/>
          <w:sz w:val="20"/>
        </w:rPr>
        <w:t>months expiring on February 28, 2023. Under the First Amendment, the Company was required to make monthly payments ranging from approximately $10</w:t>
      </w:r>
      <w:r>
        <w:rPr>
          <w:rFonts w:ascii="Times New Roman" w:hAnsi="Times New Roman"/>
          <w:color w:val="000000"/>
          <w:sz w:val="20"/>
        </w:rPr>
        <w:t xml:space="preserve"> </w:t>
      </w:r>
      <w:r>
        <w:rPr>
          <w:rFonts w:ascii="Times New Roman" w:hAnsi="Times New Roman"/>
          <w:b w:val="false"/>
          <w:color w:val="000000"/>
          <w:sz w:val="20"/>
        </w:rPr>
        <w:t>to $12</w:t>
      </w:r>
      <w:r>
        <w:rPr>
          <w:rFonts w:ascii="Times New Roman" w:hAnsi="Times New Roman"/>
          <w:color w:val="000000"/>
          <w:sz w:val="20"/>
        </w:rPr>
        <w:t xml:space="preserve"> </w:t>
      </w:r>
      <w:r>
        <w:rPr>
          <w:rFonts w:ascii="Times New Roman" w:hAnsi="Times New Roman"/>
          <w:b w:val="false"/>
          <w:color w:val="000000"/>
          <w:sz w:val="20"/>
        </w:rPr>
        <w:t>through February 1, 2023 and received two designated months of free rent. As a result of the Company entering into the Second Amendment, the leased space increased to 12,500</w:t>
      </w:r>
      <w:r>
        <w:rPr>
          <w:rFonts w:ascii="Times New Roman" w:hAnsi="Times New Roman"/>
          <w:color w:val="000000"/>
          <w:sz w:val="20"/>
        </w:rPr>
        <w:t xml:space="preserve"> </w:t>
      </w:r>
      <w:r>
        <w:rPr>
          <w:rFonts w:ascii="Times New Roman" w:hAnsi="Times New Roman"/>
          <w:b w:val="false"/>
          <w:color w:val="000000"/>
          <w:sz w:val="20"/>
        </w:rPr>
        <w:t>square feet effective in March 2023 and the term for the Office Space Lease was extended for an additional 60</w:t>
      </w:r>
      <w:r>
        <w:rPr>
          <w:rFonts w:ascii="Times New Roman" w:hAnsi="Times New Roman"/>
          <w:color w:val="000000"/>
          <w:sz w:val="20"/>
        </w:rPr>
        <w:t xml:space="preserve"> </w:t>
      </w:r>
      <w:r>
        <w:rPr>
          <w:rFonts w:ascii="Times New Roman" w:hAnsi="Times New Roman"/>
          <w:b w:val="false"/>
          <w:color w:val="000000"/>
          <w:sz w:val="20"/>
        </w:rPr>
        <w:t>months from its prior termination date, until February 28, 2028. The Second Amendment requires monthly payments ranging from approximately $23</w:t>
      </w:r>
      <w:r>
        <w:rPr>
          <w:rFonts w:ascii="Times New Roman" w:hAnsi="Times New Roman"/>
          <w:color w:val="000000"/>
          <w:sz w:val="20"/>
        </w:rPr>
        <w:t xml:space="preserve"> </w:t>
      </w:r>
      <w:r>
        <w:rPr>
          <w:rFonts w:ascii="Times New Roman" w:hAnsi="Times New Roman"/>
          <w:b w:val="false"/>
          <w:color w:val="000000"/>
          <w:sz w:val="20"/>
        </w:rPr>
        <w:t>to $32</w:t>
      </w:r>
      <w:r>
        <w:rPr>
          <w:rFonts w:ascii="Times New Roman" w:hAnsi="Times New Roman"/>
          <w:color w:val="000000"/>
          <w:sz w:val="20"/>
        </w:rPr>
        <w:t xml:space="preserve"> </w:t>
      </w:r>
      <w:r>
        <w:rPr>
          <w:rFonts w:ascii="Times New Roman" w:hAnsi="Times New Roman"/>
          <w:b w:val="false"/>
          <w:color w:val="000000"/>
          <w:sz w:val="20"/>
        </w:rPr>
        <w:t>effective in March 2023 through February 2028. The first year of payments are based on 10,500</w:t>
      </w:r>
      <w:r>
        <w:rPr>
          <w:rFonts w:ascii="Times New Roman" w:hAnsi="Times New Roman"/>
          <w:color w:val="000000"/>
          <w:sz w:val="20"/>
        </w:rPr>
        <w:t xml:space="preserve"> </w:t>
      </w:r>
      <w:r>
        <w:rPr>
          <w:rFonts w:ascii="Times New Roman" w:hAnsi="Times New Roman"/>
          <w:b w:val="false"/>
          <w:color w:val="000000"/>
          <w:sz w:val="20"/>
        </w:rPr>
        <w:t>square feet of occupied space, the second year of payments are based on 11,500</w:t>
      </w:r>
      <w:r>
        <w:rPr>
          <w:rFonts w:ascii="Times New Roman" w:hAnsi="Times New Roman"/>
          <w:color w:val="000000"/>
          <w:sz w:val="20"/>
        </w:rPr>
        <w:t xml:space="preserve"> </w:t>
      </w:r>
      <w:r>
        <w:rPr>
          <w:rFonts w:ascii="Times New Roman" w:hAnsi="Times New Roman"/>
          <w:b w:val="false"/>
          <w:color w:val="000000"/>
          <w:sz w:val="20"/>
        </w:rPr>
        <w:t>square feet of occupied space and the remaining lease payments are based on 12,500</w:t>
      </w:r>
      <w:r>
        <w:rPr>
          <w:rFonts w:ascii="Times New Roman" w:hAnsi="Times New Roman"/>
          <w:color w:val="000000"/>
          <w:sz w:val="20"/>
        </w:rPr>
        <w:t xml:space="preserve"> </w:t>
      </w:r>
      <w:r>
        <w:rPr>
          <w:rFonts w:ascii="Times New Roman" w:hAnsi="Times New Roman"/>
          <w:b w:val="false"/>
          <w:color w:val="000000"/>
          <w:sz w:val="20"/>
        </w:rPr>
        <w:t>square feet of occupied space.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December 2022, the Company entered into a 24-month lease for the financing of the furniture installed in the Company’s new office space. The furniture lease requires monthly payments of approximately $11</w:t>
      </w:r>
      <w:r>
        <w:rPr>
          <w:rFonts w:ascii="Times New Roman" w:hAnsi="Times New Roman"/>
          <w:color w:val="000000"/>
          <w:sz w:val="20"/>
        </w:rPr>
        <w:t xml:space="preserve"> </w:t>
      </w:r>
      <w:r>
        <w:rPr>
          <w:rFonts w:ascii="Times New Roman" w:hAnsi="Times New Roman"/>
          <w:b w:val="false"/>
          <w:color w:val="000000"/>
          <w:sz w:val="20"/>
        </w:rPr>
        <w:t>starting in March 2023. The Company also entered into an immaterial office equipment lease during 2022 that has a term of 36</w:t>
      </w:r>
      <w:r>
        <w:rPr>
          <w:rFonts w:ascii="Times New Roman" w:hAnsi="Times New Roman"/>
          <w:color w:val="000000"/>
          <w:sz w:val="20"/>
        </w:rPr>
        <w:t xml:space="preserve"> </w:t>
      </w:r>
      <w:r>
        <w:rPr>
          <w:rFonts w:ascii="Times New Roman" w:hAnsi="Times New Roman"/>
          <w:b w:val="false"/>
          <w:color w:val="000000"/>
          <w:sz w:val="20"/>
        </w:rPr>
        <w:t>months.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presents the Company’s lease-related assets and liabilities as of September 30, 2023 and December 31, 2022:</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91"/>
        <w:gridCol w:w="146"/>
        <w:gridCol w:w="4121"/>
        <w:gridCol w:w="146"/>
        <w:gridCol w:w="399"/>
        <w:gridCol w:w="1081"/>
        <w:gridCol w:w="146"/>
        <w:gridCol w:w="146"/>
        <w:gridCol w:w="541"/>
        <w:gridCol w:w="894"/>
        <w:gridCol w:w="394"/>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Classification on the Condensed Consolidated Balance Sheet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41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35"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100"/>
              <w:jc w:val="right"/>
              <w:rPr/>
            </w:pPr>
            <w:r>
              <w:rPr/>
              <w:t> </w:t>
            </w:r>
          </w:p>
        </w:tc>
      </w:tr>
      <w:tr>
        <w:trPr/>
        <w:tc>
          <w:tcPr>
            <w:tcW w:w="219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Operating lease assets</w:t>
            </w:r>
          </w:p>
        </w:tc>
        <w:tc>
          <w:tcPr>
            <w:tcW w:w="146" w:type="dxa"/>
            <w:tcBorders/>
            <w:shd w:fill="CFF0FC" w:val="clear"/>
            <w:vAlign w:val="center"/>
          </w:tcPr>
          <w:p>
            <w:pPr>
              <w:pStyle w:val="TableContents"/>
              <w:bidi w:val="0"/>
              <w:spacing w:before="0" w:after="283"/>
              <w:jc w:val="left"/>
              <w:rPr/>
            </w:pPr>
            <w:r>
              <w:rPr/>
              <w:t> </w:t>
            </w:r>
          </w:p>
        </w:tc>
        <w:tc>
          <w:tcPr>
            <w:tcW w:w="41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394" w:type="dxa"/>
            <w:tcBorders/>
            <w:shd w:fill="CFF0FC" w:val="clear"/>
            <w:vAlign w:val="center"/>
          </w:tcPr>
          <w:p>
            <w:pPr>
              <w:pStyle w:val="TableContents"/>
              <w:bidi w:val="0"/>
              <w:spacing w:before="0" w:after="283"/>
              <w:ind w:left="0" w:right="0" w:firstLine="100"/>
              <w:jc w:val="left"/>
              <w:rPr/>
            </w:pPr>
            <w:r>
              <w:rPr/>
              <w:t> </w:t>
            </w:r>
          </w:p>
        </w:tc>
      </w:tr>
      <w:tr>
        <w:trPr/>
        <w:tc>
          <w:tcPr>
            <w:tcW w:w="219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Finance lease assets</w:t>
            </w:r>
          </w:p>
        </w:tc>
        <w:tc>
          <w:tcPr>
            <w:tcW w:w="146" w:type="dxa"/>
            <w:tcBorders/>
            <w:shd w:fill="FFFFFF" w:val="clear"/>
            <w:vAlign w:val="center"/>
          </w:tcPr>
          <w:p>
            <w:pPr>
              <w:pStyle w:val="TableContents"/>
              <w:bidi w:val="0"/>
              <w:spacing w:before="0" w:after="283"/>
              <w:jc w:val="left"/>
              <w:rPr/>
            </w:pPr>
            <w:r>
              <w:rPr/>
              <w:t> </w:t>
            </w:r>
          </w:p>
        </w:tc>
        <w:tc>
          <w:tcPr>
            <w:tcW w:w="41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Finance lease right-of-use assets</w:t>
            </w:r>
          </w:p>
        </w:tc>
        <w:tc>
          <w:tcPr>
            <w:tcW w:w="146" w:type="dxa"/>
            <w:tcBorders/>
            <w:shd w:fill="FFFFFF" w:val="cle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lease assets</w:t>
            </w:r>
          </w:p>
        </w:tc>
        <w:tc>
          <w:tcPr>
            <w:tcW w:w="146" w:type="dxa"/>
            <w:tcBorders/>
            <w:shd w:fill="CFF0FC" w:val="clear"/>
            <w:vAlign w:val="center"/>
          </w:tcPr>
          <w:p>
            <w:pPr>
              <w:pStyle w:val="TableContents"/>
              <w:bidi w:val="0"/>
              <w:spacing w:before="0" w:after="283"/>
              <w:jc w:val="left"/>
              <w:rPr/>
            </w:pPr>
            <w:r>
              <w:rPr/>
              <w:t> </w:t>
            </w:r>
          </w:p>
        </w:tc>
        <w:tc>
          <w:tcPr>
            <w:tcW w:w="41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41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35"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right"/>
              <w:rPr/>
            </w:pPr>
            <w:r>
              <w:rPr/>
              <w:t> </w:t>
            </w:r>
          </w:p>
        </w:tc>
      </w:tr>
      <w:tr>
        <w:trPr/>
        <w:tc>
          <w:tcPr>
            <w:tcW w:w="21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41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35"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100"/>
              <w:jc w:val="right"/>
              <w:rPr/>
            </w:pPr>
            <w:r>
              <w:rPr/>
              <w:t> </w:t>
            </w:r>
          </w:p>
        </w:tc>
      </w:tr>
      <w:tr>
        <w:trPr/>
        <w:tc>
          <w:tcPr>
            <w:tcW w:w="219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41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 current portion</w:t>
            </w:r>
          </w:p>
        </w:tc>
        <w:tc>
          <w:tcPr>
            <w:tcW w:w="146"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394" w:type="dxa"/>
            <w:tcBorders/>
            <w:shd w:fill="FFFFFF" w:val="clear"/>
            <w:vAlign w:val="center"/>
          </w:tcPr>
          <w:p>
            <w:pPr>
              <w:pStyle w:val="TableContents"/>
              <w:bidi w:val="0"/>
              <w:spacing w:before="0" w:after="283"/>
              <w:ind w:left="0" w:right="0" w:firstLine="100"/>
              <w:jc w:val="left"/>
              <w:rPr/>
            </w:pPr>
            <w:r>
              <w:rPr/>
              <w:t> </w:t>
            </w:r>
          </w:p>
        </w:tc>
      </w:tr>
      <w:tr>
        <w:trPr/>
        <w:tc>
          <w:tcPr>
            <w:tcW w:w="219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Finance lease liabilities</w:t>
            </w:r>
          </w:p>
        </w:tc>
        <w:tc>
          <w:tcPr>
            <w:tcW w:w="146" w:type="dxa"/>
            <w:tcBorders/>
            <w:shd w:fill="CFF0FC" w:val="clear"/>
            <w:vAlign w:val="center"/>
          </w:tcPr>
          <w:p>
            <w:pPr>
              <w:pStyle w:val="TableContents"/>
              <w:bidi w:val="0"/>
              <w:spacing w:before="0" w:after="283"/>
              <w:jc w:val="left"/>
              <w:rPr/>
            </w:pPr>
            <w:r>
              <w:rPr/>
              <w:t> </w:t>
            </w:r>
          </w:p>
        </w:tc>
        <w:tc>
          <w:tcPr>
            <w:tcW w:w="41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Finance lease liabilities, current portion</w:t>
            </w:r>
          </w:p>
        </w:tc>
        <w:tc>
          <w:tcPr>
            <w:tcW w:w="146"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left"/>
              <w:rPr/>
            </w:pPr>
            <w:r>
              <w:rPr/>
              <w:t> </w:t>
            </w:r>
          </w:p>
        </w:tc>
        <w:tc>
          <w:tcPr>
            <w:tcW w:w="10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jc w:val="left"/>
              <w:rPr/>
            </w:pPr>
            <w:r>
              <w:rPr/>
              <w:t> </w:t>
            </w:r>
          </w:p>
        </w:tc>
      </w:tr>
      <w:tr>
        <w:trPr/>
        <w:tc>
          <w:tcPr>
            <w:tcW w:w="21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Non-current</w:t>
            </w:r>
          </w:p>
        </w:tc>
        <w:tc>
          <w:tcPr>
            <w:tcW w:w="146" w:type="dxa"/>
            <w:tcBorders/>
            <w:shd w:fill="FFFFFF" w:val="clear"/>
            <w:vAlign w:val="center"/>
          </w:tcPr>
          <w:p>
            <w:pPr>
              <w:pStyle w:val="TableContents"/>
              <w:bidi w:val="0"/>
              <w:spacing w:before="0" w:after="283"/>
              <w:jc w:val="left"/>
              <w:rPr/>
            </w:pPr>
            <w:r>
              <w:rPr/>
              <w:t> </w:t>
            </w:r>
          </w:p>
        </w:tc>
        <w:tc>
          <w:tcPr>
            <w:tcW w:w="41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35"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100"/>
              <w:jc w:val="right"/>
              <w:rPr/>
            </w:pPr>
            <w:r>
              <w:rPr/>
              <w:t> </w:t>
            </w:r>
          </w:p>
        </w:tc>
      </w:tr>
      <w:tr>
        <w:trPr/>
        <w:tc>
          <w:tcPr>
            <w:tcW w:w="219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41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 non-current portion</w:t>
            </w:r>
          </w:p>
        </w:tc>
        <w:tc>
          <w:tcPr>
            <w:tcW w:w="146"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left"/>
              <w:rPr/>
            </w:pPr>
            <w:r>
              <w:rPr/>
              <w:t> </w:t>
            </w:r>
          </w:p>
        </w:tc>
        <w:tc>
          <w:tcPr>
            <w:tcW w:w="10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394" w:type="dxa"/>
            <w:tcBorders/>
            <w:shd w:fill="CFF0FC" w:val="clear"/>
            <w:vAlign w:val="center"/>
          </w:tcPr>
          <w:p>
            <w:pPr>
              <w:pStyle w:val="TableContents"/>
              <w:bidi w:val="0"/>
              <w:spacing w:before="0" w:after="283"/>
              <w:ind w:left="0" w:right="0" w:firstLine="100"/>
              <w:jc w:val="left"/>
              <w:rPr/>
            </w:pPr>
            <w:r>
              <w:rPr/>
              <w:t> </w:t>
            </w:r>
          </w:p>
        </w:tc>
      </w:tr>
      <w:tr>
        <w:trPr/>
        <w:tc>
          <w:tcPr>
            <w:tcW w:w="219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Finance lease liabilities</w:t>
            </w:r>
          </w:p>
        </w:tc>
        <w:tc>
          <w:tcPr>
            <w:tcW w:w="146" w:type="dxa"/>
            <w:tcBorders/>
            <w:shd w:fill="FFFFFF" w:val="clear"/>
            <w:vAlign w:val="center"/>
          </w:tcPr>
          <w:p>
            <w:pPr>
              <w:pStyle w:val="TableContents"/>
              <w:bidi w:val="0"/>
              <w:spacing w:before="0" w:after="283"/>
              <w:jc w:val="left"/>
              <w:rPr/>
            </w:pPr>
            <w:r>
              <w:rPr/>
              <w:t> </w:t>
            </w:r>
          </w:p>
        </w:tc>
        <w:tc>
          <w:tcPr>
            <w:tcW w:w="41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Finance lease liabilities, non-current portion</w:t>
            </w:r>
          </w:p>
        </w:tc>
        <w:tc>
          <w:tcPr>
            <w:tcW w:w="146" w:type="dxa"/>
            <w:tcBorders/>
            <w:shd w:fill="FFFFFF" w:val="cle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41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 presents information related to the Company’s lease expense for the three and nine months ended September 30, 2023 and 2022:</w:t>
      </w:r>
    </w:p>
    <w:tbl>
      <w:tblPr>
        <w:tblW w:w="5930" w:type="dxa"/>
        <w:jc w:val="left"/>
        <w:tblInd w:w="0" w:type="dxa"/>
        <w:tblLayout w:type="fixed"/>
        <w:tblCellMar>
          <w:top w:w="28" w:type="dxa"/>
          <w:left w:w="28" w:type="dxa"/>
          <w:bottom w:w="28" w:type="dxa"/>
          <w:right w:w="28" w:type="dxa"/>
        </w:tblCellMar>
      </w:tblPr>
      <w:tblGrid>
        <w:gridCol w:w="2086"/>
        <w:gridCol w:w="146"/>
        <w:gridCol w:w="246"/>
        <w:gridCol w:w="368"/>
        <w:gridCol w:w="170"/>
        <w:gridCol w:w="170"/>
        <w:gridCol w:w="246"/>
        <w:gridCol w:w="403"/>
        <w:gridCol w:w="146"/>
        <w:gridCol w:w="146"/>
        <w:gridCol w:w="215"/>
        <w:gridCol w:w="430"/>
        <w:gridCol w:w="149"/>
        <w:gridCol w:w="149"/>
        <w:gridCol w:w="215"/>
        <w:gridCol w:w="354"/>
        <w:gridCol w:w="2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6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center"/>
              <w:rPr/>
            </w:pPr>
            <w:r>
              <w:rPr/>
              <w:t> </w:t>
            </w:r>
          </w:p>
        </w:tc>
        <w:tc>
          <w:tcPr>
            <w:tcW w:w="5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expense</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w:t>
            </w:r>
          </w:p>
        </w:tc>
        <w:tc>
          <w:tcPr>
            <w:tcW w:w="2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Finance lease expense</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8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lease expense</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Future minimum lease payments from September 30, 2023 until the expiration of the leases are as follows:</w:t>
      </w:r>
    </w:p>
    <w:p>
      <w:pPr>
        <w:pStyle w:val="TextBody"/>
        <w:bidi w:val="0"/>
        <w:jc w:val="left"/>
        <w:rPr/>
      </w:pPr>
      <w:r>
        <w:rPr/>
        <w:t> </w:t>
      </w:r>
    </w:p>
    <w:tbl>
      <w:tblPr>
        <w:tblW w:w="7645" w:type="dxa"/>
        <w:jc w:val="left"/>
        <w:tblInd w:w="0" w:type="dxa"/>
        <w:tblLayout w:type="fixed"/>
        <w:tblCellMar>
          <w:top w:w="28" w:type="dxa"/>
          <w:left w:w="28" w:type="dxa"/>
          <w:bottom w:w="28" w:type="dxa"/>
          <w:right w:w="28" w:type="dxa"/>
        </w:tblCellMar>
      </w:tblPr>
      <w:tblGrid>
        <w:gridCol w:w="4426"/>
        <w:gridCol w:w="146"/>
        <w:gridCol w:w="367"/>
        <w:gridCol w:w="998"/>
        <w:gridCol w:w="166"/>
        <w:gridCol w:w="146"/>
        <w:gridCol w:w="394"/>
        <w:gridCol w:w="791"/>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211" w:type="dxa"/>
            <w:tcBorders/>
            <w:shd w:fill="CFF0FC"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211" w:type="dxa"/>
            <w:tcBorders/>
            <w:shd w:fill="FFFFFF" w:val="cle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211" w:type="dxa"/>
            <w:tcBorders/>
            <w:shd w:fill="CFF0FC"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minimum lease payments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w:t>
            </w:r>
          </w:p>
        </w:tc>
        <w:tc>
          <w:tcPr>
            <w:tcW w:w="211" w:type="dxa"/>
            <w:tcBorders/>
            <w:shd w:fill="CFF0FC"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Amount of lease payments representing interest</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4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Present value of future minimum lease payments</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 presents certain information related to the lease terms and discount rates for the Company’s leases as of September 30, 2023 and December 31, 2022:</w:t>
      </w:r>
    </w:p>
    <w:p>
      <w:pPr>
        <w:pStyle w:val="TextBody"/>
        <w:bidi w:val="0"/>
        <w:jc w:val="left"/>
        <w:rPr/>
      </w:pPr>
      <w:r>
        <w:rPr/>
        <w:t> </w:t>
      </w:r>
    </w:p>
    <w:tbl>
      <w:tblPr>
        <w:tblW w:w="6760" w:type="dxa"/>
        <w:jc w:val="left"/>
        <w:tblInd w:w="0" w:type="dxa"/>
        <w:tblLayout w:type="fixed"/>
        <w:tblCellMar>
          <w:top w:w="28" w:type="dxa"/>
          <w:left w:w="28" w:type="dxa"/>
          <w:bottom w:w="28" w:type="dxa"/>
          <w:right w:w="28" w:type="dxa"/>
        </w:tblCellMar>
      </w:tblPr>
      <w:tblGrid>
        <w:gridCol w:w="3376"/>
        <w:gridCol w:w="146"/>
        <w:gridCol w:w="1546"/>
        <w:gridCol w:w="146"/>
        <w:gridCol w:w="154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r>
      <w:tr>
        <w:trPr/>
        <w:tc>
          <w:tcPr>
            <w:tcW w:w="33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remaining lease term:</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ind w:left="0" w:right="0" w:firstLine="100"/>
              <w:jc w:val="right"/>
              <w:rPr/>
            </w:pPr>
            <w:r>
              <w:rPr/>
              <w:t> </w:t>
            </w:r>
          </w:p>
        </w:tc>
      </w:tr>
      <w:tr>
        <w:trPr/>
        <w:tc>
          <w:tcPr>
            <w:tcW w:w="337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154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4.5</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CFF0FC" w:val="clear"/>
            <w:vAlign w:val="center"/>
          </w:tcPr>
          <w:p>
            <w:pPr>
              <w:pStyle w:val="TableContents"/>
              <w:bidi w:val="0"/>
              <w:spacing w:before="0" w:after="283"/>
              <w:jc w:val="left"/>
              <w:rPr/>
            </w:pPr>
            <w:r>
              <w:rPr/>
              <w:t> </w:t>
            </w:r>
          </w:p>
        </w:tc>
        <w:tc>
          <w:tcPr>
            <w:tcW w:w="1546" w:type="dxa"/>
            <w:tcBorders/>
            <w:shd w:fill="CFF0FC" w:val="clear"/>
            <w:vAlign w:val="center"/>
          </w:tcPr>
          <w:p>
            <w:pPr>
              <w:pStyle w:val="TableContents"/>
              <w:bidi w:val="0"/>
              <w:spacing w:before="0" w:after="283"/>
              <w:ind w:left="0" w:right="0" w:firstLine="100"/>
              <w:jc w:val="center"/>
              <w:rPr>
                <w:rFonts w:ascii="Times New Roman" w:hAnsi="Times New Roman"/>
                <w:sz w:val="20"/>
              </w:rPr>
            </w:pPr>
            <w:r>
              <w:rPr>
                <w:rFonts w:ascii="Times New Roman" w:hAnsi="Times New Roman"/>
                <w:b w:val="false"/>
                <w:color w:val="000000"/>
                <w:sz w:val="20"/>
              </w:rPr>
              <w:t>0.3</w:t>
            </w:r>
            <w:r>
              <w:rPr>
                <w:rFonts w:ascii="Times New Roman" w:hAnsi="Times New Roman"/>
                <w:color w:val="000000"/>
                <w:sz w:val="20"/>
              </w:rPr>
              <w:t> </w:t>
            </w:r>
            <w:r>
              <w:rPr>
                <w:rFonts w:ascii="Times New Roman" w:hAnsi="Times New Roman"/>
                <w:b w:val="false"/>
                <w:color w:val="000000"/>
                <w:sz w:val="20"/>
              </w:rPr>
              <w:t>years</w:t>
            </w:r>
          </w:p>
        </w:tc>
      </w:tr>
      <w:tr>
        <w:trPr/>
        <w:tc>
          <w:tcPr>
            <w:tcW w:w="337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1.5</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not applicable</w:t>
            </w:r>
          </w:p>
        </w:tc>
      </w:tr>
      <w:tr>
        <w:trPr/>
        <w:tc>
          <w:tcPr>
            <w:tcW w:w="337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46" w:type="dxa"/>
            <w:tcBorders/>
            <w:shd w:fill="CFF0FC" w:val="clear"/>
            <w:vAlign w:val="center"/>
          </w:tcPr>
          <w:p>
            <w:pPr>
              <w:pStyle w:val="TableContents"/>
              <w:bidi w:val="0"/>
              <w:spacing w:before="0" w:after="283"/>
              <w:jc w:val="center"/>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ind w:left="0" w:right="0" w:firstLine="100"/>
              <w:jc w:val="center"/>
              <w:rPr/>
            </w:pPr>
            <w:r>
              <w:rPr/>
              <w:t> </w:t>
            </w:r>
          </w:p>
        </w:tc>
      </w:tr>
      <w:tr>
        <w:trPr/>
        <w:tc>
          <w:tcPr>
            <w:tcW w:w="337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154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11.00%</w:t>
            </w:r>
          </w:p>
        </w:tc>
        <w:tc>
          <w:tcPr>
            <w:tcW w:w="146" w:type="dxa"/>
            <w:tcBorders/>
            <w:shd w:fill="CFF0FC" w:val="clear"/>
            <w:vAlign w:val="center"/>
          </w:tcPr>
          <w:p>
            <w:pPr>
              <w:pStyle w:val="TableContents"/>
              <w:bidi w:val="0"/>
              <w:spacing w:before="0" w:after="283"/>
              <w:jc w:val="left"/>
              <w:rPr/>
            </w:pPr>
            <w:r>
              <w:rPr/>
              <w:t> </w:t>
            </w:r>
          </w:p>
        </w:tc>
        <w:tc>
          <w:tcPr>
            <w:tcW w:w="1546" w:type="dxa"/>
            <w:tcBorders/>
            <w:shd w:fill="CFF0FC" w:val="clear"/>
            <w:vAlign w:val="center"/>
          </w:tcPr>
          <w:p>
            <w:pPr>
              <w:pStyle w:val="TableContents"/>
              <w:bidi w:val="0"/>
              <w:spacing w:before="0" w:after="283"/>
              <w:ind w:left="0" w:right="0" w:firstLine="100"/>
              <w:jc w:val="center"/>
              <w:rPr>
                <w:rFonts w:ascii="Times New Roman" w:hAnsi="Times New Roman"/>
                <w:b w:val="false"/>
                <w:color w:val="000000"/>
                <w:sz w:val="20"/>
              </w:rPr>
            </w:pPr>
            <w:r>
              <w:rPr>
                <w:rFonts w:ascii="Times New Roman" w:hAnsi="Times New Roman"/>
                <w:b w:val="false"/>
                <w:color w:val="000000"/>
                <w:sz w:val="20"/>
              </w:rPr>
              <w:t>13.00%</w:t>
            </w:r>
          </w:p>
        </w:tc>
      </w:tr>
      <w:tr>
        <w:trPr/>
        <w:tc>
          <w:tcPr>
            <w:tcW w:w="337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4.37%</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not applicable</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 presents supplemental cash flow information related to the Company’s leases for the three and nine months ended September 30, 2023 and 2022: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50"/>
        <w:gridCol w:w="146"/>
        <w:gridCol w:w="239"/>
        <w:gridCol w:w="392"/>
        <w:gridCol w:w="165"/>
        <w:gridCol w:w="165"/>
        <w:gridCol w:w="239"/>
        <w:gridCol w:w="392"/>
        <w:gridCol w:w="146"/>
        <w:gridCol w:w="146"/>
        <w:gridCol w:w="211"/>
        <w:gridCol w:w="571"/>
        <w:gridCol w:w="146"/>
        <w:gridCol w:w="146"/>
        <w:gridCol w:w="211"/>
        <w:gridCol w:w="346"/>
        <w:gridCol w:w="394"/>
      </w:tblGrid>
      <w:tr>
        <w:trPr/>
        <w:tc>
          <w:tcPr>
            <w:tcW w:w="6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1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amounts included in the measurement of lease liabilities:</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7" w:type="dxa"/>
            <w:gridSpan w:val="2"/>
            <w:tcBorders/>
            <w:shd w:fill="FFFFFF" w:val="clear"/>
            <w:vAlign w:val="center"/>
          </w:tcPr>
          <w:p>
            <w:pPr>
              <w:pStyle w:val="TableContents"/>
              <w:bidi w:val="0"/>
              <w:spacing w:before="0" w:after="283"/>
              <w:jc w:val="center"/>
              <w:rPr/>
            </w:pPr>
            <w:r>
              <w:rPr/>
              <w:t> </w:t>
            </w:r>
          </w:p>
        </w:tc>
        <w:tc>
          <w:tcPr>
            <w:tcW w:w="394" w:type="dxa"/>
            <w:tcBorders/>
            <w:shd w:fill="FFFFFF" w:val="clear"/>
            <w:vAlign w:val="center"/>
          </w:tcPr>
          <w:p>
            <w:pPr>
              <w:pStyle w:val="TableContents"/>
              <w:bidi w:val="0"/>
              <w:spacing w:before="0" w:after="283"/>
              <w:ind w:left="0" w:right="0" w:firstLine="200"/>
              <w:jc w:val="center"/>
              <w:rPr/>
            </w:pPr>
            <w:r>
              <w:rPr/>
              <w:t> </w:t>
            </w:r>
          </w:p>
        </w:tc>
      </w:tr>
      <w:tr>
        <w:trPr/>
        <w:tc>
          <w:tcPr>
            <w:tcW w:w="615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cash outflows relating to operating leases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15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Finance lease payments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394" w:type="dxa"/>
            <w:tcBorders/>
            <w:shd w:fill="FFFFFF" w:val="clear"/>
            <w:vAlign w:val="center"/>
          </w:tcPr>
          <w:p>
            <w:pPr>
              <w:pStyle w:val="TableContents"/>
              <w:bidi w:val="0"/>
              <w:spacing w:before="0" w:after="283"/>
              <w:jc w:val="left"/>
              <w:rPr/>
            </w:pPr>
            <w:r>
              <w:rPr/>
              <w:t> </w:t>
            </w:r>
          </w:p>
        </w:tc>
      </w:tr>
      <w:tr>
        <w:trPr/>
        <w:tc>
          <w:tcPr>
            <w:tcW w:w="615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Supplemental non-cash information:</w:t>
            </w:r>
          </w:p>
        </w:tc>
        <w:tc>
          <w:tcPr>
            <w:tcW w:w="146" w:type="dxa"/>
            <w:tcBorders/>
            <w:shd w:fill="CFF0FC" w:val="clear"/>
            <w:vAlign w:val="center"/>
          </w:tcPr>
          <w:p>
            <w:pPr>
              <w:pStyle w:val="TableContents"/>
              <w:bidi w:val="0"/>
              <w:spacing w:before="0" w:after="283"/>
              <w:jc w:val="left"/>
              <w:rPr/>
            </w:pPr>
            <w:r>
              <w:rPr/>
              <w:t> </w:t>
            </w:r>
          </w:p>
        </w:tc>
        <w:tc>
          <w:tcPr>
            <w:tcW w:w="631" w:type="dxa"/>
            <w:gridSpan w:val="2"/>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left"/>
              <w:rPr/>
            </w:pPr>
            <w:r>
              <w:rPr/>
              <w:t> </w:t>
            </w:r>
          </w:p>
        </w:tc>
        <w:tc>
          <w:tcPr>
            <w:tcW w:w="6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615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Right-of-use assets obtained in exchange for new operating lease liabilities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15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Right-of-use assets obtained in exchange for new finance lease liabilities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Accrued Expenses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Accrued expenses consisted of the following:</w:t>
      </w:r>
    </w:p>
    <w:tbl>
      <w:tblPr>
        <w:tblW w:w="7225" w:type="dxa"/>
        <w:jc w:val="left"/>
        <w:tblInd w:w="0" w:type="dxa"/>
        <w:tblLayout w:type="fixed"/>
        <w:tblCellMar>
          <w:top w:w="28" w:type="dxa"/>
          <w:left w:w="28" w:type="dxa"/>
          <w:bottom w:w="28" w:type="dxa"/>
          <w:right w:w="28" w:type="dxa"/>
        </w:tblCellMar>
      </w:tblPr>
      <w:tblGrid>
        <w:gridCol w:w="3451"/>
        <w:gridCol w:w="146"/>
        <w:gridCol w:w="417"/>
        <w:gridCol w:w="1128"/>
        <w:gridCol w:w="146"/>
        <w:gridCol w:w="146"/>
        <w:gridCol w:w="403"/>
        <w:gridCol w:w="1097"/>
        <w:gridCol w:w="2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R&amp;D projects</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1,130</w:t>
            </w:r>
          </w:p>
        </w:tc>
        <w:tc>
          <w:tcPr>
            <w:tcW w:w="2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compensation and benefits</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1,508</w:t>
            </w:r>
          </w:p>
        </w:tc>
        <w:tc>
          <w:tcPr>
            <w:tcW w:w="2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consulting and professional fees</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w:t>
            </w:r>
          </w:p>
        </w:tc>
        <w:tc>
          <w:tcPr>
            <w:tcW w:w="2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other</w:t>
            </w:r>
          </w:p>
        </w:tc>
        <w:tc>
          <w:tcPr>
            <w:tcW w:w="146" w:type="dxa"/>
            <w:tcBorders/>
            <w:shd w:fill="FFFFFF" w:val="cle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5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accrued expenses</w:t>
            </w:r>
          </w:p>
        </w:tc>
        <w:tc>
          <w:tcPr>
            <w:tcW w:w="146" w:type="dxa"/>
            <w:tcBorders/>
            <w:shd w:fill="CFF0FC" w:val="cle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w:t>
      </w:r>
    </w:p>
    <w:p>
      <w:pPr>
        <w:pStyle w:val="TextBody"/>
        <w:bidi w:val="0"/>
        <w:jc w:val="left"/>
        <w:rPr>
          <w:rFonts w:ascii="Times New Roman" w:hAnsi="Times New Roman"/>
          <w:b/>
          <w:color w:val="000000"/>
          <w:sz w:val="20"/>
        </w:rPr>
      </w:pPr>
      <w:r>
        <w:rPr>
          <w:rFonts w:ascii="Times New Roman" w:hAnsi="Times New Roman"/>
          <w:b/>
          <w:color w:val="000000"/>
          <w:sz w:val="20"/>
        </w:rPr>
        <w:t>Debt</w:t>
      </w:r>
    </w:p>
    <w:p>
      <w:pPr>
        <w:pStyle w:val="TextBody"/>
        <w:bidi w:val="0"/>
        <w:spacing w:before="120" w:after="283"/>
        <w:jc w:val="left"/>
        <w:rPr>
          <w:rFonts w:ascii="Times New Roman" w:hAnsi="Times New Roman"/>
          <w:sz w:val="20"/>
        </w:rPr>
      </w:pPr>
      <w:r>
        <w:rPr>
          <w:rFonts w:ascii="Times New Roman" w:hAnsi="Times New Roman"/>
          <w:b/>
          <w:i/>
          <w:color w:val="000000"/>
          <w:sz w:val="20"/>
        </w:rPr>
        <w:t>Silicon Valley Bank Term Loan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May 9, 2023, the Company paid the remaining amount due under the SVB Loan Agreement (as described below), resulting in the full extinguishment of the SVB Term Loan as described below. The total payoff amount was $6.5</w:t>
      </w:r>
      <w:r>
        <w:rPr>
          <w:rFonts w:ascii="Times New Roman" w:hAnsi="Times New Roman"/>
          <w:color w:val="000000"/>
          <w:sz w:val="20"/>
        </w:rPr>
        <w:t xml:space="preserve"> </w:t>
      </w:r>
      <w:r>
        <w:rPr>
          <w:rFonts w:ascii="Times New Roman" w:hAnsi="Times New Roman"/>
          <w:b w:val="false"/>
          <w:color w:val="000000"/>
          <w:sz w:val="20"/>
        </w:rPr>
        <w:t>million, consisting of the remaining principal amount due of $5.2</w:t>
      </w:r>
      <w:r>
        <w:rPr>
          <w:rFonts w:ascii="Times New Roman" w:hAnsi="Times New Roman"/>
          <w:color w:val="000000"/>
          <w:sz w:val="20"/>
        </w:rPr>
        <w:t xml:space="preserve"> </w:t>
      </w:r>
      <w:r>
        <w:rPr>
          <w:rFonts w:ascii="Times New Roman" w:hAnsi="Times New Roman"/>
          <w:b w:val="false"/>
          <w:color w:val="000000"/>
          <w:sz w:val="20"/>
        </w:rPr>
        <w:t>million, the final payment fee of $1.2</w:t>
      </w:r>
      <w:r>
        <w:rPr>
          <w:rFonts w:ascii="Times New Roman" w:hAnsi="Times New Roman"/>
          <w:color w:val="000000"/>
          <w:sz w:val="20"/>
        </w:rPr>
        <w:t xml:space="preserve"> </w:t>
      </w:r>
      <w:r>
        <w:rPr>
          <w:rFonts w:ascii="Times New Roman" w:hAnsi="Times New Roman"/>
          <w:b w:val="false"/>
          <w:color w:val="000000"/>
          <w:sz w:val="20"/>
        </w:rPr>
        <w:t>million, and $0.1</w:t>
      </w:r>
      <w:r>
        <w:rPr>
          <w:rFonts w:ascii="Times New Roman" w:hAnsi="Times New Roman"/>
          <w:color w:val="000000"/>
          <w:sz w:val="20"/>
        </w:rPr>
        <w:t xml:space="preserve"> </w:t>
      </w:r>
      <w:r>
        <w:rPr>
          <w:rFonts w:ascii="Times New Roman" w:hAnsi="Times New Roman"/>
          <w:b w:val="false"/>
          <w:color w:val="000000"/>
          <w:sz w:val="20"/>
        </w:rPr>
        <w:t>million of accrued interest and prepayment premium.</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March 10, 2023, Silicon Valley Bank (“SVB”) was closed by the California Department of Financial Protection and Innovation and the Federal Deposit Insurance Corporation (“FDIC”) was appointed as receiver. While SVB was the Company’s primary bank at the time of its closure, the vast majority of the Company’s total cash, cash equivalents and marketable securities resided in custodial accounts held by U.S. Bank for which SVB Asset Management was the advisor. The FDIC subsequently transferred all of SVB’s deposits and loans to a newly created bridge bank, named Silicon Valley Bridge Bank, N.A., under a systemic risk exception approved by the United States Department of the Treasury, the Board of Governors of the Federal Reserve, and the FDIC. On March 27, 2023, First Citizens Bank &amp; Trust Company (“First Citizens Bank”) assumed all of SVB’s deposits and certain other liabilities and acquired substantially all of SVB’s loans and certain other assets from the FDIC. As a result, all of the Company’s deposits that were at SVB and the Company’s SVB Term Loan were then moved to First Citizens Bank. The Company has access to all cash, cash equivalents and marketable securities that had been in its SVB accounts, and does not expect losses or material disruptions to the Company’s ongoing operations due to SVB’s closure.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13, 2020 (the “Effective Date”), the Company entered into a loan and security agreement (the “SVB Loan Agreement”) with SVB, as lender, pursuant to which SVB provided a term loan to the Company in the original principal amount of $14.0</w:t>
      </w:r>
      <w:r>
        <w:rPr>
          <w:rFonts w:ascii="Times New Roman" w:hAnsi="Times New Roman"/>
          <w:color w:val="000000"/>
          <w:sz w:val="20"/>
        </w:rPr>
        <w:t xml:space="preserve"> </w:t>
      </w:r>
      <w:r>
        <w:rPr>
          <w:rFonts w:ascii="Times New Roman" w:hAnsi="Times New Roman"/>
          <w:b w:val="false"/>
          <w:color w:val="000000"/>
          <w:sz w:val="20"/>
        </w:rPr>
        <w:t>million (the “SVB Term Loan”). The SVB Term Loan bore interest at a floating rate per annum equal to the greater of (A) the prime rate plus 1.00% and (B) 4.25%. If SVB received evidence satisfactory to it that the Company had (i) received positive data for the Phase 2b/3 clinical trial of Haduvio sufficient to advance Haduvio into a second Phase 3 clinical trial for prurigo nodularis, and (ii) raised sufficient financing to fund such Phase 3 clinical trial and the Company’s operations, (together, the “Phase 3 Event”), the interest rate under the SVB Term Loan would have been adjusted to a floating rate equal to the greater of (A) the prime rate plus 3.00% and (B) 6.25% (see term loan derivative liability discussion below). Commencing on March 1, 2022 and on the first business day of each month thereafter, the Company was required to make monthly interest payments and to repay the SVB Term Loan in 24</w:t>
      </w:r>
      <w:r>
        <w:rPr>
          <w:rFonts w:ascii="Times New Roman" w:hAnsi="Times New Roman"/>
          <w:color w:val="000000"/>
          <w:sz w:val="20"/>
        </w:rPr>
        <w:t xml:space="preserve"> </w:t>
      </w:r>
      <w:r>
        <w:rPr>
          <w:rFonts w:ascii="Times New Roman" w:hAnsi="Times New Roman"/>
          <w:b w:val="false"/>
          <w:color w:val="000000"/>
          <w:sz w:val="20"/>
        </w:rPr>
        <w:t>consecutive installments of principal plus monthly payments of accrued interest. All outstanding principal and accrued and unpaid interest under the SVB Term Loan and all other outstanding obligations with respect to the SVB Term Loan were due and payable in full on February 1, 2024. The SVB Loan Agreement permitted voluntary prepayment of all, but not less than all, of the SVB Term Loan, subject to a prepayment premium. Such prepayment premium would have been 3.00% of the principal amount of the SVB Term Loan if prepaid prior to the first anniversary of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the Company was required to pay a final payment fee equal to $1.2</w:t>
      </w:r>
      <w:r>
        <w:rPr>
          <w:rFonts w:ascii="Times New Roman" w:hAnsi="Times New Roman"/>
          <w:color w:val="000000"/>
          <w:sz w:val="20"/>
        </w:rPr>
        <w:t xml:space="preserve"> </w:t>
      </w:r>
      <w:r>
        <w:rPr>
          <w:rFonts w:ascii="Times New Roman" w:hAnsi="Times New Roman"/>
          <w:b w:val="false"/>
          <w:color w:val="000000"/>
          <w:sz w:val="20"/>
        </w:rPr>
        <w:t>million. The SVB Term</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Loan and related obligations under the SVB Loan Agreement were secured by substantially all of the Company’s properties, rights and assets, except for its intellectual property (which was subject to a negative pledge under the SVB Loan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July 6, 2021, the Company and SVB entered into a First Amendment (the “Loan Amendment”) to the SVB Loan Agreement. The Loan Amendment modified the conditions under which the Company was required to cash collateralize all outstanding amounts owed to SVB under the SVB Loan Agreement. Under the Loan Amendment, if the Company failed to receive positive data in its Phase 2b/3 PRISM trial or to raise by June 30, 2022 sufficient net proceeds from the sale of equity securities to finance its planned second Phase 3 clinical trial of Haduvio for prurigo nodularis and its ongoing operations (each a “Milestone Condition”), the Company would have been required to deposit unrestricted and unencumbered cash equal to 100% of all outstanding amounts owed to SVB in a cash collateral account with SVB, which could have been used by SVB to prepay the SVB Term Loan at any time.</w:t>
      </w:r>
      <w:r>
        <w:rPr>
          <w:rFonts w:ascii="Times New Roman" w:hAnsi="Times New Roman"/>
          <w:color w:val="000000"/>
          <w:sz w:val="20"/>
        </w:rPr>
        <w:t xml:space="preserve"> </w:t>
      </w:r>
      <w:r>
        <w:rPr>
          <w:rFonts w:ascii="Times New Roman" w:hAnsi="Times New Roman"/>
          <w:b w:val="false"/>
          <w:color w:val="000000"/>
          <w:sz w:val="20"/>
        </w:rPr>
        <w:t>In addition, the Loan Amendment provided that if the Company failed to maintain at least $20.0</w:t>
      </w:r>
      <w:r>
        <w:rPr>
          <w:rFonts w:ascii="Times New Roman" w:hAnsi="Times New Roman"/>
          <w:color w:val="000000"/>
          <w:sz w:val="20"/>
        </w:rPr>
        <w:t xml:space="preserve"> </w:t>
      </w:r>
      <w:r>
        <w:rPr>
          <w:rFonts w:ascii="Times New Roman" w:hAnsi="Times New Roman"/>
          <w:b w:val="false"/>
          <w:color w:val="000000"/>
          <w:sz w:val="20"/>
        </w:rPr>
        <w:t>million in unrestricted and unencumbered cash in its accounts with SVB at any time prior to the satisfaction of all the Milestone Conditions (the “Minimum Required Cash”), the Company would have been required to cash collateralize all outstanding amounts owed to SVB under the SVB Loan Agreement. The Company would also have been required to cash collateralize all outstanding amounts owed to SVB under the SVB Loan Agreement if it did not raise at least $15.0</w:t>
      </w:r>
      <w:r>
        <w:rPr>
          <w:rFonts w:ascii="Times New Roman" w:hAnsi="Times New Roman"/>
          <w:color w:val="000000"/>
          <w:sz w:val="20"/>
        </w:rPr>
        <w:t xml:space="preserve"> </w:t>
      </w:r>
      <w:r>
        <w:rPr>
          <w:rFonts w:ascii="Times New Roman" w:hAnsi="Times New Roman"/>
          <w:b w:val="false"/>
          <w:color w:val="000000"/>
          <w:sz w:val="20"/>
        </w:rPr>
        <w:t>million in net proceeds from the sale of equity securities during the period from June 1, 2021 through October 31, 2021. The Company satisfied this equity funding condition through a combination of equity issuances under the Company’s at-the-market (“ATM”) Sales Agreement entered into with SVB Securities LLC (formerly SVB Leerink LLC) (“SVB Securities”) in June 2020 (the “ATM Sales Agreement”) and two</w:t>
      </w:r>
      <w:r>
        <w:rPr>
          <w:rFonts w:ascii="Times New Roman" w:hAnsi="Times New Roman"/>
          <w:color w:val="000000"/>
          <w:sz w:val="20"/>
        </w:rPr>
        <w:t xml:space="preserve"> </w:t>
      </w:r>
      <w:r>
        <w:rPr>
          <w:rFonts w:ascii="Times New Roman" w:hAnsi="Times New Roman"/>
          <w:b w:val="false"/>
          <w:color w:val="000000"/>
          <w:sz w:val="20"/>
        </w:rPr>
        <w:t>private placements, which took place in October 2021 (see Note 8).</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April 6, 2022, the Company and SVB entered into a Third Amendment (the “Third Amendment”) to the SVB Loan Agreement. The Third Amendment principally modified the conditions under which the Company would have been required to cash collateralize all outstanding amounts owed to SVB under the SVB Loan Agreement. Under the terms of the Third Amendment, if the Company raised $45.0</w:t>
      </w:r>
      <w:r>
        <w:rPr>
          <w:rFonts w:ascii="Times New Roman" w:hAnsi="Times New Roman"/>
          <w:color w:val="000000"/>
          <w:sz w:val="20"/>
        </w:rPr>
        <w:t xml:space="preserve"> </w:t>
      </w:r>
      <w:r>
        <w:rPr>
          <w:rFonts w:ascii="Times New Roman" w:hAnsi="Times New Roman"/>
          <w:b w:val="false"/>
          <w:color w:val="000000"/>
          <w:sz w:val="20"/>
        </w:rPr>
        <w:t>million in net proceeds from the sale of equity securities (the “2022 Equity Event”), the Company’s obligations to achieve the Milestone Conditions and maintain the Minimum Required Cash would have terminated and the sole remaining trigger for cash collateralization would have been if the Company did not receive positive final data by December 31, 2022 from either its Phase 2b/3 PRISM trial of Haduvio for prurigo nodularis or its Phase 2 CANAL trial of Haduvio for the treatment of chronic cough in IPF. In addition, the Third Amendment modified the interest rate on the principal amount outstanding under the SVB Loan Agreement. As a result of the Third Amendment, amounts outstanding under the SVB Loan Agreement accrued interest at a floating per annum rate equal to (i) prior to the occurrence of the 2022 Equity Event, the greater of (A) the prime rate plus 1.00% and (B) 4.25%, and (ii) upon and after the occurrence of the 2022 Equity Event, the greater of (A) the prime rate plus 3.00% and (B) 6.25%. The closing of the April 2022 Private Placement, as discussed in Note 8 below, constituted the 2022 Equity Event and thereby terminated the Company’s obligations to achieve the Milestone Conditions and maintain the Minimum Required Cash. On August 3, 2022, SVB confirmed that the reported data from the Phase 2b/3 PRISM trial satisfied the requirement for positive final data and that the cash collateralization requirements of the SVB Loan Agreement were no longer in effect.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SVB Loan Agreement contained customary representations, warranties, events of default and covenants. The occurrence and continuation of an event of default could have caused interest to be charged at the rate that was otherwise applicable plus 5.00% (unless SVB elected to impose a smaller increase) and would have provided SVB with the right to accelerate all obligations under the SVB Loan Agreement and exercise remedies against the Company and the collateral securing the SVB Term Loan and other obligations under the SVB Loan Agreement, including foreclosure against assets securing the SVB Term Loan and other obligations under the SVB Loan Agreement, including the Company’s cash. The SVB Loan Agreement also restricted the payment of dividends on the Company’s common stock.</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August 2020, in connection with the SVB Term Loan, the Company paid $57</w:t>
      </w:r>
      <w:r>
        <w:rPr>
          <w:rFonts w:ascii="Times New Roman" w:hAnsi="Times New Roman"/>
          <w:color w:val="000000"/>
          <w:sz w:val="20"/>
        </w:rPr>
        <w:t xml:space="preserve"> </w:t>
      </w:r>
      <w:r>
        <w:rPr>
          <w:rFonts w:ascii="Times New Roman" w:hAnsi="Times New Roman"/>
          <w:b w:val="false"/>
          <w:color w:val="000000"/>
          <w:sz w:val="20"/>
        </w:rPr>
        <w:t>in financing costs to a third-party, which were recorded as deferred charges and were amortized over the life of the SVB Term Loan using the effective interest method. In connection with the Loan Amendment, the Company paid $68</w:t>
      </w:r>
      <w:r>
        <w:rPr>
          <w:rFonts w:ascii="Times New Roman" w:hAnsi="Times New Roman"/>
          <w:color w:val="000000"/>
          <w:sz w:val="20"/>
        </w:rPr>
        <w:t xml:space="preserve"> </w:t>
      </w:r>
      <w:r>
        <w:rPr>
          <w:rFonts w:ascii="Times New Roman" w:hAnsi="Times New Roman"/>
          <w:b w:val="false"/>
          <w:color w:val="000000"/>
          <w:sz w:val="20"/>
        </w:rPr>
        <w:t>in financing costs to a third-party, which were recorded as deferred charges and were amortized over the life of the SVB Term Loan using the effective interest method. In connection with the Third Amendment, the Company paid $21</w:t>
      </w:r>
      <w:r>
        <w:rPr>
          <w:rFonts w:ascii="Times New Roman" w:hAnsi="Times New Roman"/>
          <w:color w:val="000000"/>
          <w:sz w:val="20"/>
        </w:rPr>
        <w:t xml:space="preserve"> </w:t>
      </w:r>
      <w:r>
        <w:rPr>
          <w:rFonts w:ascii="Times New Roman" w:hAnsi="Times New Roman"/>
          <w:b w:val="false"/>
          <w:color w:val="000000"/>
          <w:sz w:val="20"/>
        </w:rPr>
        <w:t>in financing costs to a third party, which were recorded as deferred charges and were amortized over the life of the SVB Term Loan using the effective interest method.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August 2020, in connection with the execution of the SVB Loan Agreement, the Company paid $27</w:t>
      </w:r>
      <w:r>
        <w:rPr>
          <w:rFonts w:ascii="Times New Roman" w:hAnsi="Times New Roman"/>
          <w:color w:val="000000"/>
          <w:sz w:val="20"/>
        </w:rPr>
        <w:t xml:space="preserve"> </w:t>
      </w:r>
      <w:r>
        <w:rPr>
          <w:rFonts w:ascii="Times New Roman" w:hAnsi="Times New Roman"/>
          <w:b w:val="false"/>
          <w:color w:val="000000"/>
          <w:sz w:val="20"/>
        </w:rPr>
        <w:t>in financing costs to SVB, which were recorded as loan discounts. These loan discounts were included as a reduction in the balance of the term loan payable on the Company’s Condensed Consolidated Balance Sheets and were accreted over the life of the SVB Term Loan using the effective interest method.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connection with the SVB Loan Agreement, the Company was obligated to pay a final payment fee of $1.2</w:t>
      </w:r>
      <w:r>
        <w:rPr>
          <w:rFonts w:ascii="Times New Roman" w:hAnsi="Times New Roman"/>
          <w:color w:val="000000"/>
          <w:sz w:val="20"/>
        </w:rPr>
        <w:t xml:space="preserve"> </w:t>
      </w:r>
      <w:r>
        <w:rPr>
          <w:rFonts w:ascii="Times New Roman" w:hAnsi="Times New Roman"/>
          <w:b w:val="false"/>
          <w:color w:val="000000"/>
          <w:sz w:val="20"/>
        </w:rPr>
        <w:t>million upon repayment in full of the SVB Term Loan. The final payment fee was accrued over the life of the SVB Term Loan using the effective interest method and was included as an increase in the balance of the term loan payable on the Company’s Condensed Consolidated Balance Sheets. The Company paid this final payment fee of $1.2</w:t>
      </w:r>
      <w:r>
        <w:rPr>
          <w:rFonts w:ascii="Times New Roman" w:hAnsi="Times New Roman"/>
          <w:color w:val="000000"/>
          <w:sz w:val="20"/>
        </w:rPr>
        <w:t xml:space="preserve"> </w:t>
      </w:r>
      <w:r>
        <w:rPr>
          <w:rFonts w:ascii="Times New Roman" w:hAnsi="Times New Roman"/>
          <w:b w:val="false"/>
          <w:color w:val="000000"/>
          <w:sz w:val="20"/>
        </w:rPr>
        <w:t>million on May 9, 2023 in connection with the payoff in full of the SVB Term Loan.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Prior to the Third Amendment, the SVB Loan Agreement provided that upon SVB receiving evidence satisfactory to it that the Company had (i) received positive data for the Phase 2b/3 PRISM trial sufficient to advance Haduvio into a second Phase 3 clinical trial for prurigo nodularis and (ii) raised sufficient financing to fund such Phase 3 clinical trial and the Company’s operations, the interest rate on the SVB Term Loan would increase by 2.00% (the “Contingent Interest Rate Increase”) as described above. The Contingent Interest Rate Increase represented a free-standing financial instrument. Accordingly, the Company accounted for the Contingent Interest Rate Increase as a derivative under ASC 815, </w:t>
      </w:r>
      <w:r>
        <w:rPr>
          <w:rFonts w:ascii="Times New Roman" w:hAnsi="Times New Roman"/>
          <w:b w:val="false"/>
          <w:i/>
          <w:color w:val="000000"/>
          <w:sz w:val="20"/>
        </w:rPr>
        <w:t>Derivatives and Hedging</w:t>
      </w:r>
      <w:r>
        <w:rPr>
          <w:rFonts w:ascii="Times New Roman" w:hAnsi="Times New Roman"/>
          <w:color w:val="000000"/>
          <w:sz w:val="20"/>
        </w:rPr>
        <w:t xml:space="preserve"> </w:t>
      </w:r>
      <w:r>
        <w:rPr>
          <w:rFonts w:ascii="Times New Roman" w:hAnsi="Times New Roman"/>
          <w:b w:val="false"/>
          <w:color w:val="000000"/>
          <w:sz w:val="20"/>
        </w:rPr>
        <w:t>and therefore, recorded a term loan derivative liability for the Contingent Interest Rate Increase at its fair value of $187</w:t>
      </w:r>
      <w:r>
        <w:rPr>
          <w:rFonts w:ascii="Times New Roman" w:hAnsi="Times New Roman"/>
          <w:color w:val="000000"/>
          <w:sz w:val="20"/>
        </w:rPr>
        <w:t xml:space="preserve"> </w:t>
      </w:r>
      <w:r>
        <w:rPr>
          <w:rFonts w:ascii="Times New Roman" w:hAnsi="Times New Roman"/>
          <w:b w:val="false"/>
          <w:color w:val="000000"/>
          <w:sz w:val="20"/>
        </w:rPr>
        <w:t>on the Effective Date of the SVB Loan Agreement. The Company adjusted this liability to fair value at each reporting date it remained outstanding, with such adjustments recorded as non-cash charges in other income (expense), net in the Company’s Condensed Consolidated Statements of Comprehensive Loss. The term loan derivative liability was previously presented as a current liability on the Company’s Condensed Consolidated Balance Sheets. Upon recording such term loan derivative liability, the Company also recorded an offsetting term loan discount – interest, that was amortized to interest expense in the Company’s Condensed Consolidated Statements of Comprehensive Loss through the SVB Term Loan’s maturity date using the effective interest method. Upon entering into the Third Amendment, the Contingent Interest Rate Increase became effective and the Company recorded an increase to the total fair value of the term loan derivative liability in 2022. The term loan derivative liability was then settled and reclassified to both current and non-current interest payable, which were presented as accrued liabilities and other non-current liabilities on the Company’s Condensed Consolidated Balance Sheet.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an immaterial effect from early extinguishment of debt was recorded in connection with the Company paying the remaining amounts due under the SVB Loan Agreement, which was included in other income, net on the Company’s Condensed Consolidated Statements of Comprehensive Loss.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Company had no</w:t>
      </w:r>
      <w:r>
        <w:rPr>
          <w:rFonts w:ascii="Times New Roman" w:hAnsi="Times New Roman"/>
          <w:color w:val="000000"/>
          <w:sz w:val="20"/>
        </w:rPr>
        <w:t xml:space="preserve"> </w:t>
      </w:r>
      <w:r>
        <w:rPr>
          <w:rFonts w:ascii="Times New Roman" w:hAnsi="Times New Roman"/>
          <w:b w:val="false"/>
          <w:color w:val="000000"/>
          <w:sz w:val="20"/>
        </w:rPr>
        <w:t>outstanding borrowings, and as of December 31, 2022, the Company had outstanding borrowings of $8.2</w:t>
      </w:r>
      <w:r>
        <w:rPr>
          <w:rFonts w:ascii="Times New Roman" w:hAnsi="Times New Roman"/>
          <w:color w:val="000000"/>
          <w:sz w:val="20"/>
        </w:rPr>
        <w:t xml:space="preserve"> </w:t>
      </w:r>
      <w:r>
        <w:rPr>
          <w:rFonts w:ascii="Times New Roman" w:hAnsi="Times New Roman"/>
          <w:b w:val="false"/>
          <w:color w:val="000000"/>
          <w:sz w:val="20"/>
        </w:rPr>
        <w:t>million under the SVB Term Loan. The term loan payable balance as presented on the Company’s Condensed Consolidated Balance Sheets as of September 30, 2023</w:t>
      </w:r>
      <w:r>
        <w:rPr>
          <w:rFonts w:ascii="Times New Roman" w:hAnsi="Times New Roman"/>
          <w:color w:val="000000"/>
          <w:sz w:val="20"/>
        </w:rPr>
        <w:t xml:space="preserve"> </w:t>
      </w:r>
      <w:r>
        <w:rPr>
          <w:rFonts w:ascii="Times New Roman" w:hAnsi="Times New Roman"/>
          <w:b w:val="false"/>
          <w:color w:val="000000"/>
          <w:sz w:val="20"/>
        </w:rPr>
        <w:t>was $0</w:t>
      </w:r>
      <w:r>
        <w:rPr>
          <w:rFonts w:ascii="Times New Roman" w:hAnsi="Times New Roman"/>
          <w:color w:val="000000"/>
          <w:sz w:val="20"/>
        </w:rPr>
        <w:t xml:space="preserve"> </w:t>
      </w:r>
      <w:r>
        <w:rPr>
          <w:rFonts w:ascii="Times New Roman" w:hAnsi="Times New Roman"/>
          <w:b w:val="false"/>
          <w:color w:val="000000"/>
          <w:sz w:val="20"/>
        </w:rPr>
        <w:t>and as of December 31, 2022 was as shown below.</w:t>
      </w:r>
      <w:r>
        <w:rPr>
          <w:rFonts w:ascii="Times New Roman" w:hAnsi="Times New Roman"/>
          <w:color w:val="000000"/>
          <w:sz w:val="20"/>
        </w:rPr>
        <w:t xml:space="preserve"> </w:t>
      </w:r>
    </w:p>
    <w:p>
      <w:pPr>
        <w:pStyle w:val="TextBody"/>
        <w:bidi w:val="0"/>
        <w:jc w:val="left"/>
        <w:rPr/>
      </w:pPr>
      <w:r>
        <w:rPr/>
        <w:t> </w:t>
      </w:r>
    </w:p>
    <w:tbl>
      <w:tblPr>
        <w:tblW w:w="6193" w:type="dxa"/>
        <w:jc w:val="left"/>
        <w:tblInd w:w="0" w:type="dxa"/>
        <w:tblLayout w:type="fixed"/>
        <w:tblCellMar>
          <w:top w:w="28" w:type="dxa"/>
          <w:left w:w="28" w:type="dxa"/>
          <w:bottom w:w="28" w:type="dxa"/>
          <w:right w:w="28" w:type="dxa"/>
        </w:tblCellMar>
      </w:tblPr>
      <w:tblGrid>
        <w:gridCol w:w="4336"/>
        <w:gridCol w:w="146"/>
        <w:gridCol w:w="403"/>
        <w:gridCol w:w="1097"/>
        <w:gridCol w:w="21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outstanding under term loan</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8,167</w:t>
            </w:r>
          </w:p>
        </w:tc>
        <w:tc>
          <w:tcPr>
            <w:tcW w:w="211" w:type="dxa"/>
            <w:tcBorders/>
            <w:shd w:fill="CFF0FC" w:val="clear"/>
            <w:vAlign w:val="center"/>
          </w:tcPr>
          <w:p>
            <w:pPr>
              <w:pStyle w:val="TableContents"/>
              <w:bidi w:val="0"/>
              <w:spacing w:before="0" w:after="283"/>
              <w:jc w:val="left"/>
              <w:rPr/>
            </w:pPr>
            <w:r>
              <w:rPr/>
              <w:t> </w:t>
            </w:r>
          </w:p>
        </w:tc>
      </w:tr>
      <w:tr>
        <w:trPr/>
        <w:tc>
          <w:tcPr>
            <w:tcW w:w="43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Term loan discount-interest</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Term loan discount-unamortized deferred charges</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Term loan discount-financing costs, net of accretion</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Term loan-final payment fee</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9,151</w:t>
            </w:r>
          </w:p>
        </w:tc>
        <w:tc>
          <w:tcPr>
            <w:tcW w:w="211" w:type="dxa"/>
            <w:tcBorders/>
            <w:shd w:fill="FFFFFF" w:val="clear"/>
            <w:vAlign w:val="center"/>
          </w:tcPr>
          <w:p>
            <w:pPr>
              <w:pStyle w:val="TableContents"/>
              <w:bidi w:val="0"/>
              <w:spacing w:before="0" w:after="283"/>
              <w:jc w:val="left"/>
              <w:rPr/>
            </w:pPr>
            <w:r>
              <w:rPr/>
              <w:t> </w:t>
            </w:r>
          </w:p>
        </w:tc>
      </w:tr>
      <w:tr>
        <w:trPr/>
        <w:tc>
          <w:tcPr>
            <w:tcW w:w="43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current portion</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Term loan payable, non-current</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Interest expense on the SVB Term Loan, which is comprised of interest payments, accretion and amortization of term loan discounts and the accrual of the final payment fee, is shown below for the three and nine months ended September 30, 2023 and 2022, respectively. For the three and nine months ended September 30, 2022, the weighted average interest rate applicable to borrowings under the SVB Term Loan was 6.97% and 5.27%, respectively. For the nine months ended September 30, 2023, the weighted average interest rate applicable to borrowings under the SVB Term Loan was 10.25%.</w:t>
      </w:r>
      <w:r>
        <w:rPr>
          <w:rFonts w:ascii="Times New Roman" w:hAnsi="Times New Roman"/>
          <w:color w:val="000000"/>
          <w:sz w:val="20"/>
        </w:rPr>
        <w:t xml:space="preserve"> </w:t>
      </w:r>
    </w:p>
    <w:p>
      <w:pPr>
        <w:pStyle w:val="TextBody"/>
        <w:bidi w:val="0"/>
        <w:jc w:val="left"/>
        <w:rPr/>
      </w:pPr>
      <w:r>
        <w:rPr/>
        <w:t> </w:t>
      </w:r>
    </w:p>
    <w:tbl>
      <w:tblPr>
        <w:tblW w:w="7974" w:type="dxa"/>
        <w:jc w:val="left"/>
        <w:tblInd w:w="0" w:type="dxa"/>
        <w:tblLayout w:type="fixed"/>
        <w:tblCellMar>
          <w:top w:w="28" w:type="dxa"/>
          <w:left w:w="28" w:type="dxa"/>
          <w:bottom w:w="28" w:type="dxa"/>
          <w:right w:w="28" w:type="dxa"/>
        </w:tblCellMar>
      </w:tblPr>
      <w:tblGrid>
        <w:gridCol w:w="4186"/>
        <w:gridCol w:w="146"/>
        <w:gridCol w:w="228"/>
        <w:gridCol w:w="375"/>
        <w:gridCol w:w="158"/>
        <w:gridCol w:w="158"/>
        <w:gridCol w:w="228"/>
        <w:gridCol w:w="456"/>
        <w:gridCol w:w="146"/>
        <w:gridCol w:w="146"/>
        <w:gridCol w:w="211"/>
        <w:gridCol w:w="421"/>
        <w:gridCol w:w="146"/>
        <w:gridCol w:w="146"/>
        <w:gridCol w:w="211"/>
        <w:gridCol w:w="421"/>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center"/>
              <w:rPr/>
            </w:pPr>
            <w:r>
              <w:rPr/>
              <w:t> </w:t>
            </w:r>
          </w:p>
        </w:tc>
        <w:tc>
          <w:tcPr>
            <w:tcW w:w="6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payments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470</w:t>
            </w:r>
          </w:p>
        </w:tc>
        <w:tc>
          <w:tcPr>
            <w:tcW w:w="191"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Accrual of the final payment fee</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Accretion and amortization of term loan discounts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and December 31, 2022, the Company had reserved</w:t>
      </w:r>
      <w:r>
        <w:rPr>
          <w:rFonts w:ascii="Times New Roman" w:hAnsi="Times New Roman"/>
          <w:color w:val="000000"/>
          <w:sz w:val="20"/>
        </w:rPr>
        <w:t xml:space="preserve"> </w:t>
      </w:r>
      <w:r>
        <w:rPr>
          <w:rFonts w:ascii="Times New Roman" w:hAnsi="Times New Roman"/>
          <w:b w:val="false"/>
          <w:color w:val="000000"/>
          <w:sz w:val="20"/>
        </w:rPr>
        <w:t>shares of common stock for future issuance as shown in the table below:</w:t>
      </w:r>
    </w:p>
    <w:tbl>
      <w:tblPr>
        <w:tblW w:w="10205" w:type="dxa"/>
        <w:jc w:val="left"/>
        <w:tblInd w:w="0" w:type="dxa"/>
        <w:tblLayout w:type="fixed"/>
        <w:tblCellMar>
          <w:top w:w="28" w:type="dxa"/>
          <w:left w:w="28" w:type="dxa"/>
          <w:bottom w:w="28" w:type="dxa"/>
          <w:right w:w="28" w:type="dxa"/>
        </w:tblCellMar>
      </w:tblPr>
      <w:tblGrid>
        <w:gridCol w:w="7212"/>
        <w:gridCol w:w="146"/>
        <w:gridCol w:w="146"/>
        <w:gridCol w:w="1036"/>
        <w:gridCol w:w="146"/>
        <w:gridCol w:w="146"/>
        <w:gridCol w:w="146"/>
        <w:gridCol w:w="1036"/>
        <w:gridCol w:w="191"/>
      </w:tblGrid>
      <w:tr>
        <w:trPr/>
        <w:tc>
          <w:tcPr>
            <w:tcW w:w="7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1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of common stock reserved for future issuance upon exercise of outstanding warrants and pre-funded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45,330,707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48,330,707</w:t>
            </w:r>
          </w:p>
        </w:tc>
        <w:tc>
          <w:tcPr>
            <w:tcW w:w="191" w:type="dxa"/>
            <w:tcBorders/>
            <w:shd w:fill="CFF0FC"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of common stock reserved for future issuance under the 2019 Stock Incentive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6,549,024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4,553,202</w:t>
            </w:r>
          </w:p>
        </w:tc>
        <w:tc>
          <w:tcPr>
            <w:tcW w:w="191" w:type="dxa"/>
            <w:tcBorders/>
            <w:shd w:fill="FFFFFF" w:val="clear"/>
            <w:vAlign w:val="center"/>
          </w:tcPr>
          <w:p>
            <w:pPr>
              <w:pStyle w:val="TableContents"/>
              <w:bidi w:val="0"/>
              <w:spacing w:before="0" w:after="283"/>
              <w:jc w:val="left"/>
              <w:rPr/>
            </w:pPr>
            <w:r>
              <w:rPr/>
              <w:t> </w:t>
            </w:r>
          </w:p>
        </w:tc>
      </w:tr>
      <w:tr>
        <w:trPr/>
        <w:tc>
          <w:tcPr>
            <w:tcW w:w="7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of common stock reserved for future issuance under the 2019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1,208,274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701,232</w:t>
            </w:r>
          </w:p>
        </w:tc>
        <w:tc>
          <w:tcPr>
            <w:tcW w:w="191" w:type="dxa"/>
            <w:tcBorders/>
            <w:shd w:fill="CFF0FC"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of common stock reserved for future issuance under the 2012 Stock Incentive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568,243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602,231</w:t>
            </w:r>
          </w:p>
        </w:tc>
        <w:tc>
          <w:tcPr>
            <w:tcW w:w="191" w:type="dxa"/>
            <w:tcBorders/>
            <w:shd w:fill="FFFFFF" w:val="clear"/>
            <w:vAlign w:val="center"/>
          </w:tcPr>
          <w:p>
            <w:pPr>
              <w:pStyle w:val="TableContents"/>
              <w:bidi w:val="0"/>
              <w:spacing w:before="0" w:after="283"/>
              <w:jc w:val="left"/>
              <w:rPr/>
            </w:pPr>
            <w:r>
              <w:rPr/>
              <w:t> </w:t>
            </w:r>
          </w:p>
        </w:tc>
      </w:tr>
      <w:tr>
        <w:trPr/>
        <w:tc>
          <w:tcPr>
            <w:tcW w:w="72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of common stock reserved for future issuance upon sales under the LPC Purchase Agreement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53,656,248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84,187,372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June 2020, the Company entered into the ATM Sales Agreement with SVB Securities under which the Company was able to issue and sell shares of its common stock, from time to time, having an aggregate offering price of up to $12.0</w:t>
      </w:r>
      <w:r>
        <w:rPr>
          <w:rFonts w:ascii="Times New Roman" w:hAnsi="Times New Roman"/>
          <w:color w:val="000000"/>
          <w:sz w:val="20"/>
        </w:rPr>
        <w:t xml:space="preserve"> </w:t>
      </w:r>
      <w:r>
        <w:rPr>
          <w:rFonts w:ascii="Times New Roman" w:hAnsi="Times New Roman"/>
          <w:b w:val="false"/>
          <w:color w:val="000000"/>
          <w:sz w:val="20"/>
        </w:rPr>
        <w:t>million. In May 2022, the Company and SVB Securities amended the ATM Sales Agreement to increase the maximum aggregate offering price of common stock that it was able to issue and sell from time to time under the ATM Sales Agreement by $50.0</w:t>
      </w:r>
      <w:r>
        <w:rPr>
          <w:rFonts w:ascii="Times New Roman" w:hAnsi="Times New Roman"/>
          <w:color w:val="000000"/>
          <w:sz w:val="20"/>
        </w:rPr>
        <w:t xml:space="preserve"> </w:t>
      </w:r>
      <w:r>
        <w:rPr>
          <w:rFonts w:ascii="Times New Roman" w:hAnsi="Times New Roman"/>
          <w:b w:val="false"/>
          <w:color w:val="000000"/>
          <w:sz w:val="20"/>
        </w:rPr>
        <w:t>million, from $12.0</w:t>
      </w:r>
      <w:r>
        <w:rPr>
          <w:rFonts w:ascii="Times New Roman" w:hAnsi="Times New Roman"/>
          <w:color w:val="000000"/>
          <w:sz w:val="20"/>
        </w:rPr>
        <w:t xml:space="preserve"> </w:t>
      </w:r>
      <w:r>
        <w:rPr>
          <w:rFonts w:ascii="Times New Roman" w:hAnsi="Times New Roman"/>
          <w:b w:val="false"/>
          <w:color w:val="000000"/>
          <w:sz w:val="20"/>
        </w:rPr>
        <w:t>million to up to $62.0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Sales of common stock under the ATM Sales Agreement were able to be made by any method that was deemed an “at-the-market” offering as defined in Rule 415(a)(4) under the Securities Act of 1933, as amended. The Company was not obligated to make any sales of its common stock under the ATM Sales Agreement. The Company began making sales pursuant to the ATM Sales Agreement in July 2020. As of September 30, 2023, the Company had issued and sold an aggregate of 4,333,394</w:t>
      </w:r>
      <w:r>
        <w:rPr>
          <w:rFonts w:ascii="Times New Roman" w:hAnsi="Times New Roman"/>
          <w:color w:val="000000"/>
          <w:sz w:val="20"/>
        </w:rPr>
        <w:t xml:space="preserve"> </w:t>
      </w:r>
      <w:r>
        <w:rPr>
          <w:rFonts w:ascii="Times New Roman" w:hAnsi="Times New Roman"/>
          <w:b w:val="false"/>
          <w:color w:val="000000"/>
          <w:sz w:val="20"/>
        </w:rPr>
        <w:t>shares of common stock for gross proceeds of $12.7</w:t>
      </w:r>
      <w:r>
        <w:rPr>
          <w:rFonts w:ascii="Times New Roman" w:hAnsi="Times New Roman"/>
          <w:color w:val="000000"/>
          <w:sz w:val="20"/>
        </w:rPr>
        <w:t xml:space="preserve"> </w:t>
      </w:r>
      <w:r>
        <w:rPr>
          <w:rFonts w:ascii="Times New Roman" w:hAnsi="Times New Roman"/>
          <w:b w:val="false"/>
          <w:color w:val="000000"/>
          <w:sz w:val="20"/>
        </w:rPr>
        <w:t>million pursuant to the ATM Sales Agreement, before deducting estimated commissions and allocated fees of $1.0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June 2023, the Company filed with the SEC a universal shelf registration statement on Form S-3 (the “Shelf Registration Statement”), which allows the Company to offer and sell up to $200.0</w:t>
      </w:r>
      <w:r>
        <w:rPr>
          <w:rFonts w:ascii="Times New Roman" w:hAnsi="Times New Roman"/>
          <w:color w:val="000000"/>
          <w:sz w:val="20"/>
        </w:rPr>
        <w:t xml:space="preserve"> </w:t>
      </w:r>
      <w:r>
        <w:rPr>
          <w:rFonts w:ascii="Times New Roman" w:hAnsi="Times New Roman"/>
          <w:b w:val="false"/>
          <w:color w:val="000000"/>
          <w:sz w:val="20"/>
        </w:rPr>
        <w:t>million of common stock, preferred stock, debt securities, units and/or warrants from time to time pursuant to one or more offerings at prices and terms to be determined at the time of sale. The Shelf Registration Statement was filed to replace the Company’s prior universal shelf registration statement on Form S-3 and was declared effective on August 15, 2023. Further, in June 2023, the Company entered into a new ATM sales agreement with Leerink Partners, LLC (formerly SVB Securities) (the “New ATM Sales Agreement”), under which the Company may issue and sell shares of common stock, from time to time by any method that is deemed an “at-the-market” offering as defined in Rule 415(a)(4) under the Securities Act of 1933, as amended. The Company is not obligated to make any sales of its common stock under the New ATM Sales Agreement. The Company filed a prospectus under the Shelf Registration Statement for the offer and sale of shares of the Company’s common stock having an aggregate offering price of up to $75.0</w:t>
      </w:r>
      <w:r>
        <w:rPr>
          <w:rFonts w:ascii="Times New Roman" w:hAnsi="Times New Roman"/>
          <w:color w:val="000000"/>
          <w:sz w:val="20"/>
        </w:rPr>
        <w:t xml:space="preserve"> </w:t>
      </w:r>
      <w:r>
        <w:rPr>
          <w:rFonts w:ascii="Times New Roman" w:hAnsi="Times New Roman"/>
          <w:b w:val="false"/>
          <w:color w:val="000000"/>
          <w:sz w:val="20"/>
        </w:rPr>
        <w:t>million pursuant to the New ATM Sales Agreement. In accordance with the terms of the New ATM Sales Agreement, the ATM Sales Agreement terminated upon effectiveness of the Shelf Registration Statement, at which point the Company was no longer able to issue and sell shares of its common stock under the ATM Sales Agreement. As of September 30, 2023, the Company had not made any sales pursuant to the New ATM Sales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Purchase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June 18, 2021, the Company entered into a common stock purchase agreement (“LPC Purchase Agreement”) with Lincoln Park Capital Fund, LLC (“Lincoln Park”). The LPC Purchase Agreement provided that, subject to the terms and conditions therein, the Company had the right, but not the obligation, to sell, at its discretion, to Lincoln Park up to $15.0</w:t>
      </w:r>
      <w:r>
        <w:rPr>
          <w:rFonts w:ascii="Times New Roman" w:hAnsi="Times New Roman"/>
          <w:color w:val="000000"/>
          <w:sz w:val="20"/>
        </w:rPr>
        <w:t xml:space="preserve"> </w:t>
      </w:r>
      <w:r>
        <w:rPr>
          <w:rFonts w:ascii="Times New Roman" w:hAnsi="Times New Roman"/>
          <w:b w:val="false"/>
          <w:color w:val="000000"/>
          <w:sz w:val="20"/>
        </w:rPr>
        <w:t>million of shares of common stock over a 24-month period commencing on July 23, 2021. The Company issued 170,088</w:t>
      </w:r>
      <w:r>
        <w:rPr>
          <w:rFonts w:ascii="Times New Roman" w:hAnsi="Times New Roman"/>
          <w:color w:val="000000"/>
          <w:sz w:val="20"/>
        </w:rPr>
        <w:t xml:space="preserve"> </w:t>
      </w:r>
      <w:r>
        <w:rPr>
          <w:rFonts w:ascii="Times New Roman" w:hAnsi="Times New Roman"/>
          <w:b w:val="false"/>
          <w:color w:val="000000"/>
          <w:sz w:val="20"/>
        </w:rPr>
        <w:t>shares of common stock to Lincoln Park as consideration for Lincoln Park’s commitment to purchase shares of the Company’s common stock under the LPC Purchase Agreement. As of July 23, 2023, no</w:t>
      </w:r>
      <w:r>
        <w:rPr>
          <w:rFonts w:ascii="Times New Roman" w:hAnsi="Times New Roman"/>
          <w:color w:val="000000"/>
          <w:sz w:val="20"/>
        </w:rPr>
        <w:t xml:space="preserve"> </w:t>
      </w:r>
      <w:r>
        <w:rPr>
          <w:rFonts w:ascii="Times New Roman" w:hAnsi="Times New Roman"/>
          <w:b w:val="false"/>
          <w:color w:val="000000"/>
          <w:sz w:val="20"/>
        </w:rPr>
        <w:t>shares had been sold to Lincoln Park and the LPC Purchase Agreement terminated by its terms.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Private Placements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October 5, 2021, the Company issued and sold to an initial investor, in a private placement priced at-the-market under Nasdaq rules, (i) 2,373,201</w:t>
      </w:r>
      <w:r>
        <w:rPr>
          <w:rFonts w:ascii="Times New Roman" w:hAnsi="Times New Roman"/>
          <w:color w:val="000000"/>
          <w:sz w:val="20"/>
        </w:rPr>
        <w:t xml:space="preserve"> </w:t>
      </w:r>
      <w:r>
        <w:rPr>
          <w:rFonts w:ascii="Times New Roman" w:hAnsi="Times New Roman"/>
          <w:b w:val="false"/>
          <w:color w:val="000000"/>
          <w:sz w:val="20"/>
        </w:rPr>
        <w:t>shares of the Company’s common stock and accompanying warrants to purchase an aggregate of 4,746,402</w:t>
      </w:r>
      <w:r>
        <w:rPr>
          <w:rFonts w:ascii="Times New Roman" w:hAnsi="Times New Roman"/>
          <w:color w:val="000000"/>
          <w:sz w:val="20"/>
        </w:rPr>
        <w:t xml:space="preserve"> </w:t>
      </w:r>
      <w:r>
        <w:rPr>
          <w:rFonts w:ascii="Times New Roman" w:hAnsi="Times New Roman"/>
          <w:b w:val="false"/>
          <w:color w:val="000000"/>
          <w:sz w:val="20"/>
        </w:rPr>
        <w:t>shares of the Company’s common stock, and (ii) pre-funded warrants to purchase up to an aggregate of 4,926,069</w:t>
      </w:r>
      <w:r>
        <w:rPr>
          <w:rFonts w:ascii="Times New Roman" w:hAnsi="Times New Roman"/>
          <w:color w:val="000000"/>
          <w:sz w:val="20"/>
        </w:rPr>
        <w:t xml:space="preserve"> </w:t>
      </w:r>
      <w:r>
        <w:rPr>
          <w:rFonts w:ascii="Times New Roman" w:hAnsi="Times New Roman"/>
          <w:b w:val="false"/>
          <w:color w:val="000000"/>
          <w:sz w:val="20"/>
        </w:rPr>
        <w:t>shares of the Company’s common stock and accompanying warrants to purchase an aggregate of 9,852,138</w:t>
      </w:r>
      <w:r>
        <w:rPr>
          <w:rFonts w:ascii="Times New Roman" w:hAnsi="Times New Roman"/>
          <w:color w:val="000000"/>
          <w:sz w:val="20"/>
        </w:rPr>
        <w:t xml:space="preserve"> </w:t>
      </w:r>
      <w:r>
        <w:rPr>
          <w:rFonts w:ascii="Times New Roman" w:hAnsi="Times New Roman"/>
          <w:b w:val="false"/>
          <w:color w:val="000000"/>
          <w:sz w:val="20"/>
        </w:rPr>
        <w:t>shares of the Company’s common stock. Each share of the Company’s common stock and accompanying common stock warrants were sold together at a combined price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of $1.62, and each pre-funded warrant and accompanying common stock warrants were sold together at a combined price of $1.619, for gross proceeds of approximately $11.8</w:t>
      </w:r>
      <w:r>
        <w:rPr>
          <w:rFonts w:ascii="Times New Roman" w:hAnsi="Times New Roman"/>
          <w:color w:val="000000"/>
          <w:sz w:val="20"/>
        </w:rPr>
        <w:t xml:space="preserve"> </w:t>
      </w:r>
      <w:r>
        <w:rPr>
          <w:rFonts w:ascii="Times New Roman" w:hAnsi="Times New Roman"/>
          <w:b w:val="false"/>
          <w:color w:val="000000"/>
          <w:sz w:val="20"/>
        </w:rPr>
        <w:t>million. Each pre-funded warrant had an exercise price of $0.001</w:t>
      </w:r>
      <w:r>
        <w:rPr>
          <w:rFonts w:ascii="Times New Roman" w:hAnsi="Times New Roman"/>
          <w:color w:val="000000"/>
          <w:sz w:val="20"/>
        </w:rPr>
        <w:t xml:space="preserve"> </w:t>
      </w:r>
      <w:r>
        <w:rPr>
          <w:rFonts w:ascii="Times New Roman" w:hAnsi="Times New Roman"/>
          <w:b w:val="false"/>
          <w:color w:val="000000"/>
          <w:sz w:val="20"/>
        </w:rPr>
        <w:t>per share, became exercisable immediately upon issuance and was exercisable until exercised in full. Of the accompanying common stock warrants, warrants to purchase an aggregate of 7,299,270</w:t>
      </w:r>
      <w:r>
        <w:rPr>
          <w:rFonts w:ascii="Times New Roman" w:hAnsi="Times New Roman"/>
          <w:color w:val="000000"/>
          <w:sz w:val="20"/>
        </w:rPr>
        <w:t xml:space="preserve"> </w:t>
      </w:r>
      <w:r>
        <w:rPr>
          <w:rFonts w:ascii="Times New Roman" w:hAnsi="Times New Roman"/>
          <w:b w:val="false"/>
          <w:color w:val="000000"/>
          <w:sz w:val="20"/>
        </w:rPr>
        <w:t>shares will expire on April 5, 2025, and warrants to purchase an aggregate of 7,299,270</w:t>
      </w:r>
      <w:r>
        <w:rPr>
          <w:rFonts w:ascii="Times New Roman" w:hAnsi="Times New Roman"/>
          <w:color w:val="000000"/>
          <w:sz w:val="20"/>
        </w:rPr>
        <w:t xml:space="preserve"> </w:t>
      </w:r>
      <w:r>
        <w:rPr>
          <w:rFonts w:ascii="Times New Roman" w:hAnsi="Times New Roman"/>
          <w:b w:val="false"/>
          <w:color w:val="000000"/>
          <w:sz w:val="20"/>
        </w:rPr>
        <w:t>shares will expire on October 5, 2028. The accompanying common stock warrants have an exercise price of $1.37</w:t>
      </w:r>
      <w:r>
        <w:rPr>
          <w:rFonts w:ascii="Times New Roman" w:hAnsi="Times New Roman"/>
          <w:color w:val="000000"/>
          <w:sz w:val="20"/>
        </w:rPr>
        <w:t xml:space="preserve"> </w:t>
      </w:r>
      <w:r>
        <w:rPr>
          <w:rFonts w:ascii="Times New Roman" w:hAnsi="Times New Roman"/>
          <w:b w:val="false"/>
          <w:color w:val="000000"/>
          <w:sz w:val="20"/>
        </w:rPr>
        <w:t>per share and became exercisable immediately upon issuance.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October 18, 2021, the Company issued and sold to New Enterprise Associates 16, L.P., an existing stockholder of the Company (“NEA”) and related party, in a private placement, 1,851,852</w:t>
      </w:r>
      <w:r>
        <w:rPr>
          <w:rFonts w:ascii="Times New Roman" w:hAnsi="Times New Roman"/>
          <w:color w:val="000000"/>
          <w:sz w:val="20"/>
        </w:rPr>
        <w:t xml:space="preserve"> </w:t>
      </w:r>
      <w:r>
        <w:rPr>
          <w:rFonts w:ascii="Times New Roman" w:hAnsi="Times New Roman"/>
          <w:b w:val="false"/>
          <w:color w:val="000000"/>
          <w:sz w:val="20"/>
        </w:rPr>
        <w:t>shares of the Company’s common stock and accompanying warrants to purchase an aggregate of 3,703,704</w:t>
      </w:r>
      <w:r>
        <w:rPr>
          <w:rFonts w:ascii="Times New Roman" w:hAnsi="Times New Roman"/>
          <w:color w:val="000000"/>
          <w:sz w:val="20"/>
        </w:rPr>
        <w:t xml:space="preserve"> </w:t>
      </w:r>
      <w:r>
        <w:rPr>
          <w:rFonts w:ascii="Times New Roman" w:hAnsi="Times New Roman"/>
          <w:b w:val="false"/>
          <w:color w:val="000000"/>
          <w:sz w:val="20"/>
        </w:rPr>
        <w:t>shares of the Company’s common stock. Each share of the Company’s common stock and accompanying common stock warrants were sold together at a combined price of $1.62</w:t>
      </w:r>
      <w:r>
        <w:rPr>
          <w:rFonts w:ascii="Times New Roman" w:hAnsi="Times New Roman"/>
          <w:color w:val="000000"/>
          <w:sz w:val="20"/>
        </w:rPr>
        <w:t xml:space="preserve"> </w:t>
      </w:r>
      <w:r>
        <w:rPr>
          <w:rFonts w:ascii="Times New Roman" w:hAnsi="Times New Roman"/>
          <w:b w:val="false"/>
          <w:color w:val="000000"/>
          <w:sz w:val="20"/>
        </w:rPr>
        <w:t>for gross proceeds of approximately $3.0</w:t>
      </w:r>
      <w:r>
        <w:rPr>
          <w:rFonts w:ascii="Times New Roman" w:hAnsi="Times New Roman"/>
          <w:color w:val="000000"/>
          <w:sz w:val="20"/>
        </w:rPr>
        <w:t xml:space="preserve"> </w:t>
      </w:r>
      <w:r>
        <w:rPr>
          <w:rFonts w:ascii="Times New Roman" w:hAnsi="Times New Roman"/>
          <w:b w:val="false"/>
          <w:color w:val="000000"/>
          <w:sz w:val="20"/>
        </w:rPr>
        <w:t>million. Of the accompanying common stock warrants, warrants to purchase an aggregate of 1,851,852</w:t>
      </w:r>
      <w:r>
        <w:rPr>
          <w:rFonts w:ascii="Times New Roman" w:hAnsi="Times New Roman"/>
          <w:color w:val="000000"/>
          <w:sz w:val="20"/>
        </w:rPr>
        <w:t xml:space="preserve"> </w:t>
      </w:r>
      <w:r>
        <w:rPr>
          <w:rFonts w:ascii="Times New Roman" w:hAnsi="Times New Roman"/>
          <w:b w:val="false"/>
          <w:color w:val="000000"/>
          <w:sz w:val="20"/>
        </w:rPr>
        <w:t>shares of the Company’s common stock will expire on April 18, 2025, and warrants to purchase an aggregate of 1,851,852</w:t>
      </w:r>
      <w:r>
        <w:rPr>
          <w:rFonts w:ascii="Times New Roman" w:hAnsi="Times New Roman"/>
          <w:color w:val="000000"/>
          <w:sz w:val="20"/>
        </w:rPr>
        <w:t xml:space="preserve"> </w:t>
      </w:r>
      <w:r>
        <w:rPr>
          <w:rFonts w:ascii="Times New Roman" w:hAnsi="Times New Roman"/>
          <w:b w:val="false"/>
          <w:color w:val="000000"/>
          <w:sz w:val="20"/>
        </w:rPr>
        <w:t>shares of the Company’s common stock will expire on October 18, 2028. The accompanying common stock warrants have an exercise price of $1.37</w:t>
      </w:r>
      <w:r>
        <w:rPr>
          <w:rFonts w:ascii="Times New Roman" w:hAnsi="Times New Roman"/>
          <w:color w:val="000000"/>
          <w:sz w:val="20"/>
        </w:rPr>
        <w:t xml:space="preserve"> </w:t>
      </w:r>
      <w:r>
        <w:rPr>
          <w:rFonts w:ascii="Times New Roman" w:hAnsi="Times New Roman"/>
          <w:b w:val="false"/>
          <w:color w:val="000000"/>
          <w:sz w:val="20"/>
        </w:rPr>
        <w:t>per share and became exercisable immediately upon issuance.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Total net proceeds from the two</w:t>
      </w:r>
      <w:r>
        <w:rPr>
          <w:rFonts w:ascii="Times New Roman" w:hAnsi="Times New Roman"/>
          <w:color w:val="000000"/>
          <w:sz w:val="20"/>
        </w:rPr>
        <w:t xml:space="preserve"> </w:t>
      </w:r>
      <w:r>
        <w:rPr>
          <w:rFonts w:ascii="Times New Roman" w:hAnsi="Times New Roman"/>
          <w:b w:val="false"/>
          <w:color w:val="000000"/>
          <w:sz w:val="20"/>
        </w:rPr>
        <w:t>October 2021 private placements were $13.7</w:t>
      </w:r>
      <w:r>
        <w:rPr>
          <w:rFonts w:ascii="Times New Roman" w:hAnsi="Times New Roman"/>
          <w:color w:val="000000"/>
          <w:sz w:val="20"/>
        </w:rPr>
        <w:t xml:space="preserve"> </w:t>
      </w:r>
      <w:r>
        <w:rPr>
          <w:rFonts w:ascii="Times New Roman" w:hAnsi="Times New Roman"/>
          <w:b w:val="false"/>
          <w:color w:val="000000"/>
          <w:sz w:val="20"/>
        </w:rPr>
        <w:t>million, after deducting issuance costs of $1.1</w:t>
      </w:r>
      <w:r>
        <w:rPr>
          <w:rFonts w:ascii="Times New Roman" w:hAnsi="Times New Roman"/>
          <w:color w:val="000000"/>
          <w:sz w:val="20"/>
        </w:rPr>
        <w:t xml:space="preserve"> </w:t>
      </w:r>
      <w:r>
        <w:rPr>
          <w:rFonts w:ascii="Times New Roman" w:hAnsi="Times New Roman"/>
          <w:b w:val="false"/>
          <w:color w:val="000000"/>
          <w:sz w:val="20"/>
        </w:rPr>
        <w:t>million</w:t>
      </w:r>
      <w:r>
        <w:rPr>
          <w:rFonts w:ascii="Arial" w:hAnsi="Arial"/>
          <w:b w:val="false"/>
          <w:color w:val="000000"/>
          <w:sz w:val="18"/>
        </w:rPr>
        <w: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April 6, 2022, the Company entered into a securities purchase agreement with certain purchasers, pursuant to which the Company agreed to issue and sell to the purchasers, in a private placement priced at-the-market under Nasdaq rules, (i) 4,580,526</w:t>
      </w:r>
      <w:r>
        <w:rPr>
          <w:rFonts w:ascii="Times New Roman" w:hAnsi="Times New Roman"/>
          <w:color w:val="000000"/>
          <w:sz w:val="20"/>
        </w:rPr>
        <w:t xml:space="preserve"> </w:t>
      </w:r>
      <w:r>
        <w:rPr>
          <w:rFonts w:ascii="Times New Roman" w:hAnsi="Times New Roman"/>
          <w:b w:val="false"/>
          <w:color w:val="000000"/>
          <w:sz w:val="20"/>
        </w:rPr>
        <w:t>shares of the Company’s common stock at a purchase price of $1.90</w:t>
      </w:r>
      <w:r>
        <w:rPr>
          <w:rFonts w:ascii="Times New Roman" w:hAnsi="Times New Roman"/>
          <w:color w:val="000000"/>
          <w:sz w:val="20"/>
        </w:rPr>
        <w:t xml:space="preserve"> </w:t>
      </w:r>
      <w:r>
        <w:rPr>
          <w:rFonts w:ascii="Times New Roman" w:hAnsi="Times New Roman"/>
          <w:b w:val="false"/>
          <w:color w:val="000000"/>
          <w:sz w:val="20"/>
        </w:rPr>
        <w:t>per share, and (ii) pre-funded warrants to purchase up to an aggregate of 24,379,673</w:t>
      </w:r>
      <w:r>
        <w:rPr>
          <w:rFonts w:ascii="Times New Roman" w:hAnsi="Times New Roman"/>
          <w:color w:val="000000"/>
          <w:sz w:val="20"/>
        </w:rPr>
        <w:t xml:space="preserve"> </w:t>
      </w:r>
      <w:r>
        <w:rPr>
          <w:rFonts w:ascii="Times New Roman" w:hAnsi="Times New Roman"/>
          <w:b w:val="false"/>
          <w:color w:val="000000"/>
          <w:sz w:val="20"/>
        </w:rPr>
        <w:t>shares of common stock at a purchase price of $1.899</w:t>
      </w:r>
      <w:r>
        <w:rPr>
          <w:rFonts w:ascii="Times New Roman" w:hAnsi="Times New Roman"/>
          <w:color w:val="000000"/>
          <w:sz w:val="20"/>
        </w:rPr>
        <w:t xml:space="preserve"> </w:t>
      </w:r>
      <w:r>
        <w:rPr>
          <w:rFonts w:ascii="Times New Roman" w:hAnsi="Times New Roman"/>
          <w:b w:val="false"/>
          <w:color w:val="000000"/>
          <w:sz w:val="20"/>
        </w:rPr>
        <w:t>per warrant (the “April 2022 Private Placement”). Each pre-funded warrant has an exercise price of $0.001</w:t>
      </w:r>
      <w:r>
        <w:rPr>
          <w:rFonts w:ascii="Times New Roman" w:hAnsi="Times New Roman"/>
          <w:color w:val="000000"/>
          <w:sz w:val="20"/>
        </w:rPr>
        <w:t xml:space="preserve"> </w:t>
      </w:r>
      <w:r>
        <w:rPr>
          <w:rFonts w:ascii="Times New Roman" w:hAnsi="Times New Roman"/>
          <w:b w:val="false"/>
          <w:color w:val="000000"/>
          <w:sz w:val="20"/>
        </w:rPr>
        <w:t>per share, is exercisable immediately and will be exercisable until the pre-funded warrant is exercised in full. The April 2022 Private Placement, which closed on April 11, 2022, resulted in gross proceeds to the Company of approximately $55.0</w:t>
      </w:r>
      <w:r>
        <w:rPr>
          <w:rFonts w:ascii="Times New Roman" w:hAnsi="Times New Roman"/>
          <w:color w:val="000000"/>
          <w:sz w:val="20"/>
        </w:rPr>
        <w:t xml:space="preserve"> </w:t>
      </w:r>
      <w:r>
        <w:rPr>
          <w:rFonts w:ascii="Times New Roman" w:hAnsi="Times New Roman"/>
          <w:b w:val="false"/>
          <w:color w:val="000000"/>
          <w:sz w:val="20"/>
        </w:rPr>
        <w:t>million. NEA, an existing stockholder of the Company and a related party, as well as an affiliate of NEA, participated in the offering.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Public Offering</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September 27, 2022, the Company issued and sold 14,252,670</w:t>
      </w:r>
      <w:r>
        <w:rPr>
          <w:rFonts w:ascii="Times New Roman" w:hAnsi="Times New Roman"/>
          <w:color w:val="000000"/>
          <w:sz w:val="20"/>
        </w:rPr>
        <w:t xml:space="preserve"> </w:t>
      </w:r>
      <w:r>
        <w:rPr>
          <w:rFonts w:ascii="Times New Roman" w:hAnsi="Times New Roman"/>
          <w:b w:val="false"/>
          <w:color w:val="000000"/>
          <w:sz w:val="20"/>
        </w:rPr>
        <w:t>shares of the Company’s common stock and, in lieu of common stock to certain investors, pre-funded warrants to purchase 14,247,330</w:t>
      </w:r>
      <w:r>
        <w:rPr>
          <w:rFonts w:ascii="Times New Roman" w:hAnsi="Times New Roman"/>
          <w:color w:val="000000"/>
          <w:sz w:val="20"/>
        </w:rPr>
        <w:t xml:space="preserve"> </w:t>
      </w:r>
      <w:r>
        <w:rPr>
          <w:rFonts w:ascii="Times New Roman" w:hAnsi="Times New Roman"/>
          <w:b w:val="false"/>
          <w:color w:val="000000"/>
          <w:sz w:val="20"/>
        </w:rPr>
        <w:t>shares of common stock in a public offering (the “September 2022 Offering”), at a public offering price of $1.93</w:t>
      </w:r>
      <w:r>
        <w:rPr>
          <w:rFonts w:ascii="Times New Roman" w:hAnsi="Times New Roman"/>
          <w:color w:val="000000"/>
          <w:sz w:val="20"/>
        </w:rPr>
        <w:t xml:space="preserve"> </w:t>
      </w:r>
      <w:r>
        <w:rPr>
          <w:rFonts w:ascii="Times New Roman" w:hAnsi="Times New Roman"/>
          <w:b w:val="false"/>
          <w:color w:val="000000"/>
          <w:sz w:val="20"/>
        </w:rPr>
        <w:t>per share of common stock and $1.929</w:t>
      </w:r>
      <w:r>
        <w:rPr>
          <w:rFonts w:ascii="Times New Roman" w:hAnsi="Times New Roman"/>
          <w:color w:val="000000"/>
          <w:sz w:val="20"/>
        </w:rPr>
        <w:t xml:space="preserve"> </w:t>
      </w:r>
      <w:r>
        <w:rPr>
          <w:rFonts w:ascii="Times New Roman" w:hAnsi="Times New Roman"/>
          <w:b w:val="false"/>
          <w:color w:val="000000"/>
          <w:sz w:val="20"/>
        </w:rPr>
        <w:t>per pre-funded warrant pursuant to an underwriting agreement (the “Underwriting Agreement”) with SVB Securities, Stifel, Nicolaus &amp; Company, Incorporated and Oppenheimer &amp; Co. Inc., as representatives of the several underwriters (the “Underwriters”). Each pre-funded warrant has an exercise price of $0.001</w:t>
      </w:r>
      <w:r>
        <w:rPr>
          <w:rFonts w:ascii="Times New Roman" w:hAnsi="Times New Roman"/>
          <w:color w:val="000000"/>
          <w:sz w:val="20"/>
        </w:rPr>
        <w:t xml:space="preserve"> </w:t>
      </w:r>
      <w:r>
        <w:rPr>
          <w:rFonts w:ascii="Times New Roman" w:hAnsi="Times New Roman"/>
          <w:b w:val="false"/>
          <w:color w:val="000000"/>
          <w:sz w:val="20"/>
        </w:rPr>
        <w:t>per share, is exercisable immediately and will be exercisable until the pre-funded warrant is exercised in full. Under the terms of the Underwriting Agreement, the Company agreed not to issue and sell additional shares until after November 21, 2022 except in certain circumstances, including the issuance and sale of additional shares pursuant to the Underwriting Agreement. Under the terms of the Underwriting Agreement, the Company granted the Underwriters an option (the “Option”), exercisable for 30 days, to purchase up to an additional 4,275,000</w:t>
      </w:r>
      <w:r>
        <w:rPr>
          <w:rFonts w:ascii="Times New Roman" w:hAnsi="Times New Roman"/>
          <w:color w:val="000000"/>
          <w:sz w:val="20"/>
        </w:rPr>
        <w:t xml:space="preserve"> </w:t>
      </w:r>
      <w:r>
        <w:rPr>
          <w:rFonts w:ascii="Times New Roman" w:hAnsi="Times New Roman"/>
          <w:b w:val="false"/>
          <w:color w:val="000000"/>
          <w:sz w:val="20"/>
        </w:rPr>
        <w:t>shares of common stock (the “Additional Shares”), at the public offering price of $1.93</w:t>
      </w:r>
      <w:r>
        <w:rPr>
          <w:rFonts w:ascii="Times New Roman" w:hAnsi="Times New Roman"/>
          <w:color w:val="000000"/>
          <w:sz w:val="20"/>
        </w:rPr>
        <w:t xml:space="preserve"> </w:t>
      </w:r>
      <w:r>
        <w:rPr>
          <w:rFonts w:ascii="Times New Roman" w:hAnsi="Times New Roman"/>
          <w:b w:val="false"/>
          <w:color w:val="000000"/>
          <w:sz w:val="20"/>
        </w:rPr>
        <w:t>per share. The Underwriters partially exercised the Option to purchase 1,600,428</w:t>
      </w:r>
      <w:r>
        <w:rPr>
          <w:rFonts w:ascii="Times New Roman" w:hAnsi="Times New Roman"/>
          <w:color w:val="000000"/>
          <w:sz w:val="20"/>
        </w:rPr>
        <w:t xml:space="preserve"> </w:t>
      </w:r>
      <w:r>
        <w:rPr>
          <w:rFonts w:ascii="Times New Roman" w:hAnsi="Times New Roman"/>
          <w:b w:val="false"/>
          <w:color w:val="000000"/>
          <w:sz w:val="20"/>
        </w:rPr>
        <w:t>Additional Shares, which shares were issued and sold on October 25, 2022. The September 2022 Offering, including the initial closing on September 27, 2022</w:t>
      </w:r>
      <w:r>
        <w:rPr>
          <w:rFonts w:ascii="Times New Roman" w:hAnsi="Times New Roman"/>
          <w:color w:val="000000"/>
          <w:sz w:val="20"/>
        </w:rPr>
        <w:t xml:space="preserve"> </w:t>
      </w:r>
      <w:r>
        <w:rPr>
          <w:rFonts w:ascii="Times New Roman" w:hAnsi="Times New Roman"/>
          <w:b w:val="false"/>
          <w:color w:val="000000"/>
          <w:sz w:val="20"/>
        </w:rPr>
        <w:t>and the Option closing on October 25, 2022, resulted in aggregate gross proceeds to the Company of approximately $58.1</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Warrant activity, including activity related to pre-funded warrants, for the nine months ended September 30, 2023, is shown in the table below:</w:t>
      </w:r>
    </w:p>
    <w:tbl>
      <w:tblPr>
        <w:tblW w:w="10205" w:type="dxa"/>
        <w:jc w:val="left"/>
        <w:tblInd w:w="0" w:type="dxa"/>
        <w:tblLayout w:type="fixed"/>
        <w:tblCellMar>
          <w:top w:w="28" w:type="dxa"/>
          <w:left w:w="28" w:type="dxa"/>
          <w:bottom w:w="28" w:type="dxa"/>
          <w:right w:w="28" w:type="dxa"/>
        </w:tblCellMar>
      </w:tblPr>
      <w:tblGrid>
        <w:gridCol w:w="3046"/>
        <w:gridCol w:w="146"/>
        <w:gridCol w:w="193"/>
        <w:gridCol w:w="1374"/>
        <w:gridCol w:w="166"/>
        <w:gridCol w:w="146"/>
        <w:gridCol w:w="248"/>
        <w:gridCol w:w="1584"/>
        <w:gridCol w:w="146"/>
        <w:gridCol w:w="146"/>
        <w:gridCol w:w="161"/>
        <w:gridCol w:w="1146"/>
        <w:gridCol w:w="166"/>
        <w:gridCol w:w="146"/>
        <w:gridCol w:w="214"/>
        <w:gridCol w:w="582"/>
        <w:gridCol w:w="595"/>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Pre-funded Warrant</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Common Stock Warrant</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Warrant</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as of December 31, 2022</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13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38,627,003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5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9,703,704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11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48,330,707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0.28</w:t>
            </w:r>
          </w:p>
        </w:tc>
        <w:tc>
          <w:tcPr>
            <w:tcW w:w="595" w:type="dxa"/>
            <w:tcBorders/>
            <w:shd w:fill="CFF0FC" w:val="clear"/>
            <w:vAlign w:val="center"/>
          </w:tcPr>
          <w:p>
            <w:pPr>
              <w:pStyle w:val="TableContents"/>
              <w:bidi w:val="0"/>
              <w:spacing w:before="0" w:after="283"/>
              <w:ind w:left="0" w:right="0" w:firstLine="400"/>
              <w:jc w:val="left"/>
              <w:rPr/>
            </w:pPr>
            <w:r>
              <w:rPr/>
              <w:t> </w:t>
            </w:r>
          </w:p>
        </w:tc>
      </w:tr>
      <w:tr>
        <w:trPr/>
        <w:tc>
          <w:tcPr>
            <w:tcW w:w="304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0.001</w:t>
            </w:r>
          </w:p>
        </w:tc>
        <w:tc>
          <w:tcPr>
            <w:tcW w:w="595"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as of September 30, 2023</w:t>
            </w:r>
          </w:p>
        </w:tc>
        <w:tc>
          <w:tcPr>
            <w:tcW w:w="146" w:type="dxa"/>
            <w:tcBorders/>
            <w:shd w:fill="CFF0FC" w:val="cle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35,627,003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9,703,704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45,330,707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0.29</w:t>
            </w:r>
          </w:p>
        </w:tc>
        <w:tc>
          <w:tcPr>
            <w:tcW w:w="59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pre-funded and common stock warrants are classified as equity in accordance with ASC 815 given that the pre-funded and common stock warrants are indexed to the Company’s own shares of common stock and meet the requirements to be classified in permanent equity.</w:t>
      </w:r>
    </w:p>
    <w:p>
      <w:pPr>
        <w:pStyle w:val="TextBody"/>
        <w:bidi w:val="0"/>
        <w:spacing w:before="120" w:after="283"/>
        <w:jc w:val="left"/>
        <w:rPr>
          <w:rFonts w:ascii="Times New Roman" w:hAnsi="Times New Roman"/>
          <w:sz w:val="20"/>
        </w:rPr>
      </w:pPr>
      <w:r>
        <w:rPr>
          <w:rFonts w:ascii="Times New Roman" w:hAnsi="Times New Roman"/>
          <w:b/>
          <w:i/>
          <w:color w:val="000000"/>
          <w:sz w:val="20"/>
        </w:rPr>
        <w:t>Stock-Based Awards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2012 Stock Incentive Plan (the “2012 Plan”) was adopted by the Company’s board of directors and stockholders. The 2012 Plan provides for the issuance of stock-based awards to the Company’s employees, officers, directors, consultants and advisors. The Company’s board of directors administers the 2012 Plan. In April 2019, the Company’s board of directors adopted a resolution effective May 7, 2019, that no</w:t>
      </w:r>
      <w:r>
        <w:rPr>
          <w:rFonts w:ascii="Times New Roman" w:hAnsi="Times New Roman"/>
          <w:color w:val="000000"/>
          <w:sz w:val="20"/>
        </w:rPr>
        <w:t xml:space="preserve"> </w:t>
      </w:r>
      <w:r>
        <w:rPr>
          <w:rFonts w:ascii="Times New Roman" w:hAnsi="Times New Roman"/>
          <w:b w:val="false"/>
          <w:color w:val="000000"/>
          <w:sz w:val="20"/>
        </w:rPr>
        <w:t>further equity-based awards may be granted under the 2012 Plan.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total number of shares of common stock that may be issued under the 2019 Plan and the 2012 Plan was 7,117,267</w:t>
      </w:r>
      <w:r>
        <w:rPr>
          <w:rFonts w:ascii="Times New Roman" w:hAnsi="Times New Roman"/>
          <w:color w:val="000000"/>
          <w:sz w:val="20"/>
        </w:rPr>
        <w:t xml:space="preserve"> </w:t>
      </w:r>
      <w:r>
        <w:rPr>
          <w:rFonts w:ascii="Times New Roman" w:hAnsi="Times New Roman"/>
          <w:b w:val="false"/>
          <w:color w:val="000000"/>
          <w:sz w:val="20"/>
        </w:rPr>
        <w:t>as of September 30, 2023, of which 1,801,724</w:t>
      </w:r>
      <w:r>
        <w:rPr>
          <w:rFonts w:ascii="Times New Roman" w:hAnsi="Times New Roman"/>
          <w:color w:val="000000"/>
          <w:sz w:val="20"/>
        </w:rPr>
        <w:t xml:space="preserve"> </w:t>
      </w:r>
      <w:r>
        <w:rPr>
          <w:rFonts w:ascii="Times New Roman" w:hAnsi="Times New Roman"/>
          <w:b w:val="false"/>
          <w:color w:val="000000"/>
          <w:sz w:val="20"/>
        </w:rPr>
        <w:t>shares remained available for grant under the 2019 Plan. Awards may be made under the 2019 Plan for up to such number of shares of the Company’s common stock as is equal to the sum of: i) 1,578,947</w:t>
      </w:r>
      <w:r>
        <w:rPr>
          <w:rFonts w:ascii="Times New Roman" w:hAnsi="Times New Roman"/>
          <w:color w:val="000000"/>
          <w:sz w:val="20"/>
        </w:rPr>
        <w:t xml:space="preserve"> </w:t>
      </w:r>
      <w:r>
        <w:rPr>
          <w:rFonts w:ascii="Times New Roman" w:hAnsi="Times New Roman"/>
          <w:b w:val="false"/>
          <w:color w:val="000000"/>
          <w:sz w:val="20"/>
        </w:rPr>
        <w:t>shares; plus ii) the number of shares (up to 1,157,894</w:t>
      </w:r>
      <w:r>
        <w:rPr>
          <w:rFonts w:ascii="Times New Roman" w:hAnsi="Times New Roman"/>
          <w:color w:val="000000"/>
          <w:sz w:val="20"/>
        </w:rPr>
        <w:t xml:space="preserve"> </w:t>
      </w:r>
      <w:r>
        <w:rPr>
          <w:rFonts w:ascii="Times New Roman" w:hAnsi="Times New Roman"/>
          <w:b w:val="false"/>
          <w:color w:val="000000"/>
          <w:sz w:val="20"/>
        </w:rPr>
        <w:t>shares) of the Company’s common stock subject to outstanding awards under the 2012 Plan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least of (a) 2,105,623</w:t>
      </w:r>
      <w:r>
        <w:rPr>
          <w:rFonts w:ascii="Times New Roman" w:hAnsi="Times New Roman"/>
          <w:color w:val="000000"/>
          <w:sz w:val="20"/>
        </w:rPr>
        <w:t xml:space="preserve"> </w:t>
      </w:r>
      <w:r>
        <w:rPr>
          <w:rFonts w:ascii="Times New Roman" w:hAnsi="Times New Roman"/>
          <w:b w:val="false"/>
          <w:color w:val="000000"/>
          <w:sz w:val="20"/>
        </w:rPr>
        <w:t>shares of common stock, (b) 4% of the number of outstanding shares of the Company’s common stock on such date, and (c) an amount determined by the Company’s board of directors.</w:t>
      </w:r>
      <w:r>
        <w:rPr>
          <w:rFonts w:ascii="Times New Roman" w:hAnsi="Times New Roman"/>
          <w:color w:val="000000"/>
          <w:sz w:val="20"/>
        </w:rPr>
        <w:t xml:space="preserve"> </w:t>
      </w:r>
      <w:r>
        <w:rPr>
          <w:rFonts w:ascii="Times New Roman" w:hAnsi="Times New Roman"/>
          <w:b w:val="false"/>
          <w:color w:val="000000"/>
          <w:sz w:val="20"/>
        </w:rPr>
        <w:t>Effective January 1, 2023 and January 1, 2022, respectively, the number of shares reserved for issuance under the 2019 Plan increased, pursuant to the terms of the 2019 Plan, by an additional 2,105,623</w:t>
      </w:r>
      <w:r>
        <w:rPr>
          <w:rFonts w:ascii="Times New Roman" w:hAnsi="Times New Roman"/>
          <w:color w:val="000000"/>
          <w:sz w:val="20"/>
        </w:rPr>
        <w:t xml:space="preserve"> </w:t>
      </w:r>
      <w:r>
        <w:rPr>
          <w:rFonts w:ascii="Times New Roman" w:hAnsi="Times New Roman"/>
          <w:b w:val="false"/>
          <w:color w:val="000000"/>
          <w:sz w:val="20"/>
        </w:rPr>
        <w:t>shares and 1,140,232</w:t>
      </w:r>
      <w:r>
        <w:rPr>
          <w:rFonts w:ascii="Times New Roman" w:hAnsi="Times New Roman"/>
          <w:color w:val="000000"/>
          <w:sz w:val="20"/>
        </w:rPr>
        <w:t xml:space="preserve"> </w:t>
      </w:r>
      <w:r>
        <w:rPr>
          <w:rFonts w:ascii="Times New Roman" w:hAnsi="Times New Roman"/>
          <w:b w:val="false"/>
          <w:color w:val="000000"/>
          <w:sz w:val="20"/>
        </w:rPr>
        <w:t>shares, equal to the 2019 Plan determined maximum and 4% of the Company’s then-outstanding common stock, respectively.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Options granted under the 2019 Plan and the 2012 Plan have a maximum term of ten years. Options granted to employees, officers and non-employees generally vest over four years</w:t>
      </w:r>
      <w:r>
        <w:rPr>
          <w:rFonts w:ascii="Times New Roman" w:hAnsi="Times New Roman"/>
          <w:color w:val="000000"/>
          <w:sz w:val="20"/>
        </w:rPr>
        <w:t xml:space="preserve"> </w:t>
      </w:r>
      <w:r>
        <w:rPr>
          <w:rFonts w:ascii="Times New Roman" w:hAnsi="Times New Roman"/>
          <w:b w:val="false"/>
          <w:color w:val="000000"/>
          <w:sz w:val="20"/>
        </w:rPr>
        <w:t>based on varying vesting schedules that primarily include: 25% vesting on the first anniversary date of grant and the balance ratably over the next 36 months or vesting in equal monthly or quarterly installments over four years.</w:t>
      </w:r>
      <w:r>
        <w:rPr>
          <w:rFonts w:ascii="Times New Roman" w:hAnsi="Times New Roman"/>
          <w:color w:val="000000"/>
          <w:sz w:val="20"/>
        </w:rPr>
        <w:t xml:space="preserve"> </w:t>
      </w:r>
      <w:r>
        <w:rPr>
          <w:rFonts w:ascii="Times New Roman" w:hAnsi="Times New Roman"/>
          <w:b w:val="false"/>
          <w:color w:val="000000"/>
          <w:sz w:val="20"/>
        </w:rPr>
        <w:t>Options granted to directors generally vest over one</w:t>
      </w:r>
      <w:r>
        <w:rPr>
          <w:rFonts w:ascii="Times New Roman" w:hAnsi="Times New Roman"/>
          <w:color w:val="000000"/>
          <w:sz w:val="20"/>
        </w:rPr>
        <w:t xml:space="preserve"> </w:t>
      </w:r>
      <w:r>
        <w:rPr>
          <w:rFonts w:ascii="Times New Roman" w:hAnsi="Times New Roman"/>
          <w:b w:val="false"/>
          <w:color w:val="000000"/>
          <w:sz w:val="20"/>
        </w:rPr>
        <w:t>to two years. As of September 30, 2023 and December 31, 2022, respectively, options to purchase 4,747,300</w:t>
      </w:r>
      <w:r>
        <w:rPr>
          <w:rFonts w:ascii="Times New Roman" w:hAnsi="Times New Roman"/>
          <w:color w:val="000000"/>
          <w:sz w:val="20"/>
        </w:rPr>
        <w:t xml:space="preserve"> </w:t>
      </w:r>
      <w:r>
        <w:rPr>
          <w:rFonts w:ascii="Times New Roman" w:hAnsi="Times New Roman"/>
          <w:b w:val="false"/>
          <w:color w:val="000000"/>
          <w:sz w:val="20"/>
        </w:rPr>
        <w:t>shares and 3,848,052</w:t>
      </w:r>
      <w:r>
        <w:rPr>
          <w:rFonts w:ascii="Times New Roman" w:hAnsi="Times New Roman"/>
          <w:color w:val="000000"/>
          <w:sz w:val="20"/>
        </w:rPr>
        <w:t xml:space="preserve"> </w:t>
      </w:r>
      <w:r>
        <w:rPr>
          <w:rFonts w:ascii="Times New Roman" w:hAnsi="Times New Roman"/>
          <w:b w:val="false"/>
          <w:color w:val="000000"/>
          <w:sz w:val="20"/>
        </w:rPr>
        <w:t>shares of common stock were granted and outstanding, net of cancellations, under the 2019 Plan. As of September 30, 2023 and December 31, 2022, respectively, options to purchase 568,243</w:t>
      </w:r>
      <w:r>
        <w:rPr>
          <w:rFonts w:ascii="Times New Roman" w:hAnsi="Times New Roman"/>
          <w:color w:val="000000"/>
          <w:sz w:val="20"/>
        </w:rPr>
        <w:t xml:space="preserve"> </w:t>
      </w:r>
      <w:r>
        <w:rPr>
          <w:rFonts w:ascii="Times New Roman" w:hAnsi="Times New Roman"/>
          <w:b w:val="false"/>
          <w:color w:val="000000"/>
          <w:sz w:val="20"/>
        </w:rPr>
        <w:t>and 602,231</w:t>
      </w:r>
      <w:r>
        <w:rPr>
          <w:rFonts w:ascii="Times New Roman" w:hAnsi="Times New Roman"/>
          <w:color w:val="000000"/>
          <w:sz w:val="20"/>
        </w:rPr>
        <w:t xml:space="preserve"> </w:t>
      </w:r>
      <w:r>
        <w:rPr>
          <w:rFonts w:ascii="Times New Roman" w:hAnsi="Times New Roman"/>
          <w:b w:val="false"/>
          <w:color w:val="000000"/>
          <w:sz w:val="20"/>
        </w:rPr>
        <w:t>shares of common stock were granted and outstanding, net of cancellations, under the 2012 Plan.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summary of the Company’s combined stock option activity for the 2019 Plan and the 2012 Plan for the nine months ended September 30, 2023 is as follows:</w:t>
      </w:r>
    </w:p>
    <w:tbl>
      <w:tblPr>
        <w:tblW w:w="6733" w:type="dxa"/>
        <w:jc w:val="left"/>
        <w:tblInd w:w="0" w:type="dxa"/>
        <w:tblLayout w:type="fixed"/>
        <w:tblCellMar>
          <w:top w:w="28" w:type="dxa"/>
          <w:left w:w="28" w:type="dxa"/>
          <w:bottom w:w="28" w:type="dxa"/>
          <w:right w:w="28" w:type="dxa"/>
        </w:tblCellMar>
      </w:tblPr>
      <w:tblGrid>
        <w:gridCol w:w="3811"/>
        <w:gridCol w:w="146"/>
        <w:gridCol w:w="146"/>
        <w:gridCol w:w="931"/>
        <w:gridCol w:w="166"/>
        <w:gridCol w:w="146"/>
        <w:gridCol w:w="248"/>
        <w:gridCol w:w="548"/>
        <w:gridCol w:w="5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4,450,283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381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1,562,000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81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(318,075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381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Expired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(234,876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81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(143,789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0.51</w:t>
            </w:r>
          </w:p>
        </w:tc>
        <w:tc>
          <w:tcPr>
            <w:tcW w:w="591" w:type="dxa"/>
            <w:tcBorders/>
            <w:shd w:fill="CFF0FC" w:val="clear"/>
            <w:vAlign w:val="center"/>
          </w:tcPr>
          <w:p>
            <w:pPr>
              <w:pStyle w:val="TableContents"/>
              <w:bidi w:val="0"/>
              <w:spacing w:before="0" w:after="283"/>
              <w:jc w:val="left"/>
              <w:rPr/>
            </w:pPr>
            <w:r>
              <w:rPr/>
              <w:t> </w:t>
            </w:r>
          </w:p>
        </w:tc>
      </w:tr>
      <w:tr>
        <w:trPr/>
        <w:tc>
          <w:tcPr>
            <w:tcW w:w="38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as of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5,315,543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3.24</w:t>
            </w:r>
          </w:p>
        </w:tc>
        <w:tc>
          <w:tcPr>
            <w:tcW w:w="591" w:type="dxa"/>
            <w:tcBorders/>
            <w:shd w:fill="FFFFFF" w:val="clear"/>
            <w:vAlign w:val="center"/>
          </w:tcPr>
          <w:p>
            <w:pPr>
              <w:pStyle w:val="TableContents"/>
              <w:bidi w:val="0"/>
              <w:spacing w:before="0" w:after="283"/>
              <w:jc w:val="left"/>
              <w:rPr/>
            </w:pPr>
            <w:r>
              <w:rPr/>
              <w:t> </w:t>
            </w:r>
          </w:p>
        </w:tc>
      </w:tr>
      <w:tr>
        <w:trPr/>
        <w:tc>
          <w:tcPr>
            <w:tcW w:w="38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exercisable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2,607,790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w:t>
            </w:r>
          </w:p>
        </w:tc>
        <w:tc>
          <w:tcPr>
            <w:tcW w:w="591" w:type="dxa"/>
            <w:tcBorders/>
            <w:shd w:fill="CFF0FC" w:val="clear"/>
            <w:vAlign w:val="center"/>
          </w:tcPr>
          <w:p>
            <w:pPr>
              <w:pStyle w:val="TableContents"/>
              <w:bidi w:val="0"/>
              <w:spacing w:before="0" w:after="283"/>
              <w:jc w:val="left"/>
              <w:rPr/>
            </w:pPr>
            <w:r>
              <w:rPr/>
              <w:t> </w:t>
            </w:r>
          </w:p>
        </w:tc>
      </w:tr>
      <w:tr>
        <w:trPr/>
        <w:tc>
          <w:tcPr>
            <w:tcW w:w="38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unvested as of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2,707,753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w:t>
            </w:r>
          </w:p>
        </w:tc>
        <w:tc>
          <w:tcPr>
            <w:tcW w:w="5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 April 2019, the Company’s board of directors adopted the 2019 Employee Stock Purchase Plan (the “2019 ESPP”), which became effective on May 7, 2019. The 2019 ESPP is administered by the Company’s board of directors.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total number of shares of common stock that may be issued under the 2019 ESPP was 1,208,274</w:t>
      </w:r>
      <w:r>
        <w:rPr>
          <w:rFonts w:ascii="Times New Roman" w:hAnsi="Times New Roman"/>
          <w:color w:val="000000"/>
          <w:sz w:val="20"/>
        </w:rPr>
        <w:t xml:space="preserve"> </w:t>
      </w:r>
      <w:r>
        <w:rPr>
          <w:rFonts w:ascii="Times New Roman" w:hAnsi="Times New Roman"/>
          <w:b w:val="false"/>
          <w:color w:val="000000"/>
          <w:sz w:val="20"/>
        </w:rPr>
        <w:t>as of September 30, 2023. The number of shares of the Company’s common stock that have been approved to be issued under the 2019 ESPP is equal to the sum of i) 155,106</w:t>
      </w:r>
      <w:r>
        <w:rPr>
          <w:rFonts w:ascii="Times New Roman" w:hAnsi="Times New Roman"/>
          <w:color w:val="000000"/>
          <w:sz w:val="20"/>
        </w:rPr>
        <w:t xml:space="preserve"> </w:t>
      </w:r>
      <w:r>
        <w:rPr>
          <w:rFonts w:ascii="Times New Roman" w:hAnsi="Times New Roman"/>
          <w:b w:val="false"/>
          <w:color w:val="000000"/>
          <w:sz w:val="20"/>
        </w:rPr>
        <w:t>shares plus ii) an annual increase to be added on the first day of each fiscal year, beginning with the fiscal year ending December 31, 2020 and continuing for each fiscal year until and including, the fiscal year ending December 31, 2029, equal to the least of (a) 526,315</w:t>
      </w:r>
      <w:r>
        <w:rPr>
          <w:rFonts w:ascii="Times New Roman" w:hAnsi="Times New Roman"/>
          <w:color w:val="000000"/>
          <w:sz w:val="20"/>
        </w:rPr>
        <w:t xml:space="preserve"> </w:t>
      </w:r>
      <w:r>
        <w:rPr>
          <w:rFonts w:ascii="Times New Roman" w:hAnsi="Times New Roman"/>
          <w:b w:val="false"/>
          <w:color w:val="000000"/>
          <w:sz w:val="20"/>
        </w:rPr>
        <w:t>shares of common stock, (b) 1% of the number of outstanding shares of the Company’s common stock on such date and (c) an amount determined by the Company’s board of directors. Effective January 1, 2023 and January 1, 2022, respectively, the aggregate number of shares of the Company’s common stock that may be issued under the 2019 ESPP increased, pursuant to the terms of the 2019 ESPP, by an additional 526,315</w:t>
      </w:r>
      <w:r>
        <w:rPr>
          <w:rFonts w:ascii="Times New Roman" w:hAnsi="Times New Roman"/>
          <w:color w:val="000000"/>
          <w:sz w:val="20"/>
        </w:rPr>
        <w:t xml:space="preserve"> </w:t>
      </w:r>
      <w:r>
        <w:rPr>
          <w:rFonts w:ascii="Times New Roman" w:hAnsi="Times New Roman"/>
          <w:b w:val="false"/>
          <w:color w:val="000000"/>
          <w:sz w:val="20"/>
        </w:rPr>
        <w:t>shares and 285,058</w:t>
      </w:r>
      <w:r>
        <w:rPr>
          <w:rFonts w:ascii="Times New Roman" w:hAnsi="Times New Roman"/>
          <w:color w:val="000000"/>
          <w:sz w:val="20"/>
        </w:rPr>
        <w:t xml:space="preserve"> </w:t>
      </w:r>
      <w:r>
        <w:rPr>
          <w:rFonts w:ascii="Times New Roman" w:hAnsi="Times New Roman"/>
          <w:b w:val="false"/>
          <w:color w:val="000000"/>
          <w:sz w:val="20"/>
        </w:rPr>
        <w:t>shares, equal to the 2019 ESPP determined maximum and 1% of the Company’s then-outstanding common stock,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summarizes the classifications of stock-based compensation expenses for the 2012 Plan, the 2019 Plan and the 2019 ESPP recognized in the Condensed Consolidated Statements of Comprehensive Loss:</w:t>
      </w:r>
    </w:p>
    <w:p>
      <w:pPr>
        <w:pStyle w:val="TextBody"/>
        <w:bidi w:val="0"/>
        <w:jc w:val="left"/>
        <w:rPr/>
      </w:pPr>
      <w:r>
        <w:rPr/>
        <w:t> </w:t>
      </w:r>
    </w:p>
    <w:tbl>
      <w:tblPr>
        <w:tblW w:w="7103" w:type="dxa"/>
        <w:jc w:val="left"/>
        <w:tblInd w:w="0" w:type="dxa"/>
        <w:tblLayout w:type="fixed"/>
        <w:tblCellMar>
          <w:top w:w="28" w:type="dxa"/>
          <w:left w:w="28" w:type="dxa"/>
          <w:bottom w:w="28" w:type="dxa"/>
          <w:right w:w="28" w:type="dxa"/>
        </w:tblCellMar>
      </w:tblPr>
      <w:tblGrid>
        <w:gridCol w:w="3016"/>
        <w:gridCol w:w="146"/>
        <w:gridCol w:w="217"/>
        <w:gridCol w:w="434"/>
        <w:gridCol w:w="150"/>
        <w:gridCol w:w="150"/>
        <w:gridCol w:w="217"/>
        <w:gridCol w:w="434"/>
        <w:gridCol w:w="146"/>
        <w:gridCol w:w="146"/>
        <w:gridCol w:w="211"/>
        <w:gridCol w:w="571"/>
        <w:gridCol w:w="146"/>
        <w:gridCol w:w="146"/>
        <w:gridCol w:w="211"/>
        <w:gridCol w:w="571"/>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center"/>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 expense</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1,195</w:t>
            </w:r>
          </w:p>
        </w:tc>
        <w:tc>
          <w:tcPr>
            <w:tcW w:w="19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 expense</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9.</w:t>
      </w:r>
    </w:p>
    <w:p>
      <w:pPr>
        <w:pStyle w:val="TextBody"/>
        <w:bidi w:val="0"/>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and December 31, 2022, the Company maintained a full valuation allowance on deferred tax assets. The income tax benefit recorded during the three and nine months ended September 30, 2023 and 2022 was for the Company</w:t>
      </w:r>
      <w:r>
        <w:rPr>
          <w:rFonts w:ascii="Times New Roman" w:hAnsi="Times New Roman"/>
          <w:color w:val="000000"/>
          <w:sz w:val="20"/>
        </w:rPr>
        <w:t>’</w:t>
      </w:r>
      <w:r>
        <w:rPr>
          <w:rFonts w:ascii="Times New Roman" w:hAnsi="Times New Roman"/>
          <w:b w:val="false"/>
          <w:color w:val="000000"/>
          <w:sz w:val="20"/>
        </w:rPr>
        <w:t>s estimates for its state research and development tax credits in each given year.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Net Loss per Share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summarizes the computation of basic and diluted net loss per share attributable to common stockholders of the Company:</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(8,266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(21,244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(23,647</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common shares used in 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99,325,540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68,898,810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98,880,882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53,221,949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Basic and diluted net loss per common share outstanding</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Basic shares outstanding includes the weighted average effect of the Company’s pre-funded warrants from the date of issuance, the exercise of which requires little or no consideration for the delivery of shares of common stock. As of September 30, 2023, the Company had pre-funded warrants to purchase 21,379,673</w:t>
      </w:r>
      <w:r>
        <w:rPr>
          <w:rFonts w:ascii="Times New Roman" w:hAnsi="Times New Roman"/>
          <w:color w:val="000000"/>
          <w:sz w:val="20"/>
        </w:rPr>
        <w:t xml:space="preserve"> </w:t>
      </w:r>
      <w:r>
        <w:rPr>
          <w:rFonts w:ascii="Times New Roman" w:hAnsi="Times New Roman"/>
          <w:b w:val="false"/>
          <w:color w:val="000000"/>
          <w:sz w:val="20"/>
        </w:rPr>
        <w:t>and 14,247,330</w:t>
      </w:r>
      <w:r>
        <w:rPr>
          <w:rFonts w:ascii="Times New Roman" w:hAnsi="Times New Roman"/>
          <w:color w:val="000000"/>
          <w:sz w:val="20"/>
        </w:rPr>
        <w:t xml:space="preserve"> </w:t>
      </w:r>
      <w:r>
        <w:rPr>
          <w:rFonts w:ascii="Times New Roman" w:hAnsi="Times New Roman"/>
          <w:b w:val="false"/>
          <w:color w:val="000000"/>
          <w:sz w:val="20"/>
        </w:rPr>
        <w:t>shares of common stock outstanding, which were issued in the April 2022 Private Placement and the September 2022 Offering, which warrants are included in the weighted average common shares used in calculating the net loss per share attributable to common stockholders, basic and diluted, for the three and nine months ended September 30, 2023 and 2022, respectively.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potential dilutive securities, which include stock options and warrants that are not pre-funded,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September 30, 2023 and 2022, respectively, were excluded from the calculation of diluted net loss per share attributable to common stockholders for the periods indicated because including them would have had an anti-dilutive effect:</w:t>
      </w:r>
    </w:p>
    <w:tbl>
      <w:tblPr>
        <w:tblW w:w="4269" w:type="dxa"/>
        <w:jc w:val="left"/>
        <w:tblInd w:w="0" w:type="dxa"/>
        <w:tblLayout w:type="fixed"/>
        <w:tblCellMar>
          <w:top w:w="28" w:type="dxa"/>
          <w:left w:w="28" w:type="dxa"/>
          <w:bottom w:w="28" w:type="dxa"/>
          <w:right w:w="28" w:type="dxa"/>
        </w:tblCellMar>
      </w:tblPr>
      <w:tblGrid>
        <w:gridCol w:w="1276"/>
        <w:gridCol w:w="146"/>
        <w:gridCol w:w="146"/>
        <w:gridCol w:w="1036"/>
        <w:gridCol w:w="146"/>
        <w:gridCol w:w="146"/>
        <w:gridCol w:w="146"/>
        <w:gridCol w:w="1036"/>
        <w:gridCol w:w="1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9,703,704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9,703,704</w:t>
            </w:r>
          </w:p>
        </w:tc>
        <w:tc>
          <w:tcPr>
            <w:tcW w:w="191" w:type="dxa"/>
            <w:tcBorders/>
            <w:shd w:fill="CFF0FC"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5,315,543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4,141,907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15,019,247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13,845,611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Collaborative and Licensing Agreements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enters into collaborative and licensing agreements with pharmaceutical companies to in-license, develop, manufacture and/or market products that fit within its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Endo Pharmaceuticals Inc.</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May 2011, the Company entered into an agreement with Penwest Pharmaceuticals Co., which subsequently merged into its parent, Endo Pharmaceuticals Inc. (“Endo”), for an exclusive worldwide sublicensable license under certain patent rights and know-how controlled by Endo to develop and commercialize products incorporating nalbuphine hydrochloride in any formulation, including an extended-release formulation such as Haduvio, in all fields and for any use.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Under the license agreement, the Company paid Endo a non-creditable, non-refundable upfront license fee. The Company may also become obligated to make milestone payments to Endo of $0.3</w:t>
      </w:r>
      <w:r>
        <w:rPr>
          <w:rFonts w:ascii="Times New Roman" w:hAnsi="Times New Roman"/>
          <w:color w:val="000000"/>
          <w:sz w:val="20"/>
        </w:rPr>
        <w:t xml:space="preserve"> </w:t>
      </w:r>
      <w:r>
        <w:rPr>
          <w:rFonts w:ascii="Times New Roman" w:hAnsi="Times New Roman"/>
          <w:b w:val="false"/>
          <w:color w:val="000000"/>
          <w:sz w:val="20"/>
        </w:rPr>
        <w:t>million, which would become due upon the successful completion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of the first Phase 3 clinical trial of a licensed product candidate, and $0.8</w:t>
      </w:r>
      <w:r>
        <w:rPr>
          <w:rFonts w:ascii="Times New Roman" w:hAnsi="Times New Roman"/>
          <w:color w:val="000000"/>
          <w:sz w:val="20"/>
        </w:rPr>
        <w:t xml:space="preserve"> </w:t>
      </w:r>
      <w:r>
        <w:rPr>
          <w:rFonts w:ascii="Times New Roman" w:hAnsi="Times New Roman"/>
          <w:b w:val="false"/>
          <w:color w:val="000000"/>
          <w:sz w:val="20"/>
        </w:rPr>
        <w:t>million, which would become due upon the marketing approval of a licensed product in the U.S., and to pay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also has commitments under lease and licensing agreements (Note 5 and Note 11).</w:t>
      </w:r>
    </w:p>
    <w:p>
      <w:pPr>
        <w:pStyle w:val="TextBody"/>
        <w:bidi w:val="0"/>
        <w:spacing w:before="240" w:after="283"/>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2022 included in our Annual Report on Form 10-K, filed with the Securities and Exchange Commission, or SEC, on March 16, 2023.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II-Item 1A “Risk Factors” and our other filings with the SEC.</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We caution readers not to place undue reliance on any forward-looking statements made by us, which speak only as of the date they are made.</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 clinical-stage biopharmaceutical company focused on the development and commercialization of the investigational therapy Haduvio (oral nalbuphine ER) for the treatment of chronic cough in idiopathic pulmonary fibrosis, or IPF, and refractory chronic cough and for the treatment of prurigo nodularis.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Chronic Cough.</w:t>
      </w:r>
      <w:r>
        <w:rPr>
          <w:rFonts w:ascii="Times New Roman" w:hAnsi="Times New Roman"/>
          <w:color w:val="000000"/>
          <w:sz w:val="20"/>
        </w:rPr>
        <w:t xml:space="preserve"> </w:t>
      </w:r>
      <w:r>
        <w:rPr>
          <w:rFonts w:ascii="Times New Roman" w:hAnsi="Times New Roman"/>
          <w:b w:val="false"/>
          <w:color w:val="000000"/>
          <w:sz w:val="20"/>
        </w:rPr>
        <w:t>In September 2022, we announced positive data from our Phase 2 clinical trial of Haduvio for the treatment of chronic cough in IPF, which we refer to as the Phase 2 CANAL trial. The Phase 2 CANAL trial was a randomized, double-blind, placebo controlled, two-treatment, two-period, crossover study that was designed to evaluate the efficacy, safety, tolerability and dosing of Haduvio for chronic cough in IPF that we conducted at multiple sites in the United Kingdom. In total, we enrolled 38 subjects in the study. In the full subject data set, Haduvio demonstrated statistically significant results for the primary efficacy endpoint of daytime cough frequency reduction (p&lt;0.0001) and for key secondary endpoints on patient and clinician reported outcomes. The safety results of the trial were generally consistent with the known safety profile of Haduvio from previous trials in other patient populations.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in discussions with the U.S. Food and Drug Administration, or FDA, and other international regulatory authorities, regarding the design of the next clinical trials of Haduvio for the treatment of chronic cough in IPF. We are preparing for a Phase 2b dose ranging trial of Haduvio for the treatment of chronic cough in IPF. The purpose of this trial would be to determine the dose response and select the dose for the next study as well as to further characterize the safety in this specific patient population. We expect this trial to use a parallel arm design, which would study three doses and placebo over a six-week period. The primary endpoint of this study is expected to be a reduction in 24-hour cough frequency using an objective cough monitor. We expect the study to enroll approximately 160 subjects. We are also preparing to conduct a Phase 1b trial to evaluate the effect of Haduvio on respiratory physiology in patients with IPF of varying disease severity. Subject to agreement with the FDA and other international regulatory authorities, we intend to initiate the Phase 2b dose ranging trial in the fourth quarter of 2023 and the Phase 1b respiratory physiology trial in the first quarter of 2024. We will need to submit an IND for Haduvio before proceeding with our planned respiratory physiology study at sites in the United States.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also developing Haduvio for the treatment of refractory chronic cough. In November 2023, we initiated our Phase 2a RIVER clinical trial of Haduvio for the treatment of refractory chronic cough. We intend to conduct this trial in the United Kingdom and Canada. This trial uses a randomized, double-blind, placebo-controlled, two treatment period crossover design, which studies escalating doses of Haduvio over three weeks as compared to placebo. The primary endpoint is a mean change in cough frequency using an objective cough monitor. We expect the study to enroll approximately 60 subjects and to report topline data in the second half of 2024.</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Prurigo Nodularis</w:t>
      </w:r>
      <w:r>
        <w:rPr>
          <w:rFonts w:ascii="Times New Roman" w:hAnsi="Times New Roman"/>
          <w:b w:val="false"/>
          <w:color w:val="000000"/>
          <w:sz w:val="20"/>
        </w:rPr>
        <w:t>. In June 2022, we reported positive results in our Phase 2b/3 clinical trial of Haduvio in prurigo nodularis, which we refer to as the Phase 2b/3 PRISM trial. The Phase 2b/3 PRISM trial was a randomized, double-blind, placebo controlled, two-arm treatment study that was designed to evaluate the safety and efficacy of Haduvio in patients in the United States and Europe. In the Phase 2b/3 PRISM trial, Haduvio demonstrated statistically significant results on the primary and all three key secondary endpoints. The safety results of the trial were generally consistent with the known safety profile of Haduvio from previous trials.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October 2023, we reported the preliminary analysis of the 52-week data from the open-label extension portion of the Phase 2b/3 PRISM trial. Following the completion of the initial 14-week portion of the trial, subjects were eligible to enroll into an additional 38-week open-label extension period during which all participants received Haduvio 162mg twice a day (BID). Post hoc analyses demonstrated continued reduction in mean Worst Itch Numerical Rating Scale for those participants who remained on Haduvio through 52 weeks. 151 subjects completed the open-label extension portion of the trial, adding to the safety database for Haduvio. The safety data were generally consistent with the safety profile of Haduvio observed in the 14-week portion of the Phase 2b/3 PRISM trial and previous trials of Haduvio. Adverse events reported with a frequency greater than 5% in the 38-week open-label period included nausea, dizziness, vomiting, fatigue, and somnolence. Study discontinuation due to treatment-related adverse events occurred in 13% of subjects during the 38-week open-label period, and serious adverse events were reported for 13 subjects, although only 2 of these events were considered potentially treatment related.</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that we will need to conduct an additional Phase 3 clinical trial to support the submission of a new drug application, or NDA, to the FDA, a marketing authorization application, or MAA, to the European Medicines Agency and an MAA to the Medicines and Healthcare Products Regulatory Agency in the United Kingdom for Haduvio for the treatment of prurigo nodularis, and plan to request an end of Phase 2 meeting with the FDA. Following discussions with the FDA and other regulatory authorities, we plan to determine next steps with respect to our prurigo nodularis program, including with respect to the conduct of any future Phase 3 clinical trial. We are exploring entering into a strategic collaboration for the continued development of this program.</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Human Abuse Potential.</w:t>
      </w:r>
      <w:r>
        <w:rPr>
          <w:rFonts w:ascii="Times New Roman" w:hAnsi="Times New Roman"/>
          <w:color w:val="000000"/>
          <w:sz w:val="20"/>
        </w:rPr>
        <w:t xml:space="preserve"> </w:t>
      </w:r>
      <w:r>
        <w:rPr>
          <w:rFonts w:ascii="Times New Roman" w:hAnsi="Times New Roman"/>
          <w:b w:val="false"/>
          <w:color w:val="000000"/>
          <w:sz w:val="20"/>
        </w:rPr>
        <w:t>We initiated a human abuse potential, or HAP, study in the fourth quarter of 2022 to compare the abuse potential of oral nalbuphine to intravenous, or IV, butorphanol. The injectable version of nalbuphine is currently unscheduled in the U.S. by the Drug Enforcement Agency. The study is a randomized, double-blind, active and placebo-controlled 5-way crossover design. The study is being conducted in two parts. The first part of the study characterized various IV butorphanol doses in order to select a dose to be studied. The second part of the study is designed to utilize the selected dose and compare oral nalbuphine relative to IV butorphanol using the study metrics. We have completed part one of the study. The FDA requested that we submit the data from part one in support of our IV butorphanol dose selection for their review and comment prior to commencing part two of the study. We submitted this data to the FDA and they have agreed with the selected dose for IV butorphanol. Beginning in the first quarter of 2023, we were unable to obtain supply of IV butorphanol due to a worldwide shortage, and we had to delay the initiation of the second part of the study. In October 2023, we secured supply of IV butorphanol and we expect to initiate dosing in the second part of the study in the first quarter of 2024 as a result. We expect to report topline data from this study in the second half of 2024.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September 30, 2023, we had an accumulated deficit of $231.3 million, primarily as a result of research and development and general and administrative expenses. We do not expect to generate product revenue unless and until we obtain marketing approval for and commercialize Haduvio for the treatment of chronic cough in IPF and refractory chronic cough or for the treatment of prurigo nodularis and we can provide no assurance that we will ever generate significant revenue or profits.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May 2019, we issued and sold 5,500,000 shares of common stock in our initial public offering, or the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Upon the closing of the IPO, our preferred stock then outstanding converted into an aggregate of 10,381,234 shares of common stock.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June 2020, we entered into a sales agreement with SVB Securities LLC (formerly SVB Leerink LLC), or SVB Securities, which we refer to as the ATM Sales Agreement, under which we were able to issue and sell shares of common stock, from time to time, having an aggregate offering price of up to $12.0 million. In May 2022, we and SVB Securities amended the ATM Sales Agreement to increase the maximum aggregate offering price of common stock that we were able to issue and sell from time to time under the ATM Sales Agreement by $50.0 million, from $12.0 million to up to $62.0 million. Sales of common stock under the ATM Sales Agreement were able to be made by any method that was deemed an “at-the-market” offering as defined in Rule 415(a)(4) under the Securities Act of 1933, as amended. We were not obligated to make any sales of our common stock under the ATM Sales Agreement. We began making sales pursuant to the ATM Sales Agreement in July 2020, and through September 30, 2023, we had issued and sold an aggregate of 4,333,394 shares of common stock for gross proceeds of $12.7 million pursuant to the ATM Sales Agreement, before deducting estimated commissions and allocated fees of $1.0 million.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June 2023, we filed with the SEC a universal shelf registration statement on Form S-3, or the Shelf Registration Statement, which allows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and was declared effective on August 15, 2023. Further, in June 2023, we entered into a new sales agreement with Leerink Partners, LLC (formerly SVB Securities), or Leerink Partners, which we refer to as the New ATM Sales Agreement, under which we may issue and sell shares of common stock, from time to time by any method that is deemed an “at-the-market” offering as defined in Rule 415(a)(4) under the Securities Act of 1933, as amended. We are not obligated to make any sales of our common stock under the New ATM Sales Agreement. We filed a prospectus under the Shelf Registration Statement for the offer and sale of shares of our common stock having an aggregate offering price of up to $75.0 million pursuant to the New ATM Sales Agreement. In accordance with the terms of the New ATM Sales Agreement, the ATM Sales Agreement terminated upon effectiveness of the Shelf Registration Statement, at which point we were no longer able to issue and sell shares of our common stock under the ATM Sales Agreement. As of September 30, 2023, we had not made any sales pursuant to the New ATM Sales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October 5, 2021 and October 18, 2021, we issued and sold in two private placements, or the October 2021 Private Placements, in the aggregate (i) 4,225,053 shares of our common stock and accompanying warrants to purchase an aggregate of 8,450,106 shares of our common stock, and (ii) pre-funded warrants to purchase up to an aggregate of 4,926,069 shares of our common stock and accompanying warrants to purchase an aggregate of 9,852,138 shares of our common stock. Each share of our common stock and accompanying common stock warrants were sold together at a combined price of $1.62, and each pre-funded warrant and accompanying common stock warrants were sold together at a combined price of $1.619, for gross proceeds of approximately $14.8 million. Each pre-funded warrant had an exercise price of $0.001 per share, became exercisable immediately upon issuance and continued to be exercisable until exercised in full. Of the accompanying common stock warrants, we issued warrants to purchase an aggregate of 9,151,122 shares that are to expire in April 2025 and warrants to purchase an aggregate of 9,151,122 shares that are to expire in October 2028. The accompanying common stock warrants have an exercise price of $1.37 per share and became exercisable immediately upon issuance. As of November 9, 2023, warrants to purchase 1,851,852 shares of</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common stock that are to expire in April 2025 and warrants to purchase 7,851,852 shares of common stock that are to expire in October 2028 remained outstanding.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April 11, 2022, we issued and sold in a private placement, or the April 2022 Private Placement, (i) an aggregate of 4,580,526 shares of our common stock, and (ii) pre-funded warrants to purchase up to an aggregate of 24,379,673 shares of our common stock. Each share of our common stock was sold at a price of $1.90, and each pre-funded warrant was sold at a price of $1.899 per warrant share, for gross proceeds of approximately $55.0 million. Each pre-funded warrant has an exercise price of $0.001 per share, is exercisable immediately and will be exercisable until the pre-funded warrant is exercised in full. As of November 9, 2023, pre-funded warrants to purchase 21,379,673 shares of common stock that we issued and sold in the April 2022 Private Placement remained outstanding.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September 27, 2022, we issued and sold 14,252,670 shares of our common stock and, in lieu of common stock to certain investors, pre-funded warrants to purchase 14,247,330 shares of common stock in a public offering, or the September 2022 Offering, at a public offering price of $1.93 per share of common stock and $1.929 per pre-funded warrant pursuant to an underwriting agreement, or the Underwriting Agreement, with SVB Securities, Stifel, Nicolaus &amp; Company, Incorporated and Oppenheimer &amp; Co. Inc., as representatives of the several underwriters, or the Underwriters. Each pre-funded warrant has an exercise price of $0.001 per share, is exercisable immediately and will be exercisable until the pre-funded warrant is exercised in full. Under the terms of the Underwriting Agreement, we agreed not to issue and sell additional shares until after November 21, 2022 except in certain circumstances, including the issuance and sale of additional shares pursuant to the Underwriting Agreement. Under the terms of the Underwriting Agreement, we granted the Underwriters an option, or the Option, exercisable for 30 days, to purchase up to an additional 4,275,000 shares of common stock, or the Additional Shares, at the public offering price of $1.93 per share. The Underwriters partially exercised the Option to purchase 1,600,428 Additional Shares, which shares were issued and sold on October 25, 2022. The September 2022 Offering, including the initial closing on September 27, 2022 and the Option closing on October 25, 2022, resulted in aggregate gross proceeds to us of approximately $58.1 million. As of November 9, 2023, all of the pre-funded warrants to purchase shares of common stock that we issued and sold in the September 2022 Offering remained outstanding.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May 9, 2023, we paid the remaining amount due under the loan and security agreement, or the SVB Loan Agreement, that we originally entered into with Silicon Valley Bank, or SVB, in August 2020, resulting in the full extinguishment of the term loan thereunder, or the SVB Term Loan. The total payoff amount was $6.5 million, consisting of the remaining principal amount due of $5.2 million, the final payment fee of $1.2 million, and $0.1 million of accrued interest and prepayment premium. In August 2020, we entered into the SVB Loan Agreement with SVB, pursuant to which SVB provided the SVB Term Loan to us in the original principal amount of $14.0 million. On the first business day of each month commencing on March 1, 2022, we were required to repay the SVB Term Loan in 24 consecutive installments of principal plus monthly payments of accrued interest. All outstanding principal and accrued and unpaid interest under the SVB Term Loan and all other outstanding obligations with respect to the SVB Term Loan were due and payable in full on February 1, 2024. The SVB Loan Agreement permitted voluntary prepayment of all, but not less than all, of the SVB Term Loan, subject to a prepayment premium. For further discussion of the SVB Term Loan, see “—Liquidity and Capital Resources.”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we had cash, cash equivalents and marketable securities of $88.9 million. We believe that our existing cash, cash equivalents and marketable securities will enable us to fund our operating expenses and capital expenditure requirements for at least 12 months from the date of issuance of the Condensed Consolidated Financial Statements included in this Quarterly Report on Form 10-Q.</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the next trials we plan to conduct for Haduvio for the treatment of chronic cough in IPF, our Phase 2a RIVER clinical trial of Haduvio for the treatment of refractory chronic cough, and the second part of our HAP study to determine the abuse potential of oral nalbuphine ER relative to IV butorphanol.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will need substantial additional funding to support our continuing operations and pursue our growth strategy. Until such time as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Components of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periods presented, all of our research and development expenses consist of expenses incurred in connection with the development of Haduvio. These expenses include personnel-related costs, including stock-based compensation, consulting costs,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contract manufacturing costs and fees paid to contract research organizations, or CROs, to conduct certain research and development activities on our behalf. We do not allocate all of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expect our research and development expenses to increase over the next few years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our development program. Furthermore, we are unable to predict when or if Haduvio will receive regulatory approval in the U.S. or elsewhere with any certainty.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anticipate that our general and administrative expenses will increase as a result of increased personnel costs, including stock-based compensation and expanded infrastructure.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Interest Income, Net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income, net consists of interest earned primarily on our cash, cash equivalents and marketable securities as well as accretion of discounts/amortization of premiums on purchases of marketable securities.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Other Income, Net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Other income, net consists of income related to an employee retention tax credit under the Coronavirus Aid, Relief, and Economic Security Act, or CARES Act, foreign currency transaction gains and losses as well as an immaterial effect from early extinguishment of debt in connection with us paying the remaining amounts due under the SVB Loan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August 2020, we entered into the SVB Loan Agreement pursuant to which we borrowed $14.0 million under the SVB Term Loan. In connection with the SVB Term Loan, we recognized interest expense which included amortization of deferred financing charges, accretion of loan discount-financing costs, accrual of the final payment fee, amortization of the term loan discount-interest and the stated interest on the SVB Term Loan. Prior to the Third Amendment to the SVB Loan Agreement that we entered into with SVB in April 2022, or the Third Amendment, the SVB Term Loan bore interest at a floating rate per annum equal to the greater of (A) the prime rate plus 1.00% and (B) 4.25%. If SVB received evidence satisfactory to it that we had (i) received positive data for the Phase 2b/3 PRISM trial sufficient to advance Haduvio into a second Phase 3 clinical trial for prurigo nodularis and (ii) raised sufficient financing to fund such Phase 3 clinical trial and our operations, which we refer to together as the Phase 3 Event, the interest rate under the SVB Term Loan would have been adjusted to a floating rate equal to the greater of (A) the prime rate plus 3.00% and (B) 6.25%.</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Under the Third Amendment, SVB agreed that amounts outstanding under the SVB Loan Agreement would accrue interest at a floating per annum rate equal to (i) the greater of (A) the prime rate plus 1.00% and (B) 4.25%, prior to raising $45.0 million in net proceeds from the sale of equity securities, which we refer to as the 2022 Equity Event, and (ii) upon and after the occurrence of the 2022 Equity Event, the greater of (A) the prime rate plus 3.00% and (B) 6.25%. The closing of the April 2022 Private Placement constituted the 2022 Equity Event.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SVB Term Loan required interest-only payments until March 2022. Commencing on March 1, 2022, we were required to repay the SVB Term Loan in 24 consecutive installments of principal plus monthly payments of accrued interest. All outstanding principal and accrued and unpaid interest under the SVB Term Loan and all other outstanding obligations with respect to the SVB Term Loan were due and payable in full on February 1, 2024. On May 9, 2023, we paid the remaining amount due under the SVB Loan Agreement, resulting in the full extinguishment of the SVB Term Loan. The total payoff amount was $6.5 million, consisting of the remaining principal amount due of $5.2 million, the final payment fee of $1.2 million, and $0.1 million of accrued interest and prepayment premium.</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Change in Fair Value of Term Loan Derivative Liability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Before it was amended by the Third Amendment, the SVB Loan Agreement provided that upon the occurrence of the Phase 3 Event, as described below, the interest rate on the SVB Term Loan would increase by 2.00%. This contingent interest rate increase represented a free-standing financial instrument. Accordingly, we accounted for the contingent interest rate increase as a derivative under Accounting Standards Codification, or ASC, 815, </w:t>
      </w:r>
      <w:r>
        <w:rPr>
          <w:rFonts w:ascii="Times New Roman" w:hAnsi="Times New Roman"/>
          <w:b w:val="false"/>
          <w:i/>
          <w:color w:val="000000"/>
          <w:sz w:val="20"/>
        </w:rPr>
        <w:t>Derivatives and Hedging</w:t>
      </w:r>
      <w:r>
        <w:rPr>
          <w:rFonts w:ascii="Times New Roman" w:hAnsi="Times New Roman"/>
          <w:color w:val="000000"/>
          <w:sz w:val="20"/>
        </w:rPr>
        <w:t xml:space="preserve"> </w:t>
      </w:r>
      <w:r>
        <w:rPr>
          <w:rFonts w:ascii="Times New Roman" w:hAnsi="Times New Roman"/>
          <w:b w:val="false"/>
          <w:color w:val="000000"/>
          <w:sz w:val="20"/>
        </w:rPr>
        <w:t>and therefore, we recorded a term loan derivative liability for the contingent interest rate increase at its fair value. We adjusted this liability to fair value at each reporting date it remained outstanding. We recognized changes in the fair value of this term loan derivative in our statements of comprehensive loss as a component of other income (expense), net.</w:t>
      </w:r>
    </w:p>
    <w:p>
      <w:pPr>
        <w:pStyle w:val="TextBody"/>
        <w:bidi w:val="0"/>
        <w:spacing w:before="12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September 30, 2023 and 2022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summarizes our results of operations for the periods indicated (in thousands):</w:t>
      </w:r>
    </w:p>
    <w:p>
      <w:pPr>
        <w:pStyle w:val="TextBody"/>
        <w:bidi w:val="0"/>
        <w:jc w:val="left"/>
        <w:rPr/>
      </w:pPr>
      <w:r>
        <w:rPr/>
        <w:t> </w:t>
      </w:r>
    </w:p>
    <w:tbl>
      <w:tblPr>
        <w:tblW w:w="6388" w:type="dxa"/>
        <w:jc w:val="left"/>
        <w:tblInd w:w="0" w:type="dxa"/>
        <w:tblLayout w:type="fixed"/>
        <w:tblCellMar>
          <w:top w:w="28" w:type="dxa"/>
          <w:left w:w="28" w:type="dxa"/>
          <w:bottom w:w="28" w:type="dxa"/>
          <w:right w:w="28" w:type="dxa"/>
        </w:tblCellMar>
      </w:tblPr>
      <w:tblGrid>
        <w:gridCol w:w="2561"/>
        <w:gridCol w:w="146"/>
        <w:gridCol w:w="211"/>
        <w:gridCol w:w="631"/>
        <w:gridCol w:w="166"/>
        <w:gridCol w:w="146"/>
        <w:gridCol w:w="211"/>
        <w:gridCol w:w="631"/>
        <w:gridCol w:w="166"/>
        <w:gridCol w:w="146"/>
        <w:gridCol w:w="211"/>
        <w:gridCol w:w="571"/>
        <w:gridCol w:w="59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0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5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(9,045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(640</w:t>
            </w:r>
          </w:p>
        </w:tc>
        <w:tc>
          <w:tcPr>
            <w:tcW w:w="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25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5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25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1,334</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1,202</w:t>
            </w:r>
          </w:p>
        </w:tc>
        <w:tc>
          <w:tcPr>
            <w:tcW w:w="5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(7,711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(8,273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5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tax benefit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summarizes our research and development expenses for the periods indicated (in thousands):</w:t>
      </w:r>
    </w:p>
    <w:p>
      <w:pPr>
        <w:pStyle w:val="TextBody"/>
        <w:bidi w:val="0"/>
        <w:jc w:val="left"/>
        <w:rPr/>
      </w:pPr>
      <w:r>
        <w:rPr/>
        <w:t> </w:t>
      </w:r>
    </w:p>
    <w:tbl>
      <w:tblPr>
        <w:tblW w:w="7758" w:type="dxa"/>
        <w:jc w:val="left"/>
        <w:tblInd w:w="0" w:type="dxa"/>
        <w:tblLayout w:type="fixed"/>
        <w:tblCellMar>
          <w:top w:w="28" w:type="dxa"/>
          <w:left w:w="28" w:type="dxa"/>
          <w:bottom w:w="28" w:type="dxa"/>
          <w:right w:w="28" w:type="dxa"/>
        </w:tblCellMar>
      </w:tblPr>
      <w:tblGrid>
        <w:gridCol w:w="4561"/>
        <w:gridCol w:w="146"/>
        <w:gridCol w:w="211"/>
        <w:gridCol w:w="571"/>
        <w:gridCol w:w="146"/>
        <w:gridCol w:w="146"/>
        <w:gridCol w:w="211"/>
        <w:gridCol w:w="571"/>
        <w:gridCol w:w="146"/>
        <w:gridCol w:w="146"/>
        <w:gridCol w:w="211"/>
        <w:gridCol w:w="481"/>
        <w:gridCol w:w="21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Clinical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Personnel and related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w:t>
            </w:r>
          </w:p>
        </w:tc>
        <w:tc>
          <w:tcPr>
            <w:tcW w:w="21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Consultant services in support of clinical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w:t>
            </w:r>
          </w:p>
        </w:tc>
        <w:tc>
          <w:tcPr>
            <w:tcW w:w="211" w:type="dxa"/>
            <w:tcBorders/>
            <w:shd w:fill="CFF0FC"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w:t>
            </w:r>
          </w:p>
        </w:tc>
        <w:tc>
          <w:tcPr>
            <w:tcW w:w="21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expenses for the three months ended September 30, 2023 increased to $6.3 million from $5.8 million for the corresponding period in 2022, primarily due to increased startup costs and consultant services associated with our chronic cough programs as well as an increase in personnel-related expenses. These increases were partially offset by a decline in clinical development expenses related to our completed Phase 2b/3 PRISM trial and our Phase 2 CANAL trial as well as decreased purchases of clinical trial supplies, among other factors.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expenses for the three months ended September 30, 2023 were $2.7 million, compared to $2.6 million for the corresponding period in 2022.</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Other Income, Net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income, net for the three months ended September 30, 2023 was $1.3 million compared to other income, net of $0.1 million for the corresponding period in 2022. The change was primarily due to an increase in interest income of $0.8 million due to higher cash equivalent and marketable securities balances and higher interest rate yields and reduced interest expense due to the early payoff of the SVB Term Loan in May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Nine Months Ended September 30, 2023 and 2022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summarizes our results of operations for the periods indicated (in thousands):</w:t>
      </w:r>
    </w:p>
    <w:p>
      <w:pPr>
        <w:pStyle w:val="TextBody"/>
        <w:bidi w:val="0"/>
        <w:jc w:val="left"/>
        <w:rPr/>
      </w:pPr>
      <w:r>
        <w:rPr/>
        <w:t> </w:t>
      </w:r>
    </w:p>
    <w:tbl>
      <w:tblPr>
        <w:tblW w:w="8663" w:type="dxa"/>
        <w:jc w:val="left"/>
        <w:tblInd w:w="0" w:type="dxa"/>
        <w:tblLayout w:type="fixed"/>
        <w:tblCellMar>
          <w:top w:w="28" w:type="dxa"/>
          <w:left w:w="28" w:type="dxa"/>
          <w:bottom w:w="28" w:type="dxa"/>
          <w:right w:w="28" w:type="dxa"/>
        </w:tblCellMar>
      </w:tblPr>
      <w:tblGrid>
        <w:gridCol w:w="4566"/>
        <w:gridCol w:w="146"/>
        <w:gridCol w:w="211"/>
        <w:gridCol w:w="736"/>
        <w:gridCol w:w="166"/>
        <w:gridCol w:w="146"/>
        <w:gridCol w:w="211"/>
        <w:gridCol w:w="736"/>
        <w:gridCol w:w="166"/>
        <w:gridCol w:w="146"/>
        <w:gridCol w:w="211"/>
        <w:gridCol w:w="631"/>
        <w:gridCol w:w="591"/>
      </w:tblGrid>
      <w:tr>
        <w:trPr/>
        <w:tc>
          <w:tcPr>
            <w:tcW w:w="4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5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(24,990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(23,250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(1,740</w:t>
            </w:r>
          </w:p>
        </w:tc>
        <w:tc>
          <w:tcPr>
            <w:tcW w:w="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5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2,988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472</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fair value of term loan derivative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(21,294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(23,663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tax benefit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summarizes our research and development expenses for the periods indicated (in thousands):</w:t>
      </w:r>
    </w:p>
    <w:p>
      <w:pPr>
        <w:pStyle w:val="TextBody"/>
        <w:bidi w:val="0"/>
        <w:jc w:val="left"/>
        <w:rPr/>
      </w:pPr>
      <w:r>
        <w:rPr/>
        <w:t> </w:t>
      </w:r>
    </w:p>
    <w:tbl>
      <w:tblPr>
        <w:tblW w:w="8158" w:type="dxa"/>
        <w:jc w:val="left"/>
        <w:tblInd w:w="0" w:type="dxa"/>
        <w:tblLayout w:type="fixed"/>
        <w:tblCellMar>
          <w:top w:w="28" w:type="dxa"/>
          <w:left w:w="28" w:type="dxa"/>
          <w:bottom w:w="28" w:type="dxa"/>
          <w:right w:w="28" w:type="dxa"/>
        </w:tblCellMar>
      </w:tblPr>
      <w:tblGrid>
        <w:gridCol w:w="4561"/>
        <w:gridCol w:w="146"/>
        <w:gridCol w:w="211"/>
        <w:gridCol w:w="676"/>
        <w:gridCol w:w="146"/>
        <w:gridCol w:w="146"/>
        <w:gridCol w:w="211"/>
        <w:gridCol w:w="676"/>
        <w:gridCol w:w="146"/>
        <w:gridCol w:w="146"/>
        <w:gridCol w:w="211"/>
        <w:gridCol w:w="571"/>
        <w:gridCol w:w="31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Clinical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w:t>
            </w:r>
          </w:p>
        </w:tc>
        <w:tc>
          <w:tcPr>
            <w:tcW w:w="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Personnel and related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w:t>
            </w:r>
          </w:p>
        </w:tc>
        <w:tc>
          <w:tcPr>
            <w:tcW w:w="31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Consultant services in support of clinical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1,728</w:t>
            </w:r>
          </w:p>
        </w:tc>
        <w:tc>
          <w:tcPr>
            <w:tcW w:w="311" w:type="dxa"/>
            <w:tcBorders/>
            <w:shd w:fill="CFF0FC"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31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56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expenses for the nine months ended September 30, 2023 increased to $17.2 million from $15.5 million for the corresponding period in 2022, primarily due to increased startup costs and consultant services associated with our chronic cough programs as well as an increase in personnel-related expenses. These increases were partially offset by a decline in clinical development expenses related to our completed Phase 2b/3 PRISM trial and our Phase 2 CANAL trial as well as decreased purchases of clinical trial supplies, among other factors.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expenses for the nine months ended September 30, 2023 were $7.8 million, compared to $7.7 million for the corresponding period in 2022.</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Other Income (Expense), Net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income (expense), net for the nine months ended September 30, 2023 was $3.7 million compared to other expense, net of $0.4 million for the corresponding period in 2022. The change was primarily due to an increase in interest income of $3.0 million due to higher cash equivalent and marketable securities balances and higher interest rate yields. Contributing to the increase in other income (expense), net was $0.4 million in other income that we recorded in the 2023 period related to tax credits against employment taxes for certain previous periods provided under the CARES Act, as well as $0.5 million in lower interest expense due to the early payoff of the SVB Term Loan in May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Since our inception, we have not generated any revenue and have incurred significant operating losses and negative cash flows from our operations. Prior to the completion of our IPO, and concurrent private placement in May 2019, we financed our operations primarily through private placements of our preferred stock and convertible notes as well as borrowings under a prior term loan. From inception to our IPO, we raised an aggregate of $102.2 million in gross proceeds from sales of our preferred stock and convertible notes and borrowed $15.0 million under a prior term loan.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June 2020, we entered into the ATM Sales Agreement, under which we were able to issue and sell shares of common stock, from time to time, having an aggregate offering price of up to $12.0 million. In May 2022, we and SVB Securities amended the ATM Sales Agreement to increase the maximum aggregate offering price of common stock that we are able to issue and sell from time to time under the ATM Sales Agreement by $50.0 million, from $12.0 million to up to $62.0 million. Sales of common stock under the ATM Sales Agreement were able to be made by any method that was deemed an “at-the-market” offering as defined in Rule 415(a)(4) under the Securities Act of 1933, as amended. We were not obligated to make any sales of our common stock under the ATM Sales Agreement. We began making sales pursuant to the ATM Sales Agreement in July 2020 and through September 30, 2023 we had issued and sold an aggregate of 4,333,394 shares of common stock for gross proceeds of $12.7 million, before deducting estimated commissions and allocated fees of $1.0 million.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June 2023, we filed with the SEC the Shelf Registration Statement, which allows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and was declared effective on August 15, 2023. Further, in June 2023, we entered into the New ATM Sales Agreement with Leerink Partners, under which we may issue and sell shares of common stock, from time to time by any method that is deemed an “at-the-market” offering as defined in Rule 415(a)(4) under the Securities Act of 1933, as amended. We are not obligated to make any sales of our common stock under the New ATM Sales Agreement. We filed a prospectus under the Shelf Registration Statement for the offer and sale of shares of our common stock having an aggregate offering price of up to $75.0 million pursuant to the New ATM Sales Agreement. In accordance with the terms of the New ATM Sales Agreement, the ATM Sales Agreement terminated upon effectiveness of the Shelf Registration Statement, at which point we were no longer able to issue and sell shares of our common stock under the ATM Sales Agreement. As of September 30, 2023, we had not made any sales pursuant to the New ATM Sales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June 18, 2021, we entered into the LPC Purchase Agreement with Lincoln Park for an equity line financing. The LPC Purchase Agreement provided that, subject to the terms and conditions set forth therein, we had the right, but not the obligation, to sell to Lincoln Park and Lincoln Park was obligated to purchase up to $15.0 million of shares of common stock, at our sole discretion, over a 24-month period commencing on July 23, 2021. We filed a registration statement on Form S-1 covering the resale of shares of common stock that are issued to Lincoln Park under the LPC Purchase Agreement, which was declared effective on July 14, 2021. We issued 170,088 shares of our common stock to Lincoln Park as consideration for its commitment to purchase shares of our common stock under the LPC Purchase Agreement. As of July 23, 2023, no shares had been sold to Lincoln Park and the LPC Purchase Agreement terminated by its terms.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SVB Loan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May 9, 2023, we paid the remaining amount due under the SVB Loan Agreement, resulting in the full extinguishment of the SVB Term Loan. The total payoff amount was $6.5 million, consisting of the remaining principal amount due of $5.2 million, the final payment fee of $1.2 million, and $0.1 million of accrued interest and prepayment premium.</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August 2020, we entered into the SVB Loan Agreement with SVB, pursuant to which SVB provided the SVB Term Loan in the original principal amount of $14.0 million. Prior to the Third Amendment, the SVB Term Loan bore interest at a floating rate per annum equal to the greater of (A) the prime rate plus 1.00% and (B) 4.25%. If SVB received evidence satisfactory to it that we had (i) received positive data for the Phase 2b/3 PRISM trial, sufficient to advance Haduvio into a second Phase 3 clinical trial for prurigo nodularis and (ii) raised sufficient financing to fund such Phase 3 clinical trial and our operations, the interest rate under the SVB Term Loan would have been adjusted to a floating rate equal to the greater of (A) the prime rate plus 3.00% and (B) 6.25%. Commencing on March 1, 2022 and on the first business day of each month thereafter, we were required to repay the SVB Term Loan in 24 consecutive installments of principal plus monthly payments of accrued interest. All outstanding principal and accrued and unpaid interest under the SVB Term Loan and all other outstanding obligations with respect to the SVB Term Loan were due and payable in full on February 1, 2024. The SVB Loan Agreement permitted voluntary prepayment of all, but not less than all, of the SVB Term Loan, subject to a prepayment premium. Such prepayment premium would have been 3.00% of the principal amount of the SVB Term Loan if prepaid prior to the first anniversary of the date on which we entered into the SVB Term Loan, or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we were required to pay a final payment fee equal to $1.2 million.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July 6, 2021, we and SVB entered into the First Amendment to the SVB Loan Agreement, or the First Amendment. The First Amendment modified the conditions under which we were required to cash collateralize outstanding amounts owed to SVB under the SVB Loan Agreement. Under the First Amendment, if we failed to receive positive data in our Phase 2b/3 PRISM trial or, prior to June 30, 2022, failed to raise sufficient net proceeds from the sale of equity securities to finance our planned second Phase 3</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clinical trial of Haduvio for prurigo nodularis and our ongoing operations, each of which we refer to as a Milestone Condition, we would have been required to deposit unrestricted and unencumbered cash equal to 100% of all outstanding amounts owed to SVB in a cash collateral account with SVB, which could have been used by SVB to prepay the SVB Term Loan at any time. In addition, the First Amendment provided that if we failed to maintain at least $20.0 million in unrestricted and unencumbered cash in our accounts with SVB, or the Minimum Required Cash, at any time prior to the satisfaction of all the Milestone Conditions, we would have been required to cash collateralize all outstanding amounts owed to SVB under the SVB Loan Agreement. We would also have been required to cash collateralize all outstanding amounts owed to SVB under the SVB Loan Agreement if we did not raise at least $15.0 million in net proceeds from the sale of equity securities during the period from June 1, 2021 through October 31, 2021. We satisfied this equity funding condition through a combination of equity issuances under our ATM Sales Agreement and the proceeds from the October 2021 Private Placements.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April 6, 2022, we entered into the Third Amendment to the SVB Loan Agreement. The Third Amendment principally modified the conditions under which we were required to cash collateralize all outstanding amounts owed to SVB under the SVB Loan Agreement. Under the terms of the Third Amendment, upon the closing of the April 2022 Private Placement, our obligations to achieve the Milestone Conditions and maintain the Minimum Required Cash terminated and the sole remaining cash collateralization requirement under the SVB Loan Agreement was the requirement that we receive positive final data by December 31, 2022 from either our Phase 2b/3 PRISM trial of Haduvio for prurigo nodularis or our Phase 2 CANAL trial of Haduvio for the treatment of chronic cough in IPF. On August 3, 2022, SVB confirmed that the reported data from the Phase 2b/3 PRISM trial satisfied the requirement for positive data and that the cash collateralization requirements of the SVB Loan Agreement were no longer in effect.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the Third Amendment modified the interest rate on the principal amount outstanding under the SVB Loan Agreement, as discussed above under “—Components of Operating Results—Operating Expenses—Interest Expense.”</w:t>
      </w:r>
    </w:p>
    <w:p>
      <w:pPr>
        <w:pStyle w:val="TextBody"/>
        <w:bidi w:val="0"/>
        <w:spacing w:before="12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summarizes our cash flows for each of the periods presented below (in thousands):</w:t>
      </w:r>
    </w:p>
    <w:tbl>
      <w:tblPr>
        <w:tblW w:w="8388" w:type="dxa"/>
        <w:jc w:val="left"/>
        <w:tblInd w:w="0" w:type="dxa"/>
        <w:tblLayout w:type="fixed"/>
        <w:tblCellMar>
          <w:top w:w="28" w:type="dxa"/>
          <w:left w:w="28" w:type="dxa"/>
          <w:bottom w:w="28" w:type="dxa"/>
          <w:right w:w="28" w:type="dxa"/>
        </w:tblCellMar>
      </w:tblPr>
      <w:tblGrid>
        <w:gridCol w:w="4216"/>
        <w:gridCol w:w="146"/>
        <w:gridCol w:w="211"/>
        <w:gridCol w:w="736"/>
        <w:gridCol w:w="166"/>
        <w:gridCol w:w="146"/>
        <w:gridCol w:w="211"/>
        <w:gridCol w:w="781"/>
        <w:gridCol w:w="166"/>
        <w:gridCol w:w="146"/>
        <w:gridCol w:w="211"/>
        <w:gridCol w:w="841"/>
        <w:gridCol w:w="4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6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(25,351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(21,844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(3,507</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46,583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(59,067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105,650</w:t>
            </w:r>
          </w:p>
        </w:tc>
        <w:tc>
          <w:tcPr>
            <w:tcW w:w="411" w:type="dxa"/>
            <w:tcBorders/>
            <w:shd w:fill="FFFFFF" w:val="clear"/>
            <w:vAlign w:val="center"/>
          </w:tcPr>
          <w:p>
            <w:pPr>
              <w:pStyle w:val="TableContents"/>
              <w:bidi w:val="0"/>
              <w:spacing w:before="0" w:after="283"/>
              <w:jc w:val="left"/>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110,655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(118,511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2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(16,368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val="false"/>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operating activities used $25.4 million of net cash, principally resulting from our net loss of $21.2 million and net changes in our operating assets and liabilities of $4.6 million partially offset by non-cash charges of $0.5 million. The non-cash charges consisted primarily of stock-based compensation expense of $1.7 million, $0.3 million change in value of our operating lease right-of-use assets and $0.2 million of accretion/accrual of term loan discounts and debt issuance costs, which were partially offset by $1.8 million of accretion of our available-for-sale marketable securities. Changes in our operating assets and liabilities consisted of a $2.9 million increase in prepaid expenses and other current assets and a $1.7 million decrease in accounts payable. The increase in prepaid expenses and other current assets was primarily due to an increase in prepayments related to our clinical trial work performed by our CROs as well as an increase in prepayments of our corporate insurance policies. The decrease in accounts payable was primarily due to the timing of vendor invoices.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2022, operating activities used $21.8 million of net cash, resulting from our net loss of $23.6 million and net changes in our operating assets and liabilities of less than $0.1 million, partially offset by non-cash charges of $2.3 million. The non-cash charges consisted primarily of stock-based compensation expense of $1.8 million and $0.4 million of accretion/accrual of term loan discounts and debt issuance costs, offset by $0.3 million of accretion of our available-for-sale marketable securities. Changes in our operating assets and liabilities consisted of a $0.6 million decrease in accounts payable and a $0.5 million increase in prepaid expenses and other current assets, partially offset by a $0.7 million increase in accrued expenses and other liabilities. The decrease in accounts payable was primarily due to the timing of vendor invoices. The increase in prepaid expenses and other current assets was primarily due to an increase in prepayments of our corporate insurance policies as well as an increase in interest income receivable related to our marketable securities. The increase in accrued expenses and other liabilities was primarily due to increased accruals for research,development and clinical trial work performed by our CROs and increased accruals for consulting and professional fees partially offset by a decrease in accrued compensation and benefits.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nine months ended September 30, 2023, net cash provided by investing activities was $46.6 million, consisting of $55.7 million of proceeds from maturities of available-for-sale marketable securities partially offset by $9.0 million of purchases of available-for-sale marketable securities.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2022, net cash used in investing activities was $59.1 million, primarily related to purchases of available-for-sale marketable securities, partially offset by proceeds from maturities of available-for-sale marketable securities.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net cash used in financing activities was $7.9 million, consisting of repayments of $9.4 million on the SVB Term Loan including payment of the final payment fee and prepayment premium, both associated with the payoff of the SVB Term Loan and payments of offering costs of $0.2 million. These cash outflows were partially offset by gross cash proceeds of $1.7 million, net of commissions from sales of our common stock under the ATM Sales Agreement and $0.1 million of cash proceeds from the exercise of stock options and sales under our 2019 Employee Stock Purchase Plan.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2022, net cash provided by financing activities was $110.7 million, primarily consisting of net cash proceeds from our April 2022 Private Placement and our September 2022 Offering of $103.0 million, cash proceeds of $11.8 million from the exercise of warrants and cash proceeds from the exercise of stock options of $0.1 million, partially offset by repayments of $4.1 million on the SVB Term Loan and payments of offering costs of $0.2 million.</w:t>
      </w:r>
    </w:p>
    <w:p>
      <w:pPr>
        <w:pStyle w:val="TextBody"/>
        <w:bidi w:val="0"/>
        <w:spacing w:before="12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next trials we plan to conduct for Haduvio for the treatment of chronic cough in IPF;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Phase 2a RIVER clinical trial of Haduvio for the treatment of refractory chronic cough;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second part of our HAP study.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expect to continue to incur costs associated with operating as a public company, including significant legal, accounting, investor relations and other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will need substantial additional funding to support our continuing operations.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scope, progress, timing, costs and results of clinical trials of Haduvio, including the next clinical trials for the treatment of chronic cough in IPF, our Phase 2a RIVER clinical trial in refractory chronic cough, and the second part of our HAP study, as well as trials for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number and characteristics of indications for which we seek to develop Haduvio or any future product candidates and their respective development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outcome, timing and costs of clinical and nonclinical trials and of seeking regulatory approvals, including the costs of supportive clinical studies such as our HAP study and a potential Thorough QT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associated with the manufacture of necessary quantities of Haduvio or any future product candidate for clinical development in connection with regulatory submissions;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of commercialization activities for Haduvio for the treatment of chronic cough in IPF or refractory chronic cough or for the treatment of prurigo nodularis or for any future product candidates that receive marketing approval, if any, including the costs and timing of establishing product sales, marketing, distribution and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subject to receipt of marketing approvals, revenue, if any, received from commercial sales of Haduvio for the treatment of chronic cough in IPF or refractory chronic cough or for the treatment of prurigo nodularis or from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identify potential collaborators for Haduvio for the treatment of prurigo nodularis or for the treatment of chronic cough in IPF or refractory chronic cough or for any future product candidates and the terms and timing of any collaboration agreement that we may establish for the development and any commercialization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extent to which we acquire or in-license rights to other potential product candidates or technologies and the terms and timing of any such acquisition or licensing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potential obligation to make milestone payments to Endo Pharmaceuticals Inc., or Endo, which would become due upon the successful completion of the first Phase 3 clinical trial of a licensed product candidate and the marketing approval of a licensed product in the United States, as well as our potential obligations to pay Endo royalties on the net sales of the product;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headcount growth and associated costs as we expand our research and development activities and establish a commercial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of preparing, filing and prosecuting patent applications, maintaining, expanding and protecting our intellectual property rights and defending against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effect of competing technologies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establish and maintain healthcare coverage and adequate reimbursement for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of operating as a public company.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that our existing cash, cash equivalents and marketable securities, will enable us to fund our operating expenses and capital expenditure requirements into 2026. Our current plans do not take into account the cost of any additional clinical trials for the treatment of prurigo nodularis.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and financing may not be available to us on acceptable terms, on a timely basis or at all. Our failure to raise capital as and when needed would have a negative impact on our financial condition and our ability to pursue our business strategy.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do not have any committed external source of funds.</w:t>
      </w:r>
      <w:r>
        <w:rPr>
          <w:rFonts w:ascii="Times New Roman" w:hAnsi="Times New Roman"/>
          <w:color w:val="FF0000"/>
          <w:sz w:val="20"/>
        </w:rPr>
        <w:t xml:space="preserve"> </w:t>
      </w:r>
      <w:r>
        <w:rPr>
          <w:rFonts w:ascii="Times New Roman" w:hAnsi="Times New Roman"/>
          <w:b w:val="false"/>
          <w:color w:val="000000"/>
          <w:sz w:val="20"/>
        </w:rPr>
        <w:t>Accordingly, we will be required to obtain further funding through public or private equity offerings, debt financings, collaborations, licensing arrangements or other sources to complete the clinical development and commercialization of Haduvio for the treatment of chronic cough in IPF or refractory chronic cough or for the treatment of prurigo nodularis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that we seek or additional equity that we raise may contain terms that could adversely affect our common stockholders.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pStyle w:val="TextBody"/>
        <w:bidi w:val="0"/>
        <w:spacing w:before="120" w:after="283"/>
        <w:jc w:val="left"/>
        <w:rPr>
          <w:rFonts w:ascii="Times New Roman" w:hAnsi="Times New Roman"/>
          <w:sz w:val="20"/>
        </w:rPr>
      </w:pPr>
      <w:r>
        <w:rPr>
          <w:rFonts w:ascii="Times New Roman" w:hAnsi="Times New Roman"/>
          <w:b/>
          <w:color w:val="000000"/>
          <w:sz w:val="20"/>
        </w:rPr>
        <w:t>Critical Accounting Policies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Condensed Consolidated Financial Statements have been prepared in accordance with U.S. generally accepted accounting principles.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While our significant accounting policies are described in the Notes to our financial statements, we believe that the critical accounting policies, which include those related to research and development expenses, stock-based compensation expense, income taxes, warrants and fair value measurements and which are described under the heading “Management’s Discussion and Analysis of Financial Condition and Results of Operations—Critical Accounting Policies and Use of Estimates” in our Annual Report on Form 10-K for the year ended December 31, 2022, are the most important to understanding and evaluating our reported financial results. During the nine months ended September 30, 2023, there were no material changes to our critical accounting policies.</w:t>
      </w:r>
    </w:p>
    <w:p>
      <w:pPr>
        <w:pStyle w:val="TextBody"/>
        <w:bidi w:val="0"/>
        <w:spacing w:before="120" w:after="283"/>
        <w:jc w:val="left"/>
        <w:rPr>
          <w:rFonts w:ascii="Times New Roman" w:hAnsi="Times New Roman"/>
          <w:sz w:val="20"/>
        </w:rPr>
      </w:pPr>
      <w:r>
        <w:rPr>
          <w:rFonts w:ascii="Times New Roman" w:hAnsi="Times New Roman"/>
          <w:b/>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have been no new pronouncements adopted during the nine months ended September 30, 2023.</w:t>
      </w:r>
    </w:p>
    <w:p>
      <w:pPr>
        <w:pStyle w:val="TextBody"/>
        <w:bidi w:val="0"/>
        <w:spacing w:before="12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have been no new pronouncements issued during the nine months ended September 30, 2023 which could be expected to materially impact our Condensed Consolidated Financial Statements.</w:t>
      </w:r>
    </w:p>
    <w:p>
      <w:pPr>
        <w:pStyle w:val="TextBody"/>
        <w:bidi w:val="0"/>
        <w:spacing w:before="12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12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September 30, 2023.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Because of the inherent limitations in all control systems, no evaluation of controls and procedures can provide absolute assurance that all control issues and instances of fraud, if any, within the Company have been detected. Based on the evaluation of our disclosure controls and procedures as of September 30, 2023, our Chief Executive Officer and Chief Financial Officer concluded that, as of such date, our disclosure controls and procedures were effective at the reasonable assurance level.</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 change in our internal control over financial reporting (as defined in Rules 13a-15(f) and 15d-15(f) under the Exchange Act) occurred during the three months ended September 30, 2023 that has materially affected, or is reasonably likely to materially affect, our internal control over financial reporting.</w:t>
      </w:r>
    </w:p>
    <w:p>
      <w:pPr>
        <w:pStyle w:val="TextBody"/>
        <w:bidi w:val="0"/>
        <w:jc w:val="left"/>
        <w:rPr/>
      </w:pPr>
      <w:r>
        <w:rPr/>
        <w:t> </w:t>
      </w:r>
    </w:p>
    <w:p>
      <w:pPr>
        <w:pStyle w:val="TextBody"/>
        <w:bidi w:val="0"/>
        <w:jc w:val="left"/>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not subject to any material legal proceedings.</w:t>
      </w:r>
    </w:p>
    <w:p>
      <w:pPr>
        <w:pStyle w:val="TextBody"/>
        <w:bidi w:val="0"/>
        <w:spacing w:before="120" w:after="283"/>
        <w:jc w:val="left"/>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Our Financial Position and Need for Additional Capital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significant losses since inception, expect to incur significant and increasing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incurred significant annual net losses every year since our inception. We expect to continue to incur significant and increasing net losses for at least the next several years. Our net losses were $21.2 million and $29.2 million for the nine months ended September 30, 2023 and for the year ended December 31, 2022, respectively. As of September 30, 2023, we had an accumulated deficit of $231.3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initial public offering, or IPO, proceeds from our IPO, sales of our common stock and warrants to purchase our common stock, and proceeds from term loans. We have devoted substantially all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expect to continue to incur significant expenses and increasing operating losses for the foreseeable future. We anticipate that our expenses will increase substantially if and as we: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continue to develop and conduct clinical trials of Haduvio, including the next trials we plan to conduct for Haduvio for the treatment of chronic cough in IPF, our Phase 2a RIVER clinical trial of Haduvio for the treatment of refractory chronic cough, and the second part of our human abuse potential, or HAP,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complete other development work required for the filing of a new drug application, or NDA, with the U.S. Food and Drug Administration, or FDA, and the filing of marketing authorization applications, or MAAs, with the European Medicines Agency, or EMA and the Medicines and Healthcare Products Regulatory Agency in the United Kingdom, or MHRA, or other government agencies, for Haduvio;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seek regulatory and marketing approvals for Haduvio for the treatment of chronic cough in IPF or refractory chronic cough and/or for the treatment of prurigo nodularis or for any future product candidate that successfully completes clinical trials,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negotiate and execute pediatric development plans and complete any post-approval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establish sales, marketing, distribution and other commercial infrastructure to commercialize any products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require the manufacture of larger quantities of Haduvio or any future product candidate for clinical development and, potentially,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acquire or in-license rights to other potential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initiate and conduct research, preclinical and clinical development efforts for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hire and retain additional personnel, such as clinical, regulatory and scientific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add operational, financial and management information systems and personnel, including personnel to support our product development and commercialization efforts and to help us comply with our obligations as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add equipment and physical infrastructure to support our development program for Haduvio and for any future product candidates.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 the treatment of prurigo nodularis, we are required, at a minimum, to successfully complete an additional Phase 3 clinical trial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no products approved for commercial sale, which may make it difficult to evaluate the prospects for our future success and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encounter unforeseen expenses, difficulties, complications, delays and other known or unknown factors in achieving our business objectives. If we obtain marketing approval for Haduvio or any future product candidate, we will need to transition from a company focused on clinical development to a company capable of supporting commercial activities. We may not be successful in effectuating such a transition.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will need substantial additional funding and if we are unable to raise sufficient capital when needed on acceptable terms or at all, we could be forced to delay, reduce or abandon our product development programs or commercialization efforts.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nine months ended September 30, 2023 and the year ended December 31, 2022, we used net cash of $25.4 million and $28.2 million, respectively, in our operating activities, substantially all of which related to development activities for Haduvio. As of September 30, 2023, our cash, cash equivalents and marketable securities were $88.9 million. We expect our expenses to increase substantially in connection with our ongoing activities, particularly as we continue to develop Haduvio, including as we: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conduct the next trials we plan to conduct for Haduvio for the treatment of chronic cough in IPF;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conduct our Phase 2a RIVER clinical trial of Haduvio for the treatment of refractory chronic cough;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conduct the second part of our HAP study to further characterize the abuse potential of oral nalbuphine ER.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we may incur additional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determine to conduct an additional clinical trial for the treatment of prurigo nodularis;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if we acquire or in-license rights to other potential product candidates or technologies and seek regulatory and marketing approvals for Haduvio or any future product candidate that successfully completes clinical trials.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if we obtain marketing approval for Haduvio or any future product candidate, we may incur significant commercialization expenses related to product sales, marketing, manufacturing and distribution. For instance, we currently intend to commercialize Haduvio in the U.S. ourselves by developing a focused, specialty sales, marketing and distribution organization. Furthermore, we expect to continue to incur significant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plan to use our existing cash, cash equivalents and marketable securities to fund the development of Haduvio and for working capital and other general corporate purposes. We will be required to expend significant funds to advance the development of Haduvio in multiple indications, as well as any future product candidates we may seek to develop. Our existing cash, cash equivalents and marketable securities will not be sufficient to complete development of Haduvio for the treatment of chronic cough in IPF, for refractory chronic cough or for prurigo nodularis,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that our existing cash, cash equivalents and marketable securities will enable us to fund our operating expenses and capital expenditure requirements into 2026. Our current plans do not take into account the cost of any additional clinical trials for the treatment of prurigo nodularis.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However, such a financing may not be available to us on acceptable terms, on a timely basis or at all. Our failure to raise capital as and when needed would have a negative impact on our financial condition and our ability to pursue our business strategy.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scope, progress, timing, costs and results of clinical trials of Haduvio, including the next clinical trials for the treatment of chronic cough in IPF, our Phase 2a RIVER clinical trial in refractory chronic cough, and the second part of our HAP study, as well as trials for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number and characteristics of indications for which we seek to develop Haduvio or any future product candidates and their respective development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outcome, timing and costs of clinical and nonclinical trials and of seeking regulatory approvals, including the costs of supportive clinical studies such as our HAP study and a potential Thorough QT, or TQT,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associated with the manufacture of necessary quantities of Haduvio or any future product candidate for clinical development in connection with regulatory submissions;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of commercialization activities for Haduvio for the treatment of chronic cough in IPF and refractory chronic cough or for any future product candidates that receive marketing approval, if any, including the costs and timing of establishing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subject to receipt of marketing approvals, revenue, if any, received from commercial sales of Haduvio for the treatment of chronic cough in IPF or refractory chronic cough or for the treatment of prurigo nodularis, or from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identify potential collaborators for Haduvio for the treatment of prurigo nodularis or for the treatment of chronic cough in IPF or refractory chronic cough or for any future product candidates, and the terms and timing of any collaboration agreement that we may establish for the development and any commercialization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extent to which we acquire or in-license rights to other potential product candidates or technologies and the terms and timing of any such acquisition or licensing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potential obligation to make milestone payments to Endo, which would become due upon the successful completion of the first Phase 3 clinical trial of a licensed product candidate and the marketing approval of a licensed product in the United States, as well as our potential obligations to pay Endo royalties on the net sales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headcount growth and associated costs as we expand our research and development activities and medical affairs activities and establish a commercial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of preparing, filing and prosecuting patent applications, maintaining, expanding and protecting our intellectual property rights and defending against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effect of competing technologies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establish and maintain healthcare coverage and adequate reimbursement for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of operating as a public company.</w:t>
      </w:r>
    </w:p>
    <w:p>
      <w:pPr>
        <w:pStyle w:val="TextBody"/>
        <w:bidi w:val="0"/>
        <w:spacing w:before="16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our expenses to increase substantially in connection with our planned operations, particularly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conduct the next clinical trials we plan to conduct for Haduvio for the treatment of chronic cough in IPF;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conduct our Phase 2a RIVER clinical trial of Haduvio for the treatment of refractory chronic cough;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conduct part two of our HAP study to further characterize the abusive potential of oral nalbuphine ER.</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Accordingly, we will be required to obtain further funding through public or private equity offerings, debt financings, collaborations and licensing arrangements or other sources to fund these expenses.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the Development and Commercialization of Haduvio and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currently have no products approved for sale and are investing substantially all our efforts and financial resources to fund the development and commercialization of Haduvio for the treatment of chronic cough in IPF and refractory chronic cough and for the treatment of prurigo nodularis. Our prospects are dependent on our ability to develop, obtain marketing approval for and successfully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commercialize Haduvio in one or more indications as we currently have no other product candidates under development. We may acquire or in-license rights to other potential product candidates or technologies in the future, but we are currently not developing any other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most advanced programs are the development of Haduvio for the treatment of chronic cough in IPF and refractory chronic cough and for the treatment of prurigo nodularis. As a result, if our efforts to develop and commercialize Haduvio for the treatment of chronic cough in IPF or refractory chronic cough or for the treatment of prurigo nodularis are unsuccessful or we experience significant delays in doing so, our business could also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success of Haduvio for the treatment of chronic cough in IPF and refractory chronic cough and for the treatment of prurigo nodularis will depend on several factors, including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initiating and successfully recruiting, enrolling and retaining subjects in and completing additional clinical and nonclinical trials of Haduvio, including the additional clinical trials we plan to conduct for the treatment of chronic cough in IPF, which are subject to the submission and clearance by the FDA of an IND, and refractory chronic cough;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completing the analysis of the open-label extension portion of our Phase 2b/3 PRISM trial and determining the next steps for the prurigo nodularis program after discussions with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completing other supportive clinical studies such as potential studies of physical dependence and Thorough QT;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completing the second part of our HAP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demonstrating safety, tolerability and efficacy profiles that are satisfactory to the FDA, EMA, MHRA and other comparable regulatory authorities for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receiving timely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managing any required post-marketing approval commitments to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establishing and maintaining arrangements with our third-party supplier of drug substance for Haduvio;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establishing and maintaining arrangements with third-party manufacturers of Haduvio, including developing, validating and maintaining a commercially viable manufacturing process that is compliant with current good manufacturing practices, or cGMPs;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obtaining, maintaining and protecting our patents, trade secrets and regulatory exclusivity in the U.S.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establishing a focused, specialty sales organization in the U.S. and successfully launching commercial sales following any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obtaining commercial acceptance of our products, if approved, by patients, the medical community and third-party payors and obtaining and maintaining healthcare coverage and adequate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maintaining an acceptable safety profile following any marketing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compete with other therapies.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approach to the development and commercialization of Haduvio to treat chronic cough is unproven.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currently focused on the development and commercialization of Haduvio for the treatment of chronic cough in IPF and refractory chronic cough. Haduvio is an oral extended-release formulation of nalbuphine, the active drug ingredient in Haduvio, which is a mixed κ-opioid receptor agonist and μ-opioid receptor antagonist that has been approved and marketed as an injectable for pain indications for more than 20 years in the U.S. and Europe. Nalbuphine is currently not commercially available in an oral dosage form, such as Haduvio. While we believe that nalbuphine’s dual mechanism of action, which targets both the central and peripheral nervous systems, makes Haduvio a promising potential therapy for the treatment of chronic cough and that Haduvio has the potential to be safe and well-tolerated, nalbuphine has not been approved in any indications other than pain and balance anesthesia. Additionally, Haduvio has not been approved in any indication. No therapies have been approved in the U.S. or Europe for the treatment of chronic cough in IPF and no therapies have been approved in the U.S. or outside the U.S. (with the exception of Japan and Switzerland) for the treatment of refractory chronic cough. We can provide no assurance that Haduvio or any other future product candidate that we may seek to develop for chronic cough indications will be effective or safe, obtain regulatory approval or be commercially successful.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Clinical drug development involves a lengthy and expensive process with an uncertain outcome.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not permitted to commercialize, market, promote or sell any product candidate in the U.S. without obtaining marketing approval from the FDA. Foreign regulatory authorities, such as the EMA and MHRA,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clinical trials may produce unfavorable or inconclusive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decide, or regulators may require us, to restructure clinical trials, conduct additional clinical and nonclinical trials or abandon product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experience delays in obtaining authorization to commence a clinical trial from regulators, clinical sites and institutional review boards;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number of subjects required for clinical trials may be larger than we anticipate, as we experienced with the increase of the target number of enrolled subjects for our Phase 2b/3 PRISM trial from 240 to 360 subjects as a result of the sample size re-estimation analysis;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subject enrollment in clinical trials may be slower than we anticipate or participants may discontinue their participation in these clinical trials at a higher rate than we anticipate, as we experienced in our Phase 2b/3 PRISM trial of Haduvio for the treatment of prurigo nodularis;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 of planned clinical trials may be greater than we anticipate, such as if we are required to add additional sites, increase the target number of enrolled subjects or use additional incentive strategies to address site activation and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clinical trials sites may not have adequate staff and resources to support our trials on a timely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regulators or institutional review boards may not authorize us or our investigators to commence a clinical trial or conduct a clinical trial at a prospective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experience delays in reaching or fail to reach agreement on acceptable clinical trial contracts or clinical trial protocols with prospective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subjects who enroll in a clinical trial may misrepresent their eligibility to do so or may otherwise not comply with applicable clinical trial protocols, resulting in the need to drop the subjects from the clinical trial, increase the needed enrollment size for the clinical trial or extend the clinical trial’s duration;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have to delay, suspend or terminate clinical trials for various reasons, including a finding that the participants are being exposed to unacceptable health risks, undesirable side effects or other unexpected characteristics of a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FDA or comparable foreign regulatory authorities may disagree with our clinical trial designs or our interpretation of data from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FDA or comparable foreign regulatory authorities may fail to approve or subsequently find fault with the manufacturing processes or facilities of third-party manufacturers with which we enter into agreements for clinical and commercial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supply or quality of drug substance for our product candidates or the manufactured product candidate or other materials or drug substances necessary to conduct clinical trials of the product candidate may be insufficient, inadequate or not available at an acceptable cost or we may experience interruptions in supply, such as the difficulties we have had in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obtaining supply of IV butorphanol, the comparator drug in our HAP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approval policies or regulations of the FDA or comparable foreign regulatory authorities may significantly change or the landscape of available, approved therapies could change in a manner rendering our clinical data insufficient to obtain marketing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FDA or comparable foreign regulatory authorities may refuse to accept for substantive review any NDA, MAA or other comparable foreign regulatory application that we submit for a product candidate or may conclude after review of our data that our application is insufficient to obtain marketing approval of a product candidate.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to the above, the COVID-19 pandemic previously adversely affected our clinical trial operations worldwide, and other outbreaks of infectious disease could in the future adversely affect our clinical trial operations worldwide, including our ability to recruit and retain principal investigators and site staff who, as healthcare providers, may have heightened exposure to infectious diseases. The COVID-19 pandemic resulted in delays in our clinical trials due to prioritization of hospital and medical resources toward the pandemic, restrictions in travel, potential unwillingness of patients to enroll in trials or the inability of patients to comply with clinical trial protocols where quarantines or travel restrictions impeded patient movement or interrupted healthcare services. Furthermore, the response to any future outbreak of infectious disease may redirect resources of regulators in a way that would adversely impact our ability to progress regulatory approvals. In addition, we may face impediments to regulatory meetings and approvals relating to our clinical trials due to measures intended to limit in-person interactions. In the future, we may experience adverse impacts on our clinical trial activities, business operations, financial condition, and prospects as a result of outbreaks of infectious disease, among other factors.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incur additional unplanned costs, which may exceed the resources that we have available or are able to obtain on reasonable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fail to obtain marketing approval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obtain marketing approval for indications or patient populations that are not as broad as we originally intended or desired;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obtain marketing approval with labeling that includes significant use or distribution restrictions or significant safety warnings, including boxed warnings;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be subject to additional post-marketing testing or other requirements;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be required to remove the product from the market after obtaining marketing approval.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 For example, in December 2022, with the passage of the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Similarly, the regulatory landscape related to clinical trials in the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If we are not able to address these changes in existing requirements or the adoption of new requirements or policies governing clinical trials or there are difficulties with the implementation of the CTR process, our development plans may be impacted.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failure to successfully and timely complete clinical trials of Haduvio for the treatment of chronic cough in IPF or refractory chronic cough or for the treatment of prurigo nodularis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clinical trials may fail to demonstrate adequately the safety and efficacy of Haduvio or any future product candidates, which would likely prevent or delay regulatory approval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For example, our Phase 2 clinical trial of Haduvio for the treatment of prurigo nodularis failed to meet its primary endpoint and the number of subjects who discontinued treatment prior to the end of the trial had a substantial impact on the results.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Use of patient-reported outcome assessments, or PROs, in our clinical trials and high placebo response rates may delay or impair the development of Haduvio or adversely impact our 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Although the primary endpoint in our future clinical trials of Haduvio for the treatment of chronic cough in IPF and refractory chronic cough will be measured using an objective cough monitor, we have PRO instruments as secondary endpoints that may need to validate a supportive PRO instrument of the primary endpoint. There is not currently a validated PRO instrument that has been accepted for chronic cough indications.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due to the difficulty of objectively measuring pruritus, the assessment of pruritus in clinical trials typically involves the use of PROs. Our clinical trials evaluating the efficacy of Haduvio in pruritus indications, including our Phase 2b/3 PRISM trial, have used PROs as primary endpoints. For example, the primary endpoint of our Phase 2b/3 PRISM trial was the proportion of patients achieving at least a 4-point improvement from baseline with respect to their worst itch at week 14 as measured by the Worst Itch Numerical Rating Scale, or WI-NRS, scores, which is a patient-reported assessment on an 11-point scale from 0 to 10 of the severity of the worst itch experienced in the last 24 hours. PROs have an 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PROs have historically been observed to have high placebo group response rates. We observed this in some of our clinical trials of Haduvio.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variability of PRO measures and related high placebo response rates have adversely impacted clinical results of other therapies being tested and could adversely impact our clinical development of Haduvio. The FDA could also require changes in the PROs we are currently using or indicate that the PROs we are using are insufficient for demonstrating efficacy, potentially delaying clinical development of Haduvio, increasing our costs and making additional clinical trials necessary.</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experience delays or difficulties in the enrollment of subjects in clinical trials, our receipt of necessary regulatory approvals could be delayed or prevented.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not be able to initiate or continue clinical trials for Haduvio or any future product candidate if we are unable to locate and enroll a sufficient number of eligible subjects to participate in clinical trials as required by the FDA or comparable foreign regulatory authorities. Patient enrollment is a significant factor in the timing of our clinical trials and is affected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size and nature of the eligible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severity of the disease under investigation;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proximity of eligible patients to clinical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eligibility criteria for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design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efforts to facilitate timely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competing clinical trials;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clinicians’ and patients’ perceptions as to the potential advantages and risks of the product candidate being studied in relation to other available therapies, including any new drugs that may be approved for the indications under investigation.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particular, the successful completion of our clinical development program for Haduvio for the treatment of chronic cough in IPF and refractory chronic cough and for the treatment of prurigo nodularis is dependent upon our ability to enroll a sufficient number of subjects with these severe conditions. We experienced delays and difficulties in the enrollment of subjects in our clinical trials, including our Phase 2 CANAL trial and our Phase 2b/3 PRISM trial, which delayed the completion of our trials.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companies are conducting clinical trials or have announced plans for future clinical trials that are seeking or are likely to seek to enroll patients with IPF, refractory chronic cough or prurigo nodularis, and patients are generally only able to enroll in a single trial at a time. No therapies have been approved in the U.S. or Europe for the treatment of chronic cough in IPF and no therapies have been approved in the U.S. or outside the U.S. (with the exception of Japan and Switzerland) for the treatment of refractory chronic cough. However, patients with these conditions, as well as their physicians, may be reluctant to forgo, discontinue or otherwise alter their use of the therapeutic approaches they currently use in order to participate in our clinical trials. For example, patients may use Dupixent (dupilumab), an injectable prescription medicine, that was approved by the FDA for the treatment of prurigo nodularis in September 2022 or various treatments off-label for the treatment of prurigo nodularis, such as antihistamines or gabapentin; these patients and their physicians may be reluctant to forgo, discontinue or otherwise alter their use of Dupixent or any off-label therapeutic approaches to participate in our clinical trials.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response to the COVID-19 pandemic, the FDA issued numerous guidance documents and took other actions to facilitate research and development of new drug products. Although the public health emergency declarations related to COVID-19 ended on May 11, 2023, the FDA retained a number of COVID-19 related policies. It is unclear how, if at all, these policies will impact our efforts to develop and commercialize our product candidates.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inability to enroll a sufficient number of subjects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or SAEs,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Haduvio,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μ-opioid receptor antagonists have the potential to precipitate withdrawal effects in patients, including drug addicts. To support our planned submission of an NDA to the FDA for Haduvio, due to the association of opioids with endocrine dysfunction, we may be required to conduct a clinical trial of Haduvio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subjects to complete a trial or result in potential product liability claims.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our clinical trials of Haduvio for the treatment of prurigo nodularis, the most frequently reported treatment emergent adverse events associated with Haduvio were nausea, fatigue, dizziness, vomiting, headache, anxiety, depression, constipation and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somnolence. In our Phase 2 CANAL trial of Haduvio for the treatment of chronic cough in IPF, the most frequently reported treatment emergent adverse events associated with Haduvio were nausea, fatigue, dizziness, vomiting, headache, constipation and somnolence.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pStyle w:val="TextBody"/>
        <w:bidi w:val="0"/>
        <w:spacing w:before="120" w:after="283"/>
        <w:jc w:val="left"/>
        <w:rPr>
          <w:rFonts w:ascii="Times New Roman" w:hAnsi="Times New Roman"/>
          <w:sz w:val="20"/>
        </w:rPr>
      </w:pPr>
      <w:r>
        <w:rPr>
          <w:rFonts w:ascii="Times New Roman" w:hAnsi="Times New Roman"/>
          <w:b/>
          <w:i/>
          <w:color w:val="000000"/>
          <w:sz w:val="20"/>
        </w:rPr>
        <w:t>The drug label for nalbuphine, the active ingredient in Haduvio, carries an opioid class label warning for serious, life-threatening or fatal respiratory depression.</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μ-opioid receptor antagonists such as nalbuphine are associated with respiratory depression. The drug label for nalbuphine, the active ingredient in Haduvio, carries an opioid class label warning for serious, life-threatening or fatal respiratory depression and Haduvio, if approved for marketing in any indication, will likely carry a similar opioid class label. We intend to conduct a Phase 1b study to evaluate the effect of Haduvio on respiratory physiology in patients with IPF of varying disease severity. We cannot be certain that respiratory depression will not be observed or that the FDA will not require additional trials or impose more severe labeling restrictions related to respiratory depression. If there is a safety signal in the Phase 1b study, it could affect our ability to conduct a trial in this patient population.</w:t>
      </w:r>
    </w:p>
    <w:p>
      <w:pPr>
        <w:pStyle w:val="TextBody"/>
        <w:bidi w:val="0"/>
        <w:spacing w:before="120" w:after="120"/>
        <w:jc w:val="left"/>
        <w:rPr>
          <w:rFonts w:ascii="Times New Roman" w:hAnsi="Times New Roman"/>
          <w:sz w:val="20"/>
        </w:rPr>
      </w:pPr>
      <w:r>
        <w:rPr>
          <w:rFonts w:ascii="Times New Roman" w:hAnsi="Times New Roman"/>
          <w:b/>
          <w:i/>
          <w:color w:val="000000"/>
          <w:sz w:val="20"/>
        </w:rPr>
        <w:t>Many currently approved µ-opioid products are subject to restrictive marketing and distribution regulations which, if applied to Haduvio, could potentially restrict its use and harm our ability to generate profits.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Haduvio has a μ-antagonist mechanism of action and has been well-tolerated in clinical trials to date, we have observed a few cases of mild euphoria, somnolence and feeling relaxed or feeling “high,” which are characteristics that have led to misuse, abuse and addiction of μ-opioids. We are conducting a HAP study to further characterize the abuse potential of oral nalbuphine ER. If the results of the HAP study suggest that Haduvio may carry risks of misuse, abuse or addiction or even if the trial indicates that Haduvio does not carry such risks, the FDA may require us to implement a REMS program in connection with any commercialization of Haduvio.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the parenteral formulation of nalbuphine is currently not scheduled as a controlled substance under the federal Controlled Substances Act of 1970 or the regulations of the U.S. Drug Enforcement Agency, or the DEA, in the U.S. It is possible that, based on the results of our HAP study, adverse events in our clinical trials or for other reasons, the DEA could determine that Haduvio, which is an oral, extended-release formulation, should be classified as a controlled substance.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Haduvio is classified as a controlled substance, there is a risk that such regulations could limit its supply for use in clinical trials and, in the future, limit our ability to produce and distribute Haduvio in the volume needed to meet potential commercial demand.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Regulations associated with controlled substances govern manufacturing, labeling, packaging, testing, dispensing, production and procurement quotas, record keeping, reporting, handling, shipment and disposal. These regulations increase the personnel needs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w:t>
      </w:r>
    </w:p>
    <w:p>
      <w:pPr>
        <w:pStyle w:val="TextBody"/>
        <w:bidi w:val="0"/>
        <w:spacing w:before="120" w:after="283"/>
        <w:jc w:val="left"/>
        <w:rPr>
          <w:rFonts w:ascii="Times New Roman" w:hAnsi="Times New Roman"/>
          <w:sz w:val="20"/>
        </w:rPr>
      </w:pPr>
      <w:r>
        <w:rPr>
          <w:rFonts w:ascii="Times New Roman" w:hAnsi="Times New Roman"/>
          <w:b/>
          <w:i/>
          <w:color w:val="000000"/>
          <w:sz w:val="20"/>
        </w:rPr>
        <w:t>Results of preclinical studies and clinical trials may not be predictive of results of later 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future clinical trials despite demonstrating positive results in preclinical studies or earlier clinical trials. The results of our Phase 2 CANAL trial for the treatment of chronic cough in IPF may not be predictive of the results of future trials of Haduvio for the treatment of chronic cough in IPF or refractory chronic cough and the results of our Phase 2b/3 PRISM trial of Haduvio for the treatment of prurigo nodularis may not be predictive of the results of any future clinical trial in prurigo nodularis.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some of our data for Haduvio for the treatment of cough and prurigo nodularis is drawn from</w:t>
      </w:r>
      <w:r>
        <w:rPr>
          <w:rFonts w:ascii="Times New Roman" w:hAnsi="Times New Roman"/>
          <w:color w:val="000000"/>
          <w:sz w:val="20"/>
        </w:rPr>
        <w:t xml:space="preserve"> </w:t>
      </w:r>
      <w:r>
        <w:rPr>
          <w:rFonts w:ascii="Times New Roman" w:hAnsi="Times New Roman"/>
          <w:b w:val="false"/>
          <w:i/>
          <w:color w:val="000000"/>
          <w:sz w:val="20"/>
        </w:rPr>
        <w:t>post hoc</w:t>
      </w:r>
      <w:r>
        <w:rPr>
          <w:rFonts w:ascii="Times New Roman" w:hAnsi="Times New Roman"/>
          <w:color w:val="000000"/>
          <w:sz w:val="20"/>
        </w:rPr>
        <w:t xml:space="preserve"> </w:t>
      </w:r>
      <w:r>
        <w:rPr>
          <w:rFonts w:ascii="Times New Roman" w:hAnsi="Times New Roman"/>
          <w:b w:val="false"/>
          <w:color w:val="000000"/>
          <w:sz w:val="20"/>
        </w:rPr>
        <w:t>analyses of data subsets from the Phase 2 CANAL trial and a Phase 2 trial in prurigo nodularis. While we believe these data may be useful in informing the design of future Phase 3 clinical trials for Haduvio,</w:t>
      </w:r>
      <w:r>
        <w:rPr>
          <w:rFonts w:ascii="Times New Roman" w:hAnsi="Times New Roman"/>
          <w:color w:val="000000"/>
          <w:sz w:val="20"/>
        </w:rPr>
        <w:t xml:space="preserve"> </w:t>
      </w:r>
      <w:r>
        <w:rPr>
          <w:rFonts w:ascii="Times New Roman" w:hAnsi="Times New Roman"/>
          <w:b w:val="false"/>
          <w:i/>
          <w:color w:val="000000"/>
          <w:sz w:val="20"/>
        </w:rPr>
        <w:t>post hoc</w:t>
      </w:r>
      <w:r>
        <w:rPr>
          <w:rFonts w:ascii="Times New Roman" w:hAnsi="Times New Roman"/>
          <w:color w:val="000000"/>
          <w:sz w:val="20"/>
        </w:rPr>
        <w:t xml:space="preserve"> </w:t>
      </w:r>
      <w:r>
        <w:rPr>
          <w:rFonts w:ascii="Times New Roman" w:hAnsi="Times New Roman"/>
          <w:b w:val="false"/>
          <w:color w:val="000000"/>
          <w:sz w:val="20"/>
        </w:rPr>
        <w:t>analyses performed after unmasking trial results can result in the introduction of bias and may not be predictive of success in Phase 3 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Haduvio or any future product candidate, the development timeline and regulatory approval and commercialization prospects for those product candidates and, correspondingly, our business and financial prospects would be negatively impacted.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regulatory authorities may withdraw their approval of the product or seize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be required to recall the product, change the way the product is administered or conduct additional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additional restrictions may be imposed on the marketing of or the manufacturing processes for,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be subject to fines, injunctions or the imposition of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regulatory authorities may require the addition of labeling statements, such as a “black box” warning or a contraindication;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be required to create a Medication Guide outlining the risks of the previously unidentified side effects for distribution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could be sued and held liable for harm caused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product may become less competitive; and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reputation may suffer.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of these events could harm our business and operations and could negatively impact our stock price.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efficacy and safety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potential and perceived advantages of the product compared to other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potential that the DEA could determine that Haduvio should be classified as a controlled substance;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clinical indications for which the product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whether the product is designated under physician treatment guidelines as a first-, second- or third-line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offer the product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product’s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willingness of the target patient population to try and of physicians to prescribe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limitations or warnings, including distribution or use restrictions contained in the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strength of sales, marketing and distribution support for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approval of other new products for the same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of market introduction of the product as well as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adverse publicity about the product or favorable publicity about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potential product liability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the standard of care for the targeted indications for the product;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availability and amount of coverage and reimbursement from government payors, managed care plans and other third-party payors.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certain indications. However, the development of Haduvio for these indications may ultimately prove to be unsuccessful or less successful than another product candidate or other indications that we might have chosen to pursue with our limited resources.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receives marketing approval from the FDA for chronic cough in IPF, we plan to market and commercialize Haduvio in the U.S. with our own focused, specialty sales organization targeting pulmonologists who specialize in IPF. We would not plan to market and commercialize Haduvio for other larger conditions such as refractory chronic cough or prurigo nodularis. Instead, we would plan to seek to enter into a strategic alliance for commercialization for such indication or indications. We also expect to utilize a variety of collaboration, distribution and other marketing arrangements with one or more third parties to commercialize Haduvio outside the 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we do not establish sales, marketing and distribution capabilities, either on our own or in collaboration with third parties, we will not be successful in commercializing any product candidate that receives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substantial competition, which may result in others developing or commercializing products before or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Haduvio is approved for the treatment of chronic cough in IPF, we expect that it may compete with product candidates currently in clinical development for the treatment of chronic cough in IPF, such as orvepitant, which is being developed by Nerre Therapeutics, inhaled IMID, which is being developed by Vicore, and ifenprodil, which is being developed by Algernon Pharmaceuticals. In addition, it is possible that product candidates currently in development for the treatment of IPF could, if approved, reduce the need for therapies to treat chronic cough in IPF. We expect that Haduvio might also compete with other product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candidates currently in development, or submitted for approval to the FDA, for the treatment of refractory chronic cough and unexplained chronic cough that might be used off-label to treat chronic cough in IPF.</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Haduvio is approved for the treatment of refractory chronic cough, we expect that it may compete with product candidates currently in clinical development for the treatment of refractory chronic cough such as gefapixant, which is being developed by Merck, camlipixant, which is being developed by GSK plc, sivopixant, which is being developed by Shionogi, ADX-629, which is being developed by Alderya, NTX-1175, which is being developed by Nocion, GDC-6599, which is being developed by Genentech, ifenprodil, which is being developed by Algernon, AX-8, which is being developed by Axalbion, and GABAB PAM, which is being developed by Addex Therapeutics.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also expect that Haduvio would compete with a number of therapeutics that are used off-label to treat chronic cough, including opioids, proton-pump inhibitors, and neuromodulators.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Haduvio is approved for the treatment of prurigo nodularis, we expect that it would compete with Dupixent (dupilumab), an injectable prescription medicine which was jointly developed by Sanofi and Regeneron and which was approved by the FDA for the treatment of prurigo nodularis in September 2022. Sanofi has announced its plans to make regulatory submissions around the world for this indication. We also expect that Haduvio would compete with a number of therapeutics that are used off-label to treat prurigo nodularis, including anti-itch creams and emollients, and oral or injectable antihistamines. Patients may also try gabapentin and Lyrica (pregabalin), which are prescription medicines approved for the treatment of seizures and neuropathic pain, naltrexone and UVB light therapy. We also expect that Haduvio might compete with product candidates currently in clinical development in this indication, including nemolizumab, an anti-interleukin-31 receptor A humanized monoclonal antibody being developed by Galderma; vixarelimab, a monoclonal antibody targeting oncostatin M receptor beta being developed by Kiniksa Pharmaceuticals; abrocitinib, an oral small molecule targeting the janus kinase 1, or JAK1, receptor being developed by Pfizer Inc.; povorcitinib, an oral small molecule targeting the JAK 1 receptor being developed by Incyte; ruxolitinib cream, a topical therapy targeting the JAK receptor being developed by Incyte; M1880C, a topical non-steroidal anti-inflammatory drug, or NSAID, being developed by Maruho; and CDX-0159, a humanized monoclonal antibody targeting the KIT receptor being developed by Celldex Therapeutics. In addition, a number of other product candidates are currently in clinical development to treat other pruritic conditions and Haduvio, if approved for the treatment of prurigo nodularis, could face competition from these product candidates, including difelikefalin, an oral kappa opioid receptor agonist being developed by Cara Therapeutics that is initiating Phase 3 clinical trials for chronic pruritus in patients with atopic dermatitis, and in Phase 2 clinical trials for chronic kidney disease, chronic liver disease and notalgia paresthetica.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Many of our potential competitors,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are able to commercialize a product candidate, the product may become subject to unfavorable pricing regulations, third-party payor reimbursement practices or healthcare reform initiatives, any of which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commercial success of any product we develop will depend substantially, both in the U.S.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Patients who are provided medical treatment for their conditions generally rely on third-party payors to reimburse all or part of the costs associated with their treatment. Therefore, our ability to commercialize any product candidate will depend in part on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Product liability lawsuits could divert our resources, cause us to incur substantial liabilities and limit commercialization of any products that we may develop or in-license.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decreased demand for any products that we may develop or in-license;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injury to our reputation and significant negative media attention;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significant costs to defend resulting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reduced resources of our management to pursue our business strategy;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inability to commercialize any products that we may develop.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Although we maintain product and clinical trial liability insurance of at least $7.0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sale of Haduvio or any future product candidate could be prevented or inhibited, which could harm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on third parties to conduct our clinical trials. If they do not perform satisfactorily, our business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do not independently conduct clinical trials of our product candidate. We rely on and expect to continue to rely on third parties, such as contract research organizations, or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Further, although our reliance on these third parties for clinical development activities limits our control over these activities, we remain responsible for ensuring that each of our clinical trials is conducted in accordance with the applicable protocol, as well as applicable legal, regulatory and scientific standards. Moreover, the FDA and/or other regulatory authorities require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and other regulatory authorities enforce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and other regulatory authorities may require us to perform additional clinical trials before approving the applicable product candidate, which would delay the marketing approval process. We cannot be certain that, upon inspection, the FDA and other regulatory authorities will determine that any of our clinical trials complies with cGCPs. Similar regulatory requirements apply outside the U.S., including the International Council for Harmonisation of Technical Requirements for the Registration of Pharmaceuticals for Human Use, or ICH. We are also required to register our clinical trials and post the results of our completed clinical trials on a government-sponsored database, ClinicalTrials.gov, and other registries within certain timeframes. Failure to do so can result in fines, adverse publicity and civil and criminal sanctions.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contract with third parties for the manufacture, storage, packaging and distribution of Haduvio and other drug product for clinical trials, including a single supplier for the active ingredient in Haduvio and expect to continue to rely on third parties for these services in connection with our future development and commercialization efforts for Haduvio and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manufacturing delays if our third-party contractors experience supply chain-related delays, prioritize the supply of other companies’ products over Haduvio or any other drug product needed for our clinical trials or any future product candidates, such as IV butorphanol for our HAP study, or otherwise fail to satisfactorily perform according to the terms of the agreements between us and them or if unforeseen events in the manufacturing process arise;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possible termination or nonrenewal of agreements by our third-party contractors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possible breach by third-party contractors of our agreements with them;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failure of third-party contractors to comply with applicable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possible mislabeling of clinical supplies, potentially resulting in the wrong dose amounts being supplied or active drug or placebo not being properly identified;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possibility of clinical supplies not being delivered to clinical sites on time, leading to clinical trial interruptions or of drug supplies not being distributed to commercial vendors in a timely manner, resulting in lost sales;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possible misappropriation of our proprietary information, including our trade secrets and know-how.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do not have long-term supply agreements with any of our contract manufacturers. If any of our existing manufacturers should become unavailable to us for any reason or fail to supply us with the ordered quantities, we may incur delays in identifying or qualifying replacement 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also rely, and plan to continue to rely, on a single supplier, Mallinckrodt, for nalbuphine hydrochloride drug substance. We do not have agreements in place with Mallinckrodt that guarantee supply quantities or pricing. In October 2020, Mallinckrodt and certain of its subsidiaries filed for bankruptcy protection in the U.S. Bankruptcy Court for the District of Delaware, or the Bankruptcy Court. In February 2022, the Bankruptcy Court approved a settlement of Mallinckrodt’s opioid litigation and broader chapter 11 reorganization plan, which was also subject to approval by Irish authorities. On April 27, 2022, the High Court of Ireland confirmed the scheme of arrangement between Mallinckrodt, its creditors and its members under Irish law and ordered that the scheme of arrangement would become effective on the same date that the chapter 11 reorganization plan becomes effective. On June 16, 2022, Mallinckrodt announced that it had completed its reorganization process, emerged from chapter 11 bankruptcy proceedings and completed the Irish examinership proceedings. In August 2023, Mallinckrodt again filed for bankruptcy protection in the Bankruptcy Court and is seeking that court’s approval of a second chapter 11 reorganization plan. Mallinckrodt expects to complete its second bankruptcy in the fourth quarter of 2023. It is currently uncertain what impact, if any, Mallinckrodt’s bankruptcy filings and the associated reorganization plans may have on its ability to continue supplying nalbuphine hydrochloride drug substance to us.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to manufacture any such product. Consequently, we may not be able to reach agreement with third-party manufacturers on satisfactory terms, in a timely manner or at all, which could delay our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Third-party manufacturers are required to comply with cGMPs and similar regulatory requirements outside the U.S.,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current and anticipated future dependence upon others for the manufacture of Haduvio, any other drug product needed for our clinical trials or any future product candidate may harm our future profit margins and our ability to commercialize any products that receive marketing approval on a timely and competitive basis.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seek to establish collaborations and, if we are not able to establish them on commercially reasonable terms, we may have to alter our development and commercialization plans.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If Haduvio receives marketing approval from the FDA for chronic cough in IPF, we plan to market and commercialize Haduvio in the U.S. with our own focused, specialty sales organization targeting pulmonologists who specialize in IPF. We would not plan to market and commercialize Haduvio for other larger conditions such as refractory chronic cough or prurigo nodularis. Instead, we would plan to seek to enter into a strategic alliance for commercialization for such indication or indications. We also expect to utilize a variety of collaboration, distribution and other marketing arrangements with one or more third parties to commercialize Haduvio outside the 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we establish one or more collaborations, all the risks relating to product development, regulatory approval and commercialization described in this Quarterly Report on Form 10-Q would also apply to the activities of any such future collaborators.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enter into collaborations with third parties for the development or commercialization of Haduvio or any future product candidate, our prospects with respect to those product candidates will depend in significant part on the success of those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Collaborations involving a product candidate would pose a number of risks, including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may be involved in a business combination and could decide to delay, diminish or terminate the development or commercialization of any product candidate licensed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could independently develop or develop with third parties, products that compete directly or indirectly with the product candidates under the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with marketing and distribution rights to one or more products may not commit sufficient resources to the marketing and distribution of such product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may infringe the intellectual property rights of third parties, which may expose us to litigation and potential liability or misappropriate our intellectual property or other proprietary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may engage in misconduct or other improper activities, including non-compliance with regulatory standards and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disputes may arise between the collaborators and us regarding ownership of or other rights in the intellectual property generated in the course of the collaborations;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collaborations may be terminated and, if terminated, may result in a need for additional capital to pursue further development or commercialization of the applicable product candidates.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Collaboration agreements may not lead to development or commercialization of product candidates in the most efficient manner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comply with our obligations under our existing and any future intellectual property licenses with third parties, we could lose license rights that are critical to our business or owe damages to the licensor of such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party to an exclusive license agreement with Endo Pharmaceuticals Inc. under which we have licensed certain patent rights and know-how to develop and commercialize products incorporating nalbuphine hydrochloride in any formulation, including an extended-release formulation such as Haduvio.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termination of our license agreements could have a material adverse impact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Disputes may also arise regarding intellectual property subject to a license agreement,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extent to which our activities or product candidates may infringe the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sublicensing of patent and other rights under any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diligence obligations under the license agreement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inventorship or ownership of inventions and know-how resulting from joint creation or use of intellectual property by licensors and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priority of invention of any patented technology.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disputes over intellectual property that we license prevent or impair our ability to maintain those license arrangements on acceptable terms or at all, we may be unable to successfully develop and commercialize any affected product candidates.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success depends in large part on our ability to obtain and maintain patent protection in the U.S.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or PTA.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patent position of biotechnology and pharmaceutical companies generally is highly uncertain. No consistent policy regarding the breadth of claims allowed in biotechnology and pharmaceutical patents has emerged to date in the U.S.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U.S. can be initiated by such third parties to determine who was the first to invent any of the subject matter covered by the patent claims of our applications. If third parties have filed such applications after March 15, 2013, a derivation proceeding in the U.S. can be initiated by such third parties to determine whether our invention was derived from theirs.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Moreover, because the issuance of a patent is not conclusive as to its inventorship, scope, validity or enforceability, our patents or pending patent applications may be challenged in the courts or patent offices in the U.S.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jurisdictions, including significant commercial markets such as Europe, restrict the patentability of methods of treatment of the human body more than U.S. law does.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Issued patents that we have,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abbreviated new drug applications, or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protect the confidentiality of our trade secrets, the value of our products could be negatively impacted and our business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involved in lawsuits to protect or enforce our patents or other intellectual property,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competitors may infringe our patents,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sued for infringing intellectual property rights of third parties, such litigation could be costly and time-consuming, its outcome would be uncertain and it could prevent or delay us from developing or commercializing Haduvio or any future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we are found to infringe a third-party’s intellectual property rights, we could be forced, including by court order, to cease developing, manufacturing or commercializing the infringing product candidate or product. Alternatively, we may be required to obtain a license from such third-party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to the patent law in the U.S. and other jurisdictions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 expanding the definition of prior art and developing a post-grant review system. This legislation changes U.S. patent law in a way that may weaken our ability to obtain patent protection in the U.S. for those applications filed after March 16, 2013.</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Further, the America Invents Act created new procedures to challenge the validity of issued patents in the U.S.,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inter partes review proceeding than invalidated in a litigation in a U.S. federal court. If any of our patents are challenged by a third-party in such a USPTO proceeding, there is no guarantee that we or our licensors or collaborators will be successful in defending the patent, which would result in a loss of the challenged patent right to us.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recent decisions, including by the U.S. Court of Appeals for the Federal Circuit, raise questions regarding the award of PTA for patents in families where related patents have issued without PTA. Thus, it cannot be said with certainty how PTA will/will not be viewed in the future and whether patent expiration dates may be impacted.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Further,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or the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enforce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Filing, prosecuting and defending patents on our product candidates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U.S. and our issued or licensed patents and any future patent claims or other intellectual property rights may not be effective or sufficient to prevent them from so competing.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Moreover, our ability to protect and enforce our intellectual property rights may be adversely affected by unforeseen changes in foreign intellectual property laws. Additionally, laws of some countries outside of the U.S. and Europe do not afford intellectual property protection to the same extent as the laws of the U.S.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Europe.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geo-political actions in the United States and in foreign countries could increase the uncertainties and costs surrounding the prosecution or maintenance of our patent applications and the maintenance, enforcement or defense of our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into Russia. Accordingly,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claims by third parties asserting that our employees or we have misappropriated their intellectual property or claiming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third-party and we could be required to obtain a license from such third-party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Periodic maintenance fees, renewal fees, annuity fees and various other governmental fees on patents and applications are required to be paid to the USPTO and various governmental patent agencies outside of the U.S.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licenses from third parties on commercially reasonable terms, our business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we are able to obtain a license, it may be non-exclusive, which could enable our competitors to obtain access to the same technologies licensed to us.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Regulatory Approval and Other Legal Compliance Matters</w:t>
      </w:r>
    </w:p>
    <w:p>
      <w:pPr>
        <w:pStyle w:val="TextBody"/>
        <w:bidi w:val="0"/>
        <w:spacing w:before="120" w:after="283"/>
        <w:jc w:val="left"/>
        <w:rPr>
          <w:rFonts w:ascii="Times New Roman" w:hAnsi="Times New Roman"/>
          <w:sz w:val="20"/>
        </w:rPr>
      </w:pPr>
      <w:r>
        <w:rPr>
          <w:rFonts w:ascii="Times New Roman" w:hAnsi="Times New Roman"/>
          <w:b/>
          <w:i/>
          <w:color w:val="000000"/>
          <w:sz w:val="20"/>
        </w:rPr>
        <w:t>If the FDA does not conclude that Haduvio for the treatment of chronic cough in IPF or refractory chronic cough or for the treatment of prurigo nodularis, or any other development program, satisfies the requirements under Section 505(b)(2) of the FDCA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completed our Phase 2b/3 PRISM trial of Haduvio for the treatment of prurigo nodularis and we believe we will need to conduct an additional Phase 3 clinical trial of Haduvio for the treatment of prurigo nodularis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sponsor and for which the sponsor has not received a right of reference, which could expedite the development program for Haduvio by potentially decreasing the amount of preclinical and clinical data that we would need to generate in order to obtain FDA approval. However, while we believe that Haduvio is a reformulation of an existing drug and, therefore, its active moiety will not be treated as a new chemical entity, or NCE, the submission of an NDA under the Section 505(b)(2) regulatory pathway does not preclude the FDA from determining that Haduvio contains an active moiety that is an NCE and, therefore, is not eligible for review under such regulatory pathway.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prurigo nodularis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complete the necessary preclinical studies and clinical trials, the regulatory approval process is expensive, time-consuming and uncertain and may prevent us from obtaining approvals for the commercialization of Haduvio or any future product candidate. As a result, we cannot predict when or if and in which territories, we will obtain marketing approval to commercialize a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U.S. until we receive approval of an NDA from the FDA or in other countries until we receive marketing approval from the applicable regulatory authorities outside the U.S. We have not submitted an application for or received marketing approval for any product candidate in the U.S. or in any other jurisdiction. We have limited experience in conducting and managing the clinical trials necessary to obtain marketing approvals, including FDA approval of an NDA.</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process of obtaining marketing approvals, both in the U.S.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conducted, are conducting and intend in the future to conduct clinical trials for Haduvio and may conduct clinical trials for any future product candidates, at sites outside the U.S. The FDA may not accept data from trials conducted in such locations and the conduct of trials outside the U.S. could subject us to additional delays and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conducted, are conducting and intend in the future to conduct clinical trials for Haduvio, and may conduct clinical trials for any future product candidates, at trial sites that are located outside the U.S. Although the FDA may accept data from clinical trials conducted outside the U.S., acceptance of these data is subject to certain conditions imposed by the FDA.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U.S. If the FDA does not accept the data from any trial that we conduct outside the U.S., it would likely result in the need for additional trials, which would be costly and time-consuming and delay or permanently halt our development of Haduvio or the applicable future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the conduct of clinical trials outside the U.S. could have a significant adverse impact on us. Risks inherent in conducting international clinical trials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clinical practice patterns and standards of care that vary widely among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non-U.S. regulatory authority requirements that could restrict or limit our ability to conduct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administrative burdens of conducting clinical trials under multiple non-U.S. regulatory authority schema;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foreign exchange rate fluctuations;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diminished protection of intellectual property in some countries. </w:t>
      </w:r>
    </w:p>
    <w:p>
      <w:pPr>
        <w:pStyle w:val="TextBody"/>
        <w:bidi w:val="0"/>
        <w:spacing w:before="120" w:after="283"/>
        <w:jc w:val="left"/>
        <w:rPr>
          <w:rFonts w:ascii="Times New Roman" w:hAnsi="Times New Roman"/>
          <w:sz w:val="20"/>
        </w:rPr>
      </w:pPr>
      <w:r>
        <w:rPr>
          <w:rFonts w:ascii="Times New Roman" w:hAnsi="Times New Roman"/>
          <w:b/>
          <w:i/>
          <w:color w:val="000000"/>
          <w:sz w:val="20"/>
        </w:rPr>
        <w:t>Failure to obtain marketing approval in foreign jurisdictions would prevent Haduvio or any future product candidate from being marketed in other countries. Any marketing approval we are granted in the U.S. would not assure marketing approval in foreign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order to market and sell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in many countries outside the U.S., a product must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Additionally, we could face heightened risks with respect to seeking marketing approval in the United Kingdom as a result of the withdrawal of the United Kingdom from the E.U., commonly referred to as Brexit. The United Kingdom is no longer part of the European Single Market and European Union Customs Union. As of January 1, 2021, the MHRA became responsible for supervising medicines and medical devices in Great Britain, comprising England, Scotland and Wales under domestic law, whereas Northern Ireland will continue to be subject to European Union rules under the Northern Ireland Protocol. The MHRA will rely on the Human Medicines Regulations 2012 (SI 2012/1916) (as amended), or the HMR, as the basis for regulating medicines. The HMR has incorporated into the domestic law of the body of European Union law instruments governing medicinal products that pre-existed prior to the United Kingdom’s withdrawal from the European Union. 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pStyle w:val="TextBody"/>
        <w:bidi w:val="0"/>
        <w:spacing w:before="120" w:after="283"/>
        <w:jc w:val="left"/>
        <w:rPr>
          <w:rFonts w:ascii="Times New Roman" w:hAnsi="Times New Roman"/>
          <w:sz w:val="20"/>
        </w:rPr>
      </w:pPr>
      <w:r>
        <w:rPr>
          <w:rFonts w:ascii="Times New Roman" w:hAnsi="Times New Roman"/>
          <w:b/>
          <w:i/>
          <w:color w:val="000000"/>
          <w:sz w:val="20"/>
        </w:rPr>
        <w:t>A Fast Track designation, grant of Priority Review status or Breakthrough Therapy status by the FDA is not assured and, in any event, may not actually lead to a faster development or regulatory review or approval process and, moreover, would not assure FDA approval of Haduvio or any future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be eligible for Fast Track designation, Priority Review or Breakthrough Therapy status for specific indications for the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We have received Fast Track designation for the program to develop Haduvio for the treatment of itch in patients with prurigo nodularis, however this designation or any future Fast Track designation for a different indication, Priority Review or Breakthrough Therapy status designation, may not result in our experiencing a faster development process, review or approval compared to conventional FDA procedures and there is no assurance that the product candidate will be approved by the FDA.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seek PRIME Designation in the E.U. for Haduvio but we might not receive such designations and, even if we do, such designations may not lead to a faster development or regulatory review or approval process.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E.U., we may seek PRIME designation for Haduvio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obtain marketing approvals for a product, the terms of approvals and ongoing regulation of such product may limit how we manufacture and market the product, which could impair our ability to generate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Once marketing approval has been granted, an approved product and its manufacturer and marketer are subject to ongoing review and extensive regulation. We would therefore be required to comply with requirements concerning advertising and promotion for any product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Accordingly, assuming we receive marketing approval for one or more products, we and our contract manufacturers will continue to expend time, money and effort in a number of areas of regulatory compliance, including manufacturing, production, product surveillance and quality control.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Any regulatory approval to market Haduvio in the U.S. will be limited by indication. If we fail to comply or are found to be in violation of FDA regulations restricting the promotion of Haduvio for unapproved uses, we could be subject to criminal penalties, substantial fines or other sanctions and damage awards.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our clinical trials are successful, we intend to seek approval to market Haduvio for the treatment of chronic cough in IPF or refractory chronic cough or for the treatment of prurigo nodularis. If we obtain regulatory approval to market Haduvio with an indication statement for the treatment of chronic cough in IPF or refractory chronic cough, we expect to be prohibited from marketing Haduvio using any promotional claims relating to treatment of cough generally. If we obtain regulatory approval to market Haduvio with an indication statement for the treatment of prurigo nodularis, we expect to be prohibited from marketing Haduvio using any promotional claims relating to treatment of pruritus generally. Marketing of Haduvio may also be limited by regulatory authorities based on use as a monotherapy or adjuvant, concomitant medications, severity of pruritus and other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While we have conducted, or may in the future conduct, clinical trials to evaluate the use of Haduvio to treat cough conditions other than chronic cough in IPF and pruritic conditions other than prurigo nodularis, Haduvio cannot be promoted for uses other than uses approved in the labeling by the FDA, EMA, MHRA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or the FTC,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hAnsi="Times New Roman"/>
          <w:b w:val="false"/>
          <w:i/>
          <w:color w:val="000000"/>
          <w:sz w:val="20"/>
        </w:rPr>
        <w:t>qui tam</w:t>
      </w:r>
      <w:r>
        <w:rPr>
          <w:rFonts w:ascii="Times New Roman" w:hAnsi="Times New Roman"/>
          <w:color w:val="000000"/>
          <w:sz w:val="20"/>
        </w:rPr>
        <w:t xml:space="preserve">” </w:t>
      </w:r>
      <w:r>
        <w:rPr>
          <w:rFonts w:ascii="Times New Roman" w:hAnsi="Times New Roman"/>
          <w:b w:val="false"/>
          <w:color w:val="000000"/>
          <w:sz w:val="20"/>
        </w:rPr>
        <w:t xml:space="preserve">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hAnsi="Times New Roman"/>
          <w:b w:val="false"/>
          <w:i/>
          <w:color w:val="000000"/>
          <w:sz w:val="20"/>
        </w:rPr>
        <w:t>qui tam</w:t>
      </w:r>
      <w:r>
        <w:rPr>
          <w:rFonts w:ascii="Times New Roman" w:hAnsi="Times New Roman"/>
          <w:color w:val="000000"/>
          <w:sz w:val="20"/>
        </w:rPr>
        <w:t xml:space="preserve"> </w:t>
      </w:r>
      <w:r>
        <w:rPr>
          <w:rFonts w:ascii="Times New Roman" w:hAnsi="Times New Roman"/>
          <w:b w:val="false"/>
          <w:color w:val="000000"/>
          <w:sz w:val="20"/>
        </w:rPr>
        <w:t xml:space="preserve">suit is entitled to a share of any recovery or settlement. </w:t>
      </w:r>
      <w:r>
        <w:rPr>
          <w:rFonts w:ascii="Times New Roman" w:hAnsi="Times New Roman"/>
          <w:b w:val="false"/>
          <w:i/>
          <w:color w:val="000000"/>
          <w:sz w:val="20"/>
        </w:rPr>
        <w:t>Qui tam</w:t>
      </w:r>
      <w:r>
        <w:rPr>
          <w:rFonts w:ascii="Times New Roman" w:hAnsi="Times New Roman"/>
          <w:color w:val="000000"/>
          <w:sz w:val="20"/>
        </w:rPr>
        <w:t xml:space="preserve"> </w:t>
      </w:r>
      <w:r>
        <w:rPr>
          <w:rFonts w:ascii="Times New Roman" w:hAnsi="Times New Roman"/>
          <w:b w:val="false"/>
          <w:color w:val="000000"/>
          <w:sz w:val="20"/>
        </w:rPr>
        <w:t xml:space="preserve">suits, also commonly referred to as “whistleblower suits,” are often brought by current or former employees. In a </w:t>
      </w:r>
      <w:r>
        <w:rPr>
          <w:rFonts w:ascii="Times New Roman" w:hAnsi="Times New Roman"/>
          <w:b w:val="false"/>
          <w:i/>
          <w:color w:val="000000"/>
          <w:sz w:val="20"/>
        </w:rPr>
        <w:t>qui tam</w:t>
      </w:r>
      <w:r>
        <w:rPr>
          <w:rFonts w:ascii="Times New Roman" w:hAnsi="Times New Roman"/>
          <w:color w:val="000000"/>
          <w:sz w:val="20"/>
        </w:rPr>
        <w:t xml:space="preserve"> </w:t>
      </w:r>
      <w:r>
        <w:rPr>
          <w:rFonts w:ascii="Times New Roman" w:hAnsi="Times New Roman"/>
          <w:b w:val="false"/>
          <w:color w:val="000000"/>
          <w:sz w:val="20"/>
        </w:rPr>
        <w:t>suit, the government must decide whether to intervene and prosecute the case. If it declines, the individual may pursue the case alone.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If the FDA or any other governmental agency initiates an enforcement action against us or if we are the subject of a </w:t>
      </w:r>
      <w:r>
        <w:rPr>
          <w:rFonts w:ascii="Times New Roman" w:hAnsi="Times New Roman"/>
          <w:b w:val="false"/>
          <w:i/>
          <w:color w:val="000000"/>
          <w:sz w:val="20"/>
        </w:rPr>
        <w:t>qui tam</w:t>
      </w:r>
      <w:r>
        <w:rPr>
          <w:rFonts w:ascii="Times New Roman" w:hAnsi="Times New Roman"/>
          <w:color w:val="000000"/>
          <w:sz w:val="20"/>
        </w:rPr>
        <w:t xml:space="preserve"> </w:t>
      </w:r>
      <w:r>
        <w:rPr>
          <w:rFonts w:ascii="Times New Roman" w:hAnsi="Times New Roman"/>
          <w:b w:val="false"/>
          <w:color w:val="000000"/>
          <w:sz w:val="20"/>
        </w:rPr>
        <w:t>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restrictions on such product, manufacturers or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restrictions on the labeling or marketing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restrictions on product distribution or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requirements to conduct post-marketing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warning letters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withdrawal of the product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recall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restrictions on coverage by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fines, restitution or disgorgement of profits or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suspension or withdrawal of marketing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refusal to permit the import or export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product seizure;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injunctions or the imposition of civil or criminal penalties.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Similar restrictions apply to the approval of our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Inadequate funding for the FDA, the SEC and other national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in response to the COVID-19 pandemic, a number of companies announced receipt of complete response letters due to the FDA’s inability to complete required inspections for their applications. As of early 2022, the FDA has resumed inspections of domestic and foreign facilities to ensure timely reviews of applications for medical products. However, the FDA may not be able to continue its current pace and review timelines could be extended, including where a pre-approval inspection or an inspection of clinical sites is required. Regulatory authorities outside the U.S. have adopted or may adopt similar restrictions or other policy measures and may experience delays in their regulatory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pStyle w:val="TextBody"/>
        <w:bidi w:val="0"/>
        <w:spacing w:before="120" w:after="283"/>
        <w:jc w:val="left"/>
        <w:rPr>
          <w:rFonts w:ascii="Times New Roman" w:hAnsi="Times New Roman"/>
          <w:sz w:val="20"/>
        </w:rPr>
      </w:pPr>
      <w:r>
        <w:rPr>
          <w:rFonts w:ascii="Times New Roman" w:hAnsi="Times New Roman"/>
          <w:b/>
          <w:i/>
          <w:color w:val="000000"/>
          <w:sz w:val="20"/>
        </w:rPr>
        <w:t>Current and future legislation may increase the difficulty and cost for us to obtain marketing approval of and commercialize Haduvio or any future product candidate and may affect the prices we may obtain.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U.S.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 These Medicare sequester reductions were suspended and reduced through the end of June 2022, with the full 2% cut resuming thereafter.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Indeed, under current legislation, the actual reductions in Medicare payments may vary up to 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U.S. Supreme Court dismissed this action after finding that the plaintiffs do not have standing to challenge the constitutionality of the ACA. Litigation and legislation over the ACA are likely to continue, with unpredictable and uncertain results.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Current and future legislative efforts may limit the prices for our products, if and when they are licensed for marketing and that could materially impact our ability to generate revenues.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Centers for Medicare &amp; Medicaid Services, or CMS, issued a final rule to rescind it. With issuance of this rule, CMS stated that it will explore all options to incorporate value into payments for Medicare Part B pharmaceuticals and improve beneficiaries’ access to evidence-based care.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in October 2020, Health and Human Services, or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Part D, either directly or through pharmacy benefit managers, unless the price reduction is required by law. The final rule would eliminate the current safe harbor for Medicare drug rebates and create new safe harbors for beneficiary point-of-sale discounts and pharmacy benefit manager, or PBM, service fees. It originally was set to go into effect on January 1, 2022, but with passage of the Inflation Reduction Act has been delayed by Congress to January 1, 2032.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July 9, 2021, President Biden signed Executive Order 14063, which focuses on, among other things, the price of pharmaceuticals. To address these costs, the Order directs the Department of Health and Human Services, or HHS, to create a plan within 45 days to combat “excessive pricing of prescription drugs and enhance domestic pharmaceutical supply chains, to reduce the prices paid by the federal government for such drugs, and to address the recurrent problem of price gouging.” Thereafter, on September 9, 2021, HHS released its plan to reduce drug prices. The key features of that plan are to: (a) make drug prices more affordable and equitable for all consumers and throughout the health care system by supporting drug price negotiations with manufacturers; (b) improve and promote competition throughout the prescription drug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More recently, 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HHS to implement many of these provisions through guidance, as opposed to regulation, for the initial years.</w:t>
        <w:br/>
      </w:r>
      <w:r>
        <w:rPr>
          <w:rFonts w:ascii="Times New Roman" w:hAnsi="Times New Roman"/>
          <w:color w:val="000000"/>
          <w:sz w:val="20"/>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number of lawsuits have been filed challenging the IRA. We expect that litigation challenging the IRA will continue, with unpredictable and uncertain results. 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bidi w:val="0"/>
        <w:spacing w:before="120" w:after="283"/>
        <w:jc w:val="left"/>
        <w:rPr>
          <w:rFonts w:ascii="Times New Roman" w:hAnsi="Times New Roman"/>
          <w:sz w:val="20"/>
        </w:rPr>
      </w:pPr>
      <w:r>
        <w:rPr>
          <w:rFonts w:ascii="Times New Roman" w:hAnsi="Times New Roman"/>
          <w:b/>
          <w:i/>
          <w:color w:val="000000"/>
          <w:sz w:val="20"/>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Anti-Kickback Statute</w:t>
      </w:r>
      <w:r>
        <w:rPr>
          <w:rFonts w:ascii="Times New Roman" w:hAnsi="Times New Roman"/>
          <w:b w:val="false"/>
          <w:color w:val="000000"/>
          <w:sz w:val="20"/>
        </w:rPr>
        <w:t>. The federal Anti-Kickback Statute prohibits, among other things, persons and entities from knowingly and willfully 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 xml:space="preserve">False Claims Laws. </w:t>
      </w:r>
      <w:r>
        <w:rPr>
          <w:rFonts w:ascii="Times New Roman" w:hAnsi="Times New Roman"/>
          <w:b w:val="false"/>
          <w:color w:val="000000"/>
          <w:sz w:val="20"/>
        </w:rPr>
        <w:t>The federal false claims and civil monetary penalties laws, including the federal civil False Claims Act, impose criminal and civil penalties, including through civil whistleblower or</w:t>
      </w:r>
      <w:r>
        <w:rPr>
          <w:rFonts w:ascii="Times New Roman" w:hAnsi="Times New Roman"/>
          <w:color w:val="000000"/>
          <w:sz w:val="20"/>
        </w:rPr>
        <w:t xml:space="preserve"> </w:t>
      </w:r>
      <w:r>
        <w:rPr>
          <w:rFonts w:ascii="Times New Roman" w:hAnsi="Times New Roman"/>
          <w:b w:val="false"/>
          <w:i/>
          <w:color w:val="000000"/>
          <w:sz w:val="20"/>
        </w:rPr>
        <w:t>qui tam</w:t>
      </w:r>
      <w:r>
        <w:rPr>
          <w:rFonts w:ascii="Times New Roman" w:hAnsi="Times New Roman"/>
          <w:color w:val="000000"/>
          <w:sz w:val="20"/>
        </w:rPr>
        <w:t xml:space="preserve"> </w:t>
      </w:r>
      <w:r>
        <w:rPr>
          <w:rFonts w:ascii="Times New Roman" w:hAnsi="Times New Roman"/>
          <w:b w:val="false"/>
          <w:color w:val="000000"/>
          <w:sz w:val="20"/>
        </w:rPr>
        <w:t>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 xml:space="preserve">HIPAA. </w:t>
      </w:r>
      <w:r>
        <w:rPr>
          <w:rFonts w:ascii="Times New Roman" w:hAnsi="Times New Roman"/>
          <w:b w:val="false"/>
          <w:color w:val="000000"/>
          <w:sz w:val="20"/>
        </w:rPr>
        <w:t>The federal Health Insurance Portability and Accountability Act of 1996, or HIPAA, imposes criminal and civil liability for, among other things, executing a scheme or making materially false statements in connection with the delivery of or payment for health care benefits, items or services. Additionally, HIPAA, as amended by the Health Information Technology for Economic and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 xml:space="preserve">Transparency Requirements. </w:t>
      </w:r>
      <w:r>
        <w:rPr>
          <w:rFonts w:ascii="Times New Roman" w:hAnsi="Times New Roman"/>
          <w:b w:val="false"/>
          <w:color w:val="000000"/>
          <w:sz w:val="20"/>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and their immediate family members.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 xml:space="preserve">Analogous State and Foreign Laws. </w:t>
      </w:r>
      <w:r>
        <w:rPr>
          <w:rFonts w:ascii="Times New Roman" w:hAnsi="Times New Roman"/>
          <w:b w:val="false"/>
          <w:color w:val="000000"/>
          <w:sz w:val="20"/>
        </w:rPr>
        <w:t>Analogous state and foreign fraud and abuse laws and regulations, such as state anti-kickback and false claims 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Infringement of these laws could result in substantial fines and imprisonment.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Times New Roman" w:hAnsi="Times New Roman"/>
          <w:b w:val="false"/>
          <w:color w:val="000000"/>
          <w:sz w:val="20"/>
        </w:rPr>
        <w: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collection, use, disclosure, transfer or other processing of personal data, including personal health data, of individuals in the E.U.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 including the U.S.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Additionally, in October 2022, President Biden signed an executive order to implement the E.U.-U.S. Data Privacy Framework, which would serve as a replacement to the E.U.-U.S. Privacy Shield. The European Union initiated the process to adopt an adequacy decision for the E.U.-U.S. Data Privacy Framework in December 2022 and the European Commission adopted the adequacy decision on July 10, 2023. The adequacy decision will permit U.S. companies who self-certify to the E.U.-U.S. Data Privacy Framework to rely on it as a valid data transfer mechanism for data transfers from the E.U. to the U.S.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any future business we may have at the international level.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Similar actions are either in place or under way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FTC and state Attorneys General all are aggressive in reviewing privacy and data security protections for consumers. New laws also are being considered at both the state and federal levels. For example, the FTC has been particularly focused on the unpermitted processing of health and genetic data through its recent enforcement actions and is expanding the types of privacy violations that it interprets to be “unfair” under Section 5 of the Federal Trade Commission Act, as well as the types of activities it views to trigger the Health Breach Notification Rule (which the FTC also has the authority to enforce). The agency is also in the process of developing rules related to commercial surveillance and data security that may impact our business.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New laws also are being considered at the state level. For example, the California Consumer Privacy Act, or the CCPA, which went into effect on January 1, 2020, created similar risks and obligations as those created by GDPR, though the CCPA does exempt certain information collected as part of a clinical trial subject to the Federal Policy for the Protection of Human Subjects (the Common Rule). Additionally, as of January 1, 2023, the California Privacy Rights Act, or the CPRA, significantly modified the CCPA, including by expanding consumers’ rights with respect to certain sensitive personal information. The CPRA also creates a new state agency that will be vested with authority to implement and enforce the CCPA and the CPRA. In addition to California,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Accordingly, any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Laws and regulations governing any international operations we may have in the future may preclude us from developing, manufacturing and selling certain products outside of the U.S. and require us to develop and implement costly compliance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we further expand our operations outside the U.S.,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us to maintain books and records that accurately and fairly reflect all transactions of the company, including international subsidiaries and to devise and maintain an adequate system of internal accounting controls for international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such as the U.K. Bribery Act 2010. Infringement of</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and operations would suffer in the event of system failures.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computer systems, as well as those of our CROs and other third-party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business and development programs.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and the development of Haduvio or any future product candidate could be significantly delayed.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FDA, EMA, MHRA or other comparable foreign regulatory authorities approve generic versions of any of our small molecule investigational products that receive marketing approval, or such authorities do not grant our products appropriate periods of exclusivity before approving generic versions of those products, the sales of our products, if approved, could be adversely affected.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ANDAs in the United States. In support of an ANDA, a generic manufacturer need not conduct clinical trials to assess safety and efficacy. Rather, the sponsor generally must show that its product has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where such exclusivity has been granted, an ANDA may not be submitted to the FDA until the expiration of five years unless the submission is accompanied by a Paragraph IV certification that a patent covering the reference listed drug is either invalid or will not be infringed by the generic product, in which case the sponsor may submit its application four years following approval of the reference listed drug.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Generic drug manufacturers may seek to launch generic products following the expiration of any applicable exclusivity period we obtain if our products are approved, even if we still have patent protection for such products. Competition that our products could face from generic versions of our products could materially and adversely affect our future revenue, profitability, and cash flows and substantially limit our ability to obtain a return on the investments we have made in those product candidates.</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Employee Matters and Managing our Growth</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future success depends on our ability to retain our executive team and to attract, retain and motivate qualified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highly dependent on Jennifer Good, our President and Chief Executive Officer; Thomas Sciascia, M.D., our Chief Scientific Officer; and David Clark, M.D., MRCP, our Chief Medical Officer; as well as the other principal members of our management and scientific teams. Although we have formal employment agreements with Ms. Good and Dr. Sciascia, these agreements do not prevent them from terminating their employment with us at any time. Except as otherwise required by law, all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expand our organization, we may encounter difficulties in managing our growth, which could disrupt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we had 25 employees. We may experience significant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Any significant growth could also require significant capital expenditures and may divert financial resources from other projects, such as the development of Haduvio for additional indications or the development of additional product candidates. If we are unable to effectively manage our growth, our expenses may increase more than expected, our ability to generate revenues could be reduced and we may be unable to implement our business strategy, including the successful commercialization of any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employees, independent contractors and consultants may engage in misconduct or other improper activities, including non-compliance with regulatory standards and requirements, which could cause significant liability for us and harm our reputation.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exposed to the risk that our employees, independent contractors and consultants may engage in fraud or other misconduct, including intentional failures to comply with FDA regulations or similar regulations of comparable non-U.S. regulatory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 active trading market for our common stock may not be sustainable.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shares of common stock began trading on the Nasdaq Global Market, or Nasdaq,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the continued listing requirements of Nasdaq, our common stock may be delisted and the price of our common stock and our ability to access the capital markets could be negatively impacted.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common stock is currently listed for trading on Nasdaq. We must satisfy Nasdaq’s continued listing requirements, including, among other things, a minimum closing bid price of $1.00 per share, or risk delisting, which would have a material adverse effect on our business.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January 10, 2022, we received a deficiency letter from the Listing Qualifications Department, or the Staff, of Nasdaq notifying us that, for the prior 30 consecutive business days, the bid price for our common stock had closed below the $1.00 per share minimum bid price requirement for continued inclusion on Nasdaq pursuant to Nasdaq Listing Rule 5450(a)(1), or the Bid Price Requirement.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accordance with Nasdaq Listing Rule 5810(c)(3)(A), or the Compliance Period Rule, we were provided a period of 180 calendar days, or until July 11, 2022, or the Compliance Date, to regain compliance with the Bid Price Requirement. If, at any time before the Compliance Date, the bid price for our common stock closed at $1.00 or more for a minimum of 10 consecutive business days as required under the Compliance Period Rule, the Staff would provide written notification to us that we had regained compliance with the Bid Price Requirement, unless the Staff chose to exercise its discretion to extend this ten-day period pursuant to Nasdaq Listing Rule 5810(c)(3)(H).</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March 16, 2022, we received a letter from the Staff indicating that we had regained compliance with the Bid Price Requirement as of such date.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Although we were able to regain compliance with the Bid Price Requirement within the manner and time period prescribed by Nasdaq, there can be no assurance that we will be able to maintain compliance with the Bid Price Requirement or other Nasdaq continued listing requirements in the future or that we will be able to regain compliance with respect to any future deficiencies. If we fail to satisfy the Nasdaq Global Market’s continued listing requirements, we may submit an application to transfer to the Nasdaq Capital Market, which generally has lower financial requirements for initial listing, in an effort to avoid delisting. However, we may not be able to satisfy the initial listing requirements for the Nasdaq Capital Market and may therefore not be able to transfer our listing to the Nasdaq Capital Market. A transfer of our listing to the Nasdaq Capital Market could adversely affect the liquidity of our common stock. Any such event could make it more difficult to dispose of, or obtain accurate quotations for the price of, our common stock, and there also would likely be a reduction in our coverage by securities analysts and the news media, which could cause the price of our common stock to decline further. We may also face other material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The trading price of our common stock is highly volatile, which could result in substantial losses for purchasers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and results of clinical trials of Haduvio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success of existing or new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regulatory actions with respect to Haduvio or any future product candidates or competitors’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announcements by us or our competitors of significant acquisitions, strategic partnerships, joint ventures, collaborations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commencement or termination of collaborations for our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failure or discontinuation of any of our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results of clinical trials of product candidates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regulatory or legal developments in the U.S.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developments or disputes concerning patent applications, issued patents or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expenses related to any of our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results of our efforts to discover, develop, acquire or in-license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actual or anticipated changes in estimated financial results or development timelines;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announcements or expectations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sales of our common stock by us, our insiders or other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expiration of market stand-off or lock-up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recommendations and changes in estimates or recommendations by securities analysts, if any, that cover our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the structure of healthcare payment systems in the U.S.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general economic, industry and market conditions, including recent adverse changes in the domestic and international financial markets and the impacts of inflation and government action in response thereto;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maintain our listing on the Nasdaq Global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continue as a going concern;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factors and considerations described in this “Risk Factors” section.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inflation, interest rate increases and other factors have negatively affected the stock market and investor sentiment. The price and volatility of our common stock may be disproportionately affected as investors may favor traditional profit-making industries and companies during such times of market uncertainty and instability.</w:t>
      </w:r>
    </w:p>
    <w:p>
      <w:pPr>
        <w:pStyle w:val="TextBody"/>
        <w:bidi w:val="0"/>
        <w:spacing w:before="120" w:after="283"/>
        <w:jc w:val="left"/>
        <w:rPr>
          <w:rFonts w:ascii="Times New Roman" w:hAnsi="Times New Roman"/>
          <w:sz w:val="20"/>
        </w:rPr>
      </w:pPr>
      <w:r>
        <w:rPr>
          <w:rFonts w:ascii="Times New Roman" w:hAnsi="Times New Roman"/>
          <w:b/>
          <w:i/>
          <w:color w:val="000000"/>
          <w:sz w:val="20"/>
        </w:rPr>
        <w:t>We could be subject to securities class action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our business, the trading price and volume of our shares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trading market for our common stock will likely depend in part on the research and reports that securities or industry analysts publish about us and our business. We do not have any control over these analysts. There can be no assurance that analysts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will cover us or provide favorable coverage. If one or more analysts downgrade our stock or change their opinion of our stock, the trading price of our shares would likely decline. In addition, if one or more analysts cease coverage of us or fail to regularly publish reports on us, we could lose visibility in the financial markets, which could cause the trading price and volume of our shares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sales of shares of our common stock, including by us, employees and significant stockholders, could negatively affect our stock price.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June 2023, we filed with the SEC a universal shelf registration statement on Form S-3, or the Shelf Registration Statement, which allows us to offer and sell up to $200.0 million of common stock, preferred stock, debt securities, units and/or warrants from time to time pursuant to one or more offerings at prices and terms to be determined at the time of sale. The Shelf Registration Statement was filed to replace our prior universal shelf registration statement on Form S-3, or the Prior Shelf Registration Statement. The Shelf Registration Statement was declared effective on August 15, 2023. In June 2023, we entered into a new sales agreement, or the New ATM Sales Agreement, with Leerink Partners and filed a prospectus under our Shelf Registration Statement for the offer and sale of shares of our common stock having an aggregate offering price of up to $75.0 million pursuant to the New ATM Sales Agreement. In accordance with the terms of the New ATM Sales Agreement, the ATM Sales Agreement terminated upon effectiveness of the Shelf Registration Statement, at which point we were no longer able to issue and sell shares of our common stock under the ATM Sales Agreement. From time to time, we may offer and sell under the New ATM Sales Agreement common stock registered under the Shelf Registration Statement pursuant to one or more “at-the-market” offerings. The extent to which we utilize the New ATM Sales Agreement as a source of funding will depend on a number of factors, including the prevailing market price of our common stock, general market conditions and the extent to which we are able to secure funds from other sources.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October 5, 2021, we issued to a single investor in a private placement, or the Initial Private Placement Investor, (i) 2,373,201 shares of our common stock and accompanying warrants to purchase an aggregate of 4,746,402 shares of our common stock, and (ii) pre-funded warrants to purchase up to an aggregate of 4,926,069 shares of our common stock and accompanying warrants to purchase an aggregate of 9,852,138 shares of our common stock. Under the terms of the pre-funded warrants and the accompanying common stock warrants, we may not effect the exercise of any such warrant, and the Initial Private Placement Investor will not be entitled to exercise any portion of any such warrant, if, upon giving effect to such exercise, the aggregate number of shares of common stock beneficially owned by the Initial Private Placement Investor, together with its affiliates, would exceed 4.99%, for the accompanying common stock warrants, or 9.99%, for the pre-funded warrants, of the number of shares of common stock outstanding immediately after giving effect to the exercise, as such percentage ownership is determined in accordance with the terms of such warrant, which percentage may be increased or decreased at the Initial Private Placement Investor’s election upon 61 days’ notice to us, subject to the terms of such warrants, provided that such percentage may in no event exceed 9.99%. We refer to such percentage limitations as the Initial Private Placement Beneficial Ownership Limitations. We filed a registration statement on Form S-3, or the Initial Private Placement Form S-3, covering the resale of up to 21,897,810 shares of common stock, comprised of the 2,373,201 shares of common stock issued outright and the 19,524,609 shares of common stock issuable upon exercise of the warrants, which was declared effective in October 2021. While the Initial Private Placement Form S-3 covers the resale of the number of shares of common stock issued or issuable to the Initial Private Placement Investor without giving effect to the Initial Private Placement Beneficial Ownership Limitations, the Initial Private Placement Investor may not exercise, and subsequently resell the underlying shares of common stock of, any portion of the warrants to the extent such exercise would result in the Initial Private Placement Investor exceeding the applicable Initial Private Placement Beneficial Ownership Limitation. The Initial Private Placement Investor may resell all, some or none of the shares of common stock registered pursuant to the Initial Private Placement Form S-3 at any time or in its discretion, subject to the Initial Private Placement Beneficial Ownership Limitations. As of November 9, 2023, warrants issued to the Initial Private Placement Investor to purchase 6,000,000 shares of common stock remained outstanding.</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Similarly, on October 18, 2021, we issued to New Enterprise Associates 16, L.P., or NEA, in a private placement, 1,851,852 shares of our common stock and accompanying warrants to purchase an aggregate of 3,703,704 shares of our common stock. We filed a registration statement on Form S-3, or the Second Private Placement Form S-3, covering the resale of 5,555,556 shares of common stock, comprised of the 1,851,852 shares of common stock and the 3,703,704 shares of common stock issuable upon exercise of the warrants, which was declared effective in November 2021. NEA will be able to resell all, some or none of the shares of common stock</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registered pursuant to the Second Private Placement Form S-3 at any time or in its discretion. As of November 9, 2023, all of the warrants issued to NEA remained outstanding.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Similarly, on April 11, 2022, we issued to several purchasers in a private placement, (i) an aggregate of 4,580,526 shares of our common stock and (ii) pre-funded warrants to purchase an aggregate of 24,379,673 shares of our common stock.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2022 Private Placement Beneficial Ownership Limitations. We filed a registration statement on Form S-3, or the Third Private Placement Form S-3, covering the resale of 28,960,199 shares of common stock, comprised of the 4,580,526 shares of common stock and the 24,379,673 shares of common stock issuable upon exercise of the warrants, which was declared effective in May 2022. While the Third Private Placement Form S-3 covers the resale of the number of shares of common stock issued or issuable to the purchasers without giving effect to the 2022 Private Placement Beneficial Ownership Limitations, a purchaser may not exercise, and subsequently resell the underlying shares of common stock of, any portion of the warrants to the extent such exercise would result in such purchaser exceeding the applicable 2022 Private Placement Beneficial Ownership Limitation. The purchasers will be able to resell all, some or none of the shares of common stock registered pursuant to the Third Private Placement Form S-3 at any time or in their discretion, subject to the 2022 Private Placement Beneficial Ownership Limitations. As of November 9, 2023, pre-funded warrants that we issued and sold in the April 2022 Private Placement to purchase 21,379,673 shares of common stock remained outstanding.</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Finally, on September 27, 2022, we issued in the September 2022 Offering an aggregate of 14,252,670 shares of our common stock, and, in lieu of common stock to certain investors, pre-funded warrants to purchase 14,247,330 shares of common stock.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w:t>
      </w:r>
      <w:r>
        <w:rPr>
          <w:rFonts w:ascii="Times New Roman" w:hAnsi="Times New Roman"/>
          <w:color w:val="000000"/>
          <w:sz w:val="20"/>
        </w:rPr>
        <w:t>’</w:t>
      </w:r>
      <w:r>
        <w:rPr>
          <w:rFonts w:ascii="Times New Roman" w:hAnsi="Times New Roman"/>
          <w:b w:val="false"/>
          <w:color w:val="000000"/>
          <w:sz w:val="20"/>
        </w:rPr>
        <w:t>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September 2022 Offering Beneficial Ownership Limitations. The shares of common stock and the pre-funded warrants were issued pursuant to a prospectus supplement dated September 22, 2022 to the Prior Shelf Registration Statement. A purchaser may not exercise, and subsequently resell the underlying shares of common stock of, any portion of the pre-funded warrants to the extent such exercise would result in such purchaser exceeding the applicable September 2022 Offering Beneficial Ownership Limitation. The purchasers will be able to resell all, some or none of the shares of common stock registered pursuant to the Prior Shelf Registration Statement at any time or in their discretion, subject to the September 2022 Offering Beneficial Ownership Limitations. As of November 9, 2023, all of the pre-funded warrants issued to purchasers in the September 2022 Offering remained outstanding.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Sales of substantial amounts of shares of our common stock or other securities by our stockholders, by us under the Shelf Registration Statement, whether pursuant to the New ATM Sales Agreement or otherwise, by the private placement investors pursuant to the Initial Private Placement Form S-3, the Second Private Placement Form S-3 or the Third Private Placement Form S-3 or through any other means could also lower the market price of our common stock, make it more difficult for you to sell your shares at a price that you desire and impair our ability to raise capital through the sale of equity or equity-related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offerings. In addition, in connection with any merger, consolidation or sale of all or substantially all of our assets, holders of our outstanding warrants would be entitled to receive consideration in excess of their reported beneficial ownership of our common stock and this could adversely impact the consideration our other stockholders would receive.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part of our October 2021 Private Placements, we issued to the Initial Private Placement Investor warrants to purchase an aggregate of 14,598,540 shares of our common stock at an exercise price of $1.37 per share, and pre-funded warrants to purchase up to an aggregate of 4,926,069 shares of our common stock at an exercise price of $0.001 per share, which as of February 10, 2022, had been exercised in full. Of the common stock warrants issued to the Initial Private Placement Investor at an exercise price of $1.37 per share, warrants to purchase an aggregate of 7,299,270 shares will expire on April 5, 2025 and warrants to purchase an aggregate of 7,299,270 shares will expire on October 5, 2028. In addition, we issued to NEA warrants to purchase an aggregate of 3,703,704 shares of our common stock at an exercise price of $1.37 per share. Of the common stock warrants issued to NEA, warrants to purchase an aggregate of 1,851,852 shares of our common stock will expire on April 18, 2025 and warrants to purchase an aggregate of 1,851,852 shares of our common stock will expire on October 18, 2028. We issued pre-funded warrants to purchase up to an aggregate of</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24,379,673 shares of our common stock to the purchasers in the April 2022 Private Placement. Finally, we issued pre-funded warrants to purchase up to an aggregate of 14,247,330 shares of our common stock at an exercise price of $0.001 per share to certain purchasers in the September 2022 Offering.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discussed above, the common stock warrants issued to the Initial Private Placement Investor are subject to the Initial Investor Beneficial Ownership Limitations, the pre-funded warrants issued to the purchasers in the April 2022 Private Placement are subject to the 2022 Private Placement Beneficial Ownership Limitations and the pre-funded warrants issued to certain purchasers in the September 2022 Offering are subject to the September 2022 Offering Beneficial Ownership Limitations. Although the Initial Private Placement Investor’s warrants are subject to the Initial Investor Beneficial Ownership Limitations, the pre-funded warrants issued to the purchasers in the April 2022 Private Placement are subject to the 2022 Private Placement Beneficial Ownership Limitations and the pre-funded warrants issued to the purchasers in the September 2022 Offering are subject to the September 2022 Offering Beneficial Ownership Limitations, upon exercise in full of the warrants, the shares issuable upon exercise would represent a significant portion of our outstanding common stock. As a result, the Initial Private Placement Investor, NEA and the other purchasers in the April 2022 Private Placement and the September 2022 Offering may be able to exert substantial influence over our business. The concentration of voting power resulting from the exercise of the warrants could delay, defer or prevent a change of control, entrench our management and our board of directors or delay or prevent a merger, consolidation, takeover or other business combination involving us on terms that other stockholders may desire. In addition, conflicts of interest could arise in the future between us, on the one hand, and the Initial Private Placement Investor, NEA, the purchasers in the April 2022 Private Placement and/or the purchasers in the September 2022 Offering on the other hand, concerning potential competitive business activities, business opportunities, the issuance of additional securities and other matters. In addition, sales of these shares could cause the market price of our common stock to decline significantly.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Furthermore, in the event of a sale of our company, whether by merger, sale of all or substantially all of our assets or otherwise, the holders of warrants would be entitled to receive, with respect to each share of common stock issuable upon exercise of the warrants then held by them and, and in the case of the Initial Private Placement Investor, without regard to the Beneficial Ownership Limitations, the same amount and kind of securities, cash or property as they would have been entitled to receive if such securities had been converted into or exercised for shares of our common stock immediately prior to such sale of our company. Although the Initial Private Placement Investor’s beneficial ownership of our common stock is reported as 9.99% as a result of the application of the Beneficial Ownership Limitations, in the event of a sale of our company, the Initial Private Placement Investor would receive sale consideration without regard to the Beneficial Ownership Limitations. In such a sale, the Initial Private Placement Investor would be entitled to receive a significantly larger portion of the total proceeds distributable to the holders of our securities than is represented by its reported beneficial ownership of our common stock. In addition, pursuant to the terms of the common stock warrants issued to both the Initial Private Placement Investor and NEA in our October 2021 Private Placements, in specified circumstances upon a fundamental transaction by us, such warrant holders may have the right to require us to repurchase their common stock warrants at their fair value using a Black Scholes option pricing formula. As a result, in the event of a sale of our company, the Initial Private Placement Investor and NEA may be entitled to receive a significantly larger portion of the total proceeds distributable to our stockholders than they would if they exercised the warrants immediately prior to the transaction, and our stockholders could receive significantly less than they otherwise would in such a transaction.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Given the amount and terms of these warrants, we may find it more difficult to raise additional equity capital on favorable terms or at all while these warrants are outstanding.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Ownership of our common stock is concentrated among our executive officers and directors and their affiliates, who have significant influence over our business, which may prevent new investors from influencing significant corporate decisions.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executive officers and directors and their respective affiliates, beneficially own, in the aggregate, shares representing approximately 35.8% of our common stock as of November 9, 2023. As a result, our executive officers and directors and their affiliates acting together may be able to significantly influence all matters submitted to our stockholders for approval, as well as our management and affairs. This concentration of ownership control may:</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 defer or prevent a change in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entrench our management or the board of directors;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impede a merger, consolidation, takeover, sale, other business combination or other significant corporate transaction involving us that other stockholders may desire.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Some of these persons or entities may have interests different than yours. For example, certain of these stockholders may have purchased their shares at prices substantially below the prices you paid for your shares or may have held their shares for a longer period, and they may be more interested in selling our company to an acquirer or they may want us to pursue strategies that deviate from your interests.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anticipate paying any cash dividends on our capital stock in the foreseeable future. Accordingly, stockholders must rely on appreciation in the price of our common stock, if any, for any return on their investment.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never declared or paid cash dividends on our capital stock and we do not intend to do so in the foreseeable future. We currently plan to retain all of our future earnings, if any, to finance the operation, development and growth of our product pipeline and business. As a result, future appreciation, if any, in the market value of our common stock will be your sole source of gain for the foreseeable future. There is no guarantee that our common stock will appreciate or even maintain the price at which our holders have purchased it.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an “emerging growth company” and a “smaller reporting company” and the reduced disclosure requirements applicable to us may make our common stock less attractive to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an “emerging growth company,” as defined in the Jumpstart Our Business Startups Act of 2012, or the JOBS Act, and may remain an emerging growth company for up to five years, or until December 31, 2024.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incur increased costs as a result of operating as a public company and our management is required to devote substantial time to compliance initiatives and corporate governance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a public company and particularly after we are no longer an “emerging growth company” or a “smaller reporting company,” we incur and will continue to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in and intend to continue to invest in, resources to comply with evolving laws, rules and regulations and this investment may result in increased general and administrative expenses and a diversion of management’s time and attention from revenue generating activities to compliance activities. If, notwithstanding our efforts to comply with new laws, rules and regulations, we fail to comply, regulatory authorities may initiate legal proceedings against us and our business may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maintain proper and effective internal controls, our ability to produce accurate financial statements on a timely basis could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are required to furnish annual reports by our management on our internal control over financial reporting.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Section 404 in a timely manner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might not be able to utilize a significant portion of our net operating loss carryforwards and research and development tax credit carryforwards.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December 31, 2022, we had federal and state net operating loss carryforwards of $178.4 million and federal research and development tax credit carryforwards of $5.4 million, which if not utilized generally will begin to expire in 2031 and 2032, respectively. These net operating loss and tax credit carryforwards could expire unused and be unavailable to offset future income tax liabilities. In general, under Section 382 of the Internal Revenue Code of 1986, as amended, or the IRC,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losses and research and development tax credit carryforwards to offset future taxable income. We completed a Section 382 analysis, and due to multiple historical ownership changes, all of our net operating loss carryforwards as of December 31, 2022, and research and development tax credits are subject to limitation. If a further ownership change occurs, our ability to use our tax attributes might be further limited. In addition to potential Section 382 limitations, there are other factors that might limit the availability of our tax attributes. For example, we have not conducted a detailed research and development tax credit analysis to document whether our historical business activities qualify to support our research and development credit carryforwards. A detailed study could result in adjustment to our research and development credit carryforwards.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is also a risk that due to regulatory changes, such as suspensions on the use of net operating losses or other unforeseen reasons, our existing net operating losses could expire or otherwise become unavailable to offset future income tax liabilities. As described below in “Changes in tax laws or in their implementation or interpretation may adversely affect our business and financial condition,” the Tax Cuts and Jobs Act, or the Tax Act, as amended by the Coronavirus Aid, Relief and Economic Security Act, or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tax laws or in their implementation or interpretation may adversely affect our business and financial condition.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Recent changes in tax law may adversely affect our business or financial condition. On December 22, 2017, the U.S. government enacted the Tax Act, which significantly reformed the IRC. The Tax Act,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 taxable income and elimination of net operating loss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part of Congress’s response to the COVID-19 pandemic, the Families First Coronavirus Response Act, or FFCR Act, was enacted on March 18, 2020 and the CARES Act was enacted on March 27, 2020. Both contain numerous tax provisions. In particular, the CARES Act retroactively and temporarily (for taxable years beginning before January 1, 2021) suspends application of the 80%-of-income limitation on the use of net operating losses, which was enacted as part of the Tax Act.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Regulatory guidance under the Tax Act, the FFCR Act and the CARES Act is and continues to be forthcoming and such guidance could ultimately increase or lessen impact of these laws on our business and financial condition. In addition, it is uncertain if and to what extent various states will conform to the Tax Act, the FFCR Act or the CARES Act.</w:t>
      </w:r>
    </w:p>
    <w:p>
      <w:pPr>
        <w:pStyle w:val="TextBody"/>
        <w:bidi w:val="0"/>
        <w:spacing w:before="120" w:after="283"/>
        <w:jc w:val="left"/>
        <w:rPr>
          <w:rFonts w:ascii="Times New Roman" w:hAnsi="Times New Roman"/>
          <w:sz w:val="20"/>
        </w:rPr>
      </w:pPr>
      <w:r>
        <w:rPr>
          <w:rFonts w:ascii="Times New Roman" w:hAnsi="Times New Roman"/>
          <w:b/>
          <w:i/>
          <w:color w:val="000000"/>
          <w:sz w:val="20"/>
        </w:rPr>
        <w:t>Provisions in our organizational documents and under Delaware law may prevent or frustrate attempts by our stockholders to change our management or hinder efforts to acquire a controlling interest in 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stockholders to replace or remove our current management by making it more difficult for stockholders to replace members of our board of directors. Among other things, these provisions: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establish a classified board of directors such that all members of the board are not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allow the authorized number of our directors to be changed only by resolution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limit the manner in which stockholders can remove directors from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establish advance notice requirements for nominations for election to the board of directors or for proposing matters that can be acted 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require that stockholder actions must be effected at a duly called stockholder meeting and prohibit actions by our stockholders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limit who may call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require the approval of the holders of at least 75% of the votes that all our stockholders would be entitled to cast to amend or repeal certain provisions of our certificate of incorporation or bylaws.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certificate of incorporation provides that the Court of Chancery of the State of Delaware will be the exclusive forum for substantially all disputes between us and our stockholders and that the federal district courts of the U.S.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 (4) 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U.S.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U.S. federal courts or any other claim for which U.S. federal courts have exclusive jurisdiction.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pStyle w:val="TextBody"/>
        <w:bidi w:val="0"/>
        <w:jc w:val="left"/>
        <w:rPr>
          <w:rFonts w:ascii="Times New Roman" w:hAnsi="Times New Roman"/>
          <w:b/>
          <w:color w:val="000000"/>
          <w:sz w:val="20"/>
        </w:rPr>
      </w:pPr>
      <w:bookmarkStart w:id="15" w:name="item_6_exhibits"/>
      <w:bookmarkEnd w:id="15"/>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w:anchor="trvi-ex31_1.htm">
              <w:r>
                <w:rPr>
                  <w:rStyle w:val="InternetLink"/>
                  <w:rFonts w:ascii="Times New Roman" w:hAnsi="Times New Roman"/>
                  <w:b w:val="false"/>
                  <w:color w:val="0000FF"/>
                  <w:sz w:val="20"/>
                  <w:u w:val="single"/>
                </w:rPr>
                <w:t>Certification of Principal Executive Officer Pursuant to Rules 13a-14(a) or 15d-14(a) under the Securities Exchange Act of 1934, as Adopted Pursuant to Section 302 of the Sarbanes-Oxley Act of 2002</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7"/>
        <w:gridCol w:w="146"/>
        <w:gridCol w:w="9302"/>
      </w:tblGrid>
      <w:tr>
        <w:trPr/>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2" w:type="dxa"/>
            <w:tcBorders/>
            <w:vAlign w:val="center"/>
          </w:tcPr>
          <w:p>
            <w:pPr>
              <w:pStyle w:val="TableContents"/>
              <w:bidi w:val="0"/>
              <w:spacing w:before="0" w:after="283"/>
              <w:jc w:val="left"/>
              <w:rPr>
                <w:sz w:val="4"/>
                <w:szCs w:val="4"/>
              </w:rPr>
            </w:pPr>
            <w:r>
              <w:rPr>
                <w:sz w:val="4"/>
                <w:szCs w:val="4"/>
              </w:rPr>
            </w:r>
          </w:p>
        </w:tc>
      </w:tr>
      <w:tr>
        <w:trPr/>
        <w:tc>
          <w:tcPr>
            <w:tcW w:w="7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146" w:type="dxa"/>
            <w:tcBorders/>
            <w:shd w:fill="FFFFFF" w:val="clear"/>
            <w:vAlign w:val="center"/>
          </w:tcPr>
          <w:p>
            <w:pPr>
              <w:pStyle w:val="TableContents"/>
              <w:bidi w:val="0"/>
              <w:spacing w:before="0" w:after="283"/>
              <w:jc w:val="left"/>
              <w:rPr/>
            </w:pPr>
            <w:r>
              <w:rPr/>
              <w:t> </w:t>
            </w:r>
          </w:p>
        </w:tc>
        <w:tc>
          <w:tcPr>
            <w:tcW w:w="9302" w:type="dxa"/>
            <w:tcBorders/>
            <w:shd w:fill="FFFFFF" w:val="clear"/>
            <w:vAlign w:val="center"/>
          </w:tcPr>
          <w:p>
            <w:pPr>
              <w:pStyle w:val="TableContents"/>
              <w:bidi w:val="0"/>
              <w:spacing w:before="0" w:after="283"/>
              <w:jc w:val="left"/>
              <w:rPr/>
            </w:pPr>
            <w:hyperlink w:anchor="trvi-ex31_2.htm">
              <w:r>
                <w:rPr>
                  <w:rStyle w:val="InternetLink"/>
                  <w:rFonts w:ascii="Times New Roman" w:hAnsi="Times New Roman"/>
                  <w:b w:val="false"/>
                  <w:color w:val="0000FF"/>
                  <w:sz w:val="20"/>
                  <w:u w:val="single"/>
                </w:rPr>
                <w:t>Certification of Principal Financial Officer Pursuant to Rules 13a-14(a) or 15d-14(a) under the Securities Exchange Act of 1934, as Adopted Pursuant to Section 302 of the Sarbanes-Oxley Act of 2002</w:t>
              </w:r>
            </w:hyperlink>
          </w:p>
        </w:tc>
      </w:tr>
      <w:tr>
        <w:trPr/>
        <w:tc>
          <w:tcPr>
            <w:tcW w:w="7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02" w:type="dxa"/>
            <w:tcBorders/>
            <w:shd w:fill="FFFFFF" w:val="clear"/>
            <w:vAlign w:val="center"/>
          </w:tcPr>
          <w:p>
            <w:pPr>
              <w:pStyle w:val="TableContents"/>
              <w:bidi w:val="0"/>
              <w:spacing w:before="0" w:after="283"/>
              <w:jc w:val="left"/>
              <w:rPr/>
            </w:pPr>
            <w:r>
              <w:rPr/>
              <w:t> </w:t>
            </w:r>
          </w:p>
        </w:tc>
      </w:tr>
      <w:tr>
        <w:trPr/>
        <w:tc>
          <w:tcPr>
            <w:tcW w:w="7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32.1*</w:t>
            </w:r>
          </w:p>
        </w:tc>
        <w:tc>
          <w:tcPr>
            <w:tcW w:w="146" w:type="dxa"/>
            <w:tcBorders/>
            <w:shd w:fill="FFFFFF" w:val="clear"/>
            <w:vAlign w:val="center"/>
          </w:tcPr>
          <w:p>
            <w:pPr>
              <w:pStyle w:val="TableContents"/>
              <w:bidi w:val="0"/>
              <w:spacing w:before="0" w:after="283"/>
              <w:jc w:val="left"/>
              <w:rPr/>
            </w:pPr>
            <w:r>
              <w:rPr/>
              <w:t> </w:t>
            </w:r>
          </w:p>
        </w:tc>
        <w:tc>
          <w:tcPr>
            <w:tcW w:w="9302" w:type="dxa"/>
            <w:tcBorders/>
            <w:shd w:fill="FFFFFF" w:val="clear"/>
            <w:vAlign w:val="center"/>
          </w:tcPr>
          <w:p>
            <w:pPr>
              <w:pStyle w:val="TableContents"/>
              <w:bidi w:val="0"/>
              <w:spacing w:before="0" w:after="283"/>
              <w:jc w:val="left"/>
              <w:rPr/>
            </w:pPr>
            <w:hyperlink w:anchor="trvi-ex32_1.htm">
              <w:r>
                <w:rPr>
                  <w:rStyle w:val="InternetLink"/>
                  <w:rFonts w:ascii="Times New Roman" w:hAnsi="Times New Roman"/>
                  <w:b w:val="false"/>
                  <w:color w:val="0000FF"/>
                  <w:sz w:val="20"/>
                  <w:u w:val="single"/>
                </w:rPr>
                <w:t>Certification of Principal Executive Officer Pursuant to 18 U.S.C. Section 1350, as Adopted Pursuant to Section 906 of the Sarbanes-Oxley Act of 2002</w:t>
              </w:r>
            </w:hyperlink>
          </w:p>
        </w:tc>
      </w:tr>
      <w:tr>
        <w:trPr/>
        <w:tc>
          <w:tcPr>
            <w:tcW w:w="7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02" w:type="dxa"/>
            <w:tcBorders/>
            <w:shd w:fill="FFFFFF" w:val="clear"/>
            <w:vAlign w:val="center"/>
          </w:tcPr>
          <w:p>
            <w:pPr>
              <w:pStyle w:val="TableContents"/>
              <w:bidi w:val="0"/>
              <w:spacing w:before="0" w:after="283"/>
              <w:jc w:val="left"/>
              <w:rPr/>
            </w:pPr>
            <w:r>
              <w:rPr/>
              <w:t> </w:t>
            </w:r>
          </w:p>
        </w:tc>
      </w:tr>
      <w:tr>
        <w:trPr/>
        <w:tc>
          <w:tcPr>
            <w:tcW w:w="7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32.2*</w:t>
            </w:r>
          </w:p>
        </w:tc>
        <w:tc>
          <w:tcPr>
            <w:tcW w:w="146" w:type="dxa"/>
            <w:tcBorders/>
            <w:shd w:fill="FFFFFF" w:val="clear"/>
            <w:vAlign w:val="center"/>
          </w:tcPr>
          <w:p>
            <w:pPr>
              <w:pStyle w:val="TableContents"/>
              <w:bidi w:val="0"/>
              <w:spacing w:before="0" w:after="283"/>
              <w:jc w:val="left"/>
              <w:rPr/>
            </w:pPr>
            <w:r>
              <w:rPr/>
              <w:t> </w:t>
            </w:r>
          </w:p>
        </w:tc>
        <w:tc>
          <w:tcPr>
            <w:tcW w:w="9302" w:type="dxa"/>
            <w:tcBorders/>
            <w:shd w:fill="FFFFFF" w:val="clear"/>
            <w:vAlign w:val="center"/>
          </w:tcPr>
          <w:p>
            <w:pPr>
              <w:pStyle w:val="TableContents"/>
              <w:bidi w:val="0"/>
              <w:spacing w:before="0" w:after="283"/>
              <w:jc w:val="left"/>
              <w:rPr/>
            </w:pPr>
            <w:hyperlink w:anchor="trvi-ex32_2.htm">
              <w:r>
                <w:rPr>
                  <w:rStyle w:val="InternetLink"/>
                  <w:rFonts w:ascii="Times New Roman" w:hAnsi="Times New Roman"/>
                  <w:b w:val="false"/>
                  <w:color w:val="0000FF"/>
                  <w:sz w:val="20"/>
                  <w:u w:val="single"/>
                </w:rPr>
                <w:t>Certification of Principal Financial Officer Pursuant to 18 U.S.C. Section 1350, as Adopted Pursuant to Section 906 of the Sarbanes-Oxley Act of 2002</w:t>
              </w:r>
            </w:hyperlink>
          </w:p>
        </w:tc>
      </w:tr>
      <w:tr>
        <w:trPr/>
        <w:tc>
          <w:tcPr>
            <w:tcW w:w="7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02" w:type="dxa"/>
            <w:tcBorders/>
            <w:shd w:fill="FFFFFF" w:val="clear"/>
            <w:vAlign w:val="center"/>
          </w:tcPr>
          <w:p>
            <w:pPr>
              <w:pStyle w:val="TableContents"/>
              <w:bidi w:val="0"/>
              <w:spacing w:before="0" w:after="283"/>
              <w:jc w:val="left"/>
              <w:rPr/>
            </w:pPr>
            <w:r>
              <w:rPr/>
              <w:t> </w:t>
            </w:r>
          </w:p>
        </w:tc>
      </w:tr>
      <w:tr>
        <w:trPr/>
        <w:tc>
          <w:tcPr>
            <w:tcW w:w="7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shd w:fill="FFFFFF" w:val="clear"/>
            <w:vAlign w:val="center"/>
          </w:tcPr>
          <w:p>
            <w:pPr>
              <w:pStyle w:val="TableContents"/>
              <w:bidi w:val="0"/>
              <w:spacing w:before="0" w:after="283"/>
              <w:jc w:val="left"/>
              <w:rPr/>
            </w:pPr>
            <w:r>
              <w:rPr/>
              <w:t> </w:t>
            </w:r>
          </w:p>
        </w:tc>
        <w:tc>
          <w:tcPr>
            <w:tcW w:w="93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its XBRL tags are embedded within the Inline XBRL document.</w:t>
            </w:r>
          </w:p>
        </w:tc>
      </w:tr>
      <w:tr>
        <w:trPr/>
        <w:tc>
          <w:tcPr>
            <w:tcW w:w="7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02" w:type="dxa"/>
            <w:tcBorders/>
            <w:shd w:fill="FFFFFF" w:val="clear"/>
            <w:vAlign w:val="center"/>
          </w:tcPr>
          <w:p>
            <w:pPr>
              <w:pStyle w:val="TableContents"/>
              <w:bidi w:val="0"/>
              <w:spacing w:before="0" w:after="283"/>
              <w:jc w:val="left"/>
              <w:rPr/>
            </w:pPr>
            <w:r>
              <w:rPr/>
              <w:t> </w:t>
            </w:r>
          </w:p>
        </w:tc>
      </w:tr>
      <w:tr>
        <w:trPr/>
        <w:tc>
          <w:tcPr>
            <w:tcW w:w="7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shd w:fill="FFFFFF" w:val="clear"/>
            <w:vAlign w:val="center"/>
          </w:tcPr>
          <w:p>
            <w:pPr>
              <w:pStyle w:val="TableContents"/>
              <w:bidi w:val="0"/>
              <w:spacing w:before="0" w:after="283"/>
              <w:jc w:val="left"/>
              <w:rPr/>
            </w:pPr>
            <w:r>
              <w:rPr/>
              <w:t> </w:t>
            </w:r>
          </w:p>
        </w:tc>
        <w:tc>
          <w:tcPr>
            <w:tcW w:w="93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7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02" w:type="dxa"/>
            <w:tcBorders/>
            <w:shd w:fill="FFFFFF" w:val="clear"/>
            <w:vAlign w:val="center"/>
          </w:tcPr>
          <w:p>
            <w:pPr>
              <w:pStyle w:val="TableContents"/>
              <w:bidi w:val="0"/>
              <w:spacing w:before="0" w:after="283"/>
              <w:jc w:val="left"/>
              <w:rPr/>
            </w:pPr>
            <w:r>
              <w:rPr/>
              <w:t> </w:t>
            </w:r>
          </w:p>
        </w:tc>
      </w:tr>
      <w:tr>
        <w:trPr/>
        <w:tc>
          <w:tcPr>
            <w:tcW w:w="7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shd w:fill="FFFFFF" w:val="clear"/>
            <w:vAlign w:val="center"/>
          </w:tcPr>
          <w:p>
            <w:pPr>
              <w:pStyle w:val="TableContents"/>
              <w:bidi w:val="0"/>
              <w:spacing w:before="0" w:after="283"/>
              <w:jc w:val="left"/>
              <w:rPr/>
            </w:pPr>
            <w:r>
              <w:rPr/>
              <w:t> </w:t>
            </w:r>
          </w:p>
        </w:tc>
        <w:tc>
          <w:tcPr>
            <w:tcW w:w="93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r>
        <w:trPr/>
        <w:tc>
          <w:tcPr>
            <w:tcW w:w="7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02" w:type="dxa"/>
            <w:tcBorders/>
            <w:shd w:fill="FFFFFF" w:val="clear"/>
            <w:vAlign w:val="center"/>
          </w:tcPr>
          <w:p>
            <w:pPr>
              <w:pStyle w:val="TableContents"/>
              <w:bidi w:val="0"/>
              <w:spacing w:before="0" w:after="283"/>
              <w:jc w:val="left"/>
              <w:rPr/>
            </w:pPr>
            <w:r>
              <w:rPr/>
              <w:t> </w:t>
            </w:r>
          </w:p>
        </w:tc>
      </w:tr>
      <w:tr>
        <w:trPr/>
        <w:tc>
          <w:tcPr>
            <w:tcW w:w="7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shd w:fill="FFFFFF" w:val="clear"/>
            <w:vAlign w:val="center"/>
          </w:tcPr>
          <w:p>
            <w:pPr>
              <w:pStyle w:val="TableContents"/>
              <w:bidi w:val="0"/>
              <w:spacing w:before="0" w:after="283"/>
              <w:jc w:val="left"/>
              <w:rPr/>
            </w:pPr>
            <w:r>
              <w:rPr/>
              <w:t> </w:t>
            </w:r>
          </w:p>
        </w:tc>
        <w:tc>
          <w:tcPr>
            <w:tcW w:w="93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7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02" w:type="dxa"/>
            <w:tcBorders/>
            <w:shd w:fill="FFFFFF" w:val="clear"/>
            <w:vAlign w:val="center"/>
          </w:tcPr>
          <w:p>
            <w:pPr>
              <w:pStyle w:val="TableContents"/>
              <w:bidi w:val="0"/>
              <w:spacing w:before="0" w:after="283"/>
              <w:jc w:val="left"/>
              <w:rPr/>
            </w:pPr>
            <w:r>
              <w:rPr/>
              <w:t> </w:t>
            </w:r>
          </w:p>
        </w:tc>
      </w:tr>
      <w:tr>
        <w:trPr/>
        <w:tc>
          <w:tcPr>
            <w:tcW w:w="7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shd w:fill="FFFFFF" w:val="clear"/>
            <w:vAlign w:val="center"/>
          </w:tcPr>
          <w:p>
            <w:pPr>
              <w:pStyle w:val="TableContents"/>
              <w:bidi w:val="0"/>
              <w:spacing w:before="0" w:after="283"/>
              <w:jc w:val="left"/>
              <w:rPr/>
            </w:pPr>
            <w:r>
              <w:rPr/>
              <w:t> </w:t>
            </w:r>
          </w:p>
        </w:tc>
        <w:tc>
          <w:tcPr>
            <w:tcW w:w="93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r>
      <w:tr>
        <w:trPr/>
        <w:tc>
          <w:tcPr>
            <w:tcW w:w="7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02" w:type="dxa"/>
            <w:tcBorders/>
            <w:shd w:fill="FFFFFF" w:val="clear"/>
            <w:vAlign w:val="center"/>
          </w:tcPr>
          <w:p>
            <w:pPr>
              <w:pStyle w:val="TableContents"/>
              <w:bidi w:val="0"/>
              <w:spacing w:before="0" w:after="283"/>
              <w:jc w:val="left"/>
              <w:rPr/>
            </w:pPr>
            <w:r>
              <w:rPr/>
              <w:t> </w:t>
            </w:r>
          </w:p>
        </w:tc>
      </w:tr>
      <w:tr>
        <w:trPr/>
        <w:tc>
          <w:tcPr>
            <w:tcW w:w="7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shd w:fill="FFFFFF" w:val="clear"/>
            <w:vAlign w:val="center"/>
          </w:tcPr>
          <w:p>
            <w:pPr>
              <w:pStyle w:val="TableContents"/>
              <w:bidi w:val="0"/>
              <w:spacing w:before="0" w:after="283"/>
              <w:jc w:val="left"/>
              <w:rPr/>
            </w:pPr>
            <w:r>
              <w:rPr/>
              <w:t> </w:t>
            </w:r>
          </w:p>
        </w:tc>
        <w:tc>
          <w:tcPr>
            <w:tcW w:w="93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r>
        <w:trPr/>
        <w:tc>
          <w:tcPr>
            <w:tcW w:w="7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02" w:type="dxa"/>
            <w:tcBorders/>
            <w:shd w:fill="FFFFFF" w:val="clear"/>
            <w:vAlign w:val="center"/>
          </w:tcPr>
          <w:p>
            <w:pPr>
              <w:pStyle w:val="TableContents"/>
              <w:bidi w:val="0"/>
              <w:spacing w:before="0" w:after="283"/>
              <w:jc w:val="left"/>
              <w:rPr/>
            </w:pPr>
            <w:r>
              <w:rPr/>
              <w:t> </w:t>
            </w:r>
          </w:p>
        </w:tc>
      </w:tr>
      <w:tr>
        <w:trPr/>
        <w:tc>
          <w:tcPr>
            <w:tcW w:w="7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93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 Filed herewith.</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signatures"/>
      <w:bookmarkEnd w:id="16"/>
      <w:r>
        <w:rPr>
          <w:rFonts w:ascii="Times New Roman" w:hAnsi="Times New Roman"/>
          <w:b/>
          <w:color w:val="000000"/>
          <w:sz w:val="20"/>
        </w:rPr>
        <w:t>SIGNATURES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984" w:type="dxa"/>
        <w:jc w:val="left"/>
        <w:tblInd w:w="0" w:type="dxa"/>
        <w:tblLayout w:type="fixed"/>
        <w:tblCellMar>
          <w:top w:w="28" w:type="dxa"/>
          <w:left w:w="28" w:type="dxa"/>
          <w:bottom w:w="28" w:type="dxa"/>
          <w:right w:w="28" w:type="dxa"/>
        </w:tblCellMar>
      </w:tblPr>
      <w:tblGrid>
        <w:gridCol w:w="2101"/>
        <w:gridCol w:w="146"/>
        <w:gridCol w:w="406"/>
        <w:gridCol w:w="333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TREVI THERAPEUTICS, INC.</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Jennifer L. Good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Jennifer L. Good</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Lisa Delfini</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Lisa Delfini</w:t>
            </w:r>
          </w:p>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bookmarkStart w:id="17" w:name="trvi-ex31_1.htm"/>
      <w:bookmarkStart w:id="18" w:name="kstrviex31_1"/>
      <w:bookmarkEnd w:id="17"/>
      <w:bookmarkEnd w:id="1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RULES 13a-14(a) OR 15d-14(a) UNDER THE SECURITIES EXCHANGE ACT OF 1934, AS ADOPTED 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Jennifer L. Good,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 I have reviewed this Quarterly Report on Form 10-Q of Trevi Therapeutics, Inc.;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p>
    <w:tbl>
      <w:tblPr>
        <w:tblW w:w="6156" w:type="dxa"/>
        <w:jc w:val="left"/>
        <w:tblInd w:w="0" w:type="dxa"/>
        <w:tblLayout w:type="fixed"/>
        <w:tblCellMar>
          <w:top w:w="28" w:type="dxa"/>
          <w:left w:w="28" w:type="dxa"/>
          <w:bottom w:w="28" w:type="dxa"/>
          <w:right w:w="28" w:type="dxa"/>
        </w:tblCellMar>
      </w:tblPr>
      <w:tblGrid>
        <w:gridCol w:w="2101"/>
        <w:gridCol w:w="146"/>
        <w:gridCol w:w="146"/>
        <w:gridCol w:w="406"/>
        <w:gridCol w:w="146"/>
        <w:gridCol w:w="321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1" w:type="dxa"/>
            <w:tcBorders/>
            <w:shd w:fill="FFFFFF" w:val="cle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211" w:type="dxa"/>
            <w:tcBorders/>
            <w:shd w:fill="FFFFFF" w:val="clear"/>
            <w:vAlign w:val="center"/>
          </w:tcPr>
          <w:p>
            <w:pPr>
              <w:pStyle w:val="TableContents"/>
              <w:pBdr>
                <w:bottom w:val="single" w:sz="6" w:space="1" w:color="000000"/>
              </w:pBdr>
              <w:bidi w:val="0"/>
              <w:spacing w:before="0" w:after="20"/>
              <w:jc w:val="left"/>
              <w:rPr>
                <w:rFonts w:ascii="Times New Roman" w:hAnsi="Times New Roman"/>
                <w:b w:val="false"/>
                <w:color w:val="000000"/>
                <w:sz w:val="20"/>
              </w:rPr>
            </w:pPr>
            <w:r>
              <w:rPr>
                <w:rFonts w:ascii="Times New Roman" w:hAnsi="Times New Roman"/>
                <w:b w:val="false"/>
                <w:color w:val="000000"/>
                <w:sz w:val="20"/>
              </w:rPr>
              <w:t>/s/ Jennifer L. Good</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Jennifer L. Good</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211" w:type="dxa"/>
            <w:tcBorders/>
            <w:shd w:fill="FFFFFF" w:val="clear"/>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President and Chief Executive Officer</w:t>
            </w:r>
          </w:p>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9" w:name="trvi-ex31_2.htm"/>
      <w:bookmarkStart w:id="20" w:name="kstrviex31_2"/>
      <w:bookmarkEnd w:id="19"/>
      <w:bookmarkEnd w:id="2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RULES 13a-14(a) OR 15d-14(a) UNDER THE SECURITIES EXCHANGE ACT OF 1934, AS ADOPTED 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Lisa Delfini,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 I have reviewed this Quarterly Report on Form 10-Q of Trevi Therapeutics, Inc.;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p>
    <w:tbl>
      <w:tblPr>
        <w:tblW w:w="5361" w:type="dxa"/>
        <w:jc w:val="left"/>
        <w:tblInd w:w="0" w:type="dxa"/>
        <w:tblLayout w:type="fixed"/>
        <w:tblCellMar>
          <w:top w:w="28" w:type="dxa"/>
          <w:left w:w="28" w:type="dxa"/>
          <w:bottom w:w="28" w:type="dxa"/>
          <w:right w:w="28" w:type="dxa"/>
        </w:tblCellMar>
      </w:tblPr>
      <w:tblGrid>
        <w:gridCol w:w="2101"/>
        <w:gridCol w:w="146"/>
        <w:gridCol w:w="146"/>
        <w:gridCol w:w="406"/>
        <w:gridCol w:w="146"/>
        <w:gridCol w:w="241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tcBorders/>
            <w:shd w:fill="FFFFFF" w:val="cle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16" w:type="dxa"/>
            <w:tcBorders/>
            <w:shd w:fill="FFFFFF" w:val="clear"/>
            <w:vAlign w:val="center"/>
          </w:tcPr>
          <w:p>
            <w:pPr>
              <w:pStyle w:val="TableContents"/>
              <w:pBdr>
                <w:bottom w:val="single" w:sz="6" w:space="1" w:color="000000"/>
              </w:pBdr>
              <w:bidi w:val="0"/>
              <w:spacing w:before="0" w:after="20"/>
              <w:jc w:val="left"/>
              <w:rPr>
                <w:rFonts w:ascii="Times New Roman" w:hAnsi="Times New Roman"/>
                <w:b w:val="false"/>
                <w:color w:val="000000"/>
                <w:sz w:val="20"/>
              </w:rPr>
            </w:pPr>
            <w:r>
              <w:rPr>
                <w:rFonts w:ascii="Times New Roman" w:hAnsi="Times New Roman"/>
                <w:b w:val="false"/>
                <w:color w:val="000000"/>
                <w:sz w:val="20"/>
              </w:rPr>
              <w:t>/s/ Lisa Delfini</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Lisa Delfini</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16" w:type="dxa"/>
            <w:tcBorders/>
            <w:shd w:fill="FFFFFF" w:val="clear"/>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Chief Financial Officer</w:t>
            </w:r>
          </w:p>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trvi-ex32_1.htm"/>
      <w:bookmarkStart w:id="22" w:name="kstrviex32_1"/>
      <w:bookmarkEnd w:id="21"/>
      <w:bookmarkEnd w:id="22"/>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on Form 10-Q of Trevi Therapeutics, Inc. (the “Company”) for the period ended September 30, 2023,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010" w:type="dxa"/>
        <w:jc w:val="left"/>
        <w:tblInd w:w="0" w:type="dxa"/>
        <w:tblLayout w:type="fixed"/>
        <w:tblCellMar>
          <w:top w:w="28" w:type="dxa"/>
          <w:left w:w="28" w:type="dxa"/>
          <w:bottom w:w="28" w:type="dxa"/>
          <w:right w:w="28" w:type="dxa"/>
        </w:tblCellMar>
      </w:tblPr>
      <w:tblGrid>
        <w:gridCol w:w="2101"/>
        <w:gridCol w:w="146"/>
        <w:gridCol w:w="406"/>
        <w:gridCol w:w="146"/>
        <w:gridCol w:w="321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1" w:type="dxa"/>
            <w:tcBorders/>
            <w:shd w:fill="FFFFFF" w:val="cle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211" w:type="dxa"/>
            <w:tcBorders/>
            <w:shd w:fill="FFFFFF" w:val="clear"/>
            <w:vAlign w:val="center"/>
          </w:tcPr>
          <w:p>
            <w:pPr>
              <w:pStyle w:val="TableContents"/>
              <w:pBdr>
                <w:bottom w:val="single" w:sz="6" w:space="1" w:color="000000"/>
              </w:pBdr>
              <w:bidi w:val="0"/>
              <w:spacing w:before="0" w:after="20"/>
              <w:jc w:val="left"/>
              <w:rPr>
                <w:rFonts w:ascii="Times New Roman" w:hAnsi="Times New Roman"/>
                <w:b w:val="false"/>
                <w:color w:val="000000"/>
                <w:sz w:val="20"/>
              </w:rPr>
            </w:pPr>
            <w:r>
              <w:rPr>
                <w:rFonts w:ascii="Times New Roman" w:hAnsi="Times New Roman"/>
                <w:b w:val="false"/>
                <w:color w:val="000000"/>
                <w:sz w:val="20"/>
              </w:rPr>
              <w:t>/s/ Jennifer L. Good</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Jennifer L. Good</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211" w:type="dxa"/>
            <w:tcBorders/>
            <w:shd w:fill="FFFFFF" w:val="clear"/>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President and Chief Executive Officer</w:t>
            </w:r>
          </w:p>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trvi-ex32_2.htm"/>
      <w:bookmarkStart w:id="24" w:name="kstrviex32_2"/>
      <w:bookmarkEnd w:id="23"/>
      <w:bookmarkEnd w:id="24"/>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on Form 10-Q of Trevi Therapeutics, Inc. (the “Company”) for the period ended September 30, 2023, as filed with the Securities and Exchange Commission on the date hereof (the “Report”), the undersigned, Lisa Delfini, Chief Financial Officer of the Company, hereby certifies, pursuant to 18 U.S.C. Section 1350, as adopted pursuant to Section 906 of the Sarbanes-Oxley Act of 2002, that to her knowledge: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215" w:type="dxa"/>
        <w:jc w:val="left"/>
        <w:tblInd w:w="0" w:type="dxa"/>
        <w:tblLayout w:type="fixed"/>
        <w:tblCellMar>
          <w:top w:w="28" w:type="dxa"/>
          <w:left w:w="28" w:type="dxa"/>
          <w:bottom w:w="28" w:type="dxa"/>
          <w:right w:w="28" w:type="dxa"/>
        </w:tblCellMar>
      </w:tblPr>
      <w:tblGrid>
        <w:gridCol w:w="2101"/>
        <w:gridCol w:w="146"/>
        <w:gridCol w:w="406"/>
        <w:gridCol w:w="146"/>
        <w:gridCol w:w="241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tcBorders/>
            <w:shd w:fill="FFFFFF" w:val="cle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16" w:type="dxa"/>
            <w:tcBorders/>
            <w:shd w:fill="FFFFFF" w:val="clear"/>
            <w:vAlign w:val="center"/>
          </w:tcPr>
          <w:p>
            <w:pPr>
              <w:pStyle w:val="TableContents"/>
              <w:pBdr>
                <w:bottom w:val="single" w:sz="6" w:space="1" w:color="000000"/>
              </w:pBdr>
              <w:bidi w:val="0"/>
              <w:spacing w:before="0" w:after="20"/>
              <w:jc w:val="left"/>
              <w:rPr>
                <w:rFonts w:ascii="Times New Roman" w:hAnsi="Times New Roman"/>
                <w:b w:val="false"/>
                <w:color w:val="000000"/>
                <w:sz w:val="20"/>
              </w:rPr>
            </w:pPr>
            <w:r>
              <w:rPr>
                <w:rFonts w:ascii="Times New Roman" w:hAnsi="Times New Roman"/>
                <w:b w:val="false"/>
                <w:color w:val="000000"/>
                <w:sz w:val="20"/>
              </w:rPr>
              <w:t>/s/ Lisa Delfini</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Lisa Delfini</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16" w:type="dxa"/>
            <w:tcBorders/>
            <w:shd w:fill="FFFFFF" w:val="clear"/>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Chief Financial Officer</w:t>
            </w:r>
          </w:p>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67108</Words>
  <Characters>366717</Characters>
  <CharactersWithSpaces>434485</CharactersWithSpaces>
  <Paragraphs>5945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