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rvi-20260331.htm"/>
      <w:bookmarkStart w:id="1" w:name="kstrvi20260331"/>
      <w:bookmarkEnd w:id="0"/>
      <w:bookmarkEnd w:id="1"/>
      <w:r>
        <w:rPr/>
        <w:t> </w:t>
      </w:r>
    </w:p>
    <w:p>
      <w:pPr>
        <w:pStyle w:val="TextBody"/>
        <w:pBdr>
          <w:bottom w:val="doub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222222"/>
          <w:sz w:val="20"/>
        </w:rPr>
        <w:t>001-38886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TREVI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45-0834299</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 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195 Church Street, 16</w:t>
            </w:r>
            <w:r>
              <w:rPr>
                <w:rFonts w:ascii="Times New Roman" w:hAnsi="Times New Roman"/>
                <w:b/>
                <w:color w:val="000000"/>
                <w:sz w:val="13"/>
              </w:rPr>
              <w:t>th</w:t>
            </w:r>
            <w:r>
              <w:rPr>
                <w:rFonts w:ascii="Times New Roman" w:hAnsi="Times New Roman"/>
                <w:color w:val="000000"/>
                <w:sz w:val="20"/>
              </w:rPr>
              <w:t xml:space="preserve"> </w:t>
            </w:r>
            <w:r>
              <w:rPr>
                <w:rFonts w:ascii="Times New Roman" w:hAnsi="Times New Roman"/>
                <w:b/>
                <w:color w:val="000000"/>
                <w:sz w:val="20"/>
              </w:rPr>
              <w:t>Floor</w:t>
            </w:r>
          </w:p>
          <w:p>
            <w:pPr>
              <w:pStyle w:val="TableContents"/>
              <w:bidi w:val="0"/>
              <w:spacing w:before="0" w:after="283"/>
              <w:jc w:val="center"/>
              <w:rPr>
                <w:rFonts w:ascii="Times New Roman" w:hAnsi="Times New Roman"/>
                <w:sz w:val="20"/>
              </w:rPr>
            </w:pPr>
            <w:r>
              <w:rPr>
                <w:rFonts w:ascii="Times New Roman" w:hAnsi="Times New Roman"/>
                <w:b/>
                <w:color w:val="000000"/>
                <w:sz w:val="20"/>
              </w:rPr>
              <w:t>New Haven, Connecticut</w:t>
            </w:r>
            <w:r>
              <w:rPr>
                <w:rFonts w:ascii="Times New Roman" w:hAnsi="Times New Roman"/>
                <w:color w:val="000000"/>
                <w:sz w:val="20"/>
              </w:rPr>
              <w:t xml:space="preserve">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06510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(203) 304-2499</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00" w:type="dxa"/>
        <w:jc w:val="left"/>
        <w:tblInd w:w="0" w:type="dxa"/>
        <w:tblLayout w:type="fixed"/>
        <w:tblCellMar>
          <w:top w:w="28" w:type="dxa"/>
          <w:left w:w="28" w:type="dxa"/>
          <w:bottom w:w="28" w:type="dxa"/>
          <w:right w:w="28" w:type="dxa"/>
        </w:tblCellMar>
      </w:tblPr>
      <w:tblGrid>
        <w:gridCol w:w="3766"/>
        <w:gridCol w:w="146"/>
        <w:gridCol w:w="82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TRVI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April 30, 2026, the registrant had 141,979,708</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 AND INDUSTRY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in this Quarterly Report on Form 10-Q include, among other things,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develop and, if approved, subsequently commercialize Haduvio for the treatment of chronic cough in patients with idiopathic pulmonary fibrosis, or IPF, non-IPF interstitial lung disease, or non-IPF ILD, and refractory chronic cough, or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timing for the initiation of clinical trials and the reporting of data from such trials, including with respect to our planned Phase 3 trials of Haduvio for the treatment of chronic cough in patients with IPF, our planned adaptive design Phase 2b clinical trial of Haduvio for the treatment of chronic cough in patients with non-IPF ILD, our planned Phase 2b trial of Haduvio for the treatment of patients with RCC, and our planned Phase 1 NDA supportive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timing for the initiation of clinical trials and the reporting of data from such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our ability to submit applications for and to obtain and maintain regulatory approvals for Haduvio;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fund our operating expenses, including our ongoing and planned clinical trials, with our cash, cash equivalents and marketable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competitive position;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and in our most recent Annual Report on Form 10-K, particularly in the sections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spacing w:before="120" w:after="283"/>
        <w:jc w:val="left"/>
        <w:rPr>
          <w:rFonts w:ascii="Times New Roman" w:hAnsi="Times New Roman"/>
          <w:sz w:val="20"/>
        </w:rPr>
      </w:pPr>
      <w:r>
        <w:rPr>
          <w:rFonts w:ascii="Times New Roman" w:hAnsi="Times New Roman"/>
          <w:color w:val="000000"/>
          <w:sz w:val="20"/>
        </w:rPr>
        <w:t>We own or have rights to trademarks, service marks and trade names that we use in connection with the operation of our business, including our corporate name, logos and website names. We own the trademarks Trevi</w:t>
      </w:r>
      <w:r>
        <w:rPr>
          <w:rFonts w:ascii="Times New Roman" w:hAnsi="Times New Roman"/>
          <w:color w:val="000000"/>
          <w:sz w:val="13"/>
        </w:rPr>
        <w:t>®</w:t>
      </w:r>
      <w:r>
        <w:rPr>
          <w:rFonts w:ascii="Times New Roman" w:hAnsi="Times New Roman"/>
          <w:color w:val="000000"/>
          <w:sz w:val="20"/>
        </w:rPr>
        <w:t xml:space="preserve"> 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w:t>
      </w:r>
      <w:r>
        <w:rPr>
          <w:rFonts w:ascii="Times New Roman" w:hAnsi="Times New Roman"/>
          <w:color w:val="000000"/>
          <w:sz w:val="13"/>
        </w:rPr>
        <w:t>®</w:t>
      </w:r>
      <w:r>
        <w:rPr>
          <w:rFonts w:ascii="Times New Roman" w:hAnsi="Times New Roman"/>
          <w:color w:val="000000"/>
          <w:sz w:val="20"/>
        </w:rPr>
        <w:t xml:space="preserve"> and  symbols, but we will assert, to the fullest extent under applicable law, our rights to our trademarks, service marks and trade names. We intend to propose Haduvio as the trade name for our oral nalbuphine ER investigational product.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_of_stockholders_e">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9"/>
        <w:gridCol w:w="146"/>
        <w:gridCol w:w="211"/>
        <w:gridCol w:w="841"/>
        <w:gridCol w:w="166"/>
        <w:gridCol w:w="146"/>
        <w:gridCol w:w="213"/>
        <w:gridCol w:w="851"/>
        <w:gridCol w:w="612"/>
      </w:tblGrid>
      <w:tr>
        <w:trPr/>
        <w:tc>
          <w:tcPr>
            <w:tcW w:w="7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br/>
            </w:r>
            <w:r>
              <w:rPr>
                <w:rFonts w:ascii="Times New Roman" w:hAnsi="Times New Roman"/>
                <w:color w:val="000000"/>
                <w:sz w:val="16"/>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18,914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169,346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176,121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191,656</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equipment and leasehold improvements,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179,606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193,439</w:t>
            </w:r>
          </w:p>
        </w:tc>
        <w:tc>
          <w:tcPr>
            <w:tcW w:w="6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3,911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5,531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7,115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9,749</w:t>
            </w:r>
          </w:p>
        </w:tc>
        <w:tc>
          <w:tcPr>
            <w:tcW w:w="6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7,479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10,195</w:t>
            </w:r>
          </w:p>
        </w:tc>
        <w:tc>
          <w:tcPr>
            <w:tcW w:w="6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Preferred stock: $0.001</w:t>
            </w:r>
            <w:r>
              <w:rPr>
                <w:rFonts w:ascii="Times New Roman" w:hAnsi="Times New Roman"/>
                <w:color w:val="000000"/>
                <w:sz w:val="20"/>
              </w:rPr>
              <w:t> </w:t>
            </w:r>
            <w:r>
              <w:rPr>
                <w:rFonts w:ascii="Times New Roman" w:hAnsi="Times New Roman"/>
                <w:color w:val="000000"/>
                <w:sz w:val="19"/>
              </w:rPr>
              <w:t>par value; 5,000,000</w:t>
            </w:r>
            <w:r>
              <w:rPr>
                <w:rFonts w:ascii="Times New Roman" w:hAnsi="Times New Roman"/>
                <w:color w:val="000000"/>
                <w:sz w:val="20"/>
              </w:rPr>
              <w:t> </w:t>
            </w:r>
            <w:r>
              <w:rPr>
                <w:rFonts w:ascii="Times New Roman" w:hAnsi="Times New Roman"/>
                <w:color w:val="000000"/>
                <w:sz w:val="19"/>
              </w:rPr>
              <w:t>shares authorized at March 31, 2026 and December 31, 2025; no</w:t>
            </w:r>
            <w:r>
              <w:rPr>
                <w:rFonts w:ascii="Times New Roman" w:hAnsi="Times New Roman"/>
                <w:color w:val="000000"/>
                <w:sz w:val="20"/>
              </w:rPr>
              <w:t> </w:t>
            </w:r>
            <w:r>
              <w:rPr>
                <w:rFonts w:ascii="Times New Roman" w:hAnsi="Times New Roman"/>
                <w:color w:val="000000"/>
                <w:sz w:val="19"/>
              </w:rPr>
              <w:t>shares issued or outstanding at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Common stock: $0.001</w:t>
            </w:r>
            <w:r>
              <w:rPr>
                <w:rFonts w:ascii="Times New Roman" w:hAnsi="Times New Roman"/>
                <w:color w:val="000000"/>
                <w:sz w:val="20"/>
              </w:rPr>
              <w:t> </w:t>
            </w:r>
            <w:r>
              <w:rPr>
                <w:rFonts w:ascii="Times New Roman" w:hAnsi="Times New Roman"/>
                <w:color w:val="000000"/>
                <w:sz w:val="19"/>
              </w:rPr>
              <w:t>par value; 200,000,000</w:t>
            </w:r>
            <w:r>
              <w:rPr>
                <w:rFonts w:ascii="Times New Roman" w:hAnsi="Times New Roman"/>
                <w:color w:val="000000"/>
                <w:sz w:val="20"/>
              </w:rPr>
              <w:t> </w:t>
            </w:r>
            <w:r>
              <w:rPr>
                <w:rFonts w:ascii="Times New Roman" w:hAnsi="Times New Roman"/>
                <w:color w:val="000000"/>
                <w:sz w:val="19"/>
              </w:rPr>
              <w:t>shares authorized at March 31, 2026 and December 31, 2025; and 128,411,048</w:t>
            </w:r>
            <w:r>
              <w:rPr>
                <w:rFonts w:ascii="Times New Roman" w:hAnsi="Times New Roman"/>
                <w:color w:val="000000"/>
                <w:sz w:val="20"/>
              </w:rPr>
              <w:t> </w:t>
            </w:r>
            <w:r>
              <w:rPr>
                <w:rFonts w:ascii="Times New Roman" w:hAnsi="Times New Roman"/>
                <w:color w:val="000000"/>
                <w:sz w:val="19"/>
              </w:rPr>
              <w:t>and 128,306,056</w:t>
            </w:r>
            <w:r>
              <w:rPr>
                <w:rFonts w:ascii="Times New Roman" w:hAnsi="Times New Roman"/>
                <w:color w:val="000000"/>
                <w:sz w:val="20"/>
              </w:rPr>
              <w:t> </w:t>
            </w:r>
            <w:r>
              <w:rPr>
                <w:rFonts w:ascii="Times New Roman" w:hAnsi="Times New Roman"/>
                <w:color w:val="000000"/>
                <w:sz w:val="19"/>
              </w:rPr>
              <w:t>shares issued and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515,185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512,772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(342,996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(329,804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172,127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183,244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179,606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193,439</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left"/>
        <w:rPr/>
      </w:pPr>
      <w:r>
        <w:rPr/>
        <w:t> </w:t>
      </w:r>
    </w:p>
    <w:tbl>
      <w:tblPr>
        <w:tblW w:w="9769" w:type="dxa"/>
        <w:jc w:val="left"/>
        <w:tblInd w:w="0" w:type="dxa"/>
        <w:tblLayout w:type="fixed"/>
        <w:tblCellMar>
          <w:top w:w="28" w:type="dxa"/>
          <w:left w:w="28" w:type="dxa"/>
          <w:bottom w:w="28" w:type="dxa"/>
          <w:right w:w="28" w:type="dxa"/>
        </w:tblCellMar>
      </w:tblPr>
      <w:tblGrid>
        <w:gridCol w:w="5996"/>
        <w:gridCol w:w="146"/>
        <w:gridCol w:w="211"/>
        <w:gridCol w:w="1141"/>
        <w:gridCol w:w="166"/>
        <w:gridCol w:w="146"/>
        <w:gridCol w:w="211"/>
        <w:gridCol w:w="1141"/>
        <w:gridCol w:w="611"/>
      </w:tblGrid>
      <w:tr>
        <w:trPr/>
        <w:tc>
          <w:tcPr>
            <w:tcW w:w="5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used in net loss per share</w:t>
              <w:br/>
              <w:t>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145,592,901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117,610,750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unrealized (losses) gains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solidated_statement_of_stockholders_e"/>
      <w:bookmarkEnd w:id="6"/>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5"/>
        <w:gridCol w:w="146"/>
        <w:gridCol w:w="146"/>
        <w:gridCol w:w="1006"/>
        <w:gridCol w:w="146"/>
        <w:gridCol w:w="146"/>
        <w:gridCol w:w="257"/>
        <w:gridCol w:w="494"/>
        <w:gridCol w:w="146"/>
        <w:gridCol w:w="146"/>
        <w:gridCol w:w="205"/>
        <w:gridCol w:w="726"/>
        <w:gridCol w:w="166"/>
        <w:gridCol w:w="146"/>
        <w:gridCol w:w="502"/>
        <w:gridCol w:w="858"/>
        <w:gridCol w:w="166"/>
        <w:gridCol w:w="146"/>
        <w:gridCol w:w="233"/>
        <w:gridCol w:w="893"/>
        <w:gridCol w:w="166"/>
        <w:gridCol w:w="146"/>
        <w:gridCol w:w="247"/>
        <w:gridCol w:w="874"/>
        <w:gridCol w:w="213"/>
      </w:tblGrid>
      <w:tr>
        <w:trPr/>
        <w:tc>
          <w:tcPr>
            <w:tcW w:w="1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128,306,056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183,244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losses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128,411,048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172,127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93,602,631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from warrant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offering, less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99,892,915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99,457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left"/>
        <w:rPr/>
      </w:pPr>
      <w:r>
        <w:rPr/>
        <w:t> </w:t>
      </w:r>
    </w:p>
    <w:tbl>
      <w:tblPr>
        <w:tblW w:w="9386" w:type="dxa"/>
        <w:jc w:val="left"/>
        <w:tblInd w:w="0" w:type="dxa"/>
        <w:tblLayout w:type="fixed"/>
        <w:tblCellMar>
          <w:top w:w="28" w:type="dxa"/>
          <w:left w:w="28" w:type="dxa"/>
          <w:bottom w:w="28" w:type="dxa"/>
          <w:right w:w="28" w:type="dxa"/>
        </w:tblCellMar>
      </w:tblPr>
      <w:tblGrid>
        <w:gridCol w:w="6031"/>
        <w:gridCol w:w="146"/>
        <w:gridCol w:w="229"/>
        <w:gridCol w:w="801"/>
        <w:gridCol w:w="180"/>
        <w:gridCol w:w="158"/>
        <w:gridCol w:w="229"/>
        <w:gridCol w:w="801"/>
        <w:gridCol w:w="8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(13,192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(10,340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2,191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Accretion of available-for-sale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(2,838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(16,689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(13,477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maturities of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25,552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17,595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(8,485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(27,546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equipment and 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16,965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(9,951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exercises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8,220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of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w:t>
            </w:r>
          </w:p>
        </w:tc>
        <w:tc>
          <w:tcPr>
            <w:tcW w:w="1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8,705</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(14,723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18,914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34,097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19,412</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19,374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Nature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Trevi Therapeutics, Inc. (“Trevi” or the “Company”) is a clinical-stage biopharmaceutical company focused on the development and commercialization of the investigational therapy Haduvio (oral nalbuphine ER) for the treatment of chronic cough in patients with idiopathic pulmonary fibrosis (“IPF”), non-IPF interstitial lung disease (“non-IPF ILD”), and refractory chronic cough (“RCC”).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Haduvio is an oral extended-release formulation of nalbuphine. Haduvio acts on the cough reflex arc both centrally and peripherally as a kappa receptor agonist and a mu receptor antagonist (“KAMA”), targeting opioid receptors that play a key role in controlling chronic cough. Nalbuphine has been approved and marketed as an injectable for pain indications for decades in the United States (“U.S.”) and Europe. Nalbuphine’s mechanism of action also mitigates the risk of abuse associated with mu-opioid agonists because it antagonizes or blocks, the mu-opioid receptor. Parenteral nalbuphine is not scheduled as a controlled substance by the U.S. Drug Enforcement Agency and in most of Europe.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interim Condensed Consolidated Financial Statements for the three months ended March 31, 2026 and 2025 included herein have been prepared in accordance with accounting principles generally accepted in the U.S. (“GAAP”) for interim financial information and the rules and regulations of the Securities and Exchange Commission (“SEC”) for interim information.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include the accounts of Trevi Therapeutics, Inc. and its wholly-owned subsidiary Trevi Therapeutics Limited. Intercompany balances and transactions have been eliminated.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amounts presented are in thousands of dollars, except share and per share amounts, unless noted otherwise. The Company has evaluated events occurring subsequent to March 31, 2026 for potential recognition or disclosure in the Condensed Consolidated Financial Statements and concluded there were no subsequent events that required recognition or disclosure other than those provided in Note 11.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prepaid expenses, accrued expenses and research and development (“R&amp;D”) expenses, the valuation of stock-based awards and the valuation allowance of deferred tax assets.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Consolidated Balance Sheet as of March 31, 2026 and the Condensed Consolidated Statements of Comprehensive Loss, the Condensed Consolidated Statements of Stockholders’ Equity and the Condensed Consolidated Statements of Cash Flows for the three months ended March 31, 2026 and 2025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March 31, 2026 and the results of its operations and its cash flows for the three months ended March 31, 2026 and 2025. The results for the three months ended March 31, 2026 and 2025 are not necessarily indicative of results to be expected for the year ending December 31, 2026 or any other interim period or any future year or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Concentrations of Credit Risk and Off-Balance Sheet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concentrations of credit risk consist primarily of cash, cash equivalents and marketable securities.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on these deposits. The Company’s marketable securities potentially subject the Company to concentrations of credit risk. The Company’s cash management and investment policy limits investment instruments to investment-grade securities with the objective to preserve capital and to maintain liquidity until the funds can be used in business operations.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 off-balance sheet risk, such as foreign exchange contracts, option contracts, or other foreign-hedging arrangements.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short-term, highly liquid investments with an original term of three months or less at the date of purchase as cash equivalents.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generally invests its excess cash in money market funds and investment grade short- to intermediate-term fixed income securities. Such investments are included in cash and cash equivalents or marketable securities on the Condensed Consolidated Balance Sheets. Marketable securities with an original maturity date greater than 90 days at each balance sheet date are classified as short-term. Marketable securities are classified as current assets as these investments are intended to be available to the Company for use in funding current operations. All of the Company’s marketable securities are considered available-for-sale and are reported at fair value. For securities with unrealized gains and losses, when the Company expects to receive cash flows sufficient to recover the amortized cost basis of a security, such gains and losses are included in accumulated other comprehensive income (loss) as a component of stockholders’ equity. Credit losses are identified when the Company does not expect to receive cash flows sufficient to recover the amortized cost basis of a security. In the event of a credit loss, only the amount associated with the credit loss is recognized in interest income, net on the Condensed Consolidated Statements of Comprehensive Loss. The amortized cost of debt securities is adjusted for amortization of premiums and accretion of discounts to maturity, which is included in interest income, net on the Condensed Consolidated Statements of Comprehensive Loss. Realized gains and losses, if any, on marketable securities are included in interest income, net on the Condensed Consolidated Statements of Comprehensive Loss. The cost of securities sold is determined using specific identification.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whether declines in the fair values of its marketable securities below their amortized cost are credit losses on a quarterly basis. This evaluation consists of several qualitative and quantitative factors such as the extent to which the fair value is less than the amortized cost basis and the issuer’s financial condition. Additionally, declines in value are evaluated in order to assess whether the decline is other than temporary. In order to perform this evaluation,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instruments have consisted of cash and cash equivalents, available-for-sale marketable securities, other current assets, accounts payable, accrued expenses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warrants to acquire the Company’s common stock are not required to be accounted for at fair value.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Current accounting guidance defines fair value, establishes a framework for measuring fair value in accordance with Accounting Standards Codification (“ASC”) 820, </w:t>
      </w:r>
      <w:r>
        <w:rPr>
          <w:rFonts w:ascii="Times New Roman" w:hAnsi="Times New Roman"/>
          <w:i/>
          <w:color w:val="000000"/>
          <w:sz w:val="20"/>
        </w:rPr>
        <w:t>Fair Value Measurements and Disclosures,</w:t>
      </w:r>
      <w:r>
        <w:rPr>
          <w:rFonts w:ascii="Times New Roman" w:hAnsi="Times New Roman"/>
          <w:color w:val="000000"/>
          <w:sz w:val="20"/>
        </w:rPr>
        <w:t xml:space="preserve">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1—Observable inputs—quoted prices in active markets for identical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inputs—includes amounts derived from valuation models where one or more significant inputs are unobservable and require the company to develop relevant assumptions.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Valuation Techniques - Level 2 Inputs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values of its financial instruments categorized as level 2 in the fair value hierarchy, including U.S. treasury securities, U.S. government agency obligations, corporate bonds, commercial paper, asset-backed securities and municipal bonds, by taking into consideration valuations obtained from third-party pricing services. The pricing services use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 and other observable inputs. The Company obtains a single price for each financial instrument and does not adjust the prices obtained from the pricing service.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Equipment and Leasehold Improvements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continually evaluates whether events or circumstances have occurred that indicate that the estimated remaining useful life of its long-lived assets may warrant revision or that the carrying value of these assets may be impaired. The Company has not recognized any significant impairment charges from inception through March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other income, net in the Condensed Consolidated Statements of Comprehensive Loss.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an in process equity financing no longer be considered probable of being consummated, the deferred offering costs are expensed immediately as a charge to general and administrative expenses. The deferred offering costs are included in Other current assets and Other non-current assets on the Condensed Consolidated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(“R&amp;D”)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expenses both internal and external R&amp;D expenses as they are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agreements with CROs, contract manufacturing organizations (“CMOs”) and other companies that provide services in connection with the Company’s R&amp;D activities. The value of goods and services received from CROs and CMOs in the reporting period are estimated based on the level of services performed, progress of the studies, including the phase or completion of events, timing of payments made and contracted costs. The estimated costs of R&amp;D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current assets on the Condensed Consolidated Balance Sheets, as applicable, and are recognized as expenses as the goods are delivered or the related services are performed.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patent-related costs in connection with filing and prosecuting patent applications are expensed to general and administrative expense as incurred, as recoverability of such expenditures is uncertain.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determines the accounting classification of warrants that are issued, as either liability or equity, by first assessing whether the warrants meet liability classification in accordance with ASC 480, </w:t>
      </w:r>
      <w:r>
        <w:rPr>
          <w:rFonts w:ascii="Times New Roman" w:hAnsi="Times New Roman"/>
          <w:i/>
          <w:color w:val="000000"/>
          <w:sz w:val="20"/>
        </w:rPr>
        <w:t xml:space="preserve">Distinguishing Liabilities from Equity </w:t>
      </w:r>
      <w:r>
        <w:rPr>
          <w:rFonts w:ascii="Times New Roman" w:hAnsi="Times New Roman"/>
          <w:color w:val="000000"/>
          <w:sz w:val="20"/>
        </w:rPr>
        <w:t xml:space="preserve">(“ASC 480”), and then in accordance with ASC 815, </w:t>
      </w:r>
      <w:r>
        <w:rPr>
          <w:rFonts w:ascii="Times New Roman" w:hAnsi="Times New Roman"/>
          <w:i/>
          <w:color w:val="000000"/>
          <w:sz w:val="20"/>
        </w:rPr>
        <w:t>Derivatives and Hedging</w:t>
      </w:r>
      <w:r>
        <w:rPr>
          <w:rFonts w:ascii="Times New Roman" w:hAnsi="Times New Roman"/>
          <w:color w:val="000000"/>
          <w:sz w:val="20"/>
        </w:rPr>
        <w:t xml:space="preserve"> (“ASC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comprehensive loss as a gain or loss. For equity classified warrants, no changes in fair value are recognized after the issuance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stock-based compensation arrangements with employees and non-employees for consultancy services in accordance with ASC 718, </w:t>
      </w:r>
      <w:r>
        <w:rPr>
          <w:rFonts w:ascii="Times New Roman" w:hAnsi="Times New Roman"/>
          <w:i/>
          <w:color w:val="000000"/>
          <w:sz w:val="20"/>
        </w:rPr>
        <w:t xml:space="preserve">Stock Compensation </w:t>
      </w:r>
      <w:r>
        <w:rPr>
          <w:rFonts w:ascii="Times New Roman" w:hAnsi="Times New Roman"/>
          <w:color w:val="000000"/>
          <w:sz w:val="20"/>
        </w:rPr>
        <w:t>(“ASC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variables can materially affect the fair value and ultimately how much stock-based compensation expense is recognized. These inputs are subjective and generally require analysis and judgment to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Volatility—The Company estimates expected volatility based on a combination of its own historical stock price volatility, when sufficient trading history is available, and the historical volatility of a group of publicly traded peer companies. For purposes of identifying these peer companies, the Company considered the industry, stage of development, size and financial leverage of potential comparable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Dividend—The Black-Scholes valuation model calls for a single expected dividend yield as an input. The Company currently has no history or expectation of paying cash dividends on its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Risk-Free Interest Rate—The risk-free interest rate is based on the yield available on U.S. Treasury zero-coupon issues similar in duration to the expected term of the stock-based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it is probable the performance conditions will be achieved. The Company reassesses the probability of achieving the performance conditions at each reporting date. Forfeitures are accounted for as they occur.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applies the provisions of ASC 740, </w:t>
      </w:r>
      <w:r>
        <w:rPr>
          <w:rFonts w:ascii="Times New Roman" w:hAnsi="Times New Roman"/>
          <w:i/>
          <w:color w:val="000000"/>
          <w:sz w:val="20"/>
        </w:rPr>
        <w:t>Income Taxes</w:t>
      </w:r>
      <w:r>
        <w:rPr>
          <w:rFonts w:ascii="Times New Roman" w:hAnsi="Times New Roman"/>
          <w:color w:val="000000"/>
          <w:sz w:val="20"/>
        </w:rPr>
        <w:t>, (“ASC 740”),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March 31, 2026 and December 31, 2025. The Company does not have any interest or penalties accrued related to tax positions as it does not have any unrecognized tax benefits.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Under ASC 842, </w:t>
      </w:r>
      <w:r>
        <w:rPr>
          <w:rFonts w:ascii="Times New Roman" w:hAnsi="Times New Roman"/>
          <w:i/>
          <w:color w:val="000000"/>
          <w:sz w:val="20"/>
        </w:rPr>
        <w:t>Leases</w:t>
      </w:r>
      <w:r>
        <w:rPr>
          <w:rFonts w:ascii="Times New Roman" w:hAnsi="Times New Roman"/>
          <w:color w:val="000000"/>
          <w:sz w:val="20"/>
        </w:rPr>
        <w:t>, the Company determines if an arrangement is a lease at its inception. Leases are classified as either operating or finance, based on the Company’s evaluation of certain criteria. If a lease has a term greater than one year, the lease is recognized in the balance sheet as a right-of-use asset and a lease liability at lease commencement. The Company elected the short-term lease practical expedient, therefore, if a lease has a term less than one year, the Company will not recognize the lease on its balance sheet. The right-of-use asset represents the Company’s right-of-use to an underlying asset for the term of the lease and the lease liability represents the Company’s obligation to make lease payments arising from the lease. If the Company’s leases do not provide an implicit rate within the lease, the Company uses its incremental borrowing rate, based on information available at the commencement date of the lease to determine the present value of the lease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assets and operating lease liabilities are determined and recognized on the commencement date of the lease based on the present value of lease payments over the term of the lease. For operating leases, rent expense is recognized on a straight-line basis over the term of the lease, and right-of-use assets are subsequently re-measured to reflect the effect of uneven lease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finance leases, right-of-use assets are amortized on a straight-line basis over the shorter of the lease term or the useful life of the underlying asset. Expenses for finance leases include the amortization of right-of-use assets, which is recorded as depreciation and amortization expense, and interest expense, which reflects interest accrued on the lease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Basic and Diluted Net Loss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all periods presented, shares issuable upon exercise of stock options and warrants to purchase shares of common stock (other than pre-funded warrants) have been excluded from the calculation because their effects would be anti-dilutive. Therefore, the weighted average common shares used to calculate both basic and diluted net loss per share are the same for each of the periods presented.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and manages its business as one reportable segment, which is also the Company’s only operating segment. The Company’s chief operating decision maker (“CODM”) is the President and Chief Executive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evaluates the Company’s financial performance and allocates resources based on consolidated net loss, which is reported on the Company’s consolidated statements of comprehensive loss. The CODM uses consolidated net loss to evaluate the Company’s spend and monitor budget versus actual results. The monitoring of budgeted versus actual results is used in assessing performance of the segment and in establishing resource allocation across the 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 of segment assets is reported on the consolidated balance sheets as total consolidated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represents the net change in stockholders’ equity during a period from sources other than transactions with stockholders. As reflected in the accompanying Condensed Consolidated Statements of Comprehensive Loss, our comprehensive loss is comprised of net losses and unrealized gains and losses on marketable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Financial Accounting Standards Board (“FASB”) issued Accounting Standards Update (“ASU”) 2023-09, </w:t>
      </w:r>
      <w:r>
        <w:rPr>
          <w:rFonts w:ascii="Times New Roman" w:hAnsi="Times New Roman"/>
          <w:i/>
          <w:color w:val="000000"/>
          <w:sz w:val="20"/>
        </w:rPr>
        <w:t>Improvements to Income Tax Disclosures</w:t>
      </w:r>
      <w:r>
        <w:rPr>
          <w:rFonts w:ascii="Times New Roman" w:hAnsi="Times New Roman"/>
          <w:color w:val="000000"/>
          <w:sz w:val="20"/>
        </w:rPr>
        <w:t>, which requires entities to disclose disaggregated information about their effective tax rate reconciliation as well as expanded information on income taxes paid by jurisdiction. The Company adopted this accounting standard, on a prospective basis, for the fiscal year beginning on January 1, 2025 and it has resulted in incremental disclosures within the footnotes to the Company’s consolidated financial statements.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xml:space="preserve">, which requires disaggregation and disclosure of specified information about certain costs and expenses in the notes to the financial statements. The standard is effective for fiscal years beginning after December 15, 2026, and interim reporting periods beginning after December 15, 2027, with early adoption permitted. The Company is currently evaluating the impact of adopting ASU 2024-03.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and amortized cost of available-for-sale marketable securities by major security type are presented in the following tables as of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1"/>
        <w:gridCol w:w="146"/>
        <w:gridCol w:w="273"/>
        <w:gridCol w:w="1020"/>
        <w:gridCol w:w="146"/>
        <w:gridCol w:w="146"/>
        <w:gridCol w:w="672"/>
        <w:gridCol w:w="1105"/>
        <w:gridCol w:w="146"/>
        <w:gridCol w:w="146"/>
        <w:gridCol w:w="552"/>
        <w:gridCol w:w="1266"/>
        <w:gridCol w:w="166"/>
        <w:gridCol w:w="146"/>
        <w:gridCol w:w="346"/>
        <w:gridCol w:w="1283"/>
        <w:gridCol w:w="295"/>
      </w:tblGrid>
      <w:tr>
        <w:trPr/>
        <w:tc>
          <w:tcPr>
            <w:tcW w:w="2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61,455</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40,202</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32,857</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152,371</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1"/>
        <w:gridCol w:w="146"/>
        <w:gridCol w:w="273"/>
        <w:gridCol w:w="1020"/>
        <w:gridCol w:w="146"/>
        <w:gridCol w:w="146"/>
        <w:gridCol w:w="591"/>
        <w:gridCol w:w="1185"/>
        <w:gridCol w:w="146"/>
        <w:gridCol w:w="146"/>
        <w:gridCol w:w="688"/>
        <w:gridCol w:w="1130"/>
        <w:gridCol w:w="166"/>
        <w:gridCol w:w="146"/>
        <w:gridCol w:w="346"/>
        <w:gridCol w:w="1283"/>
        <w:gridCol w:w="296"/>
      </w:tblGrid>
      <w:tr>
        <w:trPr/>
        <w:tc>
          <w:tcPr>
            <w:tcW w:w="2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62,672</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42,005</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169,346</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amortized cost and fair value of available-for-sale marketable securities are presented in the following table as of the periods presented by contractual maturity. Actual maturities may differ from contractual maturities because securities may be restructured, called or prepaid, or the Company may intend to sell a security prior to maturity.</w:t>
      </w:r>
    </w:p>
    <w:p>
      <w:pPr>
        <w:pStyle w:val="TextBody"/>
        <w:bidi w:val="0"/>
        <w:jc w:val="left"/>
        <w:rPr/>
      </w:pPr>
      <w:r>
        <w:rPr/>
        <w:t> </w:t>
      </w:r>
    </w:p>
    <w:tbl>
      <w:tblPr>
        <w:tblW w:w="5720" w:type="dxa"/>
        <w:jc w:val="left"/>
        <w:tblInd w:w="0" w:type="dxa"/>
        <w:tblLayout w:type="fixed"/>
        <w:tblCellMar>
          <w:top w:w="28" w:type="dxa"/>
          <w:left w:w="28" w:type="dxa"/>
          <w:bottom w:w="28" w:type="dxa"/>
          <w:right w:w="28" w:type="dxa"/>
        </w:tblCellMar>
      </w:tblPr>
      <w:tblGrid>
        <w:gridCol w:w="2546"/>
        <w:gridCol w:w="146"/>
        <w:gridCol w:w="301"/>
        <w:gridCol w:w="1124"/>
        <w:gridCol w:w="146"/>
        <w:gridCol w:w="146"/>
        <w:gridCol w:w="217"/>
        <w:gridCol w:w="803"/>
        <w:gridCol w:w="291"/>
      </w:tblGrid>
      <w:tr>
        <w:trPr/>
        <w:tc>
          <w:tcPr>
            <w:tcW w:w="2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mature: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102,386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One year through three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720" w:type="dxa"/>
        <w:jc w:val="left"/>
        <w:tblInd w:w="0" w:type="dxa"/>
        <w:tblLayout w:type="fixed"/>
        <w:tblCellMar>
          <w:top w:w="28" w:type="dxa"/>
          <w:left w:w="28" w:type="dxa"/>
          <w:bottom w:w="28" w:type="dxa"/>
          <w:right w:w="28" w:type="dxa"/>
        </w:tblCellMar>
      </w:tblPr>
      <w:tblGrid>
        <w:gridCol w:w="2546"/>
        <w:gridCol w:w="146"/>
        <w:gridCol w:w="301"/>
        <w:gridCol w:w="1124"/>
        <w:gridCol w:w="146"/>
        <w:gridCol w:w="146"/>
        <w:gridCol w:w="217"/>
        <w:gridCol w:w="803"/>
        <w:gridCol w:w="291"/>
      </w:tblGrid>
      <w:tr>
        <w:trPr/>
        <w:tc>
          <w:tcPr>
            <w:tcW w:w="2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mature: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One year through three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58,483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169,346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and 2025, there were no realized gains or losses on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no marketable securities had been in a continuous unrealized loss position for more than 12 months and the Company considered any such losses to be temporary in nature. The Company reviewed the securities in the tables above and considered the decline in market value for these securities to be primarily attributable to economic and market conditions. As of the periods noted in the tables above, the Company did not intend to sell these securities and did not believe it was more likely than not that it would be required to sell these securities before recovery of their amortized cost basis. Additionally, the Company did not recognize any credit losses related to its marketable securities in an unrealized loss position during any of the periods noted in the table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accrued interest receivables on the Company’s available-for-sale marketable securities were $1.1 million and $1.0 million, respectively, and were included within other current assets as presented on its Condensed Consolidated Balance Sheets.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financial assets and financial liabilities measured at fair value on a recurring basis and the basis for that measurement, by level within the fair value hierarchy,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4"/>
        <w:gridCol w:w="146"/>
        <w:gridCol w:w="2747"/>
        <w:gridCol w:w="146"/>
        <w:gridCol w:w="211"/>
        <w:gridCol w:w="676"/>
        <w:gridCol w:w="146"/>
        <w:gridCol w:w="146"/>
        <w:gridCol w:w="211"/>
        <w:gridCol w:w="781"/>
        <w:gridCol w:w="146"/>
        <w:gridCol w:w="146"/>
        <w:gridCol w:w="272"/>
        <w:gridCol w:w="450"/>
        <w:gridCol w:w="146"/>
        <w:gridCol w:w="146"/>
        <w:gridCol w:w="211"/>
        <w:gridCol w:w="781"/>
        <w:gridCol w:w="293"/>
      </w:tblGrid>
      <w:tr>
        <w:trPr/>
        <w:tc>
          <w:tcPr>
            <w:tcW w:w="2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Using:</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18,603</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61,455</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40,202</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32,857</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13,541</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170,974</w:t>
            </w:r>
          </w:p>
        </w:tc>
        <w:tc>
          <w:tcPr>
            <w:tcW w:w="2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4"/>
        <w:gridCol w:w="146"/>
        <w:gridCol w:w="2747"/>
        <w:gridCol w:w="146"/>
        <w:gridCol w:w="211"/>
        <w:gridCol w:w="676"/>
        <w:gridCol w:w="146"/>
        <w:gridCol w:w="146"/>
        <w:gridCol w:w="211"/>
        <w:gridCol w:w="781"/>
        <w:gridCol w:w="146"/>
        <w:gridCol w:w="146"/>
        <w:gridCol w:w="272"/>
        <w:gridCol w:w="450"/>
        <w:gridCol w:w="146"/>
        <w:gridCol w:w="146"/>
        <w:gridCol w:w="211"/>
        <w:gridCol w:w="781"/>
        <w:gridCol w:w="293"/>
      </w:tblGrid>
      <w:tr>
        <w:trPr/>
        <w:tc>
          <w:tcPr>
            <w:tcW w:w="2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Using:</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17,926</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62,672</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46,783</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42,005</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187,272</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consisted of the following:</w:t>
      </w:r>
    </w:p>
    <w:tbl>
      <w:tblPr>
        <w:tblW w:w="6940" w:type="dxa"/>
        <w:jc w:val="left"/>
        <w:tblInd w:w="0" w:type="dxa"/>
        <w:tblLayout w:type="fixed"/>
        <w:tblCellMar>
          <w:top w:w="28" w:type="dxa"/>
          <w:left w:w="28" w:type="dxa"/>
          <w:bottom w:w="28" w:type="dxa"/>
          <w:right w:w="28" w:type="dxa"/>
        </w:tblCellMar>
      </w:tblPr>
      <w:tblGrid>
        <w:gridCol w:w="3451"/>
        <w:gridCol w:w="146"/>
        <w:gridCol w:w="340"/>
        <w:gridCol w:w="920"/>
        <w:gridCol w:w="146"/>
        <w:gridCol w:w="146"/>
        <w:gridCol w:w="403"/>
        <w:gridCol w:w="1097"/>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reserved shares of common stock for future issuance as shown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2"/>
        <w:gridCol w:w="146"/>
        <w:gridCol w:w="146"/>
        <w:gridCol w:w="1036"/>
        <w:gridCol w:w="146"/>
        <w:gridCol w:w="146"/>
        <w:gridCol w:w="146"/>
        <w:gridCol w:w="1036"/>
        <w:gridCol w:w="191"/>
      </w:tblGrid>
      <w:tr>
        <w:trPr/>
        <w:tc>
          <w:tcPr>
            <w:tcW w:w="7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upon exercise of outstanding warrants and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upon exercise under the 2019 Stock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9,023,200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under the 2019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upon exercise under the 2012 Stock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32,246,328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29,506,260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the Company entered into an at-the-market sales agreement with Leerink Partners, LLC (formerly SVB Securities LLC) (the “ATM Sales Agreement”), under which the Company may issue and sell shares of common stock, from time to time by any method that is deemed an “at-the-market” offering as defined in Rule 415(a)(4) under the Securities Act. The Company is not obligated to make any sales of its common stock under the ATM Sales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the Company filed an automatic universal shelf registration statement on Form S-3 (the “2025 Shelf Registration Statement”) with the SEC, which became effective upon filing. The 2025 Shelf Registration Statement permits the Company to offer and sell an indeterminate amount of common stock, preferred stock, debt securities, units and/or warrants from time to time pursuant to one or more offerings at prices and terms to be determined at the time of sale. The 2025 Shelf Registration Statement was filed to replace the Company’s prior universal shelf registration statement. Concurrently with the filing of the 2025 Shelf Registration Statement, the Company filed a new prospectus supplement pursuant to which shares of the Company’s common stock having an aggregate offering price of up to $200.0 million may be offered and sold from time to time under the ATM Sales Agreement. No shares were sold under the ATM Sales Agreement during the three months ended March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18, 2021, the Company issued and sold to New Enterprise Associates 16, L.P., an existing stockholder of the Company (“NEA”) and related party, in a private placement, 1,851,852 shares of the Company’s common stock and accompanying warrants to purchase an aggregate of 3,703,704 shares of the Company’s common stock. Each share of the Company’s common stock and accompanying common stock warrants were sold together at a combined price of $1.62 for gross proceeds of approximately $3.0 million. The accompanying common stock warrants have an exercise price of $1.37 per share and became exercisable immediately upon issuance. Of the accompanying common stock warrants, warrants to purchase an aggregate of 1,851,852 shares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Company’s common stock were scheduled to expire on April 18, 2025, and warrants to purchase an aggregate of 1,851,852 shares of the Company’s common stock will expire on October 18, 2028. On April 17, 2025, NEA exercised all of the warrants that would have expired on April 18, 2025. None of the accompanying common stock warrants issued to NEA in the private placement that expire on October 18, 2028 have been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6, 2022, the Company entered into a securities purchase agreement with certain purchasers, pursuant to which the Company agreed to issue and sell to the purchasers, in a private placement priced at-the-market under Nasdaq rules, (i) 4,580,526 shares of the Company’s common stock at a purchase price of $1.90 per share, and (ii) pre-funded warrants to purchase up to an aggregate of 24,379,673 shares of common stock at a purchase price of $1.899 per warrant (the “April 2022 Private Placement”). Each pre-funded warrant has an exercise price of $0.001 per share, became exercisable immediately upon issuance and will be exercisable until the pre-funded warrant is exercised in full. The April 2022 Private Placement, which closed on April 11, 2022, resulted in gross proceeds to the Company of approximately $55.0 million. NEA, an existing stockholder of the Company and a related party, as well as an affiliate of NEA, participated in the offering. As of March 31, 2026, pre-funded warrants that were issued and sold in the April 2022 Private Placement to purchase 12,531,332 shares of common stock remain outstanding.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Registered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2022, the Company issued and sold 14,252,670 shares of the Company’s common stock and, in lieu of common stock to certain investors, pre-funded warrants to purchase 14,247,330 shares of common stock in a public offering (the “September 2022 Offering”), at a public offering price of $1.93 per share of common stock and $1.929 per pre-funded warrant pursuant to an underwriting agreement (the “Underwriting Agreement”) with SVB Securities, Stifel, Nicolaus &amp; Company, Incorporated and Oppenheimer &amp; Co. Inc., as representatives of the several underwriters (the “Underwriters”). Each pre-funded warrant has an exercise price of $0.001 per share, became exercisable immediately upon issuance and will be exercisable until the pre-funded warrant is exercised in full. Under the terms of the Underwriting Agreement, the Company granted the Underwriters an option (the “Option”), exercisable for 30 days, to purchase up to an additional 4,275,000 shares of common stock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the Company of approximately $58.1 million. As of March 31, 2026, pre-funded warrants that were issued and sold in the September 2022 Offering to purchase 4,717,616 shares of common stock remain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5, 2025, the Company issued and sold 17,400,000 shares of the Company’s common stock to the public in an underwritten offering, or (the “June 2025 Offering”), at an offering price of $5.75 per share of common stock pursuant to an underwriting agreement with Morgan Stanley &amp; Co. LLC, Leerink Partners LLC, Stifel, Nicolaus &amp; Company, Incorporated and Cantor Fitzgerald &amp; Co., as representatives of the several underwriters. In connection with the offering, the Company also granted the underwriters a 30-day option to purchase up to an additional 2,610,000 shares of common stock at the price to the public, less underwriting discounts and commissions. The underwriters exercised the option in full and settled in cash, concurrent with the offering. The June 2025 Offering resulted in aggregate gross proceeds to the Company of approximately $115.1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Warrant activity, including activity related to pre-funded warrants, is shown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1"/>
        <w:gridCol w:w="146"/>
        <w:gridCol w:w="194"/>
        <w:gridCol w:w="1384"/>
        <w:gridCol w:w="146"/>
        <w:gridCol w:w="146"/>
        <w:gridCol w:w="251"/>
        <w:gridCol w:w="1602"/>
        <w:gridCol w:w="146"/>
        <w:gridCol w:w="146"/>
        <w:gridCol w:w="161"/>
        <w:gridCol w:w="1149"/>
        <w:gridCol w:w="146"/>
        <w:gridCol w:w="146"/>
        <w:gridCol w:w="248"/>
        <w:gridCol w:w="548"/>
        <w:gridCol w:w="595"/>
      </w:tblGrid>
      <w:tr>
        <w:trPr/>
        <w:tc>
          <w:tcPr>
            <w:tcW w:w="3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Pre-funded Warrant</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Common Stock Warrant</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Warrant</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17,248,948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17,248,948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1,851,852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pre-funded and common stock warrants are classified as equity in accordance with ASC 815 given that the pre-funded and common stock warrants are indexed to the Company’s own shares of common stock and meet the requirements to be classified in permanent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2012 Stock Incentive Plan (the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May 7, 2019, that no further equity-based awards may be granted under the 2012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the Company’s board of directors approved, and the Company’s stockholders subsequently approved, an amendment to the 2019 Plan (the “Plan Amendment”), which (i) increased the number of shares authorized for issuance under the 2019 Plan by 6,000,000 shares to 16,490,422 shares and (ii) eliminated the evergreen provision of the 2019 Plan. Accordingly, the total number of shares of common stock that may be issued under both the 2019 Plan and the 2012 Plan was 16,107,653 as of March 31, 2026, of which 4,065,967 shares remained available for grant under the 2019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The Company generally settles stock option exercises with newly issued shares of common stock. As of March 31, 2026 and December 31, 2025, respectively, options to purchase 11,763,268 shares and 9,023,200 shares of common stock were granted and outstanding, net of cancellations, under the 2019 Plan. As of March 31, 2026 and December 31, 2025 options to purchase 278,418 shares of common stock were granted and outstanding, net of cancellations, under the 2012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granted options to purchase 832,250 shares of common stock subject to performance-based vesting (“PSOs”) to employees of the Company. The PSOs were subject to vesting based on performance criteria related to the timing and results of two of the Company’s clinical trials. By May 2025, the timing and results of both clinical trials had been determined, and the compensation committee of the Company's board of directors had certified to the satisfaction of the related performance metrics, resulting in PSOs to purchase 642,160 shares vesting and the remaining PSOs being cancelled.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the Company granted PSOs to purchase 710,500 shares of common stock to employees of the Company. The PSOs were subject to vesting based on performance criteria related to the timing and results of the Company’s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Company’s combined stock option activity for the 2019 Plan and the 2012 Plan is as follows:</w:t>
      </w:r>
    </w:p>
    <w:p>
      <w:pPr>
        <w:pStyle w:val="TextBody"/>
        <w:bidi w:val="0"/>
        <w:jc w:val="left"/>
        <w:rPr/>
      </w:pPr>
      <w:r>
        <w:rPr/>
        <w:t> </w:t>
      </w:r>
    </w:p>
    <w:tbl>
      <w:tblPr>
        <w:tblW w:w="6208" w:type="dxa"/>
        <w:jc w:val="left"/>
        <w:tblInd w:w="0" w:type="dxa"/>
        <w:tblLayout w:type="fixed"/>
        <w:tblCellMar>
          <w:top w:w="28" w:type="dxa"/>
          <w:left w:w="28" w:type="dxa"/>
          <w:bottom w:w="28" w:type="dxa"/>
          <w:right w:w="28" w:type="dxa"/>
        </w:tblCellMar>
      </w:tblPr>
      <w:tblGrid>
        <w:gridCol w:w="3481"/>
        <w:gridCol w:w="146"/>
        <w:gridCol w:w="146"/>
        <w:gridCol w:w="1036"/>
        <w:gridCol w:w="166"/>
        <w:gridCol w:w="146"/>
        <w:gridCol w:w="214"/>
        <w:gridCol w:w="582"/>
        <w:gridCol w:w="2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12,041,686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unvested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2019, the Company’s board of directors adopted the 2019 Employee Stock Purchase Plan (the “2019 ESPP”), which became effective on May 7, 2019. The 2019 ESPP is administered by the Company’s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shares of common stock that may be issued under the 2019 ESPP was 1,103,842 as of March 31, 2026.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No annual increase was made on January 1, 2025 and 2026,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classifications of stock-based compensation expenses for the 2012 Plan, the 2019 Plan and the 2019 ESPP recognized in the Condensed Consolidated Statements of Comprehensive Loss:</w:t>
      </w:r>
    </w:p>
    <w:p>
      <w:pPr>
        <w:pStyle w:val="TextBody"/>
        <w:bidi w:val="0"/>
        <w:jc w:val="left"/>
        <w:rPr/>
      </w:pPr>
      <w:r>
        <w:rPr/>
        <w:t> </w:t>
      </w:r>
    </w:p>
    <w:tbl>
      <w:tblPr>
        <w:tblW w:w="5919" w:type="dxa"/>
        <w:jc w:val="left"/>
        <w:tblInd w:w="0" w:type="dxa"/>
        <w:tblLayout w:type="fixed"/>
        <w:tblCellMar>
          <w:top w:w="28" w:type="dxa"/>
          <w:left w:w="28" w:type="dxa"/>
          <w:bottom w:w="28" w:type="dxa"/>
          <w:right w:w="28" w:type="dxa"/>
        </w:tblCellMar>
      </w:tblPr>
      <w:tblGrid>
        <w:gridCol w:w="3626"/>
        <w:gridCol w:w="146"/>
        <w:gridCol w:w="211"/>
        <w:gridCol w:w="571"/>
        <w:gridCol w:w="146"/>
        <w:gridCol w:w="146"/>
        <w:gridCol w:w="211"/>
        <w:gridCol w:w="571"/>
        <w:gridCol w:w="291"/>
      </w:tblGrid>
      <w:tr>
        <w:trPr/>
        <w:tc>
          <w:tcPr>
            <w:tcW w:w="3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2026 and December 31, 2025, the Company maintained a full valuation allowance on deferred tax assets. The income tax benefit recorded during the three months ended March 31, 2026 and 2025 was for the Company’s estimates for its state research and development tax credits in each given year.</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computation of basic and diluted net loss per share attributable to common stockholders of the Company:</w:t>
      </w:r>
    </w:p>
    <w:tbl>
      <w:tblPr>
        <w:tblW w:w="10205" w:type="dxa"/>
        <w:jc w:val="left"/>
        <w:tblInd w:w="0" w:type="dxa"/>
        <w:tblLayout w:type="fixed"/>
        <w:tblCellMar>
          <w:top w:w="28" w:type="dxa"/>
          <w:left w:w="28" w:type="dxa"/>
          <w:bottom w:w="28" w:type="dxa"/>
          <w:right w:w="28" w:type="dxa"/>
        </w:tblCellMar>
      </w:tblPr>
      <w:tblGrid>
        <w:gridCol w:w="6732"/>
        <w:gridCol w:w="146"/>
        <w:gridCol w:w="211"/>
        <w:gridCol w:w="1141"/>
        <w:gridCol w:w="166"/>
        <w:gridCol w:w="146"/>
        <w:gridCol w:w="211"/>
        <w:gridCol w:w="1141"/>
        <w:gridCol w:w="311"/>
      </w:tblGrid>
      <w:tr>
        <w:trPr/>
        <w:tc>
          <w:tcPr>
            <w:tcW w:w="6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shares used in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145,592,901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117,610,750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shares outstanding includes the weighted average effect of the Company’s pre-funded warrants from the date of issuance, the exercise of which requires little or no consideration for the delivery of shares of common stock. As of both March 31, 2026 and December 31, 2025, the Company had pre-funded warrants to purchase 17,248,948 shares of common stock outstanding, which were issued in the April 2022 Private Placement and the September 2022 Offering, which warrants are included in the weighted average common shares used in calculating the net loss per share attributable to common stockholders, basic and diluted, for each of the 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potential dilutive securities, which include stock options and warrants that are not pre-funded,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March 31, 2026 and 2025, respectively, were excluded from the calculation of diluted net loss per share attributable to common stockholders for the periods indicated because including them would have had an anti-dilutive effect:</w:t>
      </w:r>
    </w:p>
    <w:tbl>
      <w:tblPr>
        <w:tblW w:w="5819" w:type="dxa"/>
        <w:jc w:val="left"/>
        <w:tblInd w:w="0" w:type="dxa"/>
        <w:tblLayout w:type="fixed"/>
        <w:tblCellMar>
          <w:top w:w="28" w:type="dxa"/>
          <w:left w:w="28" w:type="dxa"/>
          <w:bottom w:w="28" w:type="dxa"/>
          <w:right w:w="28" w:type="dxa"/>
        </w:tblCellMar>
      </w:tblPr>
      <w:tblGrid>
        <w:gridCol w:w="2726"/>
        <w:gridCol w:w="146"/>
        <w:gridCol w:w="146"/>
        <w:gridCol w:w="1036"/>
        <w:gridCol w:w="146"/>
        <w:gridCol w:w="146"/>
        <w:gridCol w:w="146"/>
        <w:gridCol w:w="1036"/>
        <w:gridCol w:w="291"/>
      </w:tblGrid>
      <w:tr>
        <w:trPr/>
        <w:tc>
          <w:tcPr>
            <w:tcW w:w="2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as of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12,041,686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9,983,612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3,703,704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potential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13,893,538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13,687,316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single reportable segment is the business of developing and commercializing the investigational therapy Haduvio (oral nalbuphine ER) for the treatment of chronic cough in patients with IPF, non-IPF ILD, and RCC.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of the segment are described in Note 2 of the notes to the Condensed Consolidated Financial Statements included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reportable segment loss, including significant expense categories, attributable to the Company’s reportable segment for the periods presented:</w:t>
      </w:r>
    </w:p>
    <w:p>
      <w:pPr>
        <w:pStyle w:val="TextBody"/>
        <w:bidi w:val="0"/>
        <w:jc w:val="left"/>
        <w:rPr/>
      </w:pPr>
      <w:r>
        <w:rPr/>
        <w:t> </w:t>
      </w:r>
    </w:p>
    <w:tbl>
      <w:tblPr>
        <w:tblW w:w="8114" w:type="dxa"/>
        <w:jc w:val="left"/>
        <w:tblInd w:w="0" w:type="dxa"/>
        <w:tblLayout w:type="fixed"/>
        <w:tblCellMar>
          <w:top w:w="28" w:type="dxa"/>
          <w:left w:w="28" w:type="dxa"/>
          <w:bottom w:w="28" w:type="dxa"/>
          <w:right w:w="28" w:type="dxa"/>
        </w:tblCellMar>
      </w:tblPr>
      <w:tblGrid>
        <w:gridCol w:w="5591"/>
        <w:gridCol w:w="146"/>
        <w:gridCol w:w="211"/>
        <w:gridCol w:w="676"/>
        <w:gridCol w:w="166"/>
        <w:gridCol w:w="146"/>
        <w:gridCol w:w="211"/>
        <w:gridCol w:w="676"/>
        <w:gridCol w:w="291"/>
      </w:tblGrid>
      <w:tr>
        <w:trPr/>
        <w:tc>
          <w:tcPr>
            <w:tcW w:w="5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Chronic cough in IPF clinical trial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Refractory chronic cough clinical trial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clinical trials and studies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Clinical trial material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clinical development expenses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 (excluding 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(1) Includes</w:t>
      </w:r>
      <w:r>
        <w:rPr>
          <w:rFonts w:ascii="Times New Roman" w:hAnsi="Times New Roman"/>
          <w:color w:val="000000"/>
          <w:sz w:val="20"/>
        </w:rPr>
        <w:t xml:space="preserve"> </w:t>
      </w:r>
      <w:r>
        <w:rPr>
          <w:rFonts w:ascii="Times New Roman" w:hAnsi="Times New Roman"/>
          <w:color w:val="000000"/>
          <w:sz w:val="17"/>
        </w:rPr>
        <w:t>expense related to the Company’s Phase 1 NDA supportive studies</w:t>
      </w:r>
    </w:p>
    <w:p>
      <w:pPr>
        <w:pStyle w:val="TextBody"/>
        <w:bidi w:val="0"/>
        <w:jc w:val="left"/>
        <w:rPr>
          <w:rFonts w:ascii="Times New Roman" w:hAnsi="Times New Roman"/>
          <w:sz w:val="20"/>
        </w:rPr>
      </w:pPr>
      <w:r>
        <w:rPr>
          <w:rFonts w:ascii="Times New Roman" w:hAnsi="Times New Roman"/>
          <w:color w:val="000000"/>
          <w:sz w:val="17"/>
        </w:rPr>
        <w:t>(2) Includes expense related to general research and development activities, regulatory, medical affairs, and quality assurance.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(3) Includes general administrative expense, other (expense) income, net and income tax benefit.</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has commitments under lease and licensing agreements. There have been no material changes to the Company's lease obligations or licensing agreements from those disclosed in the consolidated financial statements included in the Company's Annual Report on Form 10-K for the fiscal year ended December 31,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sz w:val="20"/>
        </w:rPr>
      </w:pPr>
      <w:r>
        <w:rPr>
          <w:rFonts w:ascii="Times New Roman" w:hAnsi="Times New Roman"/>
          <w:b/>
          <w:color w:val="000000"/>
          <w:sz w:val="20"/>
        </w:rPr>
        <w:t>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On April 16, 2026, we issued and sold 11,600,000 shares of our common stock to the public in an underwritten offering (the “April 2026 Offering”), at an offering price of $13.00 per share of common stock pursuant to an underwriting agreement with Morgan Stanley &amp; Co. LLC and Leerink Partners LLC, as representatives of the several underwriters. In connection with the offering, the Company also granted the underwriters a 30-day option to purchase up to an additional 1,740,000 shares of common stock at the price to the public, less underwriting discounts and commissions. The underwriters option was exercised in full and settled in cash, concurrent with the closing of the offering. The April 2026 Offering resulted in aggregate gross proceeds to us of $173.4 million or net proceeds to us of approximately $162 million, after deducting underwriting discounts and commissions and estimated offering expenses</w:t>
      </w:r>
      <w:r>
        <w:rPr>
          <w:rFonts w:ascii="Times New Roman" w:hAnsi="Times New Roman"/>
          <w:color w:val="000000"/>
          <w:sz w:val="24"/>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2025 included in our Annual Report on Form 10-K, filed with the Securities and Exchange Commission, or SEC, on March 17, 2026.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or the Securities Act,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and in our most recent Annual Report on Form 10-K, including the risks identified under “Risk Factors” of such reports, as well as in our other SEC filings.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actual results and the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caution readers not to place undue reliance on any forward-looking statements made by us, which speak only as of the date they are made.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 clinical-stage biopharmaceutical company focused on the development and commercialization of the investigational therapy Haduvio (oral nalbuphine ER) for the treatment of chronic cough in patients with idiopathic pulmonary fibrosis, or IPF, non-IPF interstitial lung disease, or non-IPF ILD, and refractory chronic cough, or RCC. Haduvio is an oral extended-release formulation of nalbuphine. Haduvio acts on the cough reflex arc both centrally and peripherally as a </w:t>
      </w:r>
      <w:r>
        <w:rPr>
          <w:rFonts w:ascii="Times New Roman" w:hAnsi="Times New Roman"/>
          <w:color w:val="000000"/>
          <w:sz w:val="20"/>
          <w:u w:val="single"/>
        </w:rPr>
        <w:t>k</w:t>
      </w:r>
      <w:r>
        <w:rPr>
          <w:rFonts w:ascii="Times New Roman" w:hAnsi="Times New Roman"/>
          <w:color w:val="000000"/>
          <w:sz w:val="20"/>
        </w:rPr>
        <w:t xml:space="preserve">appa receptor </w:t>
      </w:r>
      <w:r>
        <w:rPr>
          <w:rFonts w:ascii="Times New Roman" w:hAnsi="Times New Roman"/>
          <w:color w:val="000000"/>
          <w:sz w:val="20"/>
          <w:u w:val="single"/>
        </w:rPr>
        <w:t>a</w:t>
      </w:r>
      <w:r>
        <w:rPr>
          <w:rFonts w:ascii="Times New Roman" w:hAnsi="Times New Roman"/>
          <w:color w:val="000000"/>
          <w:sz w:val="20"/>
        </w:rPr>
        <w:t xml:space="preserve">gonist and a </w:t>
      </w:r>
      <w:r>
        <w:rPr>
          <w:rFonts w:ascii="Times New Roman" w:hAnsi="Times New Roman"/>
          <w:color w:val="000000"/>
          <w:sz w:val="20"/>
          <w:u w:val="single"/>
        </w:rPr>
        <w:t>m</w:t>
      </w:r>
      <w:r>
        <w:rPr>
          <w:rFonts w:ascii="Times New Roman" w:hAnsi="Times New Roman"/>
          <w:color w:val="000000"/>
          <w:sz w:val="20"/>
        </w:rPr>
        <w:t xml:space="preserve">u receptor </w:t>
      </w:r>
      <w:r>
        <w:rPr>
          <w:rFonts w:ascii="Times New Roman" w:hAnsi="Times New Roman"/>
          <w:color w:val="000000"/>
          <w:sz w:val="20"/>
          <w:u w:val="single"/>
        </w:rPr>
        <w:t>a</w:t>
      </w:r>
      <w:r>
        <w:rPr>
          <w:rFonts w:ascii="Times New Roman" w:hAnsi="Times New Roman"/>
          <w:color w:val="000000"/>
          <w:sz w:val="20"/>
        </w:rPr>
        <w:t>ntagonist, or KAMA, targeting opioid receptors that play a key role in controlling chronic cough. The kappa- and mu-opioid receptors are found in respiratory-related regions of the brainstem and spinal cord, as well as higher brain regions. Nalbuphine has been approved and marketed as an injectable for pain indications for decades in the United States, or the U.S., and Europe. Nalbuphine’s mechanism of action also mitigates the risk of abuse associated with mu-opioid agonists because it antagonizes, or blocks, the mu-opioid receptor. Parenteral nalbuphine is not scheduled as a controlled substance by the U.S. Drug Enforcement Agency and in most of Europe.</w:t>
      </w:r>
    </w:p>
    <w:p>
      <w:pPr>
        <w:pStyle w:val="TextBody"/>
        <w:bidi w:val="0"/>
        <w:spacing w:before="120" w:after="283"/>
        <w:jc w:val="left"/>
        <w:rPr>
          <w:rFonts w:ascii="Times New Roman" w:hAnsi="Times New Roman"/>
          <w:sz w:val="20"/>
        </w:rPr>
      </w:pPr>
      <w:r>
        <w:rPr>
          <w:rFonts w:ascii="Times New Roman" w:hAnsi="Times New Roman"/>
          <w:i/>
          <w:color w:val="000000"/>
          <w:sz w:val="20"/>
        </w:rPr>
        <w:t>IPF-related Chronic Cough Program.</w:t>
      </w:r>
      <w:r>
        <w:rPr>
          <w:rFonts w:ascii="Times New Roman" w:hAnsi="Times New Roman"/>
          <w:color w:val="000000"/>
          <w:sz w:val="20"/>
        </w:rPr>
        <w:t xml:space="preserve"> We are initially developing Haduvio for the treatment of IPF-related chronic cough, which is a progressive fibrosing interstitial lung disease associated with high mortality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we announced positive topline results from our Phase 2b CORAL trial, which was a dose-ranging study evaluating the efficacy, safety and tolerability of Haduvio for IPF-related chronic cough. The Phase 2b CORAL trial was a randomized, double-blind, placebo-controlled, parallel-arm design that evaluated three different dose groups of Haduvio (108 mg BID, 54 mg BID and 27 mg BID) as compared to placebo. The primary efficacy endpoint for the trial was the relative change in 24-hour cough frequency (coughs per hour) for the modified intent-to-treat, or mITT, population at the end of Week 6 versus Baseline for Haduvio compared to placebo, as measured via an objective cough monitor. The mITT population consists of all randomized patients who received at least one dose of study drug or placebo (n=165). The primary efficacy endpoint in the Phase 2b CORAL trial was achieved, demonstrating statistically significant reductions in 24-hour cough frequency across all dose groups at Week 6. The 108 mg twice-a-day, or BID, 54 mg BID and 27 mg BID dose groups achieved statistically significant reductions from Baseline of 60.2% (p&lt;0.0001), 53.4% (p&lt;0.0001), and 47.9% (p&lt;0.01), respectively, compared to a placebo reduction from Baseline of 16.9%.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completed an End-of-Phase 2 meeting with the U.S. Food and Drug Administration, or the FDA. At the meeting, we gained overall alignment on the plan for the remaining clinical trials to potentially support a New Drug Application, or NDA, submission for Haduvio, including two pivotal Phase 3 clinical trials and the remaining Phase 1 clinical trials. We plan to conduct the Phase 3 trials in parallel, with the first Phase 3 trial to be initiated in the second quarter of 2026 and the second Phase 3 trial to be initiated in the second half of 2026. The two Phase 3 trials will be conducted as randomized, double-blind, placebo-controlled, multicenter global trials with 2:1 randomization. The protocol for the first of the two Phase 3 trials provides for the enrollment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approximately 300 patients and 52 weeks of fixed dosing with Haduvio 54 mg BID, with the primary efficacy endpoint measured at 24 weeks of fixed dosing and the safety endpoint measured at 52 weeks of fixed dosing. The protocol for the second of the two Phase 3 trials provides for the enrollment of approximately 200 patients and 12 weeks of fixed dosing with Haduvio 54 mg BID with the primary efficacy endpoint measured at 12 weeks of fixed dosing. The primary efficacy endpoint for both trials will be the relative change from Baseline in 24-hour cough frequency (coughs per hour), as determined by an objective cough monitor, for Haduvio compared with placebo. A key secondary endpoint for both trials will be relative change from Baseline in the cough severity numerical rating scale (CS-NRS). These trial designs are subject to final review of the protocols by the FDA. We expect to have topline results from the first Phase 3 trial in the first half of 2028 and from the second Phase 3 trial in the second half of 2027.</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Non-IPF ILD-related Chronic Cough Program. </w:t>
      </w:r>
      <w:r>
        <w:rPr>
          <w:rFonts w:ascii="Times New Roman" w:hAnsi="Times New Roman"/>
          <w:color w:val="000000"/>
          <w:sz w:val="20"/>
        </w:rPr>
        <w:t>We are also developing Haduvio for the treatment of non-IPF ILD-related chronic cough. We plan to initiate an adaptive design Phase 2b clinical trial for the treatment of patients with non-IPF ILD-related chronic cough in the second half of 2026, subject to a meeting with the FDA and review of the trial protocol by the FDA. If we initiate the trial when anticipated, we would expect topline results from the Phase 2b trial in the second half of 2027.</w:t>
      </w:r>
    </w:p>
    <w:p>
      <w:pPr>
        <w:pStyle w:val="TextBody"/>
        <w:bidi w:val="0"/>
        <w:spacing w:before="120" w:after="283"/>
        <w:jc w:val="left"/>
        <w:rPr>
          <w:rFonts w:ascii="Times New Roman" w:hAnsi="Times New Roman"/>
          <w:sz w:val="20"/>
        </w:rPr>
      </w:pPr>
      <w:r>
        <w:rPr>
          <w:rFonts w:ascii="Times New Roman" w:hAnsi="Times New Roman"/>
          <w:i/>
          <w:color w:val="000000"/>
          <w:sz w:val="20"/>
        </w:rPr>
        <w:t>RCC Program.</w:t>
      </w:r>
      <w:r>
        <w:rPr>
          <w:rFonts w:ascii="Times New Roman" w:hAnsi="Times New Roman"/>
          <w:color w:val="000000"/>
          <w:sz w:val="20"/>
        </w:rPr>
        <w:t xml:space="preserve"> We are developing Haduvio for the treatment of RCC, which affects approximately 2-3 million adults in the U.S. and is related to biological changes in the central and peripheral nervous systems that lower the threshold of the cough reflex. It is highly disruptive and accompanied by a wide range of complications, ranging from urinary incontinence in females to sleep disruption and social embarrassment that causes significant social and economic burden for patients and those around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we announced positive topline data from our Phase 2a proof-of-concept clinical trial of Haduvio for the treatment of patients with RCC, which we refer to as the Phase 2a RIVER trial. The Phase 2a RIVER trial was a randomized, double-blind, placebo-controlled, two-treatment, two-period, crossover study that was designed to evaluate the efficacy, safety, tolerability and dosing of Haduvio for the treatment of patients with RCC. The primary endpoint of the trial was the mean change in 24-hour cough frequency, as determined by an objective cough monitor, for the full analysis set population (n=66). In the trial, Haduvio met the primary endpoint at Day 21 with a statistically significant reduction in the objective 24-hour cough frequency of 67% from Baseline and 57% from Baseline on a placebo-adjusted basis (p&lt;0.0001). Planned analyses of all pre-specified secondary endpoints, including patient reported endpoints, at the end of treatment were also statistically significant. The safety results of the trial were generally consistent with the known safety profile of Haduvio from previous trials in other patient populations and there were no serious adverse events reported in the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initiate a Phase 2b trial of Haduvio for the treatment of patients with RCC in the second quarter of 2026. We are planning to conduct this randomized, double-blind, placebo-controlled, multicenter trial in the United Kingdom, Canada, and Poland. The Phase 2b trial will enroll approximately 100 patients. The Phase 2b trial is designed to evaluate three different dose groups of Haduvio (54 mg BID, 27 mg BID, and 27 mg once daily (QD)) as compared to placebo. The primary efficacy endpoint for the trial is the relative change from Baseline in 24-hour cough frequency (coughs per hour) at the end of Week 6, as determined by an objective cough monitor, for Haduvio compared with placebo. The trial is subject to review of the protocol by regulatory authorities. The protocol will provide for a sample size re-estimation, or SSRE, analysis, which is expected to occur in the fourth quarter of 2026 and topline results for the clinical trial expected to occur in the second half of 2027.</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Other NDA Supportive Studies. </w:t>
      </w:r>
      <w:r>
        <w:rPr>
          <w:rFonts w:ascii="Times New Roman" w:hAnsi="Times New Roman"/>
          <w:color w:val="000000"/>
          <w:sz w:val="20"/>
        </w:rPr>
        <w:t xml:space="preserve">We also plan to continue to progress and advance NDA supportive studies necessary for regulatory approval, including Phase 1 clinical studies such as completing our respiratory safety study, and conducting drug-drug interaction, food effect, and hepatic and renal impairment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March 31, 2026, we had an accumulated deficit of $343.0 million, primarily as a result of research and development and general and administrative expenses. We do not expect to generate product revenue unless and until we obtain marketing approval for and commercialize Haduvio for the treatment of chronic cough in patients with IPF, non-IPF ILD, or RCC and we can provide no assurance that we will ever generate significant revenue or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had cash, cash equivalents and marketable securities of $171.8 million. We believe that our existing cash, cash equivalents and marketable securities will enable us to fund our operating expenses and capital expenditure requirements for at least 12 months from the date of issuance of the Condensed Consolidated Financial Statements included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trials we are conducting and plan to conduct for Haduvio including our planned Phase 3 trials for the treatment of IPF-related chronic cough, our planned adaptive design Phase 2b clinical trial of Haduvio for the treatment of non-IPF ILD-related chronic cough, our planned Phase 2b clinical trial of Haduvio for the treatment of patients with RCC, and our ongoing and planned Phase 1 NDA supportive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substantial additional funding to support our continuing operations and pursue development and commercialization of Haduvio. Until such time that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or enter into such agreements as and when needed, we may have to significantly delay, scale back or discontinue the development and commercialization of Haduvio for one or more indications or delay our efforts to expand our product pipeline.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periods presented, all of our research and development expenses consist of expenses incurred in connection with the development of Haduvio. These expenses include personnel-related costs, including stock-based compensation, consulting costs, fees paid to contract research organizations, or CROs, to conduct certain research and development activities on our behalf, contract manufacturing costs and fees paid to other vendors that provide goods and services related to our clinical trials.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research and development expenses to increase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Haduvio will receive regulatory approval in the U.S. or elsewhere with any certainty.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principally of personnel-related costs, including stock-based compensation for personnel in executive, finance, commercial and other administrative functions; professional fees for legal, information technology, consulting and accounting services; as well as rent and other general operating expenses not otherwise classified as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increase as a result of increased personnel costs, including stock-based compensation and expanded infrastructure. We also anticipate that our general and administrative expenses will increase as we expect to continue to incur increased costs as we continue to prepare for compliance with Section 404 of the Sarbanes-Oxley Act of 2002, or SOX 404(b).</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net consists of interest earned primarily on our cash, cash equivalents and marketable securities as well as accretion of discounts/amortization of premiums on purchases of marketable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consists of foreign currency transaction gains and losses.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jc w:val="left"/>
        <w:rPr/>
      </w:pPr>
      <w:r>
        <w:rPr/>
        <w:t> </w:t>
      </w:r>
    </w:p>
    <w:tbl>
      <w:tblPr>
        <w:tblW w:w="6683" w:type="dxa"/>
        <w:jc w:val="left"/>
        <w:tblInd w:w="0" w:type="dxa"/>
        <w:tblLayout w:type="fixed"/>
        <w:tblCellMar>
          <w:top w:w="28" w:type="dxa"/>
          <w:left w:w="28" w:type="dxa"/>
          <w:bottom w:w="28" w:type="dxa"/>
          <w:right w:w="28" w:type="dxa"/>
        </w:tblCellMar>
      </w:tblPr>
      <w:tblGrid>
        <w:gridCol w:w="2586"/>
        <w:gridCol w:w="146"/>
        <w:gridCol w:w="211"/>
        <w:gridCol w:w="736"/>
        <w:gridCol w:w="166"/>
        <w:gridCol w:w="146"/>
        <w:gridCol w:w="211"/>
        <w:gridCol w:w="736"/>
        <w:gridCol w:w="166"/>
        <w:gridCol w:w="146"/>
        <w:gridCol w:w="211"/>
        <w:gridCol w:w="631"/>
        <w:gridCol w:w="59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(in thousands):</w:t>
      </w:r>
    </w:p>
    <w:p>
      <w:pPr>
        <w:pStyle w:val="TextBody"/>
        <w:bidi w:val="0"/>
        <w:jc w:val="left"/>
        <w:rPr/>
      </w:pPr>
      <w:r>
        <w:rPr/>
        <w:t> </w:t>
      </w:r>
    </w:p>
    <w:tbl>
      <w:tblPr>
        <w:tblW w:w="6963" w:type="dxa"/>
        <w:jc w:val="left"/>
        <w:tblInd w:w="0" w:type="dxa"/>
        <w:tblLayout w:type="fixed"/>
        <w:tblCellMar>
          <w:top w:w="28" w:type="dxa"/>
          <w:left w:w="28" w:type="dxa"/>
          <w:bottom w:w="28" w:type="dxa"/>
          <w:right w:w="28" w:type="dxa"/>
        </w:tblCellMar>
      </w:tblPr>
      <w:tblGrid>
        <w:gridCol w:w="3596"/>
        <w:gridCol w:w="146"/>
        <w:gridCol w:w="211"/>
        <w:gridCol w:w="571"/>
        <w:gridCol w:w="146"/>
        <w:gridCol w:w="146"/>
        <w:gridCol w:w="211"/>
        <w:gridCol w:w="571"/>
        <w:gridCol w:w="146"/>
        <w:gridCol w:w="146"/>
        <w:gridCol w:w="211"/>
        <w:gridCol w:w="571"/>
        <w:gridCol w:w="29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for the three months ended March 31, 2026 increased to $9.9 million from $7.8 million for the corresponding period in 2025, primarily due to increased clinical development expenses for our Phase 1 NDA supportive studies, Phase 3 IPF-related chronic cough trials and Phase 2b RCC trial, partially offset by a decrease in clinical development expenses for our Phase 2b CORAL trial and Phase 2a RIVER trial.</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for the three months ended March 31, 2026 increased to $5.0 million from $3.7 million for the corresponding period in 2025, primarily due to higher legal fees associated with intellectual property filings as well as increases in stock-based compensation expense and personnel-related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for the three months ended March 31, 2026 increased to $1.7 million from $1.1 million for the corresponding period in 2025, primarily due to an increase in interest income from higher invested cash equivalent and marketable securities balances.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and have incurred significant operating losses and negative cash flows from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16, 2026, we issued and sold 11,600,000 shares of our common stock to the public in an underwritten offering, or the April 2026 Offering, at an offering price of $13.00 per share of common stock pursuant to an underwriting agreement with Morgan Stanley &amp; Co. LLC and Leerink Partners LLC, as representatives of the several underwriters. In connection with the offering, we also granted the underwriters a 30-day option to purchase up to an additional 1,740,000 shares of common stock at the price to the public, less underwriting discounts and commissions. The underwriters option was exercised in full and settled in cash, concurrent with the closing of the offering. The April 2026 Offering resulted in aggregate gross proceeds to us of $173.4 million or net proceeds to us of approximately $162 million, after deducting underwriting discounts and commissions and estimated offering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5, 2025, we issued and sold 17,400,000 shares of our common stock to the public in an underwritten offering, or the June 2025 Offering, at an offering price of $5.75 per share of common stock pursuant to an underwriting agreement with Morgan Stanley &amp; Co. LLC, Leerink Partners LLC, Stifel, Nicolaus &amp; Company, Incorporated and Cantor Fitzgerald &amp; Co., as representatives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several underwriters. In connection with the offering, we also granted the underwriters a 30-day option to purchase up to an additional 2,610,000 shares of common stock at the price to the public, less underwriting discounts and commissions. The underwriters' option was exercised in full and settled in cash, concurrent with the offering. The June 2025 Offering resulted in aggregate gross proceeds to us of approximately $115.1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17, 2024, we issued and sold 12,500,000 shares of our common stock to certain investors in an underwritten registered direct offering, or the December 2024 Offering, at an offering price of $4.00 per share of common stock pursuant to an underwriting agreement with Leerink Partners LLC, Stifel, Nicolaus &amp; Company, Incorporated, and Oppenheimer &amp; Co. Inc, as representatives of the several underwriters. The December 2024 Offering resulted in aggregate gross proceeds to us of approximately $50.0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we filed with the SEC a universal shelf registration statement on Form S-3, or the 2023 Shelf Registration Statement, which allowed us to offer and sell up to $200.0 million of common stock, preferred stock, debt securities, units and/or warrants from time to time pursuant to one or more offerings at prices and terms to be determined at the time of sale. The 2023 Shelf Registration Statement was declared effective on August 15, 2023. Further, in June 2023, we entered into a sales agreement with Leerink Partners, LLC (formerly SVB Securities LLC), which we refer to as the ATM Sales Agreement, under which we may issue and sell shares of common stock, from time to time by any method that is deemed an “at-the-market” offering as defined in Rule 415(a)(4) under the Securities Act. We are not obligated to make any sales of our common stock under the ATM Sales Agreement. We filed a prospectus under the 2023 Shelf Registration Statement for the offer and sale of shares of our common stock having an aggregate offering price of up to $75.0 million pursuant to the ATM Sales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2025, we filed an automatic universal shelf registration statement on Form S-3, or the 2025 Shelf Registration Statement, with the SEC, which became effective upon filing. The 2025 Shelf Registration Statement permits us to offer and sell an indeterminate amount of common stock, preferred stock, debt securities, units and/or warrants from time to time pursuant to one or more offerings at prices and terms to be determined at the time of sale. The 2025 Shelf Registration Statement was filed to replace the 2023 Shelf Registration Statement. Concurrently with the filing of the 2025 Shelf Registration Statement, we filed a new prospectus supplement pursuant to which shares of our common stock having an aggregate offering price of up to $200.0 million may be offered and sold from time to time under the ATM Sales Agreement. No shares were sold under the ATM Sales Agreement during the three months ended March 31, 2026.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cash flows for each of the periods presented below (in thousands):</w:t>
      </w:r>
    </w:p>
    <w:tbl>
      <w:tblPr>
        <w:tblW w:w="8483" w:type="dxa"/>
        <w:jc w:val="left"/>
        <w:tblInd w:w="0" w:type="dxa"/>
        <w:tblLayout w:type="fixed"/>
        <w:tblCellMar>
          <w:top w:w="28" w:type="dxa"/>
          <w:left w:w="28" w:type="dxa"/>
          <w:bottom w:w="28" w:type="dxa"/>
          <w:right w:w="28" w:type="dxa"/>
        </w:tblCellMar>
      </w:tblPr>
      <w:tblGrid>
        <w:gridCol w:w="4521"/>
        <w:gridCol w:w="146"/>
        <w:gridCol w:w="211"/>
        <w:gridCol w:w="736"/>
        <w:gridCol w:w="166"/>
        <w:gridCol w:w="146"/>
        <w:gridCol w:w="211"/>
        <w:gridCol w:w="736"/>
        <w:gridCol w:w="166"/>
        <w:gridCol w:w="146"/>
        <w:gridCol w:w="211"/>
        <w:gridCol w:w="676"/>
        <w:gridCol w:w="41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operating activities used $16.7 million of net cash, resulting from our net loss of $13.2 million and net changes in our operating assets and liabilities of $5.4 million, partially offset by net non-cash charges of $1.9 million. Changes in our operating assets and liabilities consisted of $2.8 million increase in prepaid expenses and other current assets, a $1.5 million decrease in accounts payable, and a $1.1 million decrease in accrued expenses and other liabilities. The increase in prepaid expenses and other current assets was primarily due to an increase in deposits and prepayments related to our clinical trial work performed by our CROs, as well as an increase in interest and dividends receivable from our higher invested cash equivalent and marketable securities balances. The decrease in accounts payable was primarily due to the timing of vendor invoices. The decrease in accrued expenses and other liabilities was primarily due to a decrease in accrued compensation and benefits. The non-cash charges consisted primarily of stock-based compensation expense of $2.2 million, partially offset by $0.4 million of accretion of our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operating activities used $13.5 million of net cash, resulting from our net loss of $10.3 million and net changes in our operating assets and liabilities of $4.1 million, partially offset by net non-cash charges of $1.0 million. Changes in our operating assets and liabilities consisted of a $2.0 million decrease in accounts payable, a $1.5 million decrease in accrued expenses and other liabilities and a $0.6 million increase in prepaid expenses and other current assets. The decrease in accounts payable was primarily due to the timing of vendor invoices. The decrease in accrued expenses and other liabilities was primarily due to a decrease in accrued compensation and benefits along with a decrease in accruals for clinical development and clinical trial work performed by our CROs. The increase in prepaid expenses and other current assets was primarily due to an increase in prepayments related to our clinical trial work performed by our CROs. The non-cash charges consisted primarily of stock-based compensation expense of $1.2 million, $0.1 million change in value of our operating lease right-of-use assets and liabilities, partially offset by $0.4 million of accretion of our available-for-sale marketable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net cash provided by investing activities was $17.0 million, primarily related to $25.6 million of proceeds from maturities of available-for-sale marketable securities partially offset by $8.5 million of purchases of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net cash used in investing activities was $10.0 million, primarily related to $27.5 million of purchases of available-for-sale marketable securities partially offset by $17.6 million of proceeds from maturities of available-for-sale marketable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net cash provided by financing activities was $0.2 million from the exercise of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net cash provided by financing activities was $8.7 million, primarily consisting of cash proceeds of $8.2 million from the exercise of warrants and $0.7 million of cash proceeds from the exercise of stock options partially offset by $0.2 million in payments of offering costs related to the December 2024 Offering.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planned Phase 3 trials and any additional trials of Haduvio for the treatment of IPF-related chronic cough;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planned adaptive design Phase 2b clinical trial and any additional trials of Haduvio for the treatment of non-IPF ILD-related chronic cough;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planned Phase 2b clinical trial and any additional trials of Haduvio for the treatment of patients with RCC;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ongoing and planned Phase 1 NDA supportive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additional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determine to conduct additional clinical trials of Haduvio for other indications;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acquire or in-license rights to or develop other potential product candidates or technologies and seek regulatory and marketing approvals for Haduvio or any future product candidate that successfully completes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costs associated with operating as a public company, including significant legal, accounting, information technology, investor relations and other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substantial additional funding to support our continuing operations.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timing, costs and results of clinical trials of Haduvio, including our planned Phase 3 trials of Haduvio for the treatment of IPF-related chronic cough, our planned adaptive design Phase 2b clinical trial of Haduvio for the treatment of non-IPF ILD-related chronic cough, our planned Phase 2b clinical trial for the treatment of RCC, and our planned Phase 1 NDA supportive studies, as well as trials for any future product candidates and the costs of seeking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indications for which we seek to develop Haduvio or any future product candidates and their respective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to manufacture necessary quantities of Haduvio or any future product candidate for clinical development in connection with regulatory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Haduvio for the treatment of IPF-related chronic cough, non-IPF ILD and RCC or for any future product candidates that receive marketing approval, if any,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receipt of marketing approvals, revenue, if any, received from commercial sales of Haduvio for the treatment of chronic cough in patients with IPF, non-IPF ILD or RCC or from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potential collaborators for Haduvio for the treatment of chronic cough in patients with IPF, non-IPF ILD or RCC or for any future product candidates, and the terms and timing of any collaboration agreement that we may establish for the development and any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rights to other potential product candidates or technologies and the terms and timing of any such acquisition or licensing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obligation to make milestone payments to Keenova Therapeutics plc, or Keenova, which would become due upon the successful completion of the first Phase 3 clinical trial of a licensed product candidate and the marketing approval of a licensed product in the U.S., as well as our potential obligations to pay Keenova royalties on the net sales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activities and medical affairs activities and establish a commercial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expanding and protecting our intellectual property rights and defending against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technologies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healthcare coverage and adequate reimbursement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cash equivalents and marketable securities, will enable us to fund our operating expenses and capital expenditure requirements into 2030. We expect these resources will enable us to fund our development program for Haduvio for the treatment of chronic cough in patients with IPF, including our two planned Phase 3 trials, potentially through U.S. FDA approval. We also expect that these cash resources will enable us to fund and report topline data from our planned Phase 2b clinical trial and potentially a subsequent Phase 3 clinical trial for the treatment of patients with non-IPF ILD, and our planned Phase 2b trial for the treatment of patients with RCC. However, our planned spending of these resources does not include any commercial expenses related to the commercial launch of Haduvio or the conduct of any other clinical trials. In addition, these resources will not be sufficient for us to fund the clinical development of Haduvio through regulatory approval for non-IPF ILD-related chronic cough or RCC, or to fund any future product candidates through regulatory approval, and we will need to raise substantial additional capital to complete the development and commercialization of Haduvio and any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our estimates as to how long we expect we will be able to fund our operations and the timing and costs of our planned trials and regulatory process on assumptions that may prove to be wrong and we could use our available capital resources sooner than we currently expect, in which case we would be required to obtain additional financing, and our trials and regulatory activities may be delayed or take longer than we currently expect.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committed external source of funds. 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patients with IPF, non-IPF ILD or RCC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that we seek or additional equity that we raise may contain terms that could adversely affect our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development activities are outsourced to third parties under agreements, including with CROs and contract manufacturers in connection with the production of clinical trial materials. The contracts are cancelable at any time by us, generally upon 45 to 60 days’ prior written notice to the CRO, and therefore we believe that our non-cancelable obligations under these agreements are not material. For information related to our future commitments relating to our lease and licensing agreements, refer to our consolidated financial statements included in our Annual Report on Form 10-K for the year ended December 31,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Financial Statements have been prepared in accordance with U.S.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our significant accounting policies are described in the Notes to our financial statements, we believe that the critical accounting policy related to research and development expenses that is described under the heading “Management’s Discussion and Analysis of Financial Condition and Results of Operations—Critical Accounting Policies and Use of Estimates” in our Annual Report on Form 10-K for the year ended December 31, 2025, is the most important to understanding and evaluating our reported financial results. During the three months ended March 31, 2026, there were no material changes to our critical accounting policies.</w:t>
      </w:r>
    </w:p>
    <w:p>
      <w:pPr>
        <w:pStyle w:val="TextBody"/>
        <w:bidi w:val="0"/>
        <w:spacing w:before="12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March 31, 2026.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March 31, 2026, our Chief Executive Officer and Chief Financial Officer concluded that, as of such date, our disclosure controls and procedures were effective at the reasonable assurance level.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the three months ended March 31, 2026 that has materially affected, or is reasonably likely to materially affect, our internal control over financial reporting.</w:t>
      </w:r>
    </w:p>
    <w:p>
      <w:pPr>
        <w:pStyle w:val="TextBody"/>
        <w:bidi w:val="0"/>
        <w:jc w:val="left"/>
        <w:rPr/>
      </w:pPr>
      <w:r>
        <w:rPr/>
        <w:t> </w:t>
      </w:r>
    </w:p>
    <w:p>
      <w:pPr>
        <w:pStyle w:val="TextBody"/>
        <w:bidi w:val="0"/>
        <w:jc w:val="left"/>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subject to any material legal proceedings.</w:t>
      </w:r>
    </w:p>
    <w:p>
      <w:pPr>
        <w:pStyle w:val="TextBody"/>
        <w:bidi w:val="0"/>
        <w:spacing w:before="12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our previously disclosed risk factors in "Part I, Item 1A. Risk Factors" of our Annual Report on Form 10-K for the year ended December 31, 2025.</w:t>
      </w:r>
    </w:p>
    <w:p>
      <w:pPr>
        <w:pStyle w:val="TextBody"/>
        <w:bidi w:val="0"/>
        <w:jc w:val="left"/>
        <w:rPr/>
      </w:pPr>
      <w:r>
        <w:rPr/>
        <w:t> </w:t>
      </w:r>
    </w:p>
    <w:p>
      <w:pPr>
        <w:pStyle w:val="TextBody"/>
        <w:bidi w:val="0"/>
        <w:jc w:val="left"/>
        <w:rPr>
          <w:rFonts w:ascii="Times New Roman" w:hAnsi="Times New Roman"/>
          <w:b/>
          <w:color w:val="000000"/>
          <w:sz w:val="20"/>
        </w:rPr>
      </w:pPr>
      <w:bookmarkStart w:id="15" w:name="item_5_other_information"/>
      <w:bookmarkEnd w:id="15"/>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 Director and Officer Trading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Thomas Sciascia, the Company's Chief Scientific Officer, adopted a Rule 10b5-1 trading arrangement for the sale of the Company's common stock that is intended to satisfy the affirmative defense conditions of Rule 10b5-1(c) of the Securities Exchange Act of 1934, as amended. This plan was adopted on January 21, 2026 and has an expiration date of December 31, 2026. Pursuant to the plan, the aggregate number of options to be exercised, and the aggregate number of shares of common stock to be sold upon exercise of those options, is not to exceed 3,947.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 of our other directors or officers adopted or terminated a Rule 10b5-1 trading arrangement or a non-Rule 10b5-1 trading arrangement (as defined in Item 408(c) of Regulation S-K) during the three months ended March 31, 2026.</w:t>
      </w:r>
    </w:p>
    <w:p>
      <w:pPr>
        <w:pStyle w:val="TextBody"/>
        <w:bidi w:val="0"/>
        <w:jc w:val="left"/>
        <w:rPr/>
      </w:pPr>
      <w:r>
        <w:rPr/>
        <w:t> </w:t>
      </w:r>
    </w:p>
    <w:p>
      <w:pPr>
        <w:pStyle w:val="TextBody"/>
        <w:bidi w:val="0"/>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jc w:val="left"/>
        <w:rPr/>
      </w:pPr>
      <w:r>
        <w:rPr/>
        <w:t> </w:t>
      </w:r>
    </w:p>
    <w:tbl>
      <w:tblPr>
        <w:tblW w:w="1828" w:type="dxa"/>
        <w:jc w:val="left"/>
        <w:tblInd w:w="0" w:type="dxa"/>
        <w:tblLayout w:type="fixed"/>
        <w:tblCellMar>
          <w:top w:w="28" w:type="dxa"/>
          <w:left w:w="28" w:type="dxa"/>
          <w:bottom w:w="28" w:type="dxa"/>
          <w:right w:w="28" w:type="dxa"/>
        </w:tblCellMar>
      </w:tblPr>
      <w:tblGrid>
        <w:gridCol w:w="706"/>
        <w:gridCol w:w="146"/>
        <w:gridCol w:w="97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2"/>
        <w:gridCol w:w="146"/>
        <w:gridCol w:w="9317"/>
      </w:tblGrid>
      <w:tr>
        <w:trPr/>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7" w:type="dxa"/>
            <w:tcBorders/>
            <w:vAlign w:val="center"/>
          </w:tcPr>
          <w:p>
            <w:pPr>
              <w:pStyle w:val="TableContents"/>
              <w:bidi w:val="0"/>
              <w:spacing w:before="0" w:after="283"/>
              <w:jc w:val="left"/>
              <w:rPr>
                <w:sz w:val="4"/>
                <w:szCs w:val="4"/>
              </w:rPr>
            </w:pPr>
            <w:r>
              <w:rPr>
                <w:sz w:val="4"/>
                <w:szCs w:val="4"/>
              </w:rPr>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10_1.htm">
              <w:r>
                <w:rPr>
                  <w:rStyle w:val="InternetLink"/>
                  <w:rFonts w:ascii="Times New Roman" w:hAnsi="Times New Roman"/>
                  <w:color w:val="0000FF"/>
                  <w:sz w:val="20"/>
                  <w:u w:val="single"/>
                </w:rPr>
                <w:t>Offer Letter, dated as of February 1, 2023, by and between the Registrant and Farrell Simon</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1_1.htm">
              <w:r>
                <w:rPr>
                  <w:rStyle w:val="InternetLink"/>
                  <w:rFonts w:ascii="Times New Roman" w:hAnsi="Times New Roman"/>
                  <w:color w:val="0000FF"/>
                  <w:sz w:val="20"/>
                  <w:u w:val="single"/>
                </w:rPr>
                <w:t>Certification of Principal Executive Officer Pursuant to Rules 13a-14(a) or 15d-14(a) under the Securities Exchange Act of 1934, as Adopted Pursuant to Section 302 of the Sarbanes-Oxley Act of 2002</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1_2.htm">
              <w:r>
                <w:rPr>
                  <w:rStyle w:val="InternetLink"/>
                  <w:rFonts w:ascii="Times New Roman" w:hAnsi="Times New Roman"/>
                  <w:color w:val="0000FF"/>
                  <w:sz w:val="20"/>
                  <w:u w:val="single"/>
                </w:rPr>
                <w:t>Certification of Principal Financial Officer Pursuant to Rules 13a-14(a) or 15d-14(a) under the Securities Exchange Act of 1934, as Adopted Pursuant to Section 302 of the Sarbanes-Oxley Act of 2002</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signatures"/>
      <w:bookmarkEnd w:id="1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519" w:type="dxa"/>
        <w:jc w:val="left"/>
        <w:tblInd w:w="0" w:type="dxa"/>
        <w:tblLayout w:type="fixed"/>
        <w:tblCellMar>
          <w:top w:w="28" w:type="dxa"/>
          <w:left w:w="28" w:type="dxa"/>
          <w:bottom w:w="28" w:type="dxa"/>
          <w:right w:w="28" w:type="dxa"/>
        </w:tblCellMar>
      </w:tblPr>
      <w:tblGrid>
        <w:gridCol w:w="1636"/>
        <w:gridCol w:w="146"/>
        <w:gridCol w:w="406"/>
        <w:gridCol w:w="333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TREVI THERAPEUTICS,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L. Good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Jennifer L. Good</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C. Hastings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David C. Hastings</w:t>
            </w:r>
          </w:p>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right"/>
        <w:rPr/>
      </w:pPr>
      <w:bookmarkStart w:id="18" w:name="trvi-ex10_1.htm"/>
      <w:bookmarkStart w:id="19" w:name="kstrviex10_1"/>
      <w:bookmarkEnd w:id="18"/>
      <w:bookmarkEnd w:id="19"/>
      <w:r>
        <w:rPr/>
        <w:drawing>
          <wp:inline distT="0" distB="0" distL="0" distR="0">
            <wp:extent cx="13144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619125"/>
                    </a:xfrm>
                    <a:prstGeom prst="rect">
                      <a:avLst/>
                    </a:prstGeom>
                  </pic:spPr>
                </pic:pic>
              </a:graphicData>
            </a:graphic>
          </wp:inline>
        </w:drawing>
      </w:r>
      <w:r>
        <w:br w:type="page"/>
      </w:r>
    </w:p>
    <w:p>
      <w:pPr>
        <w:pStyle w:val="TextBody"/>
        <w:bidi w:val="0"/>
        <w:jc w:val="left"/>
        <w:rPr>
          <w:rFonts w:ascii="Times New Roman" w:hAnsi="Times New Roman"/>
          <w:color w:val="000000"/>
          <w:sz w:val="20"/>
        </w:rPr>
      </w:pPr>
      <w:r>
        <w:rPr>
          <w:rFonts w:ascii="Times New Roman" w:hAnsi="Times New Roman"/>
          <w:color w:val="000000"/>
          <w:sz w:val="20"/>
        </w:rPr>
        <w:t>August 26, 2020</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Farrell Simon</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Dear Farrell,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behalf of Trevi Therapeutics, Inc. (the “Company” or “Trevi”), I am pleased to offer you employment with the Company on the following terms.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Employment. </w:t>
      </w:r>
      <w:r>
        <w:rPr>
          <w:rFonts w:ascii="Times New Roman" w:hAnsi="Times New Roman"/>
          <w:color w:val="000000"/>
          <w:sz w:val="20"/>
        </w:rPr>
        <w:t>The position is for Vice President, Head of US Marketing, beginning on a mutually agreed upon date anticipated to be no later than September 30, 2020 (the “Start Date”), reporting to the CCO &amp; Head of International. You will be responsible for performing the duties and responsibilities as are customarily associated with the position or as the Company may otherwise assign to you. Your primary place of employment will be in the Company’s offices located in New Haven, Connecticut; however, you will be expected to travel as may be necessary to fulfill your responsibilities. In the course of your employment with the Company, you will be subject to, and required to comply with, all Company policies and procedures and all applicable laws and regulations.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Base Salary. </w:t>
      </w:r>
      <w:r>
        <w:rPr>
          <w:rFonts w:ascii="Times New Roman" w:hAnsi="Times New Roman"/>
          <w:color w:val="000000"/>
          <w:sz w:val="20"/>
        </w:rPr>
        <w:t xml:space="preserve">During your employment, your base salary will be $260,000 annualized, subject to all required and elected taxes and other withholdings. Your salary may be adjusted from time to time in accordance with normal business practice and in the sole discretion of the Company.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Annual Incentive Bonus. </w:t>
      </w:r>
      <w:r>
        <w:rPr>
          <w:rFonts w:ascii="Times New Roman" w:hAnsi="Times New Roman"/>
          <w:color w:val="000000"/>
          <w:sz w:val="20"/>
        </w:rPr>
        <w:t xml:space="preserve">Following the end of each fiscal year and subject to approval by the Company’s Board of Directors in its sole discretion, you will be eligible to earn an incentive bonus, based on your performance and the Company’s performance, each during the applicable fiscal year, and subject to your continued employment in good standing on the date of payment of such incentive bonus. Your target annual incentive bonus opportunity shall be up to 25% of your annualized base salary. Your target annual incentive bonus opportunity for 2020 will be a full-year bonus payout. The payout will be determined as 80% based on the company payout as approved by the board of directors, and 20% based on individual performance. Your individual performance will be judged by developing a plan, which is approved by the CCO and CEO, and beginning the execution of that plan as appropriate and agreed upon.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Moving Allowance.</w:t>
      </w:r>
      <w:r>
        <w:rPr>
          <w:rFonts w:ascii="Times New Roman" w:hAnsi="Times New Roman"/>
          <w:color w:val="000000"/>
          <w:sz w:val="20"/>
        </w:rPr>
        <w:t xml:space="preserve"> The Company will provide you with a one-time moving reimbursement of $10,000 if you move within the state of Connecticut within twelve months of the start date of your job.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Benefits.</w:t>
      </w:r>
      <w:r>
        <w:rPr>
          <w:rFonts w:ascii="Times New Roman" w:hAnsi="Times New Roman"/>
          <w:color w:val="000000"/>
          <w:sz w:val="20"/>
        </w:rPr>
        <w:t xml:space="preserve"> You may participate in any and all benefit programs that the Company establishes and makes available to its similarly situated executive employees from time to time, subject to the terms and conditions of those programs. The Company’s benefits programs are subject to change at any time in the Company’s sole discretion.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Vacation.</w:t>
      </w:r>
      <w:r>
        <w:rPr>
          <w:rFonts w:ascii="Times New Roman" w:hAnsi="Times New Roman"/>
          <w:color w:val="000000"/>
          <w:sz w:val="20"/>
        </w:rPr>
        <w:t xml:space="preserve"> You will be eligible for annual paid vacation of 15 days. Your accrual and use of vacation time will be pursuant and subject to any vacation or time off policy the Company may establish or modify from time to time. The Company’s vacation policy is subject to change at any time in the Company’s sole discretion.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Equity Grants.</w:t>
      </w:r>
      <w:r>
        <w:rPr>
          <w:rFonts w:ascii="Times New Roman" w:hAnsi="Times New Roman"/>
          <w:color w:val="000000"/>
          <w:sz w:val="20"/>
        </w:rPr>
        <w:t xml:space="preserve"> Upon your start date, the Company shall grant to you a stock option (the “Option”) under the Company’s 2019 Equity Incentive Plan, as it may be amended from time to time (the “Plan”), to purchase 75,000 shares (subject to any adjustments for any stock splits, stock dividends, reverse stock splits or recapitalizations that are effected at any time during the period commencing after the date of this offer letter and ending on the grant date of the Option, (the “Option Shares”) of the Company’s common stock, $0.001 par value per share (the “Common Stock”), at an exercise price equal to fair market value of the Common Stock, as determined by the Board of Directors of the Company, on the date of the grant of the Option (the “Grant Date”). </w:t>
      </w:r>
    </w:p>
    <w:p>
      <w:pPr>
        <w:pStyle w:val="TextBody"/>
        <w:bidi w:val="0"/>
        <w:jc w:val="left"/>
        <w:rPr>
          <w:rFonts w:ascii="Times New Roman" w:hAnsi="Times New Roman"/>
          <w:color w:val="000000"/>
          <w:sz w:val="20"/>
        </w:rPr>
      </w:pPr>
      <w:r>
        <w:rPr>
          <w:rFonts w:ascii="Times New Roman" w:hAnsi="Times New Roman"/>
          <w:color w:val="000000"/>
          <w:sz w:val="20"/>
        </w:rPr>
        <w:t xml:space="preserve">Promptly after the Grant Date, the Company and you shall execute and deliver to each other the Company’s then standard for of stock option agreement, evidencing the Option and the terms thereof. The Option shall be subject to, and governed by, the terms, provisions, and restrictions on transfer of the Plan, your stock option agreement, any other agreement to which you shall become, or are required to become, a party pursuant to the terms of the Plan.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 may be awarded additional equity grants from time to time in accordance with normal business practice and in the sole discretion of the Company’s Board of Directors. The terms of any future equity grant will be consistent with any plan under which they are granted and the terms of the applicable agreement under which the award(s) are granted.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b/>
          <w:color w:val="000000"/>
          <w:sz w:val="20"/>
        </w:rPr>
        <w:t>Invention, Non-Disclosure, Non-Competition and Non-Solicitation Obligations.</w:t>
      </w:r>
      <w:r>
        <w:rPr>
          <w:rFonts w:ascii="Times New Roman" w:hAnsi="Times New Roman"/>
          <w:color w:val="000000"/>
          <w:sz w:val="20"/>
        </w:rPr>
        <w:t xml:space="preserve"> At or prior to the Start Date, you shall execute and deliver for the benefit of the Company the Invention and Non-Disclosure Agreement and, Non-Competition and Non-Solicitation Agreement in the form attached to the offer.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At-Will Employment.</w:t>
      </w:r>
      <w:r>
        <w:rPr>
          <w:rFonts w:ascii="Times New Roman" w:hAnsi="Times New Roman"/>
          <w:color w:val="000000"/>
          <w:sz w:val="20"/>
        </w:rPr>
        <w:t xml:space="preserve"> This letter shall not be construed as an agreement, either express or implied, to employ you for any stated term, and shall in no way alter the Company’s policy of employment at-will. Similarly, nothing in this letter shall be construed as an agreement, either express or implied, to pay you any compensation or grant you any benefit beyond the end of your employment with the Company, except as otherwise explicitly set forth in this letter. This letter supersedes all prior understandings, whether written or oral, with respect to the subject matter of this letter.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Cooperation.</w:t>
      </w:r>
      <w:r>
        <w:rPr>
          <w:rFonts w:ascii="Times New Roman" w:hAnsi="Times New Roman"/>
          <w:color w:val="000000"/>
          <w:sz w:val="20"/>
        </w:rPr>
        <w:t xml:space="preserve"> During your employment with the Company and thereafter, you shall cooperate with the Company and be reasonably available to the Company with respect to continuing and /or future matters relating to your employment period with the Company and/or its affiliates, whether such matters are business-related, legal, regulatory or otherwise (including, without limitation, your appearing at the Company’s request to give testimony without requiring service of a subpoena or other legal process, volunteering to the Company all pertinent information and turning over to the Company all relevant documents which are or may come into your possession). Following your employment with the Company, the Company shall reimburse you for all reasonable out-of-pocket travel expenses incurred by you in rendering such services that are approved by the Company.</w:t>
      </w:r>
    </w:p>
    <w:p>
      <w:pPr>
        <w:pStyle w:val="TextBody"/>
        <w:bidi w:val="0"/>
        <w:jc w:val="left"/>
        <w:rPr>
          <w:rFonts w:ascii="Times New Roman" w:hAnsi="Times New Roman"/>
          <w:sz w:val="20"/>
        </w:rPr>
      </w:pPr>
      <w:r>
        <w:rPr>
          <w:rFonts w:ascii="Times New Roman" w:hAnsi="Times New Roman"/>
          <w:b/>
          <w:color w:val="000000"/>
          <w:sz w:val="20"/>
        </w:rPr>
        <w:t>Representations.</w:t>
      </w:r>
      <w:r>
        <w:rPr>
          <w:rFonts w:ascii="Times New Roman" w:hAnsi="Times New Roman"/>
          <w:color w:val="000000"/>
          <w:sz w:val="20"/>
        </w:rPr>
        <w:t xml:space="preserve"> You herby represent and warrant to the Company that the execution, delivery and performance of this ofoer letter by you do not and shall not conflict with, breach, violate or cause a default under any contract, agreement, instrument, order, judgment or decree to which you are a party or by which you are bound.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Entire Agreement.</w:t>
      </w:r>
      <w:r>
        <w:rPr>
          <w:rFonts w:ascii="Times New Roman" w:hAnsi="Times New Roman"/>
          <w:color w:val="000000"/>
          <w:sz w:val="20"/>
        </w:rPr>
        <w:t xml:space="preserve"> This letter constitutes the entire agreement and understanding between you and the Company with respect to the subject matter hereof and terminates or supersedes any and all prior agreements, understandings and representations, whether written or oral, by or between you and the Company which may have related to the subject matter hereof in any way, any of which are hereby terminated and cancelled and of no further force or effect without the payment or any consideration by or to either you or the Company.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Amendment.</w:t>
      </w:r>
      <w:r>
        <w:rPr>
          <w:rFonts w:ascii="Times New Roman" w:hAnsi="Times New Roman"/>
          <w:color w:val="000000"/>
          <w:sz w:val="20"/>
        </w:rPr>
        <w:t xml:space="preserve"> The provisions of this letter may be amended or waived only with the prior written consent of the Company and you, and no course of conduct or course of dealing or failure or delay by you or the Company in enforcing or exercising any of the provisions of this letter shall affect the validity, binding effect or enforceability of the letter or be deemed to be an implied waiver of any similar or dissimilar requirement, provision or condition of this letter at the same or any prior subsequent time.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Farrell, I look forward to working with you and believe you could make a significant impact as part of the Trevi team. Please indicate your acceptance of this letter of employment by signing a copy of this offer letter and returning it to us by August 31, 2020. As always, I’m happy to discuss any of the terms or share any of the compensation data behind our offer.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Sincerely,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Yann Mazabraud</w:t>
      </w:r>
    </w:p>
    <w:p>
      <w:pPr>
        <w:pStyle w:val="TextBody"/>
        <w:bidi w:val="0"/>
        <w:jc w:val="left"/>
        <w:rPr>
          <w:rFonts w:ascii="Times New Roman" w:hAnsi="Times New Roman"/>
          <w:color w:val="000000"/>
          <w:sz w:val="20"/>
        </w:rPr>
      </w:pPr>
      <w:r>
        <w:rPr>
          <w:rFonts w:ascii="Times New Roman" w:hAnsi="Times New Roman"/>
          <w:color w:val="000000"/>
          <w:sz w:val="20"/>
        </w:rPr>
        <w:t>CCO &amp; Head of International</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correctly sets forth the terms of my at-will employment with Trevi. I am not relying on any representations other than those set forth above.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 Farrell Simon </w:t>
      </w:r>
      <w:r>
        <w:rPr>
          <w:rFonts w:ascii="Times New Roman" w:hAnsi="Times New Roman"/>
          <w:b/>
          <w:color w:val="000000"/>
          <w:sz w:val="20"/>
        </w:rPr>
        <w:t xml:space="preserve">Date: </w:t>
      </w:r>
      <w:r>
        <w:rPr>
          <w:rFonts w:ascii="Times New Roman" w:hAnsi="Times New Roman"/>
          <w:color w:val="000000"/>
          <w:sz w:val="20"/>
        </w:rPr>
        <w:t>August 28, 2020</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 w:name="trvi-ex31_1.htm"/>
      <w:bookmarkStart w:id="21" w:name="kstrviex31_1"/>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RULES 13a-14(a) OR 15d-14(a) UNDER 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Jennifer L. Good,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Trevi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691" w:type="dxa"/>
        <w:jc w:val="left"/>
        <w:tblInd w:w="0" w:type="dxa"/>
        <w:tblLayout w:type="fixed"/>
        <w:tblCellMar>
          <w:top w:w="28" w:type="dxa"/>
          <w:left w:w="28" w:type="dxa"/>
          <w:bottom w:w="28" w:type="dxa"/>
          <w:right w:w="28" w:type="dxa"/>
        </w:tblCellMar>
      </w:tblPr>
      <w:tblGrid>
        <w:gridCol w:w="1636"/>
        <w:gridCol w:w="146"/>
        <w:gridCol w:w="146"/>
        <w:gridCol w:w="406"/>
        <w:gridCol w:w="14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Jennifer L. Good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Good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trvi-ex31_2.htm"/>
      <w:bookmarkStart w:id="23" w:name="kstrviex31_2"/>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RULES 13a-14(a) OR 15d-14(a) UNDER 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C. Hastings,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Trevi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896" w:type="dxa"/>
        <w:jc w:val="left"/>
        <w:tblInd w:w="0" w:type="dxa"/>
        <w:tblLayout w:type="fixed"/>
        <w:tblCellMar>
          <w:top w:w="28" w:type="dxa"/>
          <w:left w:w="28" w:type="dxa"/>
          <w:bottom w:w="28" w:type="dxa"/>
          <w:right w:w="28" w:type="dxa"/>
        </w:tblCellMar>
      </w:tblPr>
      <w:tblGrid>
        <w:gridCol w:w="1636"/>
        <w:gridCol w:w="146"/>
        <w:gridCol w:w="146"/>
        <w:gridCol w:w="406"/>
        <w:gridCol w:w="146"/>
        <w:gridCol w:w="241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David C. Hastings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C. Hastings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trvi-ex32_1.htm"/>
      <w:bookmarkStart w:id="25" w:name="kstrviex32_1"/>
      <w:bookmarkEnd w:id="24"/>
      <w:bookmarkEnd w:id="25"/>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Trevi Therapeutics, Inc. (the “Company”) for the period ended March 31, 2026,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545" w:type="dxa"/>
        <w:jc w:val="left"/>
        <w:tblInd w:w="0" w:type="dxa"/>
        <w:tblLayout w:type="fixed"/>
        <w:tblCellMar>
          <w:top w:w="28" w:type="dxa"/>
          <w:left w:w="28" w:type="dxa"/>
          <w:bottom w:w="28" w:type="dxa"/>
          <w:right w:w="28" w:type="dxa"/>
        </w:tblCellMar>
      </w:tblPr>
      <w:tblGrid>
        <w:gridCol w:w="1636"/>
        <w:gridCol w:w="146"/>
        <w:gridCol w:w="406"/>
        <w:gridCol w:w="14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Jennifer L. Good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Good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trvi-ex32_2.htm"/>
      <w:bookmarkStart w:id="27" w:name="kstrviex32_2"/>
      <w:bookmarkEnd w:id="26"/>
      <w:bookmarkEnd w:id="27"/>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Trevi Therapeutics, Inc. (the “Company”) for the period ended March 31, 2026, as filed with the Securities and Exchange Commission on the date hereof (the “Report”), the undersigned, David C. Hastings, Chief Financial Officer of the Company, hereby certifies, pursuant to 18 U.S.C. Section 1350, as adopted pursuant to Section 906 of the Sarbanes-Oxley Act of 2002, that to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750" w:type="dxa"/>
        <w:jc w:val="left"/>
        <w:tblInd w:w="0" w:type="dxa"/>
        <w:tblLayout w:type="fixed"/>
        <w:tblCellMar>
          <w:top w:w="28" w:type="dxa"/>
          <w:left w:w="28" w:type="dxa"/>
          <w:bottom w:w="28" w:type="dxa"/>
          <w:right w:w="28" w:type="dxa"/>
        </w:tblCellMar>
      </w:tblPr>
      <w:tblGrid>
        <w:gridCol w:w="1636"/>
        <w:gridCol w:w="146"/>
        <w:gridCol w:w="406"/>
        <w:gridCol w:w="146"/>
        <w:gridCol w:w="241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David C. Hastings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C. Hastings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19260</Words>
  <Characters>106430</Characters>
  <CharactersWithSpaces>126130</CharactersWithSpaces>
  <Paragraphs>3356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