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80" w:hanging="3652"/>
        <w:spacing w:after="0" w:line="391" w:lineRule="auto"/>
        <w:tabs>
          <w:tab w:leader="none" w:pos="51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951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0"/>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7"/>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10, 2021, the registrant had 25,846,577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right="38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clinical trials, including our Phase 2b/3 PRISM trial of Haduvio (nalbuphine ER) for the treatment of pruritus associated with prurigo nodularis and our Phase 2 CANAL trial for the treatment of chronic cough in patients with idiopathic pulmonary fibrosis;</w:t>
      </w:r>
    </w:p>
    <w:p>
      <w:pPr>
        <w:spacing w:after="0" w:line="38"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Haduvio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44"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to continue as a going concern;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 and</w:t>
      </w:r>
    </w:p>
    <w:p>
      <w:pPr>
        <w:spacing w:after="0" w:line="117"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pandemic caused by the novel coronavirus, or COVID-19, which pandemic we refer to as the COVID-19 pandemic, on our clinical trials, business and operations and our response to the COVID-19 pandemic.</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18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nalbuphine ER investigational product and therefore plan to use that name when we refer to nalbuphine ER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RISK FACTOR SUMMARY</w:t>
      </w:r>
    </w:p>
    <w:p>
      <w:pPr>
        <w:spacing w:after="0" w:line="243"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77" w:lineRule="exact"/>
        <w:rPr>
          <w:sz w:val="20"/>
          <w:szCs w:val="20"/>
          <w:color w:val="auto"/>
        </w:rPr>
      </w:pPr>
    </w:p>
    <w:p>
      <w:pPr>
        <w:ind w:left="740" w:right="40" w:hanging="368"/>
        <w:spacing w:after="0" w:line="25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187"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expect to continue to incur significant and increasing losses for the foreseeable future. We may never achieve or maintain profitability.</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117" w:lineRule="exact"/>
        <w:rPr>
          <w:rFonts w:ascii="Arial" w:cs="Arial" w:eastAsia="Arial" w:hAnsi="Arial"/>
          <w:sz w:val="18"/>
          <w:szCs w:val="18"/>
          <w:color w:val="auto"/>
        </w:rPr>
      </w:pPr>
    </w:p>
    <w:p>
      <w:pPr>
        <w:ind w:left="740" w:right="120" w:hanging="368"/>
        <w:spacing w:after="0" w:line="28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existing indebtedness, together with our other financial obligations and contractual commitments, could adversely affect our financial condition and restrict our future operations. For instance, if we fail to receive positive data in our Phase 2b/3 PRISM trial or fail to meet certain minimum cash or equity raise requirements under our loan facility with Silicon Valley Bank, or SVB, which loan facility we refer to as the SVB Term Loan, we will be required to deposit unrestricted and unencumbered cash equal to 100% of the principal amount of the indebtedness then outstanding in a cash collateral account controlled by SVB, which can be used by SVB to prepay the SVB Term Loan at any time and would reduce the amounts available to fund working capital, capital expenditures, product development efforts and general corporate purposes.</w:t>
      </w:r>
    </w:p>
    <w:p>
      <w:pPr>
        <w:spacing w:after="0" w:line="169" w:lineRule="exact"/>
        <w:rPr>
          <w:rFonts w:ascii="Arial" w:cs="Arial" w:eastAsia="Arial" w:hAnsi="Arial"/>
          <w:sz w:val="18"/>
          <w:szCs w:val="18"/>
          <w:color w:val="auto"/>
        </w:rPr>
      </w:pPr>
    </w:p>
    <w:p>
      <w:pPr>
        <w:ind w:left="740" w:right="20" w:hanging="368"/>
        <w:spacing w:after="0" w:line="296"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 In addition, the development of Haduvio for the treatment of pruritus associated with prurigo nodularis is currently significantly more advanced than our other target indications. If we are not successful in developing and commercializing Haduvio for the treatment of pruritus associated with prurigo nodularis, our business could also be substantially harmed.</w:t>
      </w:r>
    </w:p>
    <w:p>
      <w:pPr>
        <w:spacing w:after="0" w:line="161" w:lineRule="exact"/>
        <w:rPr>
          <w:rFonts w:ascii="Arial" w:cs="Arial" w:eastAsia="Arial" w:hAnsi="Arial"/>
          <w:sz w:val="16"/>
          <w:szCs w:val="16"/>
          <w:color w:val="auto"/>
        </w:rPr>
      </w:pPr>
    </w:p>
    <w:p>
      <w:pPr>
        <w:ind w:left="740" w:hanging="368"/>
        <w:spacing w:after="0" w:line="25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difficulties in the enrollment of subjects in our clinical trials, including our Phase 2b/3 PRISM trial and our Phase 2 CANAL trial. If we experience further delays or difficulties in the enrollment of subjects in clinical trials, our receipt of necessary regulatory approvals could be delayed or prevented. Other companies are conducting clinical trials or have announced plans for future clinical trials that are seeking or are likely to seek, to enroll subjects with prurigo nodularis and subjects are generally only able to enroll in a single trial at a time. In addition, many patients use various treatments off-label to treat pruritus associated with prurigo nodularis and these patients and their physicians may be reluctant to forgo, discontinue or otherwise alter their use of such off-label therapeutic approaches to participate in our clinical trials.</w:t>
      </w:r>
    </w:p>
    <w:p>
      <w:pPr>
        <w:spacing w:after="0" w:line="19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approach to the development and commercialization of Haduvio to treat serious neurologically mediated conditions is unproven.</w:t>
      </w:r>
    </w:p>
    <w:p>
      <w:pPr>
        <w:spacing w:after="0" w:line="236" w:lineRule="exact"/>
        <w:rPr>
          <w:rFonts w:ascii="Arial" w:cs="Arial" w:eastAsia="Arial" w:hAnsi="Arial"/>
          <w:sz w:val="17"/>
          <w:szCs w:val="17"/>
          <w:color w:val="auto"/>
        </w:rPr>
      </w:pPr>
    </w:p>
    <w:p>
      <w:pPr>
        <w:ind w:left="740" w:right="2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Even if we complete the necessary preclinical studies and clinical trials, the regulatory approval process is expensive, time consuming and uncertain, which may prevent us from obtaining approvals for the commercialization of Haduvio or any future product candidate.</w:t>
      </w:r>
    </w:p>
    <w:p>
      <w:pPr>
        <w:spacing w:after="0" w:line="183"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Phase 2 clinical trial of Haduvio for the treatment of pruritus associated with prurigo nodularis may not be predictive of the results of our Phase 2b/3 PRISM trial, including due to the small subject size of the Phase 2 clinical trial, the discontinuation rate among subjects in the Phase 2 clinical trial, the limited number of subjects who completed treatment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368" w:right="160"/>
        <w:spacing w:after="0" w:line="277" w:lineRule="auto"/>
        <w:rPr>
          <w:sz w:val="20"/>
          <w:szCs w:val="20"/>
          <w:color w:val="auto"/>
        </w:rPr>
      </w:pPr>
      <w:r>
        <w:rPr>
          <w:rFonts w:ascii="Arial" w:cs="Arial" w:eastAsia="Arial" w:hAnsi="Arial"/>
          <w:sz w:val="18"/>
          <w:szCs w:val="18"/>
          <w:color w:val="auto"/>
        </w:rPr>
        <w:t>the Phase 2 clinical trial and differences in the design of the Phase 2 clinical trial and the PRISM trial, including the longer treatment period for Haduvio being used in the PRISM trial.</w:t>
      </w:r>
    </w:p>
    <w:p>
      <w:pPr>
        <w:spacing w:after="0" w:line="170" w:lineRule="exact"/>
        <w:rPr>
          <w:sz w:val="20"/>
          <w:szCs w:val="20"/>
          <w:color w:val="auto"/>
        </w:rPr>
      </w:pPr>
    </w:p>
    <w:p>
      <w:pPr>
        <w:ind w:left="368" w:hanging="368"/>
        <w:spacing w:after="0" w:line="293"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p>
      <w:pPr>
        <w:spacing w:after="0" w:line="164" w:lineRule="exact"/>
        <w:rPr>
          <w:rFonts w:ascii="Arial" w:cs="Arial" w:eastAsia="Arial" w:hAnsi="Arial"/>
          <w:sz w:val="16"/>
          <w:szCs w:val="16"/>
          <w:color w:val="auto"/>
        </w:rPr>
      </w:pPr>
    </w:p>
    <w:p>
      <w:pPr>
        <w:ind w:left="368" w:right="60" w:hanging="368"/>
        <w:spacing w:after="0" w:line="273"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Many currently approved μ-opioid products are subject to restrictive marketing and distribution regulations which, if applied to Haduvio, could potentially restrict its use and harm our ability to generate profits. We plan to conduct a human abuse liability, or HAL, study to further characterize the abuse potential of oral nalbuphine. If the results of the HAL study suggest that Haduvio may carry risks of misuse, abuse or addiction or even if the trial indicates that Haduvio does 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177" w:lineRule="exact"/>
        <w:rPr>
          <w:rFonts w:ascii="Arial" w:cs="Arial" w:eastAsia="Arial" w:hAnsi="Arial"/>
          <w:sz w:val="17"/>
          <w:szCs w:val="17"/>
          <w:color w:val="auto"/>
        </w:rPr>
      </w:pPr>
    </w:p>
    <w:p>
      <w:pPr>
        <w:ind w:left="368" w:right="120" w:hanging="368"/>
        <w:spacing w:after="0" w:line="308"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46"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products before or more successfully than we do.</w:t>
      </w:r>
    </w:p>
    <w:p>
      <w:pPr>
        <w:spacing w:after="0" w:line="248" w:lineRule="exact"/>
        <w:rPr>
          <w:rFonts w:ascii="Arial" w:cs="Arial" w:eastAsia="Arial" w:hAnsi="Arial"/>
          <w:sz w:val="16"/>
          <w:szCs w:val="16"/>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they do not perform satisfactorily, our business could be harmed.</w:t>
      </w:r>
    </w:p>
    <w:p>
      <w:pPr>
        <w:spacing w:after="0" w:line="225" w:lineRule="exact"/>
        <w:rPr>
          <w:rFonts w:ascii="Arial" w:cs="Arial" w:eastAsia="Arial" w:hAnsi="Arial"/>
          <w:sz w:val="18"/>
          <w:szCs w:val="18"/>
          <w:color w:val="auto"/>
        </w:rPr>
      </w:pPr>
    </w:p>
    <w:p>
      <w:pPr>
        <w:jc w:val="both"/>
        <w:ind w:left="368" w:right="16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and any future product candidates.</w:t>
      </w:r>
    </w:p>
    <w:p>
      <w:pPr>
        <w:spacing w:after="0" w:line="183" w:lineRule="exact"/>
        <w:rPr>
          <w:rFonts w:ascii="Arial" w:cs="Arial" w:eastAsia="Arial" w:hAnsi="Arial"/>
          <w:sz w:val="18"/>
          <w:szCs w:val="18"/>
          <w:color w:val="auto"/>
        </w:rPr>
      </w:pPr>
    </w:p>
    <w:p>
      <w:pPr>
        <w:jc w:val="both"/>
        <w:ind w:left="368" w:right="2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under our existing and any future intellectual property licenses with third parties, including our licenses with Endo Pharmaceuticals Inc. and with Rutgers, the State University of New Jersey, we could lose license rights that are critical to our business or owe damages to the licensor of such intellectual property.</w:t>
      </w:r>
    </w:p>
    <w:p>
      <w:pPr>
        <w:spacing w:after="0" w:line="183" w:lineRule="exact"/>
        <w:rPr>
          <w:rFonts w:ascii="Arial" w:cs="Arial" w:eastAsia="Arial" w:hAnsi="Arial"/>
          <w:sz w:val="18"/>
          <w:szCs w:val="18"/>
          <w:color w:val="auto"/>
        </w:rPr>
      </w:pPr>
    </w:p>
    <w:p>
      <w:pPr>
        <w:ind w:left="368" w:right="240" w:hanging="368"/>
        <w:spacing w:after="0" w:line="259"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186" w:lineRule="exact"/>
        <w:rPr>
          <w:rFonts w:ascii="Arial" w:cs="Arial" w:eastAsia="Arial" w:hAnsi="Arial"/>
          <w:sz w:val="18"/>
          <w:szCs w:val="18"/>
          <w:color w:val="auto"/>
        </w:rPr>
      </w:pPr>
    </w:p>
    <w:p>
      <w:pPr>
        <w:jc w:val="both"/>
        <w:ind w:left="368"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34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6"/>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6"/>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72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Operations</w:t>
              </w:r>
            </w:hyperlink>
          </w:p>
        </w:tc>
        <w:tc>
          <w:tcPr>
            <w:tcW w:w="600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48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778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8"/>
                <w:szCs w:val="18"/>
                <w:color w:val="auto"/>
              </w:rPr>
            </w:pPr>
          </w:p>
        </w:tc>
        <w:tc>
          <w:tcPr>
            <w:tcW w:w="834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Unregistered Sales of Equity Securities and Use of Proceeds</w:t>
              </w:r>
            </w:hyperlink>
          </w:p>
        </w:tc>
        <w:tc>
          <w:tcPr>
            <w:tcW w:w="53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29,318</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45,001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Operating lease right-of-use asset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Security deposits and other non-current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Property, equipment and leasehold improvements,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2,233</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Term loan -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Term loan derivative liability - current portion</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Term loan - long term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 - long term portion</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lease liability - long term portion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20,216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80" w:type="dxa"/>
            <w:vAlign w:val="bottom"/>
          </w:tcPr>
          <w:p>
            <w:pPr>
              <w:spacing w:after="0"/>
              <w:rPr>
                <w:sz w:val="20"/>
                <w:szCs w:val="20"/>
                <w:color w:val="auto"/>
              </w:rPr>
            </w:pPr>
            <w:r>
              <w:rPr>
                <w:rFonts w:ascii="Arial" w:cs="Arial" w:eastAsia="Arial" w:hAnsi="Arial"/>
                <w:sz w:val="17"/>
                <w:szCs w:val="17"/>
                <w:color w:val="auto"/>
              </w:rPr>
              <w:t>Commitments and contingencies (Note 11)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spacing w:after="0"/>
              <w:rPr>
                <w:sz w:val="20"/>
                <w:szCs w:val="20"/>
                <w:color w:val="auto"/>
              </w:rPr>
            </w:pPr>
            <w:r>
              <w:rPr>
                <w:rFonts w:ascii="Arial" w:cs="Arial" w:eastAsia="Arial" w:hAnsi="Arial"/>
                <w:sz w:val="17"/>
                <w:szCs w:val="17"/>
                <w:color w:val="auto"/>
              </w:rPr>
              <w:t>Preferred stock: $0.001 par value; 5,000,000 shares authorized at September 30, 2021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Arial" w:cs="Arial" w:eastAsia="Arial" w:hAnsi="Arial"/>
                <w:sz w:val="17"/>
                <w:szCs w:val="17"/>
                <w:color w:val="auto"/>
              </w:rPr>
              <w:t>and December 31, 2020; no shares issued or outstanding at September 30, 2021 or</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80" w:type="dxa"/>
            <w:vAlign w:val="bottom"/>
          </w:tcPr>
          <w:p>
            <w:pPr>
              <w:ind w:left="140"/>
              <w:spacing w:after="0"/>
              <w:rPr>
                <w:sz w:val="20"/>
                <w:szCs w:val="20"/>
                <w:color w:val="auto"/>
              </w:rPr>
            </w:pPr>
            <w:r>
              <w:rPr>
                <w:rFonts w:ascii="Arial" w:cs="Arial" w:eastAsia="Arial" w:hAnsi="Arial"/>
                <w:sz w:val="17"/>
                <w:szCs w:val="17"/>
                <w:color w:val="auto"/>
              </w:rPr>
              <w:t>December 31, 2020.</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Common stock: $0.001 par value; 200,000,000 shares authorized at September 30, 2021</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December 31, 2020; and 21,621,524 and 18,546,786 shares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September 30, 2021 and December 31, 2020, respectively.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183,755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(172,397)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(146,977)</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11,380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4,718</w:t>
            </w:r>
          </w:p>
        </w:tc>
        <w:tc>
          <w:tcPr>
            <w:tcW w:w="2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4,828</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16,805</w:t>
            </w:r>
          </w:p>
        </w:tc>
        <w:tc>
          <w:tcPr>
            <w:tcW w:w="2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(expense) income: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(25,420)</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in net loss per share</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21,607,979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18,134,886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20,390,852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17,935,865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510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Paid-</w:t>
            </w:r>
          </w:p>
        </w:tc>
        <w:tc>
          <w:tcPr>
            <w:tcW w:w="14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Stockholders’</w:t>
            </w:r>
          </w:p>
        </w:tc>
      </w:tr>
      <w:tr>
        <w:trPr>
          <w:trHeight w:val="155"/>
        </w:trPr>
        <w:tc>
          <w:tcPr>
            <w:tcW w:w="510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3"/>
                <w:szCs w:val="13"/>
                <w:color w:val="auto"/>
              </w:rPr>
            </w:pP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56"/>
        </w:trPr>
        <w:tc>
          <w:tcPr>
            <w:tcW w:w="51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21,459,498</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182,857</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(165,142)</w:t>
            </w: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17,736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4"/>
                <w:szCs w:val="14"/>
                <w:color w:val="auto"/>
              </w:rPr>
            </w:pPr>
          </w:p>
        </w:tc>
      </w:tr>
      <w:tr>
        <w:trPr>
          <w:trHeight w:val="143"/>
        </w:trPr>
        <w:tc>
          <w:tcPr>
            <w:tcW w:w="51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the at-the-market sales agreement, net of</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100" w:type="dxa"/>
            <w:vAlign w:val="bottom"/>
            <w:shd w:val="clear" w:color="auto" w:fill="CFF0FC"/>
          </w:tcPr>
          <w:p>
            <w:pPr>
              <w:spacing w:after="0"/>
              <w:rPr>
                <w:sz w:val="20"/>
                <w:szCs w:val="20"/>
                <w:color w:val="auto"/>
              </w:rPr>
            </w:pPr>
            <w:r>
              <w:rPr>
                <w:rFonts w:ascii="Arial" w:cs="Arial" w:eastAsia="Arial" w:hAnsi="Arial"/>
                <w:sz w:val="14"/>
                <w:szCs w:val="14"/>
                <w:color w:val="auto"/>
              </w:rPr>
              <w:t>commissions and allocated fees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162,026</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FF0FC"/>
          </w:tcPr>
          <w:p>
            <w:pPr>
              <w:spacing w:after="0"/>
              <w:rPr>
                <w:sz w:val="14"/>
                <w:szCs w:val="14"/>
                <w:color w:val="auto"/>
              </w:rPr>
            </w:pPr>
          </w:p>
        </w:tc>
      </w:tr>
      <w:tr>
        <w:trPr>
          <w:trHeight w:val="162"/>
        </w:trPr>
        <w:tc>
          <w:tcPr>
            <w:tcW w:w="510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(7,255)</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(7,255)</w:t>
            </w:r>
          </w:p>
        </w:tc>
      </w:tr>
      <w:tr>
        <w:trPr>
          <w:trHeight w:val="156"/>
        </w:trPr>
        <w:tc>
          <w:tcPr>
            <w:tcW w:w="51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21,621,524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183,755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(172,397)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11,380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17,851,152</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170,095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(130,076)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40,037</w:t>
            </w:r>
          </w:p>
        </w:tc>
        <w:tc>
          <w:tcPr>
            <w:tcW w:w="100" w:type="dxa"/>
            <w:vAlign w:val="bottom"/>
            <w:shd w:val="clear" w:color="auto" w:fill="CFF0FC"/>
          </w:tcPr>
          <w:p>
            <w:pPr>
              <w:spacing w:after="0"/>
              <w:rPr>
                <w:sz w:val="14"/>
                <w:szCs w:val="14"/>
                <w:color w:val="auto"/>
              </w:rPr>
            </w:pPr>
          </w:p>
        </w:tc>
      </w:tr>
      <w:tr>
        <w:trPr>
          <w:trHeight w:val="162"/>
        </w:trPr>
        <w:tc>
          <w:tcPr>
            <w:tcW w:w="5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4"/>
                <w:szCs w:val="14"/>
                <w:color w:val="auto"/>
              </w:rPr>
            </w:pPr>
          </w:p>
        </w:tc>
      </w:tr>
      <w:tr>
        <w:trPr>
          <w:trHeight w:val="162"/>
        </w:trPr>
        <w:tc>
          <w:tcPr>
            <w:tcW w:w="51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3,158</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r>
      <w:tr>
        <w:trPr>
          <w:trHeight w:val="143"/>
        </w:trPr>
        <w:tc>
          <w:tcPr>
            <w:tcW w:w="51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the at-the-market sales agreement, net of</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100" w:type="dxa"/>
            <w:vAlign w:val="bottom"/>
          </w:tcPr>
          <w:p>
            <w:pPr>
              <w:spacing w:after="0"/>
              <w:rPr>
                <w:sz w:val="20"/>
                <w:szCs w:val="20"/>
                <w:color w:val="auto"/>
              </w:rPr>
            </w:pPr>
            <w:r>
              <w:rPr>
                <w:rFonts w:ascii="Arial" w:cs="Arial" w:eastAsia="Arial" w:hAnsi="Arial"/>
                <w:sz w:val="14"/>
                <w:szCs w:val="14"/>
                <w:color w:val="auto"/>
              </w:rPr>
              <w:t>commissions and allocated fees</w:t>
            </w:r>
          </w:p>
        </w:tc>
        <w:tc>
          <w:tcPr>
            <w:tcW w:w="980" w:type="dxa"/>
            <w:vAlign w:val="bottom"/>
          </w:tcPr>
          <w:p>
            <w:pPr>
              <w:jc w:val="right"/>
              <w:spacing w:after="0"/>
              <w:rPr>
                <w:sz w:val="20"/>
                <w:szCs w:val="20"/>
                <w:color w:val="auto"/>
              </w:rPr>
            </w:pPr>
            <w:r>
              <w:rPr>
                <w:rFonts w:ascii="Arial" w:cs="Arial" w:eastAsia="Arial" w:hAnsi="Arial"/>
                <w:sz w:val="14"/>
                <w:szCs w:val="14"/>
                <w:color w:val="auto"/>
              </w:rPr>
              <w:t>466,758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4"/>
                <w:szCs w:val="14"/>
                <w:color w:val="auto"/>
              </w:rPr>
            </w:pPr>
          </w:p>
        </w:tc>
      </w:tr>
      <w:tr>
        <w:trPr>
          <w:trHeight w:val="162"/>
        </w:trPr>
        <w:tc>
          <w:tcPr>
            <w:tcW w:w="51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(7,378)</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(7,378)</w:t>
            </w:r>
          </w:p>
        </w:tc>
      </w:tr>
      <w:tr>
        <w:trPr>
          <w:trHeight w:val="155"/>
        </w:trPr>
        <w:tc>
          <w:tcPr>
            <w:tcW w:w="51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2020</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18,321,068</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173,054</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(137,454)</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35,618</w:t>
            </w:r>
          </w:p>
        </w:tc>
        <w:tc>
          <w:tcPr>
            <w:tcW w:w="100" w:type="dxa"/>
            <w:vAlign w:val="bottom"/>
          </w:tcPr>
          <w:p>
            <w:pPr>
              <w:spacing w:after="0"/>
              <w:rPr>
                <w:sz w:val="13"/>
                <w:szCs w:val="13"/>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5140" w:type="dxa"/>
            <w:vAlign w:val="bottom"/>
          </w:tcPr>
          <w:p>
            <w:pPr>
              <w:spacing w:after="0"/>
              <w:rPr>
                <w:sz w:val="14"/>
                <w:szCs w:val="14"/>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Paid-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5140" w:type="dxa"/>
            <w:vAlign w:val="bottom"/>
          </w:tcPr>
          <w:p>
            <w:pPr>
              <w:spacing w:after="0"/>
              <w:rPr>
                <w:sz w:val="13"/>
                <w:szCs w:val="13"/>
                <w:color w:val="auto"/>
              </w:rPr>
            </w:pPr>
          </w:p>
        </w:tc>
        <w:tc>
          <w:tcPr>
            <w:tcW w:w="98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95"/>
              </w:rPr>
              <w:t>in Capital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55"/>
        </w:trPr>
        <w:tc>
          <w:tcPr>
            <w:tcW w:w="5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18,546,786</w:t>
            </w:r>
          </w:p>
        </w:tc>
        <w:tc>
          <w:tcPr>
            <w:tcW w:w="2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174,240</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(146,977)</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27,282</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4"/>
                <w:szCs w:val="14"/>
                <w:color w:val="auto"/>
              </w:rPr>
            </w:pPr>
          </w:p>
        </w:tc>
      </w:tr>
      <w:tr>
        <w:trPr>
          <w:trHeight w:val="143"/>
        </w:trPr>
        <w:tc>
          <w:tcPr>
            <w:tcW w:w="5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the at-the-market sales agreement, net of</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commissions and allocated fees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2,895,518</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7,123</w:t>
            </w:r>
          </w:p>
        </w:tc>
        <w:tc>
          <w:tcPr>
            <w:tcW w:w="120" w:type="dxa"/>
            <w:vAlign w:val="bottom"/>
            <w:shd w:val="clear" w:color="auto" w:fill="CFF0FC"/>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Issuance of common stock from Employee Stock Purchase Plan</w:t>
            </w:r>
          </w:p>
        </w:tc>
        <w:tc>
          <w:tcPr>
            <w:tcW w:w="980" w:type="dxa"/>
            <w:vAlign w:val="bottom"/>
          </w:tcPr>
          <w:p>
            <w:pPr>
              <w:jc w:val="right"/>
              <w:spacing w:after="0"/>
              <w:rPr>
                <w:sz w:val="20"/>
                <w:szCs w:val="20"/>
                <w:color w:val="auto"/>
              </w:rPr>
            </w:pPr>
            <w:r>
              <w:rPr>
                <w:rFonts w:ascii="Arial" w:cs="Arial" w:eastAsia="Arial" w:hAnsi="Arial"/>
                <w:sz w:val="14"/>
                <w:szCs w:val="14"/>
                <w:color w:val="auto"/>
              </w:rPr>
              <w:t>9,132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r>
      <w:tr>
        <w:trPr>
          <w:trHeight w:val="162"/>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to Lincoln Park Capital Fund (see Note 7)</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170,088</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FF0FC"/>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(25,420)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(25,420)</w:t>
            </w:r>
          </w:p>
        </w:tc>
      </w:tr>
      <w:tr>
        <w:trPr>
          <w:trHeight w:val="155"/>
        </w:trPr>
        <w:tc>
          <w:tcPr>
            <w:tcW w:w="51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21,621,524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183,755</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(172,397)</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11,380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1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2019</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17,834,570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168,746</w:t>
            </w:r>
          </w:p>
        </w:tc>
        <w:tc>
          <w:tcPr>
            <w:tcW w:w="40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(114,219)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54,545</w:t>
            </w:r>
          </w:p>
        </w:tc>
        <w:tc>
          <w:tcPr>
            <w:tcW w:w="120" w:type="dxa"/>
            <w:vAlign w:val="bottom"/>
            <w:shd w:val="clear" w:color="auto" w:fill="CFF0FC"/>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4"/>
                <w:szCs w:val="14"/>
                <w:color w:val="auto"/>
              </w:rPr>
            </w:pPr>
          </w:p>
        </w:tc>
      </w:tr>
      <w:tr>
        <w:trPr>
          <w:trHeight w:val="162"/>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18,343</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Issuance of common stock from Employee Stock Purchase Plan</w:t>
            </w:r>
          </w:p>
        </w:tc>
        <w:tc>
          <w:tcPr>
            <w:tcW w:w="980" w:type="dxa"/>
            <w:vAlign w:val="bottom"/>
          </w:tcPr>
          <w:p>
            <w:pPr>
              <w:jc w:val="right"/>
              <w:spacing w:after="0"/>
              <w:rPr>
                <w:sz w:val="20"/>
                <w:szCs w:val="20"/>
                <w:color w:val="auto"/>
              </w:rPr>
            </w:pPr>
            <w:r>
              <w:rPr>
                <w:rFonts w:ascii="Arial" w:cs="Arial" w:eastAsia="Arial" w:hAnsi="Arial"/>
                <w:sz w:val="14"/>
                <w:szCs w:val="14"/>
                <w:color w:val="auto"/>
              </w:rPr>
              <w:t>1,397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r>
      <w:tr>
        <w:trPr>
          <w:trHeight w:val="143"/>
        </w:trPr>
        <w:tc>
          <w:tcPr>
            <w:tcW w:w="5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the at-the-market sales agreement, net of</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commissions and allocated fees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466,758</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2,364</w:t>
            </w:r>
          </w:p>
        </w:tc>
        <w:tc>
          <w:tcPr>
            <w:tcW w:w="120" w:type="dxa"/>
            <w:vAlign w:val="bottom"/>
            <w:shd w:val="clear" w:color="auto" w:fill="CFF0FC"/>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(23,235)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(23,235)</w:t>
            </w:r>
          </w:p>
        </w:tc>
      </w:tr>
      <w:tr>
        <w:trPr>
          <w:trHeight w:val="155"/>
        </w:trPr>
        <w:tc>
          <w:tcPr>
            <w:tcW w:w="51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2020</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18,321,068</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173,054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(137,454)</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35,618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3"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Nine Months Ended</w:t>
      </w:r>
    </w:p>
    <w:p>
      <w:pPr>
        <w:jc w:val="center"/>
        <w:ind w:left="70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2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09"/>
        </w:trPr>
        <w:tc>
          <w:tcPr>
            <w:tcW w:w="7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Net loss</w:t>
            </w: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(25,420)</w:t>
            </w:r>
          </w:p>
        </w:tc>
        <w:tc>
          <w:tcPr>
            <w:tcW w:w="54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(23,235)</w:t>
            </w:r>
          </w:p>
        </w:tc>
      </w:tr>
      <w:tr>
        <w:trPr>
          <w:trHeight w:val="216"/>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220" w:type="dxa"/>
            <w:vAlign w:val="bottom"/>
          </w:tcPr>
          <w:p>
            <w:pPr>
              <w:ind w:left="260"/>
              <w:spacing w:after="0"/>
              <w:rPr>
                <w:sz w:val="20"/>
                <w:szCs w:val="20"/>
                <w:color w:val="auto"/>
              </w:rPr>
            </w:pPr>
            <w:r>
              <w:rPr>
                <w:rFonts w:ascii="Arial" w:cs="Arial" w:eastAsia="Arial" w:hAnsi="Arial"/>
                <w:sz w:val="17"/>
                <w:szCs w:val="17"/>
                <w:color w:val="auto"/>
              </w:rPr>
              <w:t>Accretion/accrual of term loan discounts and debt issuance costs</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expense related to transaction with Lincoln Park Capital Fund, LLC</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22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1,907</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1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323</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payable</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(341)</w:t>
            </w:r>
          </w:p>
        </w:tc>
      </w:tr>
      <w:tr>
        <w:trPr>
          <w:trHeight w:val="216"/>
        </w:trPr>
        <w:tc>
          <w:tcPr>
            <w:tcW w:w="7220" w:type="dxa"/>
            <w:vAlign w:val="bottom"/>
          </w:tcPr>
          <w:p>
            <w:pPr>
              <w:ind w:left="500"/>
              <w:spacing w:after="0"/>
              <w:rPr>
                <w:sz w:val="20"/>
                <w:szCs w:val="20"/>
                <w:color w:val="auto"/>
              </w:rPr>
            </w:pPr>
            <w:r>
              <w:rPr>
                <w:rFonts w:ascii="Arial" w:cs="Arial" w:eastAsia="Arial" w:hAnsi="Arial"/>
                <w:sz w:val="17"/>
                <w:szCs w:val="17"/>
                <w:color w:val="auto"/>
              </w:rPr>
              <w:t>Accrued expenses and other liabilities</w:t>
            </w:r>
          </w:p>
        </w:tc>
        <w:tc>
          <w:tcPr>
            <w:tcW w:w="1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8"/>
                <w:szCs w:val="18"/>
                <w:color w:val="auto"/>
              </w:rPr>
            </w:pPr>
          </w:p>
        </w:tc>
      </w:tr>
      <w:tr>
        <w:trPr>
          <w:trHeight w:val="210"/>
        </w:trPr>
        <w:tc>
          <w:tcPr>
            <w:tcW w:w="72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operating activities</w:t>
            </w: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(22,717)</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8"/>
        </w:trPr>
        <w:tc>
          <w:tcPr>
            <w:tcW w:w="722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Purchases of property, equipment and leasehold improvements</w:t>
            </w: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w:t>
            </w:r>
          </w:p>
        </w:tc>
      </w:tr>
      <w:tr>
        <w:trPr>
          <w:trHeight w:val="210"/>
        </w:trPr>
        <w:tc>
          <w:tcPr>
            <w:tcW w:w="72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FF0FC"/>
            </w:tcBorders>
          </w:tcPr>
          <w:p>
            <w:pPr>
              <w:spacing w:after="0"/>
              <w:rPr>
                <w:sz w:val="18"/>
                <w:szCs w:val="18"/>
                <w:color w:val="auto"/>
              </w:rPr>
            </w:pPr>
          </w:p>
        </w:tc>
      </w:tr>
      <w:tr>
        <w:trPr>
          <w:trHeight w:val="209"/>
        </w:trPr>
        <w:tc>
          <w:tcPr>
            <w:tcW w:w="7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Proceeds from term loan</w:t>
            </w:r>
          </w:p>
        </w:tc>
        <w:tc>
          <w:tcPr>
            <w:tcW w:w="1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14,000</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Payments of financing costs of term loan</w:t>
            </w: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(53)</w:t>
            </w: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Proceeds from at-the-market sales, net of commissions</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2,442</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exercises of stock options</w:t>
            </w: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Proceeds from employee stock purchase plan</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Payments of offering costs</w:t>
            </w: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(420)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(343)</w:t>
            </w:r>
          </w:p>
        </w:tc>
      </w:tr>
      <w:tr>
        <w:trPr>
          <w:trHeight w:val="210"/>
        </w:trPr>
        <w:tc>
          <w:tcPr>
            <w:tcW w:w="72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1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7,034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16,083</w:t>
            </w:r>
          </w:p>
        </w:tc>
        <w:tc>
          <w:tcPr>
            <w:tcW w:w="120" w:type="dxa"/>
            <w:vAlign w:val="bottom"/>
            <w:tcBorders>
              <w:bottom w:val="single" w:sz="8" w:color="CFF0FC"/>
            </w:tcBorders>
          </w:tcPr>
          <w:p>
            <w:pPr>
              <w:spacing w:after="0"/>
              <w:rPr>
                <w:sz w:val="18"/>
                <w:szCs w:val="18"/>
                <w:color w:val="auto"/>
              </w:rPr>
            </w:pPr>
          </w:p>
        </w:tc>
      </w:tr>
      <w:tr>
        <w:trPr>
          <w:trHeight w:val="210"/>
        </w:trPr>
        <w:tc>
          <w:tcPr>
            <w:tcW w:w="722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(4,020)</w:t>
            </w: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57,313</w:t>
            </w:r>
          </w:p>
        </w:tc>
        <w:tc>
          <w:tcPr>
            <w:tcW w:w="120" w:type="dxa"/>
            <w:vAlign w:val="bottom"/>
            <w:tcBorders>
              <w:bottom w:val="single" w:sz="8" w:color="CFF0FC"/>
            </w:tcBorders>
          </w:tcPr>
          <w:p>
            <w:pPr>
              <w:spacing w:after="0"/>
              <w:rPr>
                <w:sz w:val="18"/>
                <w:szCs w:val="18"/>
                <w:color w:val="auto"/>
              </w:rPr>
            </w:pPr>
          </w:p>
        </w:tc>
      </w:tr>
      <w:tr>
        <w:trPr>
          <w:trHeight w:val="210"/>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1140" w:type="dxa"/>
            <w:vAlign w:val="bottom"/>
            <w:tcBorders>
              <w:bottom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29,318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Trevi Therapeutics, Inc. (“Trevi” or the “Company”) is a clinical-stage biopharmaceutical company focused on the development and commercialization of the investigational therapy Haduvio (nalbuphine ER) to treat serious neurologically mediated conditions. The Company is currently developing Haduvio for the treatment of chronic pruritus associated with prurigo nodularis and chronic cough in patients with idiopathic pulmonary fibrosis (“IPF”). The Company is also developing Haduvio in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5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itch, cough and certain movement disorders. Nalbuphine’s mechanism of action also mitigates the risk of abuse associated with μ-opioid agonists because it antagonizes or blocks, the μ-opioid receptor. Parenteral nalbuphine is not classified as a controlled substance in the U.S. and most of Europe.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Disclosures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Going Concern (Subtopic 205-40) </w:t>
      </w:r>
      <w:r>
        <w:rPr>
          <w:rFonts w:ascii="Arial" w:cs="Arial" w:eastAsia="Arial" w:hAnsi="Arial"/>
          <w:sz w:val="16"/>
          <w:szCs w:val="16"/>
          <w:color w:val="auto"/>
        </w:rPr>
        <w:t>(“ASU No. 2014-15”), management must evaluate whether there are conditions or events, considered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60"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on a going concern basis, which contemplates the continuity of operations, realization of assets and the satisfaction of liabilities and commitments in the ordinary course of business. Since inception, the Company has financed its operations primarily through private placements of convertible preferred stock and convertible notes prior to its initial public offering (“IPO”), borrowings under its prior term loan facility, proceeds from its IPO and concurrent private placement completed in May 2019, sales of its common stock pursuant to the at-the-market Sales Agreement (the “ATM Sales Agreement”) (Note 7) with SVB Leerink LLC that the Company entered into in June 2020 and the term loan facility with Silicon Valley Bank (“SVB”) that the Company entered into in August 2020. The Company has incurred recurring losses since inception, including net losses of $25.4 million for the nine months ended September 30, 2021 and $32.8 million for the year ended December 31, 2020. As of September 30, 2021, the Company had cash and cash equivalents of $29.3 million compared to $45.0 million of cash and cash equivalents as of December 31, 2020. The Company has incurred losses and negative cash flows from operations and had an accumulated deficit of $172.4 million as of September 30, 2021. The Company expects to continue to incur losses for the foreseeable future.</w:t>
      </w:r>
    </w:p>
    <w:p>
      <w:pPr>
        <w:spacing w:after="0" w:line="6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of November 10, 2021, the date of issuance of these Condensed Consolidated Financial Statements, the Company believes that its cash and cash equivalents as of September 30, 2021, together with the proceeds from the Company’s October 2021 private placements (Note 12), will not be sufficient to fund its operating expenses and capital expenditure requirements for 12 months from the date of issuance of these Condensed Consolidated Financial Statements. The Company plans to seek to address this condition by raising additional capital to finance its operations. The future viability of the Company is dependent on its ability to raise additional capital to finance its operations. Although the Company has been successful in raising capital in the past, there is no assurance that it will be successful in obtaining such additional financing. Therefore, it is not considered probable, as defined in ASU No. 2014-15, that the Company’s plans to raise additional capital will alleviate the substantial doubt regarding its ability to continue as a going concern.</w:t>
      </w:r>
    </w:p>
    <w:p>
      <w:pPr>
        <w:spacing w:after="0" w:line="5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To execute its business plans, the Company will need substantial funding to support its continuing operations and pursue its growth strategy. Until such time that the Company can generate significant revenue from product sales, if ever, the Company expects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color w:val="auto"/>
        </w:rPr>
        <w:t>to finance its operations through the sale of common stock in public offerings and/or private placements, debt financings or other capital sources, including collaborations with other companies or other strategic transactions. The Company may not be able to obtain financing when needed on acceptable terms or at all. The terms of any financing may adversely affect the holdings or the rights of the Company’s stockholders. If the Company is unable to obtain funding, the Company could be forced to delay, reduce or abandon its product development programs or commercialization efforts, which could adversely affect its business prospects.</w:t>
      </w:r>
    </w:p>
    <w:p>
      <w:pPr>
        <w:spacing w:after="0" w:line="184" w:lineRule="exact"/>
        <w:rPr>
          <w:sz w:val="20"/>
          <w:szCs w:val="20"/>
          <w:color w:val="auto"/>
        </w:rPr>
      </w:pPr>
    </w:p>
    <w:p>
      <w:pPr>
        <w:ind w:left="520" w:right="7340" w:hanging="512"/>
        <w:spacing w:after="0" w:line="378" w:lineRule="auto"/>
        <w:tabs>
          <w:tab w:leader="none" w:pos="51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40" w:firstLine="510"/>
        <w:spacing w:after="0" w:line="254" w:lineRule="auto"/>
        <w:rPr>
          <w:sz w:val="20"/>
          <w:szCs w:val="20"/>
          <w:color w:val="auto"/>
        </w:rPr>
      </w:pPr>
      <w:r>
        <w:rPr>
          <w:rFonts w:ascii="Arial" w:cs="Arial" w:eastAsia="Arial" w:hAnsi="Arial"/>
          <w:sz w:val="18"/>
          <w:szCs w:val="18"/>
          <w:color w:val="auto"/>
        </w:rPr>
        <w:t>The accompanying unaudited interim Condensed Consolidated Financial Statements for the three and nine months ended September 30, 2021 and 2020 included herein, have been prepared in accordance with accounting principles generally accepted in the U.S. (“GAAP”) for interim financial information and the rules and regulations of the Securities and Exchange Commission (“SEC”) for interim information. Certain prior year balances have been reclassified to conform to the current year presentation. Such reclassifications did not affect loss from operations or net loss.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2020 (the “Annual Report on Form 10-K”).</w:t>
      </w:r>
    </w:p>
    <w:p>
      <w:pPr>
        <w:spacing w:after="0" w:line="192" w:lineRule="exact"/>
        <w:rPr>
          <w:sz w:val="20"/>
          <w:szCs w:val="20"/>
          <w:color w:val="auto"/>
        </w:rPr>
      </w:pPr>
    </w:p>
    <w:p>
      <w:pPr>
        <w:jc w:val="both"/>
        <w:ind w:right="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6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September 30, 2021 for potential recognition or disclosure in the Condensed Consolidated Financial Statements. Refer to Note 12 for disclosure related to events occurring subsequent to September 30, 2021.</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On an ongoing basis, management evaluates its estimates in light of changes in circumstances, facts and experience. Changes in estimates are recorded in the period in which they become known. Actual results could differ from those estimates. The inputs into the Company’s estimates also considered the economic implications of the COVID-19 pandemic on the Company’s estimates.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accompanying interim Condensed Consolidated Balance Sheet as of September 30, 2021 and the Condensed Consolidated Statements of Operations, the Condensed Consolidated Statements of Stockholders’ Equity and the Condensed Consolidated Statements of Cash Flows for the three and nine months ended September 30, 2021 and 2020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2021 and the results of its operations and its cash flows for the three and nine months ended September 30, 2021 and 2020. The results for the three and nine months ended September 30, 2021 and 2020 are not necessarily indicative of results to be expected for the year ending December 31, 2021 or any other interim period or any future year or period.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The Company classifies short-term, highly liquid investments with an original term of three months or less at the date of purchase as cash equivalents.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Company’s financial instruments have consisted of cash and cash equivalents, other current assets, accounts payable, accrued expenses, term loans and term loan derivative liability (Note 6). Fair value estimates of these instruments are made at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60"/>
        <w:spacing w:after="0" w:line="279" w:lineRule="auto"/>
        <w:rPr>
          <w:sz w:val="20"/>
          <w:szCs w:val="20"/>
          <w:color w:val="auto"/>
        </w:rPr>
      </w:pPr>
      <w:r>
        <w:rPr>
          <w:rFonts w:ascii="Arial" w:cs="Arial" w:eastAsia="Arial" w:hAnsi="Arial"/>
          <w:sz w:val="17"/>
          <w:szCs w:val="17"/>
          <w:color w:val="auto"/>
        </w:rPr>
        <w:t>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term loan derivative liability is recorded at fair value, which is estimated utilizing a probability-weighted cash flow approach (Note 6).</w:t>
      </w:r>
    </w:p>
    <w:p>
      <w:pPr>
        <w:spacing w:after="0" w:line="63"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6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62"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following table summarizes the financial assets and financial liabilities measured at fair value on a recurring basis and the basis for that measurement, by level within the fair value hierarchy (Note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509"/>
              <w:spacing w:after="0"/>
              <w:rPr>
                <w:sz w:val="20"/>
                <w:szCs w:val="20"/>
                <w:color w:val="auto"/>
              </w:rPr>
            </w:pPr>
            <w:r>
              <w:rPr>
                <w:rFonts w:ascii="Arial" w:cs="Arial" w:eastAsia="Arial" w:hAnsi="Arial"/>
                <w:sz w:val="17"/>
                <w:szCs w:val="17"/>
                <w:b w:val="1"/>
                <w:bCs w:val="1"/>
                <w:color w:val="auto"/>
              </w:rPr>
              <w:t>Level 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ind w:left="240"/>
              <w:spacing w:after="0"/>
              <w:rPr>
                <w:sz w:val="20"/>
                <w:szCs w:val="20"/>
                <w:color w:val="auto"/>
              </w:rPr>
            </w:pPr>
            <w:r>
              <w:rPr>
                <w:rFonts w:ascii="Arial" w:cs="Arial" w:eastAsia="Arial" w:hAnsi="Arial"/>
                <w:sz w:val="17"/>
                <w:szCs w:val="17"/>
                <w:b w:val="1"/>
                <w:bCs w:val="1"/>
                <w:color w:val="auto"/>
              </w:rPr>
              <w:t>Level 2</w:t>
            </w:r>
          </w:p>
        </w:tc>
        <w:tc>
          <w:tcPr>
            <w:tcW w:w="32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212"/>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September 30, 2021</w:t>
            </w:r>
          </w:p>
        </w:tc>
        <w:tc>
          <w:tcPr>
            <w:tcW w:w="1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40" w:type="dxa"/>
            <w:vAlign w:val="bottom"/>
            <w:tcBorders>
              <w:top w:val="single" w:sz="8" w:color="auto"/>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40" w:type="dxa"/>
            <w:vAlign w:val="bottom"/>
            <w:tcBorders>
              <w:top w:val="single" w:sz="8" w:color="auto"/>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60" w:type="dxa"/>
            <w:vAlign w:val="bottom"/>
            <w:tcBorders>
              <w:top w:val="single" w:sz="8" w:color="auto"/>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14"/>
                <w:szCs w:val="14"/>
                <w:color w:val="auto"/>
              </w:rPr>
              <w:t>(1)</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28,325</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FF0FC"/>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FF0FC"/>
          </w:tcPr>
          <w:p>
            <w:pPr>
              <w:spacing w:after="0"/>
              <w:rPr>
                <w:sz w:val="18"/>
                <w:szCs w:val="18"/>
                <w:color w:val="auto"/>
              </w:rPr>
            </w:pPr>
          </w:p>
        </w:tc>
      </w:tr>
      <w:tr>
        <w:trPr>
          <w:trHeight w:val="430"/>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December 31, 2020</w:t>
            </w:r>
          </w:p>
        </w:tc>
        <w:tc>
          <w:tcPr>
            <w:tcW w:w="18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11"/>
        </w:trPr>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
        </w:trPr>
        <w:tc>
          <w:tcPr>
            <w:tcW w:w="5340" w:type="dxa"/>
            <w:vAlign w:val="bottom"/>
          </w:tcPr>
          <w:p>
            <w:pPr>
              <w:spacing w:after="0" w:line="20" w:lineRule="exact"/>
              <w:rPr>
                <w:sz w:val="20"/>
                <w:szCs w:val="20"/>
                <w:color w:val="auto"/>
              </w:rPr>
            </w:pPr>
            <w:r>
              <w:rPr>
                <w:rFonts w:ascii="Arial" w:cs="Arial" w:eastAsia="Arial" w:hAnsi="Arial"/>
                <w:sz w:val="2"/>
                <w:szCs w:val="2"/>
                <w:color w:val="auto"/>
              </w:rPr>
              <w:t>Money market funds</w:t>
            </w:r>
          </w:p>
        </w:tc>
        <w:tc>
          <w:tcPr>
            <w:tcW w:w="500" w:type="dxa"/>
            <w:vAlign w:val="bottom"/>
            <w:gridSpan w:val="2"/>
          </w:tcPr>
          <w:p>
            <w:pPr>
              <w:jc w:val="right"/>
              <w:ind w:right="240"/>
              <w:spacing w:after="0" w:line="20" w:lineRule="exact"/>
              <w:rPr>
                <w:sz w:val="20"/>
                <w:szCs w:val="20"/>
                <w:color w:val="auto"/>
              </w:rPr>
            </w:pPr>
            <w:r>
              <w:rPr>
                <w:rFonts w:ascii="Arial" w:cs="Arial" w:eastAsia="Arial" w:hAnsi="Arial"/>
                <w:sz w:val="2"/>
                <w:szCs w:val="2"/>
                <w:color w:val="auto"/>
              </w:rPr>
              <w:t>$</w:t>
            </w:r>
          </w:p>
        </w:tc>
        <w:tc>
          <w:tcPr>
            <w:tcW w:w="1340" w:type="dxa"/>
            <w:vAlign w:val="bottom"/>
          </w:tcPr>
          <w:p>
            <w:pPr>
              <w:jc w:val="right"/>
              <w:spacing w:after="0" w:line="20" w:lineRule="exact"/>
              <w:rPr>
                <w:sz w:val="20"/>
                <w:szCs w:val="20"/>
                <w:color w:val="auto"/>
              </w:rPr>
            </w:pPr>
            <w:r>
              <w:rPr>
                <w:rFonts w:ascii="Arial" w:cs="Arial" w:eastAsia="Arial" w:hAnsi="Arial"/>
                <w:sz w:val="2"/>
                <w:szCs w:val="2"/>
                <w:color w:val="auto"/>
              </w:rPr>
              <w:t>44,095</w:t>
            </w:r>
          </w:p>
        </w:tc>
        <w:tc>
          <w:tcPr>
            <w:tcW w:w="620" w:type="dxa"/>
            <w:vAlign w:val="bottom"/>
            <w:gridSpan w:val="2"/>
          </w:tcPr>
          <w:p>
            <w:pPr>
              <w:jc w:val="right"/>
              <w:ind w:right="240"/>
              <w:spacing w:after="0" w:line="20" w:lineRule="exact"/>
              <w:rPr>
                <w:sz w:val="20"/>
                <w:szCs w:val="20"/>
                <w:color w:val="auto"/>
              </w:rPr>
            </w:pPr>
            <w:r>
              <w:rPr>
                <w:rFonts w:ascii="Arial" w:cs="Arial" w:eastAsia="Arial" w:hAnsi="Arial"/>
                <w:sz w:val="2"/>
                <w:szCs w:val="2"/>
                <w:color w:val="auto"/>
              </w:rPr>
              <w:t>$</w:t>
            </w:r>
          </w:p>
        </w:tc>
        <w:tc>
          <w:tcPr>
            <w:tcW w:w="1640" w:type="dxa"/>
            <w:vAlign w:val="bottom"/>
            <w:gridSpan w:val="2"/>
          </w:tcPr>
          <w:p>
            <w:pPr>
              <w:ind w:left="1160"/>
              <w:spacing w:after="0" w:line="20" w:lineRule="exact"/>
              <w:rPr>
                <w:sz w:val="20"/>
                <w:szCs w:val="20"/>
                <w:color w:val="auto"/>
              </w:rPr>
            </w:pPr>
            <w:r>
              <w:rPr>
                <w:rFonts w:ascii="Arial" w:cs="Arial" w:eastAsia="Arial" w:hAnsi="Arial"/>
                <w:sz w:val="2"/>
                <w:szCs w:val="2"/>
                <w:color w:val="auto"/>
              </w:rPr>
              <w:t>—</w:t>
            </w:r>
          </w:p>
        </w:tc>
        <w:tc>
          <w:tcPr>
            <w:tcW w:w="320" w:type="dxa"/>
            <w:vAlign w:val="bottom"/>
          </w:tcPr>
          <w:p>
            <w:pPr>
              <w:jc w:val="right"/>
              <w:ind w:right="181"/>
              <w:spacing w:after="0" w:line="20" w:lineRule="exact"/>
              <w:rPr>
                <w:sz w:val="20"/>
                <w:szCs w:val="20"/>
                <w:color w:val="auto"/>
              </w:rPr>
            </w:pPr>
            <w:r>
              <w:rPr>
                <w:rFonts w:ascii="Arial" w:cs="Arial" w:eastAsia="Arial" w:hAnsi="Arial"/>
                <w:sz w:val="2"/>
                <w:szCs w:val="2"/>
                <w:color w:val="auto"/>
              </w:rPr>
              <w:t>$</w:t>
            </w:r>
          </w:p>
        </w:tc>
        <w:tc>
          <w:tcPr>
            <w:tcW w:w="1480" w:type="dxa"/>
            <w:vAlign w:val="bottom"/>
            <w:gridSpan w:val="2"/>
          </w:tcPr>
          <w:p>
            <w:pPr>
              <w:jc w:val="right"/>
              <w:ind w:right="140"/>
              <w:spacing w:after="0" w:line="20" w:lineRule="exact"/>
              <w:rPr>
                <w:sz w:val="20"/>
                <w:szCs w:val="20"/>
                <w:color w:val="auto"/>
              </w:rPr>
            </w:pPr>
            <w:r>
              <w:rPr>
                <w:rFonts w:ascii="Arial" w:cs="Arial" w:eastAsia="Arial" w:hAnsi="Arial"/>
                <w:sz w:val="2"/>
                <w:szCs w:val="2"/>
                <w:color w:val="auto"/>
              </w:rPr>
              <w:t>—</w:t>
            </w:r>
          </w:p>
        </w:tc>
      </w:tr>
      <w:tr>
        <w:trPr>
          <w:trHeight w:val="190"/>
        </w:trPr>
        <w:tc>
          <w:tcPr>
            <w:tcW w:w="5340" w:type="dxa"/>
            <w:vAlign w:val="bottom"/>
          </w:tcPr>
          <w:p>
            <w:pPr>
              <w:ind w:left="144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5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FF0FC"/>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r>
    </w:tbl>
    <w:p>
      <w:pPr>
        <w:spacing w:after="0" w:line="94"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Included in cash and cash equivalents on the Condensed Consolidated Balance Sheets.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5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100" w:type="dxa"/>
            <w:vAlign w:val="bottom"/>
            <w:gridSpan w:val="2"/>
          </w:tcPr>
          <w:p>
            <w:pPr>
              <w:jc w:val="right"/>
              <w:ind w:right="13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196</w:t>
            </w:r>
          </w:p>
        </w:tc>
        <w:tc>
          <w:tcPr>
            <w:tcW w:w="30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5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6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13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 Should the planned equity financing no longer be considered probable of being consummated, the deferred offering costs are expensed immediately as a charge to operating expenses.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All of the Company’s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research and development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research and development expenses as they are incurred.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has entered into agreements with CROs, contract manufacturing organizations (“CMOs”) and other companies that provide services in connection with the Company’s research and development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The Company accounts for stock-based compensation arrangements with employees and non-employees for consultancy services in accordance with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ASC 718 requires the recognition of compensation expense, using a fair value based method, for costs related to all stock-based payments including stock options. The Company’s determination of the fair value of stock options on the date of grant utilizes the Black-Scholes option-pricing model for stock options with time-based and performance-based vesting and is impacted by the price of its common stock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w:t>
      </w:r>
    </w:p>
    <w:p>
      <w:pPr>
        <w:spacing w:after="0" w:line="5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fair value is recognized over the period during which an optionee is required to provide services in exchange for the option award, known as the requisite service period (usually the vesting period) on a straight-line basis. For performance-based vesting, the fair value is also recognized on a straight-line basis over the requisite service period based on whether the performance conditions are probable. The Company reassesses the probability of achieving the performance conditions at each reporting date. Forfeitures are accounted for as they occur.</w:t>
      </w:r>
    </w:p>
    <w:p>
      <w:pPr>
        <w:spacing w:after="0" w:line="63"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variables. Changes in the assumptions can materially affect the fair value and ultimately how much stock-based compensation expense is recognized. These inputs are subjective and generally require analysis and judgment to develop.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right="80" w:firstLine="510"/>
        <w:spacing w:after="0" w:line="263" w:lineRule="auto"/>
        <w:rPr>
          <w:sz w:val="20"/>
          <w:szCs w:val="20"/>
          <w:color w:val="auto"/>
        </w:rPr>
      </w:pPr>
      <w:r>
        <w:rPr>
          <w:rFonts w:ascii="Arial" w:cs="Arial" w:eastAsia="Arial" w:hAnsi="Arial"/>
          <w:sz w:val="18"/>
          <w:szCs w:val="18"/>
          <w:color w:val="auto"/>
        </w:rPr>
        <w:t>Expected Term—The expected term assumption represents the weighted average period that the stock-based awards are expected to be outstanding. The Company has elected to use the “simplified method” for estimating the expected term of the options, whereby the expected term equals the arithmetic average of the vesting term and the original contractual term of the option.</w:t>
      </w:r>
    </w:p>
    <w:p>
      <w:pPr>
        <w:spacing w:after="0" w:line="7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76"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6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Risk-Free Interest Rate—The risk-free interest rate is based on the yield available on U.S. Treasury zero-coupon issues similar in duration to the expected term of the equity-settled award.</w:t>
      </w:r>
    </w:p>
    <w:p>
      <w:pPr>
        <w:spacing w:after="0" w:line="62"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Prior to the Company’s IPO in May 2019, the estimated fair value of the common stock underlying the Company’s stock options was determined at each grant date by the Company’s board of directors, with input from management. All options to purchase shares of common stock were intended to be exercisable at a price per share not less than the per share fair value of the Company’s common stock underlying those options on the date of grant.</w:t>
      </w:r>
    </w:p>
    <w:p>
      <w:pPr>
        <w:spacing w:after="0" w:line="4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absence of a public trading market for the Company’s common stock prior to the Company’s IPO in May 2019, on each grant date, the Company developed an estimate of the fair value of its common stock based on the information known to the Company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(the “Code”), the Company generally relied on valuations for up to twelve months unless the Company had experienced a material event that would have affected the estimated fair value of its common stock.</w:t>
      </w:r>
    </w:p>
    <w:p>
      <w:pPr>
        <w:spacing w:after="0" w:line="8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valuations of the Company’s common stock performed prior to the Company’s IPO in May 2019, were determined in accordance with the guidelines outlined in the American Institute of Certified Public Accountants Practice Aid, Valuation of Privately-Held-Company Equity Securities Issued as Compensation (the “Practice Aid”). The methodology to determine the fair value of common stock included estimating the fair value of the enterprise using a market approach, which estimates the fair value of the Company by including an estimation of the value of the business based on the guideline public companies under a number of different scenarios. The assumptions used to determine the estimated fair value of the Company’s common stock were based on numerous objective and subjective factors, combined with management judgment, including external market conditions affecting the pharmaceutical and biotechnology industry and trends within the industry; the Company’s stage of development; the rights, preferences and privileges of the Company’s convertible preferred stock relative to those of the Company’s common stock; the prices at which the Company sold shares of convertible preferred stock; the Company’s financial condition and operating results, including the Company’s levels of available capital resources; the progress of the Company’s research and development efforts; the stage of development and business strategy; the equity market conditions affecting comparable public companies; the general U.S. market conditions and the lack of marketability of the Company’s common stock.</w:t>
      </w:r>
    </w:p>
    <w:p>
      <w:pPr>
        <w:spacing w:after="0" w:line="64"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p>
      <w:pPr>
        <w:spacing w:after="0" w:line="2" w:lineRule="exact"/>
        <w:rPr>
          <w:sz w:val="20"/>
          <w:szCs w:val="20"/>
          <w:color w:val="auto"/>
        </w:rPr>
      </w:pPr>
    </w:p>
    <w:p>
      <w:pPr>
        <w:ind w:left="1260" w:hanging="375"/>
        <w:spacing w:after="0" w:line="288"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Option Pricing Method (“OPM”)—The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41" w:lineRule="exact"/>
        <w:rPr>
          <w:rFonts w:ascii="Arial" w:cs="Arial" w:eastAsia="Arial" w:hAnsi="Arial"/>
          <w:sz w:val="16"/>
          <w:szCs w:val="16"/>
          <w:color w:val="auto"/>
        </w:rPr>
      </w:pPr>
    </w:p>
    <w:p>
      <w:pPr>
        <w:ind w:left="1260" w:right="120" w:hanging="375"/>
        <w:spacing w:after="0" w:line="296"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Probability Weighted Expected Return Method (“PWERM”)—Under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1260" w:right="80" w:hanging="375"/>
        <w:spacing w:after="0" w:line="291"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Hybrid Method—The hybrid method is a PWERM where the equity value in one of the scenarios is calculated using an OPM. In the hybrid method used by the Company, it considered an IPO as the other potential future liquidity event. The equity value for the IPO scenario was determined using the guideline public company (“GPC”), method under the market approach. The relative probability of the IPO scenario was determined based on an analysis of market conditions at the time and expectations as to the timing and likely prospects of the IPO at each valuation date. In application of the GPC method, the Company considered publicly traded companies in the biopharmaceutical industry that had a similar profile to the Company’s as well as recently completed IPOs as indicators of estimated future value in an IPO. The Company then discounted that future value back to the valuation date at an appropriate discount rate.</w:t>
      </w:r>
    </w:p>
    <w:p>
      <w:pPr>
        <w:spacing w:after="0" w:line="1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determining the estimated fair value of the Company’s common stock prior to Company’s IPO in May 2019, the board of directors considered the fact that the Company’s stockholders could not freely trade the Company’s common stock in the public markets. Accordingly, the Company’s board of directors applied discounts to reflect the lack of marketability of common stock based on the weighted-average expected time to liquidity. The estimated fair value of the Company’s common stock at each grant date reflected a non-marketability discount partially based on the anticipated likelihood and timing of a future liquidity event.</w:t>
      </w:r>
    </w:p>
    <w:p>
      <w:pPr>
        <w:spacing w:after="0" w:line="8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Subsequent to the completion of the Company’s IPO in May 2019, the fair value of the Company’s common stock has been determined based on the closing price of the Company’s common stock as reported on the date of grant on the primary stock exchange on which the Company’s common stock is traded.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 xml:space="preserve">The Company applies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 xml:space="preserve">Under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Basic and diluted net loss per common share outstanding is determined by dividing net loss by the weighted average common shares outstanding during the period. For all periods presented,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On January 1, 2021, the Company adopted ASU No. 2019-12-</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the Company’s Condensed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There have been no new accounting pronouncements during the nine months ended September 30, 2021, which could be expected to materially impact the Company’s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corporate insurance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Prepaid other and other current assets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Prepaid R&amp;D costs</w:t>
            </w: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Effective March 1, 2013, the Company entered into a lease for office space in New Haven, CT and commencing March 1, 2018, the Company entered into the First Amendment to the lease (collectively, the “Office Space Lease”). The leased space is approximately 5,600 square feet and the Office Space Lease has a term of 60 months. The Office Space Lease requires monthly payments ranging from approximately $10 to $11 through February 1, 2023 and provides for two designated months of free rent.</w:t>
      </w:r>
    </w:p>
    <w:p>
      <w:pPr>
        <w:spacing w:after="0" w:line="79"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incremental borrowing rate used on the Office Space Lease was 13.0%. The right-of-use asset also includes any lease payments related to initial direct costs and prepayments and excludes lease incentives. Lease expense is recognized on a straight-line basis over the lease term. The Company had no new leases during the nine months ended September 30, 2021.</w:t>
      </w:r>
    </w:p>
    <w:p>
      <w:pPr>
        <w:spacing w:after="0" w:line="76"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The Office Space Lease is an operating lease and the remaining term as of September 30, 2021 is approximately 1.5 years. The Company has no financing leases. The following table summarizes the Company’s operating lease as presented on its 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69"/>
        </w:trPr>
        <w:tc>
          <w:tcPr>
            <w:tcW w:w="7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FF0FC"/>
            </w:tcBorders>
          </w:tcPr>
          <w:p>
            <w:pPr>
              <w:spacing w:after="0"/>
              <w:rPr>
                <w:sz w:val="23"/>
                <w:szCs w:val="23"/>
                <w:color w:val="auto"/>
              </w:rPr>
            </w:pP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 long term portion</w:t>
            </w: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r>
      <w:tr>
        <w:trPr>
          <w:trHeight w:val="223"/>
        </w:trPr>
        <w:tc>
          <w:tcPr>
            <w:tcW w:w="744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from September 30, 2021 until the expiration of the operating leases are as follows: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80" w:type="dxa"/>
            <w:vAlign w:val="bottom"/>
            <w:gridSpan w:val="2"/>
            <w:shd w:val="clear" w:color="auto" w:fill="CFF0FC"/>
          </w:tcPr>
          <w:p>
            <w:pPr>
              <w:jc w:val="right"/>
              <w:ind w:right="44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imputed discount rate</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Carrying value of operating lease liabilities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Lease expense under operating leases, including leases of office equipment, was $29 and $31 for the three months ended September 30, 2021 and 2020, respectively and $90 and $93 for the nine months ended September 30, 2021 and 2020, respectively. Lease payments made in the three months ended September 30, 2021 and 2020 were $35 and $23, respectively and $104 and $103 for the nine months ended September 30, 2021 and 2020, respectively, with such amounts reflected in the Condensed Consolidated Statements of Cash Flows in operating activities.</w:t>
      </w:r>
    </w:p>
    <w:p>
      <w:pPr>
        <w:spacing w:after="0" w:line="16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September 30, 2021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R&amp;D projects</w:t>
            </w:r>
          </w:p>
        </w:tc>
        <w:tc>
          <w:tcPr>
            <w:tcW w:w="3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Accrued consulting and professional fees</w:t>
            </w:r>
          </w:p>
        </w:tc>
        <w:tc>
          <w:tcPr>
            <w:tcW w:w="3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3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accrued expenses</w:t>
            </w:r>
          </w:p>
        </w:tc>
        <w:tc>
          <w:tcPr>
            <w:tcW w:w="3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00" w:type="dxa"/>
            <w:vAlign w:val="bottom"/>
            <w:vMerge w:val="restart"/>
          </w:tcPr>
          <w:p>
            <w:pPr>
              <w:jc w:val="right"/>
              <w:ind w:right="19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SVB Term Loan</w:t>
      </w:r>
    </w:p>
    <w:p>
      <w:pPr>
        <w:spacing w:after="0" w:line="225"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On August 13, 2020 (the “Effective Date”), the Company entered into a loan and security agreement (the “SVB Loan Agreement”) with SVB, as lender, pursuant to which SVB provided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will be adjusted to a floating rate equal to the greater of (A) the prime rate plus 3.00% and (B) 6.25% (see term loan derivative liability discussion below).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spacing w:after="0" w:line="8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On July 6, 2021, the Company and SVB entered into a First Amendment (the “Loan Amendment”) to the SVB Loan Agreement. The Loan Amendment modifies the conditions under which the Company is required to cash collateralize all outstanding amounts owed to SVB under the SVB Loan Agreement. Under the Loan Amendment, if the Company fails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will be required to deposit unrestricted and unencumbered cash equal to 100% of the principal amount of the SVB Term Loan then outstanding in a cash collateral account with SVB, which can be used by SVB to prepay the SVB Term Loan at any time. In addition, the Loan Amendment provides that if the Company fails to maintain at least $20.0 million in unrestricted and unencumbered cash in its accounts with SVB at any time prior to the satisfaction of all the Milestone Conditions, the Company will be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ATM Sales Agreement and two private placements, which took place in October 2021 (see Note 12).</w:t>
      </w:r>
    </w:p>
    <w:p>
      <w:pPr>
        <w:spacing w:after="0" w:line="60"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w:t>
      </w:r>
    </w:p>
    <w:p>
      <w:pPr>
        <w:spacing w:after="0" w:line="6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August 2020, in connection with the SVB Term Loan, the Company paid $57 in financing costs to a third party, which were recorded as deferred charges and will be amortized over the life of the SVB Term Loan using the effective interest method. In connection with the Loan Amendment, the Company paid $68 in financing costs to a third party, which were recorded as deferred charges and will be amortized over the remaining life of the SVB Term Loan using the effective interest method. Amortization of these deferred financing charges totaled $11 and $22 for the three and nine months ended September 30, 2021, respectively and is included in interest expense in the Company’s Condensed Consolidated Statements of Operations. The unamortized deferred charges totaled $93 and $48 at September 30, 2021 and December 31, 2020, respectively and are included as a direct reduction of the carrying value of the term loan payable on the Company’s Condensed Consolidated Balance Sheets.</w:t>
      </w:r>
    </w:p>
    <w:p>
      <w:pPr>
        <w:spacing w:after="0" w:line="6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$3 and $8 for the three and nine months ended September 30,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and is included in interest expense in the Company’s Condensed Consolidated Statements of Operations. At September 30, 2021 and December 31, 2020, the loan discount-financing costs balance was $15 and $23, respectively.</w:t>
      </w:r>
    </w:p>
    <w:p>
      <w:pPr>
        <w:spacing w:after="0" w:line="62"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Sheets. At September 30, 2021 and December 31, 2020, $538 and $183 was accrued for the final payment fee, respectively.</w:t>
      </w:r>
    </w:p>
    <w:p>
      <w:pPr>
        <w:spacing w:after="0" w:line="79"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 xml:space="preserve">Upon the occurrence of the Phase 3 Event, the interest rate on the SVB Term Loan will increase by 2.00% (the “Contingent Interest Rate Increase”) as described above. The Contingent Interest Rate Increase represents a free-standing financial instrument. Accordingly, the Company accounted for the Contingent Interest Rate Increase as a derivative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therefore, recorded a term loan derivative liability for the Contingent Interest Rate Increase at its fair value of $187 on the Effective Date of the SVB Loan Agreement. The Company adjusts this liability to fair value at each reporting date it remains outstanding, with such adjustments recorded as non-cash charges in other (expense) income, net in the Company’s Condensed Consolidated Statements of Operations. The total fair value of this liability was determined to be $167 and $196 at September 30, 2021 and December 31, 2020, respectively. The change in fair value of the term loan derivative liability as of September 30, 2021 as compared to the fair value at December 31, 2020 was $29. The term loan derivative liability is presented as a current liability on the Company’s Condensed Consolidated Balance Sheets as of September 30, 2021 and as a non-current liability as of December 31, 2020. Upon recording such term loan derivative liability, the Company also recorded an offsetting term loan discount – interest, to be amortized to interest expense in the Company’s Condensed Consolidated Statements of Operations through the SVB Term Loan’s maturity date using the effective interest method. Such amortization was $19 and $56 in the three and nine months ended September 30, 2021, respectively. At September 30, 2021 and December 31, 2020, the balance of the term loan discount – interest was $102 and $158, respectively and is included as a reduction in the balance of the term loan payable on the Company’s Condensed Consolidated Balance Sheets.</w:t>
      </w:r>
    </w:p>
    <w:p>
      <w:pPr>
        <w:spacing w:after="0" w:line="6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Fair values of the term loan derivative liability are estimated utilizing a probability-weighted cash flow approach, including variables for the timing of the Phase 3 Event and other probability estimates. For the fair value calculations of the term loan derivative liability at September 30, 2021 and December 31, 2020, significant inputs included the Contingent Interest Rate Increase of 2.00%, a discount rate of 12.0% and the SVB Term Loan maturity date of February 1, 2024.</w:t>
      </w:r>
    </w:p>
    <w:p>
      <w:pPr>
        <w:spacing w:after="0" w:line="79" w:lineRule="exact"/>
        <w:rPr>
          <w:sz w:val="20"/>
          <w:szCs w:val="20"/>
          <w:color w:val="auto"/>
        </w:rPr>
      </w:pPr>
    </w:p>
    <w:p>
      <w:pPr>
        <w:ind w:right="80" w:firstLine="510"/>
        <w:spacing w:after="0" w:line="279" w:lineRule="auto"/>
        <w:rPr>
          <w:sz w:val="20"/>
          <w:szCs w:val="20"/>
          <w:color w:val="auto"/>
        </w:rPr>
      </w:pPr>
      <w:r>
        <w:rPr>
          <w:rFonts w:ascii="Arial" w:cs="Arial" w:eastAsia="Arial" w:hAnsi="Arial"/>
          <w:sz w:val="18"/>
          <w:szCs w:val="18"/>
          <w:color w:val="auto"/>
        </w:rPr>
        <w:t>As of September 30, 2021, the Company had outstanding borrowings of $14.0 million under the SVB Term Loan and the term loan payable balance as presented on the Company’s Condensed Consolidated Balance Sheets as of September 30, 2021 and December 31, 2020 was comprised as shown below.</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September 30, 2021</w:t>
            </w: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outstanding under term loan</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Term loan discount-interest</w:t>
            </w:r>
          </w:p>
        </w:tc>
        <w:tc>
          <w:tcPr>
            <w:tcW w:w="14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Term loan discount-unamortized deferred charges</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Term loan discount-financing costs, net of accretion</w:t>
            </w:r>
          </w:p>
        </w:tc>
        <w:tc>
          <w:tcPr>
            <w:tcW w:w="14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Term loan-final payment fee</w:t>
            </w: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Term loan payable, non-current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510"/>
        <w:spacing w:after="0" w:line="277" w:lineRule="auto"/>
        <w:rPr>
          <w:sz w:val="20"/>
          <w:szCs w:val="20"/>
          <w:color w:val="auto"/>
        </w:rPr>
      </w:pPr>
      <w:r>
        <w:rPr>
          <w:rFonts w:ascii="Arial" w:cs="Arial" w:eastAsia="Arial" w:hAnsi="Arial"/>
          <w:sz w:val="18"/>
          <w:szCs w:val="18"/>
          <w:color w:val="auto"/>
        </w:rPr>
        <w:t>Interest expense on the SVB Term Loan, which is comprised of interest payments, accretion and amortization of term loan discounts and the accrual of the final payment fee, is shown below for the three and nine months ended September 30, 2021 and 2020,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060" w:type="dxa"/>
            <w:vAlign w:val="bottom"/>
          </w:tcPr>
          <w:p>
            <w:pPr>
              <w:spacing w:after="0"/>
              <w:rPr>
                <w:sz w:val="13"/>
                <w:szCs w:val="13"/>
                <w:color w:val="auto"/>
              </w:rPr>
            </w:pPr>
          </w:p>
        </w:tc>
        <w:tc>
          <w:tcPr>
            <w:tcW w:w="760" w:type="dxa"/>
            <w:vAlign w:val="bottom"/>
          </w:tcPr>
          <w:p>
            <w:pPr>
              <w:ind w:left="460"/>
              <w:spacing w:after="0" w:line="155" w:lineRule="exact"/>
              <w:rPr>
                <w:sz w:val="20"/>
                <w:szCs w:val="20"/>
                <w:color w:val="auto"/>
              </w:rPr>
            </w:pPr>
            <w:r>
              <w:rPr>
                <w:rFonts w:ascii="Arial" w:cs="Arial" w:eastAsia="Arial" w:hAnsi="Arial"/>
                <w:sz w:val="14"/>
                <w:szCs w:val="14"/>
                <w:b w:val="1"/>
                <w:bCs w:val="1"/>
                <w:color w:val="auto"/>
                <w:w w:val="89"/>
              </w:rPr>
              <w:t>2021</w:t>
            </w:r>
          </w:p>
        </w:tc>
        <w:tc>
          <w:tcPr>
            <w:tcW w:w="480" w:type="dxa"/>
            <w:vAlign w:val="bottom"/>
          </w:tcPr>
          <w:p>
            <w:pPr>
              <w:spacing w:after="0"/>
              <w:rPr>
                <w:sz w:val="13"/>
                <w:szCs w:val="13"/>
                <w:color w:val="auto"/>
              </w:rPr>
            </w:pPr>
          </w:p>
        </w:tc>
        <w:tc>
          <w:tcPr>
            <w:tcW w:w="118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7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payments</w:t>
            </w:r>
          </w:p>
        </w:tc>
        <w:tc>
          <w:tcPr>
            <w:tcW w:w="760" w:type="dxa"/>
            <w:vAlign w:val="bottom"/>
            <w:tcBorders>
              <w:top w:val="single" w:sz="8" w:color="auto"/>
            </w:tcBorders>
            <w:shd w:val="clear" w:color="auto" w:fill="CFF0FC"/>
          </w:tcPr>
          <w:p>
            <w:pPr>
              <w:jc w:val="right"/>
              <w:ind w:right="60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Accretion and amortization of term loan discounts</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Accrual of the final payment fee</w:t>
            </w:r>
          </w:p>
        </w:tc>
        <w:tc>
          <w:tcPr>
            <w:tcW w:w="7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7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5060" w:type="dxa"/>
            <w:vAlign w:val="bottom"/>
          </w:tcPr>
          <w:p>
            <w:pPr>
              <w:spacing w:after="0"/>
              <w:rPr>
                <w:sz w:val="24"/>
                <w:szCs w:val="24"/>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48"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As of September 30, 2021 and December 31, 2020, the Company had reserved shares of common stock for the exercise of outstanding stock options and shares of common stock remaining available for future stock-based awards under the Company’s 2012 Stock Incentive Plan, 2019 Stock Incentive Plan and 2019 Employee Stock Purchase Plan, as shown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761,553</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921,824</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80" w:type="dxa"/>
            <w:vAlign w:val="bottom"/>
          </w:tcPr>
          <w:p>
            <w:pPr>
              <w:jc w:val="right"/>
              <w:spacing w:after="0"/>
              <w:rPr>
                <w:sz w:val="20"/>
                <w:szCs w:val="20"/>
                <w:color w:val="auto"/>
              </w:rPr>
            </w:pPr>
            <w:r>
              <w:rPr>
                <w:rFonts w:ascii="Arial" w:cs="Arial" w:eastAsia="Arial" w:hAnsi="Arial"/>
                <w:sz w:val="18"/>
                <w:szCs w:val="18"/>
                <w:color w:val="auto"/>
              </w:rPr>
              <w:t>3,299,064</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2,396,922</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503,789</w:t>
            </w:r>
          </w:p>
        </w:tc>
        <w:tc>
          <w:tcPr>
            <w:tcW w:w="28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327,454</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4,564,406</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3,646,200</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On October 5, 2021 and October 18, 2021, the Company issued common stock and warrants to purchase common stock in two private placements (the “October 2021 Private Placements”). Refer to Note 12 for additional information.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June 2020, the Company entered into the ATM Sales Agreement,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During the three and nine months ended September 30, 2021, the Company issued and sold an aggregate of 162,026 and 2,895,518 shares of common stock, respectively, for gross proceeds of $0.3 million and $7.7 million, respectively, before deducting estimated commissions and allocated fees of less than $0.1 million and $0.6 million, respectively. As of September 30, 2021, the Company had issued and sold an aggregate of 3,583,394 shares of common stock for gross proceeds of $10.9 million, before deducting estimated commissions and allocated fees of $0.8 million. Under the terms of the October 2021 Private Placements, as described in Note 12, the Company agreed not to issue or sell additional shares under the ATM Sales Agreement on or prior to January 4, 2022.</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 October 2021 Private Placements, the Company agreed to not issue or sell additional shares under the LPC Purchase Agreement on or prior to April 6, 2023.</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The total number of shares of common stock that may be issued under the 2019 Plan and the 2012 Plan was 4,060,617 as of September 30, 2021, of which 1,011,437 shares remained available for grant under the 2019 Plan.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Stock Incentive Plan (the “2012 Plan”) that expire, terminate or are otherwise cancelled, forfeited or repurchased by the Company at their original issuance price pursuant to a contractual repurchase right; plus iii) an annual increase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line="301" w:lineRule="auto"/>
        <w:rPr>
          <w:sz w:val="20"/>
          <w:szCs w:val="20"/>
          <w:color w:val="auto"/>
        </w:rPr>
      </w:pPr>
      <w:r>
        <w:rPr>
          <w:rFonts w:ascii="Arial" w:cs="Arial" w:eastAsia="Arial" w:hAnsi="Arial"/>
          <w:sz w:val="16"/>
          <w:szCs w:val="16"/>
          <w:color w:val="auto"/>
        </w:rPr>
        <w:t>be added on the first day of each fiscal year, beginning with 2020 and continuing through 2029, equal to the lesser of (a) 2,105,623 shares of common stock, (b) 4% of the number of outstanding shares of the Company’s common stock on such date and (c) an amount determined by the Company’s board of directors. Effective January 1, 2021 and January 1, 2020, respectively, the number of shares reserved for issuance under the 2019 Plan increased pursuant to the terms of the 2019 Plan by an additional 741,871 shares and 713,383 shares, equal to 4% of the Company’s then-outstanding common stock</w:t>
      </w:r>
      <w:r>
        <w:rPr>
          <w:rFonts w:ascii="Arial" w:cs="Arial" w:eastAsia="Arial" w:hAnsi="Arial"/>
          <w:sz w:val="16"/>
          <w:szCs w:val="16"/>
          <w:color w:val="FF0000"/>
        </w:rPr>
        <w:t>.</w:t>
      </w:r>
    </w:p>
    <w:p>
      <w:pPr>
        <w:spacing w:after="0" w:line="49" w:lineRule="exact"/>
        <w:rPr>
          <w:sz w:val="20"/>
          <w:szCs w:val="20"/>
          <w:color w:val="auto"/>
        </w:rPr>
      </w:pPr>
    </w:p>
    <w:p>
      <w:pPr>
        <w:ind w:right="180" w:firstLine="510"/>
        <w:spacing w:after="0" w:line="341" w:lineRule="auto"/>
        <w:rPr>
          <w:sz w:val="20"/>
          <w:szCs w:val="20"/>
          <w:color w:val="auto"/>
        </w:rPr>
      </w:pPr>
      <w:r>
        <w:rPr>
          <w:rFonts w:ascii="Arial" w:cs="Arial" w:eastAsia="Arial" w:hAnsi="Arial"/>
          <w:sz w:val="17"/>
          <w:szCs w:val="17"/>
          <w:color w:val="auto"/>
        </w:rPr>
        <w:t>The 2012 Plan was adopted by the Company’s board of directors and stockholders. The 2012 Plan provides for the issuance of stock-based awards to the Company’s employees, officers, directors, consultants and advisors. The Company’s board of directors administers the 2012 Plan.</w:t>
      </w:r>
    </w:p>
    <w:p>
      <w:pPr>
        <w:spacing w:after="0" w:line="12" w:lineRule="exact"/>
        <w:rPr>
          <w:sz w:val="20"/>
          <w:szCs w:val="20"/>
          <w:color w:val="auto"/>
        </w:rPr>
      </w:pPr>
    </w:p>
    <w:p>
      <w:pPr>
        <w:ind w:right="140" w:firstLine="510"/>
        <w:spacing w:after="0" w:line="300" w:lineRule="auto"/>
        <w:rPr>
          <w:sz w:val="20"/>
          <w:szCs w:val="20"/>
          <w:color w:val="auto"/>
        </w:rPr>
      </w:pPr>
      <w:r>
        <w:rPr>
          <w:rFonts w:ascii="Arial" w:cs="Arial" w:eastAsia="Arial" w:hAnsi="Arial"/>
          <w:sz w:val="16"/>
          <w:szCs w:val="16"/>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September 30, 2021 and December 31, 2020, respectively, options to purchase 2,287,627 shares and 1,249,653 shares of common stock were granted and outstanding, net of cancellations, under the 2019 Plan. As of September 30, 2021 and December 31, 2020, options to purchase 761,553 and 921,824 shares of common stock, respectively, were granted and outstanding, net of cancellations, under the 2012 Plan.</w:t>
      </w:r>
    </w:p>
    <w:p>
      <w:pPr>
        <w:spacing w:after="0" w:line="5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62"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In February 2021, the compensation committee of the Company’s board of directors approved the grant of stock options with performance-based vesting (“PSOs”) to employees of the Company. The PSOs granted in February 2021, vest based on the timing and successful results of the Company’s PRISM or CANAL clinical trials.</w:t>
      </w:r>
    </w:p>
    <w:p>
      <w:pPr>
        <w:spacing w:after="0" w:line="7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nine months ended September 30,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2,171,477</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1,474,875</w:t>
            </w:r>
          </w:p>
        </w:tc>
        <w:tc>
          <w:tcPr>
            <w:tcW w:w="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(420,241)</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500"/>
              <w:spacing w:after="0"/>
              <w:rPr>
                <w:sz w:val="20"/>
                <w:szCs w:val="20"/>
                <w:color w:val="auto"/>
              </w:rPr>
            </w:pPr>
            <w:r>
              <w:rPr>
                <w:rFonts w:ascii="Arial" w:cs="Arial" w:eastAsia="Arial" w:hAnsi="Arial"/>
                <w:sz w:val="18"/>
                <w:szCs w:val="18"/>
                <w:color w:val="auto"/>
              </w:rPr>
              <w:t>Expired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(176,931)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Outstanding as of September 30, 2021</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3,049,180</w:t>
            </w:r>
          </w:p>
        </w:tc>
        <w:tc>
          <w:tcPr>
            <w:tcW w:w="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September 30, 2021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1,304,796</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Options unvested as of September 30, 2021</w:t>
            </w:r>
          </w:p>
        </w:tc>
        <w:tc>
          <w:tcPr>
            <w:tcW w:w="1520" w:type="dxa"/>
            <w:vAlign w:val="bottom"/>
          </w:tcPr>
          <w:p>
            <w:pPr>
              <w:jc w:val="right"/>
              <w:spacing w:after="0"/>
              <w:rPr>
                <w:sz w:val="20"/>
                <w:szCs w:val="20"/>
                <w:color w:val="auto"/>
              </w:rPr>
            </w:pPr>
            <w:r>
              <w:rPr>
                <w:rFonts w:ascii="Arial" w:cs="Arial" w:eastAsia="Arial" w:hAnsi="Arial"/>
                <w:sz w:val="18"/>
                <w:szCs w:val="18"/>
                <w:color w:val="auto"/>
              </w:rPr>
              <w:t>1,744,384</w:t>
            </w:r>
          </w:p>
        </w:tc>
        <w:tc>
          <w:tcPr>
            <w:tcW w:w="1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total number of shares of common stock that may be issued under the 2019 ESPP Plan was 518,918 as of September 30, 2021, of which 503,789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2021 and January 1, 2020, respectively, the aggregate number of shares of the Company’s common stock that may be issued under the 2019 ESPP increased, pursuant to the terms of the 2019 ESPP, by an additional 185,467 shares and 178,345 shares, equal to 1% of the Company’s then-outstanding common stock.</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440" w:firstLine="510"/>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for the 2012 Plan, the 2019 Plan and the 2019 ESPP recognized in the Condensed Consolidated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Nine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During the three and nine months ended September 30, 2021 and 2020, the Company maintained a full valuation allowance on deferred tax assets. The amounts recorded for income tax (expense) benefit during the three and nine months ended September 30, 2021 and 2020, were to align the Company’s estimates for its state research and development credits in each given year.</w:t>
      </w:r>
    </w:p>
    <w:p>
      <w:pPr>
        <w:spacing w:after="0" w:line="18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shd w:val="clear" w:color="auto" w:fill="CFF0FC"/>
          </w:tcPr>
          <w:p>
            <w:pPr>
              <w:spacing w:after="0"/>
              <w:rPr>
                <w:sz w:val="19"/>
                <w:szCs w:val="19"/>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4"/>
              </w:rPr>
              <w:t>Weighted average common shares used in net loss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1"/>
              </w:rPr>
              <w:t>per share attributable to common stockholders, basic</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21,607,979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18,134,886</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20,390,852</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17,935,865</w:t>
            </w:r>
          </w:p>
        </w:tc>
        <w:tc>
          <w:tcPr>
            <w:tcW w:w="100" w:type="dxa"/>
            <w:vAlign w:val="bottom"/>
            <w:tcBorders>
              <w:bottom w:val="single" w:sz="8" w:color="CFF0FC"/>
            </w:tcBorders>
          </w:tcPr>
          <w:p>
            <w:pPr>
              <w:spacing w:after="0"/>
              <w:rPr>
                <w:sz w:val="20"/>
                <w:szCs w:val="20"/>
                <w:color w:val="auto"/>
              </w:rPr>
            </w:pP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outstanding</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(0.34)</w:t>
            </w:r>
          </w:p>
        </w:tc>
        <w:tc>
          <w:tcPr>
            <w:tcW w:w="7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Company’s potential dilutive securities, which include stock options,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common shares underlying stock options, based on stock options outstanding as of September 30, 2021 and 2020, were excluded from the calculations of diluted net loss per share attributable to common stockholders for the periods indicated because including them would have had an anti-dilutive effect.</w:t>
      </w:r>
    </w:p>
    <w:p>
      <w:pPr>
        <w:spacing w:after="0" w:line="32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extended-release formulation such as Haduvio, in all fields and for any use.</w:t>
      </w:r>
    </w:p>
    <w:p>
      <w:pPr>
        <w:spacing w:after="0" w:line="79"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Under the license agreement, the Company paid Penwest a non-creditable, minimal non-refundable upfront license fee. The Company may also become obligated to make milestone payments to Endo of $0.3 million, which would become due upon the successful completion of the first Phase 3 clinical trial of a licensed product candidate, such as the Phase 2b/3 PRISM trial and $0.8 million, which would become due upon the marketing approval of a licensed product in the U.S.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royalty term for a product in a country, the Company is thereafter obligated to pay a low single-digit know-how and trademark royalty.</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76"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8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10"/>
        <w:spacing w:after="0" w:line="287" w:lineRule="auto"/>
        <w:rPr>
          <w:sz w:val="20"/>
          <w:szCs w:val="20"/>
          <w:color w:val="auto"/>
        </w:rPr>
      </w:pPr>
      <w:r>
        <w:rPr>
          <w:rFonts w:ascii="Arial" w:cs="Arial" w:eastAsia="Arial" w:hAnsi="Arial"/>
          <w:sz w:val="16"/>
          <w:szCs w:val="16"/>
          <w:color w:val="auto"/>
        </w:rPr>
        <w:t>In November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2"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$0.3 million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its affiliates and sublicensees.</w:t>
      </w:r>
    </w:p>
    <w:p>
      <w:pPr>
        <w:spacing w:after="0" w:line="83"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70"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June 2021, the Company entered into an amendment with Rutgers to extend the deadline to commence a clinical trial on nalbuphine ER for LID to December 31, 2022. The Company paid a minimal fee related to this amendment, which was recorded as R&amp;D expense during the second quarter of 2021.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November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$0.1 million, which was recorded as R&amp;D expense in 2018, subject to specified closing adjustments. The Company may become obligated to make milestone payments to MentiNova in the aggregate of up to $1.2 million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6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 significant portion of the Company’s development activities are outsourced to third parties under agreements, including with CROs and contract manufacturers in connection with clinical trials and production of clinical trial materials. These arrangements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160"/>
        <w:spacing w:after="0" w:line="277" w:lineRule="auto"/>
        <w:rPr>
          <w:sz w:val="20"/>
          <w:szCs w:val="20"/>
          <w:color w:val="auto"/>
        </w:rPr>
      </w:pPr>
      <w:r>
        <w:rPr>
          <w:rFonts w:ascii="Arial" w:cs="Arial" w:eastAsia="Arial" w:hAnsi="Arial"/>
          <w:sz w:val="18"/>
          <w:szCs w:val="18"/>
          <w:color w:val="auto"/>
        </w:rPr>
        <w:t>require the Company to pay termination costs to the third parties for reimbursement of costs and expenses incurred in the event of the orderly termination of contractual services.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lease and licensing agreements (Note 4 and Note 10).</w:t>
      </w:r>
    </w:p>
    <w:p>
      <w:pPr>
        <w:spacing w:after="0" w:line="113" w:lineRule="exact"/>
        <w:rPr>
          <w:sz w:val="20"/>
          <w:szCs w:val="20"/>
          <w:color w:val="auto"/>
        </w:rPr>
      </w:pPr>
    </w:p>
    <w:p>
      <w:pPr>
        <w:ind w:left="520" w:right="9260" w:hanging="512"/>
        <w:spacing w:after="0" w:line="400" w:lineRule="auto"/>
        <w:tabs>
          <w:tab w:leader="none" w:pos="51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Financing</w:t>
      </w:r>
    </w:p>
    <w:p>
      <w:pPr>
        <w:ind w:firstLine="510"/>
        <w:spacing w:after="0" w:line="269" w:lineRule="auto"/>
        <w:rPr>
          <w:sz w:val="20"/>
          <w:szCs w:val="20"/>
          <w:color w:val="auto"/>
        </w:rPr>
      </w:pPr>
      <w:r>
        <w:rPr>
          <w:rFonts w:ascii="Arial" w:cs="Arial" w:eastAsia="Arial" w:hAnsi="Arial"/>
          <w:sz w:val="17"/>
          <w:szCs w:val="17"/>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has an exercise price of $0.001 per share, became exercisable immediately upon issuance and will continue to be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spacing w:after="0" w:line="7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2020 included in our Annual Report on Form 10-K, filed with the Securities and Exchange Commission, or SEC, on March 25, 2021.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74"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(nalbuphine ER) to treat serious neurologically mediated conditions. We are developing Haduvio for the treatment of chronic pruritus associated with prurigo nodularis and chronic cough in patients with idiopathic pulmonary fibrosis, or IPF. We are also developing Haduvio in levodopa-induced dyskinesia, or LID, in patients with Parkinson’s disease.</w:t>
      </w:r>
    </w:p>
    <w:p>
      <w:pPr>
        <w:spacing w:after="0" w:line="79"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are conducting a Phase 2b/3 clinical trial of Haduvio, which we refer to as the Phase 2b/3 PRISM trial, in patients with severe pruritus associated with prurigo nodularis. The Phase 2b/3 PRISM trial is a randomized, double-blind, placebo controlled, two-arm treatment study that is designed to evaluate the safety and anti-pruritic efficacy of Haduvio in patients in the United States, or U.S., and Europe. In accordance with the protocol for the Phase 2b/3 PRISM trial, we conducted a sample size re-estimation, or SSRE, analysis in July 2020, following such time as approximately 45% of the initial targeted number of subjects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was impacted by the pandemic caused by the novel coronavirus, or COVID-19, which pandemic we refer to as the COVID-19 pandemic, as new subject screening and most subject enrollment were temporarily halted in March 2020. Our sites began to restart subject screening and enrollment during May and June 2020. We currently have more than 60 active sites globally and approximately 90% of the planned 360 subjects have enrolled in the trial. Subject to the uncertainties associated with the COVID-19 pandemic, we expect to report top-line data in the first half of 2022. If the Phase 2b/3 PRISM trial is successful, we expect that we will use the Phase 2b/3 PRISM trial and an additional Phase 3 clinical trial that we believe we will need to conduct to support the submission of a new drug application , or NDA, to the U.S. Food and Drug Administration, or FDA, a marketing authorization application, or MAA, to the European Medicines Agency, or EMA, and an MAA to the Medicines and Healthcare Products Regulatory Agency in the United Kingdom, or MHRA, for Haduvio for the treatment of pruritus associated with prurigo nodularis.</w:t>
      </w:r>
    </w:p>
    <w:p>
      <w:pPr>
        <w:spacing w:after="0" w:line="5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This trial is designed to enroll approximately 60 subjects with a goal to have 44 study completers. We are conducting the trial at multiple sites in the U.K. Due to the COVID-19 pandemic and the specific at-risk nature of IPF patients, our clinical sites had previously halted their enrollment and treatment of subjects in this trial in March 2020. While subject screening and enrollment resumed at certain clinical trial sites in the fourth quarter of 2020, all sites in the trial paused screening again in December 2020, in response to a shelter-in-place directive from the U.K. government. This shelter-in-place directive expired in March 2021, and the remaining COVID-19 pandemic related restrictions were lifted in July 2021. The U.K. government may choose to reinstate any and/or all of the restrictions in the future depending on COVID-19 infection rates. Screening activity has resumed and is steadily progressing at most sites following the lifting of the shelter-in-place directive. However, we expect that some sites may take longer to resume their trial activity as the clinical research related infrastructure was disrupted by the COVID-19 pandemic and that other sites may cease to participate in the trial entirely. Subject to the uncertainties associated with the COVID-19 pandemic related restrictions in the U.K., we expect to report top-line data for this trial in the first half of 2022.</w:t>
      </w:r>
    </w:p>
    <w:p>
      <w:pPr>
        <w:spacing w:after="0" w:line="179" w:lineRule="exact"/>
        <w:rPr>
          <w:sz w:val="20"/>
          <w:szCs w:val="20"/>
          <w:color w:val="auto"/>
        </w:rPr>
      </w:pPr>
    </w:p>
    <w:p>
      <w:pPr>
        <w:ind w:right="20" w:firstLine="514"/>
        <w:spacing w:after="0" w:line="277" w:lineRule="auto"/>
        <w:rPr>
          <w:sz w:val="20"/>
          <w:szCs w:val="20"/>
          <w:color w:val="auto"/>
        </w:rPr>
      </w:pPr>
      <w:r>
        <w:rPr>
          <w:rFonts w:ascii="Arial" w:cs="Arial" w:eastAsia="Arial" w:hAnsi="Arial"/>
          <w:sz w:val="18"/>
          <w:szCs w:val="18"/>
          <w:color w:val="auto"/>
        </w:rPr>
        <w:t>With respect to LID, we have written the protocol for a Phase 2 clinical trial for LID in patients with Parkinson’s disease. We plan to determine next steps in the program once we complete the Phase 2b/3 PRISM and Phase 2 CANAL trials.</w:t>
      </w:r>
    </w:p>
    <w:p>
      <w:pPr>
        <w:spacing w:after="0" w:line="170" w:lineRule="exact"/>
        <w:rPr>
          <w:sz w:val="20"/>
          <w:szCs w:val="20"/>
          <w:color w:val="auto"/>
        </w:rPr>
      </w:pPr>
    </w:p>
    <w:p>
      <w:pPr>
        <w:ind w:right="260" w:firstLine="514"/>
        <w:spacing w:after="0" w:line="342" w:lineRule="auto"/>
        <w:rPr>
          <w:sz w:val="20"/>
          <w:szCs w:val="20"/>
          <w:color w:val="auto"/>
        </w:rPr>
      </w:pPr>
      <w:r>
        <w:rPr>
          <w:rFonts w:ascii="Arial" w:cs="Arial" w:eastAsia="Arial" w:hAnsi="Arial"/>
          <w:sz w:val="16"/>
          <w:szCs w:val="16"/>
          <w:color w:val="auto"/>
        </w:rPr>
        <w:t>We are currently focusing our financial and operational resources on completing the Phase 2b/3 PRISM and the Phase 2 CANAL trials. After we receive top-line data from both of these trials, we will evaluate additional indications for which we may choose to pursue the development of Haduvio.</w:t>
      </w:r>
    </w:p>
    <w:p>
      <w:pPr>
        <w:spacing w:after="0" w:line="1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Since commencing operations in 2011, we have devoted substantially all our efforts and financial resources to the clinical development of Haduvio. We have not generated any revenue from product sales and, as a result, we have never been profitable and have incurred net losses in each year since commencement of our operations. As of September 30, 2021, we had an accumulated deficit of $172.4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chronic cough in patients with IPF or LID in patients with Parkinson’s disease and we can provide no assurance that we will ever generate revenue or profits.</w:t>
      </w:r>
    </w:p>
    <w:p>
      <w:pPr>
        <w:spacing w:after="0" w:line="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June 2020, we entered into an at-the-market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or the Securities Act, as amended. We are not obligated to make any sales of our common stock under the ATM Sales Agreement. We began making sales pursuant to the ATM Sales Agreement in July 2020 and as of September 30, 2021, we had issued and sold an aggregate of 3,583,394 shares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ind w:right="380"/>
        <w:spacing w:after="0" w:line="263" w:lineRule="auto"/>
        <w:rPr>
          <w:sz w:val="20"/>
          <w:szCs w:val="20"/>
          <w:color w:val="auto"/>
        </w:rPr>
      </w:pPr>
      <w:r>
        <w:rPr>
          <w:rFonts w:ascii="Arial" w:cs="Arial" w:eastAsia="Arial" w:hAnsi="Arial"/>
          <w:sz w:val="18"/>
          <w:szCs w:val="18"/>
          <w:color w:val="auto"/>
        </w:rPr>
        <w:t>common stock for gross proceeds of $10.9 million, before deducting estimated commissions and allocated fees of $0.8 million. Under the terms of the October 2021 Private Placements, as described below, we agreed to not issue and sell additional shares under the ATM Sales Agreement on or prior to January 4, 2022.</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we and SVB entered into an amendment to the SVB Loan Agreement, which we refer to as the Loan Amendment, that modified the conditions under which we will be required to cash collateralize the outstanding amounts owed to them under the SVB Loan Agreement. For further discussion of the SVB Term Loan and the Loan Amendment, see “—Liquidity and Capital Resources”.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October 5, 2021 and October 18, 2021, we issued and sold in two private placements, or the October 2021 Private Placements, in the aggregate</w:t>
      </w:r>
    </w:p>
    <w:p>
      <w:pPr>
        <w:spacing w:after="0" w:line="46" w:lineRule="exact"/>
        <w:rPr>
          <w:sz w:val="20"/>
          <w:szCs w:val="20"/>
          <w:color w:val="auto"/>
        </w:rPr>
      </w:pPr>
    </w:p>
    <w:p>
      <w:pPr>
        <w:ind w:right="300" w:firstLine="8"/>
        <w:spacing w:after="0" w:line="287"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has an exercise price of $0.001 per share, became exercisable immediately upon issuance and will continue to be exercisable until exercised in full.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w:t>
      </w:r>
    </w:p>
    <w:p>
      <w:pPr>
        <w:spacing w:after="0" w:line="62"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 xml:space="preserve">As of September 30, 2021, we had cash and cash equivalents of $29.3 million and in October 2021 we received approximately $14.8 million in gross proceeds from the October 2021 Private Placements. We believe that our existing cash and cash equivalents will not enable us to fund our operating expenses and capital expenditure requirements for 12 months from the date of issuance of the Condensed Consolidated Financial Statements included in this Quarterly Report on Form 10-Q. After considering various risks and uncertainties as prescribed by Accounting Standards Update No. 2014-15, </w:t>
      </w:r>
      <w:r>
        <w:rPr>
          <w:rFonts w:ascii="Arial" w:cs="Arial" w:eastAsia="Arial" w:hAnsi="Arial"/>
          <w:sz w:val="16"/>
          <w:szCs w:val="16"/>
          <w:i w:val="1"/>
          <w:iCs w:val="1"/>
          <w:color w:val="auto"/>
        </w:rPr>
        <w:t>Disclosures of Uncertainties about an Entity’s Ability to Continue as a Going Concern (Subtopic 205-40)</w:t>
      </w:r>
      <w:r>
        <w:rPr>
          <w:rFonts w:ascii="Arial" w:cs="Arial" w:eastAsia="Arial" w:hAnsi="Arial"/>
          <w:sz w:val="16"/>
          <w:szCs w:val="16"/>
          <w:color w:val="auto"/>
        </w:rPr>
        <w:t>, we concluded that there is substantial doubt</w:t>
      </w:r>
      <w:r>
        <w:rPr>
          <w:rFonts w:ascii="Arial" w:cs="Arial" w:eastAsia="Arial" w:hAnsi="Arial"/>
          <w:sz w:val="16"/>
          <w:szCs w:val="16"/>
          <w:i w:val="1"/>
          <w:iCs w:val="1"/>
          <w:color w:val="auto"/>
        </w:rPr>
        <w:t xml:space="preserve"> </w:t>
      </w:r>
      <w:r>
        <w:rPr>
          <w:rFonts w:ascii="Arial" w:cs="Arial" w:eastAsia="Arial" w:hAnsi="Arial"/>
          <w:sz w:val="16"/>
          <w:szCs w:val="16"/>
          <w:color w:val="auto"/>
        </w:rPr>
        <w:t>about our ability to continue as a going concern as of the date of issuance of the Condensed Consolidated Financial Statements included in this Quarterly Report on Form 10-Q without additional capital. We have based our estimate as to how long we expect our existing cash and cash equivalents to continue to fund our operations on assumptions that may prove to be wrong and we could use our available capital resources sooner than we expect. See “— Liquidity and Capital Resources.” Our future viability beyond that point is dependent on our ability to raise additional capital to finance our operations.</w:t>
      </w:r>
    </w:p>
    <w:p>
      <w:pPr>
        <w:spacing w:after="0" w:line="5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and the additional Phase 3 clinical trial we believe we will be required to conduct to support the submission of an NDA to the FDA for Haduvio for the treatment of pruritus associated with prurigo nodularis, our ongoing Phase 2 CANAL trial in chronic cough in patients with IPF, the development and validation of our commercial manufacturing process for Haduvio and other development activities, including potentially commencing Phase 2 clinical trials for the treatment of LID in patients with Parkinson’s disease. In addition, we may continue to incur additional expenses as a result of the COVID-19 pandemic and related clinical trial delays and interruptions.</w:t>
      </w:r>
    </w:p>
    <w:p>
      <w:pPr>
        <w:spacing w:after="0" w:line="5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COVID-19 Pandemic</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subject screening and most enrollment was temporarily halted due to the COVID-19 pandemic in March 2020. Many of our sites restarted subject screening and enrollment throughout May and June 2020. Furthermore, multiple sites in the Phase 2b/3 PRISM trial required some remote monitoring of subject data, although all sites have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t>now re-opened for in-person monitoring visits. We also experienced slower recruitment activities in the Phase 2b/3 PRISM trial worldwide through the latter part of 2020 and the beginning of 2021 due to the resurgence of COVID-19. In addition, the clinical sites in our ongoing Phase 2 CANAL trial temporarily suspended enrollment and treatment of subjects in the trial due to the vulnerability of IPF patients to COVID-19 and as a result, we amended the protocol for the trial to reduce the number of in-person subject visits and procedures. While subject screening and enrollment for our Phase 2 CANAL trial resumed at certain clinical trial sites in the fourth quarter of 2020, all sites in the trial paused screening again in December 2020 in response to a shelter-in-place directive from the U.K. government. This shelter-in-place directive expired in March 2021 and the other COVID-19 pandemic related restrictions were lifted in July 2021. The U.K. government may choose to reinstate any and/or all of the restrictions in the future depending on COVID-19 infection rates. Screening activity has resumed and is steadily progressing at most sites following the lifting of the shelter-in-place directive. However, we expect that some sites may take longer to resume their trial activity as the clinical research related infrastructure was disrupted by the COVID-19 pandemic and that other sites may cease to participate in the trial entirely.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7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allowing employees to work remotely part of the week and suspending non-essential travel worldwide for our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All of our research and development expenses consist of expenses incurred in connection with the development of Haduvio. These expenses include personnel-related costs, including stock-based compensation, consulting costs, contract manufacturing costs and fees paid to clinical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5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the COVID-19 pandemic or otherwise,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76" w:lineRule="exact"/>
        <w:rPr>
          <w:sz w:val="20"/>
          <w:szCs w:val="20"/>
          <w:color w:val="auto"/>
        </w:rPr>
      </w:pPr>
    </w:p>
    <w:p>
      <w:pPr>
        <w:ind w:right="1040" w:firstLine="510"/>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and expanded infrastructure.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Term Loan Derivative Liability</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 connection with the SVB Term Loan, upon the occurrence of the Phase 3 Event, the interest rate on the SVB Term Loan will increase by 2.00%. For further discussion of the Phase 3 Event, see “Interest Expense”. This contingent interest rate increase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200"/>
        <w:spacing w:after="0" w:line="279" w:lineRule="auto"/>
        <w:rPr>
          <w:sz w:val="20"/>
          <w:szCs w:val="20"/>
          <w:color w:val="auto"/>
        </w:rPr>
      </w:pPr>
      <w:r>
        <w:rPr>
          <w:rFonts w:ascii="Arial" w:cs="Arial" w:eastAsia="Arial" w:hAnsi="Arial"/>
          <w:sz w:val="17"/>
          <w:szCs w:val="17"/>
          <w:color w:val="auto"/>
        </w:rPr>
        <w:t xml:space="preserve">represents a free-standing financial instrument. Accordingly, we accounted for the contingent interest rate increase as a derivative under Accounting Standards Codification or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therefore, we recorded a term loan derivative liability for the contingent interest rate increase at its fair value. We adjust this liability to fair value at each reporting date it remains outstanding. We recognized changes in the fair value of this term loan derivative in our statements of operations as a component of other (expense) income, net.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Other expense consists of the value of the shares of our common stock that we issued to Lincoln Park Capital Fund, LLC, or Lincoln Park, as a commitment fee as consideration for Lincoln Park’s commitment to purchase shares of our common stock under the common stock purchase agreement, or the LPC Purchase Agreement, we entered into with Lincoln Park in June 2021.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In August 2020, we entered into the SVB Loan Agreement under which we borrowed $14.0 million under a term loan or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chronic pruritus associated with prurigo nodularis and (ii) raised sufficient financing to fund such Phase 3 clinical trial and our operations, which we refer to together as the Phase 3 Event, the interest rate under the SVB Term Loan will be adjusted to a floating rate equal to the greater of (A) the prime rate plus 3.00% and (B) 6.25%. The SVB Term Loan requires interest-only payments until March 2022. We will then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4,718</w:t>
            </w:r>
          </w:p>
        </w:tc>
        <w:tc>
          <w:tcPr>
            <w:tcW w:w="18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4,828</w:t>
            </w:r>
          </w:p>
        </w:tc>
        <w:tc>
          <w:tcPr>
            <w:tcW w:w="28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(6,947)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9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(7,253)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(7,255)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69"/>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8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4,718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2021 decreased to $4.7 million from $4.8 million for the corresponding period in 2020, primarily due to decreased purchases of clinical trial supplies. This decrease was partially offset by an increase in personnel-related expenses as a result of an increase in our employee headcount. For the periods presented, all of our research and development expenses related to our development activity for Haduvio.</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General and administrative expenses for the three months ended September 30, 2021 decreased to $2.2 million from $2.4 million for the corresponding period in 2020. The decrease was primarily due to decreased market research costs as well as lower stock-based compensation expense as a result of employee terminations, which were partially offset by higher legal and other professional fees.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Other expense, net for the three months ended September 30, 2021 was $0.3 million compared to $0.1 million for the corresponding period in 2020. This change was primarily due to a $0.2 million increase in interest expense due to a full quarter’s recognition of interest expense on the SVB Term Loan as the SVB Term Loan was entered into in August 2020.</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16,805</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15,768</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9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9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00" w:type="dxa"/>
            <w:vAlign w:val="bottom"/>
            <w:vMerge w:val="restart"/>
          </w:tcPr>
          <w:p>
            <w:pPr>
              <w:jc w:val="right"/>
              <w:ind w:right="87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249"/>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11,223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16,805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Research and development expenses for the nine months ended September 30, 2021 increased to $16.8 million from $15.8 million for the corresponding period in 2020, primarily due to an increase in personnel-related expenses as a result of an increase in our employee headcount, including an increase in stock-based compensation associated with the increase in employee headcount. Consulting and professional fees were also higher. These increases were partially offset by decreased clinical development expenses related to decreased purchases of clinical trial supplies and decreased expenses reflecting the completion of our Phase 1b clinical trial in patients with chronic liver disease in the first half of 2020. These decreased clinical development expenses were partially offset by increased costs associated with increased activity and enrollment in our ongoing Phase 2b/3 PRISM trial. For the periods presented, all of our research and development expenses related to our development activity for Haduvio.</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General and administrative expenses for the nine months ended September 30, 2021 decreased to $7.4 million from $7.5 million for the corresponding period in 2020. The decrease was primarily due to decreased market research costs as well as lower stock-based compensation expense as a result of employee terminations, which were partially offset by higher legal and other professional fees.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Other (expense) income, net for the nine months ended September 30, 2021 was an expense of $1.2 million compared to income of less than $0.1 million for the corresponding period in 2020. This change was primarily due to a $0.7 million increase in interest expense due to a full nine months of recognition of interest expense on the SVB Term Loan as the SVB Term Loan was entered into in August 2020, as well as an increase of $0.4 million related to the value of the shares of our common stock that we issued to Lincoln Park as consideration for Lincoln Park’s commitment to purchase shares of our common stock under the LPC Purchase Agreement. Also contributing to the change was a decrease in interest income of $0.2 million, primarily due to lower market interest rates and lower average cash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initial public offering, or the IPO, and concurrent private placement in May 2019, we financed our operations primarily through private placements of our preferred stock and convertible notes as well as borrowings under our prior term loan with Solar Capital, Ltd. and Square 1 Bank, or the Solar Term Loan. From inception to our IPO, we raised an aggregate of $102.2 million in gross proceeds from sales of our preferred stock and convertible notes and borrowed $15.0 million under the Solar Term Loan. As of June 30, 2018, all amounts owed under the Solar Term Loan had been paid in full.</w:t>
      </w:r>
    </w:p>
    <w:p>
      <w:pPr>
        <w:spacing w:after="0" w:line="84"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We are not obligated to make any sales of our common stock under the ATM Sales Agreement. We began making sales pursuant to the ATM Sales Agreement in July 2020 and as of September 30, 2021 we had issued and sold an aggregate of 3,583,394 shares of common stock for gross proceeds of $10.9 million, before deducting estimated commissions and allocated fees of $0.8 million. Under the terms of the October 2021 Private Placements, we agreed to not issue or sell additional shares under the ATM Sales Agreement on or prior to January 4,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SVB Loan Agreement</w:t>
      </w:r>
    </w:p>
    <w:p>
      <w:pPr>
        <w:spacing w:after="0" w:line="117"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In August 2020, we entered into the SVB Loan Agreement with SVB, pursuant to which SVB provided the SVB Term Loan in the original principal amount of $14.0 million. The proceeds from the SVB Term Loan may be used by us for working capital and general corporate purposes.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7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On July 6, 2021, we and SVB entered into the Loan Amendment. The Loan Amendment modifies the conditions under which we are required to cash collateralize outstanding amounts owed to SVB under the SVB Loan Agreement. Under the Loan Amendment, if we fail to receive positive data in our Phase 2b/3 PRISM trial or, prior to June 30, 2022, fail to raise sufficient net proceeds from the sale of equity securities to finance our planned second Phase 3 clinical trial of Haduvio for prurigo nodularis and our ongoing operations, each of which we refer to as a Milestone Condition, we will be required to deposit unrestricted and unencumbered cash equal to 100% of the principal amount of the SVB Term Loan then outstanding in a cash collateral account with SVB, which can be used by SVB to prepay the SVB Term Loan at any time. In addition, the Loan Amendment provides that if we fail to maintain at least $20.0 million in unrestricted and unencumbered cash in our accounts with SVB at any time prior to the satisfaction of all the Milestone Conditions, we will be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October 5, 2021 and October 18, 2021, we issued and sold in two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has an exercise price of $0.001 per share, became exercisable immediately upon issuance and will continue to be exercisable until exercised in full.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300"/>
        <w:spacing w:after="0" w:line="277" w:lineRule="auto"/>
        <w:rPr>
          <w:sz w:val="20"/>
          <w:szCs w:val="20"/>
          <w:color w:val="auto"/>
        </w:rPr>
      </w:pPr>
      <w:r>
        <w:rPr>
          <w:rFonts w:ascii="Arial" w:cs="Arial" w:eastAsia="Arial" w:hAnsi="Arial"/>
          <w:sz w:val="18"/>
          <w:szCs w:val="18"/>
          <w:color w:val="auto"/>
        </w:rPr>
        <w:t>commitment to purchase shares of our common stock under the LPC Purchase Agreement. Under the terms of the October 2021 Private Placements, we agreed to not issue or sell additional shares under the LPC Purchase Agreement on or prior to April 6, 2023.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September 30, 2021, we had cash and cash equivalents of $29.3 million. Our cash and cash equivalents are primarily held in money market accounts. The following table summarizes our cash flows for each of the periods presented below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(22,717)</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(9,049)</w:t>
            </w:r>
          </w:p>
        </w:tc>
      </w:tr>
      <w:tr>
        <w:trPr>
          <w:trHeight w:val="223"/>
        </w:trPr>
        <w:tc>
          <w:tcPr>
            <w:tcW w:w="562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(15,683)</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During the nine months ended September 30, 2021, operating activities used $22.7 million of net cash, resulting from our net loss of $25.4 million and net changes in our operating assets and liabilities of $0.1 million, partially offset by non-cash charges of $2.8 million. The non-cash charges consisted primarily of stock-based compensation expense of $2.0 million, $0.4 million of accretion/accrual of term loan discounts and debt issuance costs and $0.4 million of other expense associated with the value of the shares of our common stock that we issued to Lincoln Park as consideration for Lincoln Park’s commitment to purchase shares of our common stock under the LPC Purchase Agreement. Changes in our operating assets and liabilities consisted of a $0.2 million decrease in accrued expenses and other liabilities, a $0.1 million increase in prepaid expenses and other current assets and a $0.2 million increase in accounts payable. The decrease in accrued expenses and other liabilities was primarily due to decreased accruals for research, development and clinical trial work performed by our CROs and decreased accruals related to non-income based taxes, partially offset by an increase in accrued consulting and professional fees. The increase in prepaid expenses and other current assets was primarily due to an increase in prepayments of our corporate insurance policies. The increase in accounts payable was primarily due to the timing of vendor invoices.</w:t>
      </w:r>
    </w:p>
    <w:p>
      <w:pPr>
        <w:spacing w:after="0" w:line="60"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During the nine months ended September 30, 2020, operating activities used $20.1 million of cash, resulting from our net loss of $23.2 million, partially offset by changes in our operating assets and liabilities of $1.2 million, net and non-cash charges of $2.0 million. Changes in our operating assets and liabilities for the nine months ended September 30, 2020 consisted of a $1.2 million increase in accrued expenses, a $0.3 million decrease in accounts payable and a $0.3 million decrease in prepaid expenses and other current assets. The increase in accrued expenses was primarily due to increased accruals for research, development and clinical trial work performed by our CROs and increased accruals related to professional fees. The decrease in accounts payable was primarily due to the timing of vendor invoices. The decrease in prepaid expenses and other current assets was primarily due to a refund of prepayments made to one of our vendors, which we received in the first quarter of 2020, partially offset by increases in prepaid expenses due to prepayments of our corporate insurance policies. The non-cash charges for the nine months ended September 30, 2020 consisted primarily of stock-based compensation expense of $1.9 million.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2021 and 2020, we used an insignificant amount of cash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During the nine months ended September 30, 2021, net cash provided by financing activities was $7.0 million, primarily consisting of gross cash proceeds of $7.7 million from sales of our common stock under the ATM Sales Agreement before deducting estimated commissions and allocated fees of $0.6 million, partially offset by payments of offering costs of $0.4 million and payments of financing costs of $0.1 million associated with the First Amendment to the SVB Loan Agreement.</w:t>
      </w:r>
    </w:p>
    <w:p>
      <w:pPr>
        <w:spacing w:after="0" w:line="79" w:lineRule="exact"/>
        <w:rPr>
          <w:sz w:val="20"/>
          <w:szCs w:val="20"/>
          <w:color w:val="auto"/>
        </w:rPr>
      </w:pPr>
    </w:p>
    <w:p>
      <w:pPr>
        <w:jc w:val="both"/>
        <w:ind w:right="620" w:firstLine="510"/>
        <w:spacing w:after="0" w:line="263" w:lineRule="auto"/>
        <w:rPr>
          <w:sz w:val="20"/>
          <w:szCs w:val="20"/>
          <w:color w:val="auto"/>
        </w:rPr>
      </w:pPr>
      <w:r>
        <w:rPr>
          <w:rFonts w:ascii="Arial" w:cs="Arial" w:eastAsia="Arial" w:hAnsi="Arial"/>
          <w:sz w:val="18"/>
          <w:szCs w:val="18"/>
          <w:color w:val="auto"/>
        </w:rPr>
        <w:t>During the nine months ended September 30, 2020, net cash provided by financing activities was $16.1 million, primarily consisting of cash proceeds from the SVB Term Loan of $14.0 million and gross cash proceeds of $2.5 million from sales of our common stock under the ATM Sales Agreement, before deducting estimated commissions and fees of $0.2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the additional Phase 3 clinical trial we believe we will need to conduct to support the submission of an NDA to the FDA and a MAA to the EMA for Haduvio for the treatment of pruritus associated with prurigo nodularis, our ongoing Phase 2 CANAL trial, the costs of commercialization activities, including manufacturing capabilities, for Haduvio and other development activities including potentially commencing Phase 2 clinical trials for the treatment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240"/>
        <w:spacing w:after="0" w:line="263" w:lineRule="auto"/>
        <w:rPr>
          <w:sz w:val="20"/>
          <w:szCs w:val="20"/>
          <w:color w:val="auto"/>
        </w:rPr>
      </w:pPr>
      <w:r>
        <w:rPr>
          <w:rFonts w:ascii="Arial" w:cs="Arial" w:eastAsia="Arial" w:hAnsi="Arial"/>
          <w:sz w:val="18"/>
          <w:szCs w:val="18"/>
          <w:color w:val="auto"/>
        </w:rPr>
        <w:t>LID in patients with Parkinson’s disease. In addition, we have incurred and may continue to incur additional expenses as a result of the COVID-19 pandemic and resulting clinical trial delays and interruptions. Furthermore, we expect to continue to incur additional costs associated with operating as a public company, including significant legal, accounting, investor relations and other expenses.</w:t>
      </w:r>
    </w:p>
    <w:p>
      <w:pPr>
        <w:spacing w:after="0" w:line="76"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jc w:val="both"/>
        <w:ind w:left="880" w:right="20" w:hanging="373"/>
        <w:spacing w:after="0" w:line="286"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2b/3 PRISM trial and our ongoing Phase 2 CANAL trial, as well as any future product candidates;</w:t>
      </w:r>
    </w:p>
    <w:p>
      <w:pPr>
        <w:spacing w:after="0" w:line="57" w:lineRule="exact"/>
        <w:rPr>
          <w:rFonts w:ascii="Arial" w:cs="Arial" w:eastAsia="Arial" w:hAnsi="Arial"/>
          <w:sz w:val="17"/>
          <w:szCs w:val="17"/>
          <w:color w:val="auto"/>
        </w:rPr>
      </w:pPr>
    </w:p>
    <w:p>
      <w:pPr>
        <w:ind w:left="880" w:right="46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a potential Thorough QT, or TQT, study;</w:t>
      </w:r>
    </w:p>
    <w:p>
      <w:pPr>
        <w:spacing w:after="0" w:line="38" w:lineRule="exact"/>
        <w:rPr>
          <w:rFonts w:ascii="Arial" w:cs="Arial" w:eastAsia="Arial" w:hAnsi="Arial"/>
          <w:sz w:val="17"/>
          <w:szCs w:val="17"/>
          <w:color w:val="auto"/>
        </w:rPr>
      </w:pPr>
    </w:p>
    <w:p>
      <w:pPr>
        <w:ind w:left="880" w:right="52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60" w:hanging="373"/>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2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880" w:right="3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of the COVID-19 pandemic on the scope, progress, timing, costs and results of our ongoing and planned clinical trials of Haduvio.</w:t>
      </w:r>
    </w:p>
    <w:p>
      <w:pPr>
        <w:spacing w:after="0" w:line="16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believe that our existing cash and cash equivalents, including the proceeds from our October 2021 Private Placements, will enable us to fund our operating expenses and capital expenditure requirements into the fourth quarter of 2022, without giving effect to the rights of SVB under the SVB Loan Agreement if we fail to achieve either of the Milestone Conditions or fail to maintain at least $20.0 million in unrestricted and unencumbered cash in our accounts with SVB at any time prior to the satisfaction of the Milestone Conditions. If we fail to achieve any of the Milestone Conditions or to maintain the minimum cash requirement and SVB cash collateralizes the amounts then owed to SVB under the SVB Loan Agreement or uses such amounts to prepay the SVB Term Loan, the period for which we will be able to fund our operating expenses and capital expenditure requirements will be significantly shorter.</w:t>
      </w:r>
    </w:p>
    <w:p>
      <w:pPr>
        <w:spacing w:after="0" w:line="8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raise capital as and when needed would have a negative impact on our financial condition and our ability to pursue our business strategy.</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pruritus associated with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spacing w:after="0" w:line="59"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believe that the following critical accounting policies are most important to understanding and evaluating our reported financial results: research and development expense; stock-based compensation expense; income tax; and fair value measurements. Our critical accounting policies are described in the notes to the consolidated financial statements and under the heading “Management’s Discussion and Analysis of Financial Condition and Results of Operations—Critical Accounting Policies and Use of Estimates” in our Annual Report on Form 10-K for the year ended December 31, 2020. During the nine months ended September 30, 2021, there were no material changes to our critical accounting policies.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11 to our Condensed Consolidated Financial Statements included elsewhere in this Quarterly Report on Form 10-Q for discussion regarding our commitments and contingent commitments.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January 1, 2021, we adopted Accounting Standards Update No. 2019-12-</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have been no new accounting pronouncements during the nine months ended September 30, 2021 which could be expected to materially impact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2021.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2021, our management, with the participation of our Chief Executive Officer and Chief Financial Officer, concluded that, as of such date, our disclosure controls and procedures were effective at the reasonable assurance level.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September 30, 2021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Significant outbreaks of contagious diseases, such as COVID-19 and other adverse public health developments, could have a material impact on our business operations and operating results.</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subject screening and most enrollment was temporarily halted in March 2020 due to the COVID-19 pandemic. After resuming screening and enrollment, multiple sites in the Phase 2b/3 PRISM trial required some remote monitoring of subject data, although all sites are now allowing in-person monitoring visits. We also experienced slower recruitment activities in the Phase 2b/3 PRISM trial worldwide through the latter part of 2020 and the beginning of 2021 due to the resurgence of COVID-19. In addition, the clinical sites in our ongoing Phase 2 trial for chronic cough in patients with IPF, which we refer to as the Phase 2 CANAL trial, suspended enrollment and treatment of subjects in the trial due to the vulnerability of IPF patients to COVID-19 and as a result, we amended the protocol for the trial to reduce the number of in-person subject visits and procedures. While subject screening and enrollment for our Phase 2 CANAL trial resumed at certain clinical trial sites in the fourth quarter of 2020, all sites in the trial paused screening again in December 2020 in response to a shelter-in-place directive from the U.K. government. This shelter-in-place directive expired in March 2021 and the remaining COVID-19 pandemic related restrictions were lifted in July 2021. The U.K. government may choose to reinstate any and/or all of the restrictions in the future depending on COVID-19 infection rates. Screening activity has resumed and is steadily progressing at most sites following the lifting of the shelter-in-place directive. However, we expect that some sites may take longer to resume their trial activity as the clinical research related infrastructure was disrupted by the COVID-19 pandemic and that other sites may cease to participate in the trial entirely. The COVID-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ind w:right="100"/>
        <w:spacing w:after="0" w:line="293" w:lineRule="auto"/>
        <w:rPr>
          <w:sz w:val="20"/>
          <w:szCs w:val="20"/>
          <w:color w:val="auto"/>
        </w:rPr>
      </w:pPr>
      <w:r>
        <w:rPr>
          <w:rFonts w:ascii="Arial" w:cs="Arial" w:eastAsia="Arial" w:hAnsi="Arial"/>
          <w:sz w:val="16"/>
          <w:szCs w:val="16"/>
          <w:color w:val="auto"/>
        </w:rPr>
        <w:t>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subjects to enroll in trials at this time or the inability of subjects to comply with clinical trial protocols if quarantines or travel restrictions impede subject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16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part of the week and suspending non-essential travel worldwide for our employees, each of which could negatively affect our business.</w:t>
      </w:r>
    </w:p>
    <w:p>
      <w:pPr>
        <w:spacing w:after="0" w:line="1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 losses for at least the next several years. Our net losses were $25.4 million and $32.8 million for the nine months ended September 30, 2021 and for the year ended December 31, 2020, respectively. As of September 30, 2021, we had an accumulated deficit of $172.4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IPO, borrowings under our prior term loan facility, proceeds from our IPO and concurrent private placement completed in May 2019, sales of our common stock pursuant to the ATM Sales Agreement, the SVB Term Loan and proceeds from the October 2021 Private Placements.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880" w:right="2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develop and conduct clinical trials of Haduvio, including our ongoing Phase 2b/3 PRISM trial and our ongoing Phase 2 CANAL trial;</w:t>
      </w:r>
    </w:p>
    <w:p>
      <w:pPr>
        <w:spacing w:after="0" w:line="62" w:lineRule="exact"/>
        <w:rPr>
          <w:rFonts w:ascii="Arial" w:cs="Arial" w:eastAsia="Arial" w:hAnsi="Arial"/>
          <w:sz w:val="18"/>
          <w:szCs w:val="18"/>
          <w:color w:val="auto"/>
        </w:rPr>
      </w:pPr>
    </w:p>
    <w:p>
      <w:pPr>
        <w:jc w:val="both"/>
        <w:ind w:left="880" w:right="18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NDA with the FDA and the filing of a MAA with the EMA for Haduvio for the treatment of pruritus associated with prurigo nodularis, including completing our Phase 2b/3 PRISM trial and at least one additional Phase 3 clinical trial in this indication;</w:t>
      </w:r>
    </w:p>
    <w:p>
      <w:pPr>
        <w:spacing w:after="0" w:line="75" w:lineRule="exact"/>
        <w:rPr>
          <w:rFonts w:ascii="Arial" w:cs="Arial" w:eastAsia="Arial" w:hAnsi="Arial"/>
          <w:sz w:val="18"/>
          <w:szCs w:val="18"/>
          <w:color w:val="auto"/>
        </w:rPr>
      </w:pPr>
    </w:p>
    <w:p>
      <w:pPr>
        <w:ind w:left="880" w:right="580" w:hanging="373"/>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seek regulatory and marketing approvals for Haduvio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 and execute pediatric development plans and complete any post-approval commitments;</w:t>
      </w:r>
    </w:p>
    <w:p>
      <w:pPr>
        <w:spacing w:after="0" w:line="117"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880" w:right="10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44"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Haduvio and for any future product candidates.</w:t>
      </w:r>
    </w:p>
    <w:p>
      <w:pPr>
        <w:spacing w:after="0" w:line="26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addition, we may incur additional expenses as a result of the COVID-19 pandemic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95"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165"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believe there is substantial doubt about our ability to continue as a going concern as of the date of this Quarterly Report on Form 10-Q without additional capital. See Note 1 to the Condensed Consolidated Financial Statements appearing elsewhere in this Quarterly Report on Form 10-Q for additional information on our assessment. We plan to address this condition through the sale of common stock in public offerings and/or private placements, debt financings or other capital sources, including collaborations with other companies or other strategic transactions. If we are unable to obtain such funding and continue as a going concern, we might have to liquidate our assets and the values we receive for our assets in liquidation or dissolution could be significantly lower than the values reflected in our Condensed Consolidated Financial Statements. Our lack of cash resources and our conclusion that we may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40"/>
        <w:spacing w:after="0" w:line="277" w:lineRule="auto"/>
        <w:rPr>
          <w:sz w:val="20"/>
          <w:szCs w:val="20"/>
          <w:color w:val="auto"/>
        </w:rPr>
      </w:pPr>
      <w:r>
        <w:rPr>
          <w:rFonts w:ascii="Arial" w:cs="Arial" w:eastAsia="Arial" w:hAnsi="Arial"/>
          <w:sz w:val="18"/>
          <w:szCs w:val="18"/>
          <w:color w:val="auto"/>
        </w:rPr>
        <w:t>unable to continue as a going concern may materially adversely affect our share price and our ability to raise new capital or to enter into critical contractual relationships with third parties.</w:t>
      </w:r>
    </w:p>
    <w:p>
      <w:pPr>
        <w:spacing w:after="0" w:line="2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2021 and the year ended December 31, 2020, we used net cash of $22.7 million and $29.0 million, respectively, in our operating activities, substantially all of which related to development activities for Haduvio. As of September 30, 2021, our cash and cash equivalents were $29.3 million and in October 2021 we received approximately $14.8 million in gross proceeds from our October 2021 Private Placements. We expect our expenses to increase substantially in connection with our ongoing activities, particularly as we continue to develop and conduct clinical trials of Haduvio, including our ongoing Phase 2b/3 PRISM trial and the additional Phase 3 clinical trial we believe we will need to conduct for Haduvio for the treatment of pruritus associated with prurigo nodularis and our other ongoing clinical trials, acquire or in-license rights to other potential product candidates or technologies and seek regulatory and marketing approvals for Haduvio or any future product candidate that successfully completes clinical trials, if any. 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0"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plan to use our existing cash and cash equivalents to fund the development of Haduvio for the treatment of pruritus associated with prurigo nodularis, for the treatment of chronic cough in patients with IPF and for working capital and other general corporate purposes. We will be required to expend significant funds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5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believe that our existing cash and cash equivalents, including the proceeds from our October 2021 Private Placements, will enable us to fund our operating expenses and capital expenditure requirements into the fourth quarter of 2022, without giving effect to the rights of SVB under the SVB Loan Agreement if we fail to achieve either of the Milestone Conditions or fail to maintain at least $20.0 million in unrestricted and unencumbered cash in our accounts with SVB at any time prior to the satisfaction of the Milestone Conditions. If we fail to achieve any of the Milestone Conditions and SVB cash collateralizes the amounts then owed to SVB under the SVB Loan Agreement or uses such amounts to prepay the SVB Term Loan, the period for which we will be able to fund our operating expenses and capital expenditure requirements will be significantly shorter.</w:t>
      </w:r>
    </w:p>
    <w:p>
      <w:pPr>
        <w:spacing w:after="0" w:line="56" w:lineRule="exact"/>
        <w:rPr>
          <w:sz w:val="20"/>
          <w:szCs w:val="20"/>
          <w:color w:val="auto"/>
        </w:rPr>
      </w:pPr>
    </w:p>
    <w:p>
      <w:pPr>
        <w:jc w:val="both"/>
        <w:ind w:right="240" w:firstLine="510"/>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6" w:lineRule="exact"/>
        <w:rPr>
          <w:sz w:val="20"/>
          <w:szCs w:val="20"/>
          <w:color w:val="auto"/>
        </w:rPr>
      </w:pPr>
    </w:p>
    <w:p>
      <w:pPr>
        <w:jc w:val="both"/>
        <w:ind w:left="880" w:right="20" w:hanging="373"/>
        <w:spacing w:after="0" w:line="279"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 CANAL trial, as well as any future product candidates;</w:t>
      </w:r>
    </w:p>
    <w:p>
      <w:pPr>
        <w:spacing w:after="0" w:line="61"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left="880" w:right="4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HAL study and a potential TQT study;</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40" w:hanging="373"/>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On August 13, 2020, we entered into the SVB Loan Agreement with SVB, pursuant to which SVB provided the SVB Term Loan to us. In July 2021, we entered into the Loan Amendment.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w:t>
      </w:r>
    </w:p>
    <w:p>
      <w:pPr>
        <w:spacing w:after="0" w:line="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Additionally, under the Loan Amendment, if we fail to achieve the Milestone Conditions, we will be required to deposit unrestricted and unencumbered cash equal to 100% of the principal amount of the SVB Term Loan then outstanding in a cash collateral account with SVB, which can be used by SVB to prepay the SVB Term Loan at any time. In addition, if we fail to maintain at least $20.0 million in unrestricted and unencumbered cash in our accounts with SVB at any time prior to the satisfaction of all the Milestone Conditions, we will be required to cash collateralize all outstanding amounts owed to SVB under the SVB Loan Agreement. We were also required under the Loan Amendment to raise at least $15.0 million in net proceeds from the sale of equity securities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from June 1, 2021 through October 31, 2021, which requirement was met through a combination of equity issuances under our ATM Sales Agreement and the proceeds from our October 2021 Private Placements.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880" w:right="60" w:hanging="373"/>
        <w:spacing w:after="0" w:line="301"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p>
      <w:pPr>
        <w:spacing w:after="0" w:line="49"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52"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as discussed above, a failure to satisfy any Milestone Condition or to maintain at least $20.0 million in unrestricted and unencumbered cash in our accounts with SVB at any time prior to satisfaction of all of the Milestone Conditions could result in us having to deposit unrestricted and unencumbered cash equal to 100% of the principal amount of the SVB Term Loan then outstanding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w:t>
      </w:r>
    </w:p>
    <w:p>
      <w:pPr>
        <w:spacing w:after="0" w:line="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jc w:val="both"/>
        <w:ind w:right="380" w:firstLine="510"/>
        <w:spacing w:after="0" w:line="287" w:lineRule="auto"/>
        <w:rPr>
          <w:sz w:val="20"/>
          <w:szCs w:val="20"/>
          <w:color w:val="auto"/>
        </w:rPr>
      </w:pPr>
      <w:r>
        <w:rPr>
          <w:rFonts w:ascii="Arial" w:cs="Arial" w:eastAsia="Arial" w:hAnsi="Arial"/>
          <w:sz w:val="16"/>
          <w:szCs w:val="16"/>
          <w:color w:val="auto"/>
        </w:rPr>
        <w:t>We expect our expenses to increase substantially in connection with our planned operations, particularly as we conduct our ongoing Phase 2b/3 PRISM trial and our other ongoing clinical trials as well as the additional Phase 3 clinical trial we believe we will need to conduct for Haduvio for the treatment of pruritus associated with prurigo nodularis and develop Haduvio for the treatment of other serious neurologically mediated conditions.</w:t>
      </w:r>
    </w:p>
    <w:p>
      <w:pPr>
        <w:spacing w:after="0" w:line="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Accordingly, we will be required to obtain further funding through public or private equity offerings, debt financings, collaborations and licensing arrangements or other sources to fund these expenses and to satisfy the requirements under the SVB Loan Agreement, including the requirement to raise substantial additional capital by June 30, 2022.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1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195"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currently have no products approved for sale and are investing substantially all our efforts and financial resources to fund the development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Haduvio for multiple serious neurologically mediated conditions. Our prospects are dependent on our ability to develop, obtain marketing approval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successfully commercialize Haduvio in one or more indications as we currently have no other product candidates under development. We may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in-license rights to other potential product candidates or technologies in the future, but we are currently not developing any other product candidates.</w:t>
      </w:r>
    </w:p>
    <w:p>
      <w:pPr>
        <w:spacing w:after="0" w:line="23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most advanced program is the development of Haduvio for the treatment of pruritus associated with prurigo nodularis, as our efforts to develop Haduvio for other serious neurologically mediated conditions are only at an early stage. As a result, if our efforts to develop and commercialize Haduvio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success of Haduvio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recruiting, enrolling and retaining subjects in and completing our Phase 2b/3 PRISM trial;</w:t>
      </w:r>
    </w:p>
    <w:p>
      <w:pPr>
        <w:spacing w:after="0" w:line="144" w:lineRule="exact"/>
        <w:rPr>
          <w:rFonts w:ascii="Arial" w:cs="Arial" w:eastAsia="Arial" w:hAnsi="Arial"/>
          <w:sz w:val="18"/>
          <w:szCs w:val="18"/>
          <w:color w:val="auto"/>
        </w:rPr>
      </w:pPr>
    </w:p>
    <w:p>
      <w:pPr>
        <w:jc w:val="both"/>
        <w:ind w:left="880" w:right="80" w:hanging="373"/>
        <w:spacing w:after="0" w:line="311"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initiating and successfully recruiting, enrolling and retaining subjects in and completing additional clinical and nonclinical trials, including the additional Phase 3 clinical trial we believe we will need to conduct for Haduvio for the treatment of pruritus associated with prurigo nodularis and other supportive clinical studies such as our planned HAL study, a potential physical dependence study and a potential TQT study;</w:t>
      </w:r>
    </w:p>
    <w:p>
      <w:pPr>
        <w:spacing w:after="0" w:line="40" w:lineRule="exact"/>
        <w:rPr>
          <w:rFonts w:ascii="Arial" w:cs="Arial" w:eastAsia="Arial" w:hAnsi="Arial"/>
          <w:sz w:val="16"/>
          <w:szCs w:val="16"/>
          <w:color w:val="auto"/>
        </w:rPr>
      </w:pPr>
    </w:p>
    <w:p>
      <w:pPr>
        <w:ind w:left="880" w:right="20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144" w:lineRule="exact"/>
        <w:rPr>
          <w:rFonts w:ascii="Arial" w:cs="Arial" w:eastAsia="Arial" w:hAnsi="Arial"/>
          <w:sz w:val="18"/>
          <w:szCs w:val="18"/>
          <w:color w:val="auto"/>
        </w:rPr>
      </w:pPr>
    </w:p>
    <w:p>
      <w:pPr>
        <w:ind w:left="880" w:right="380" w:hanging="373"/>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maintaining and protecting our patents, trade secrets and regulatory exclusivity in the U.S.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establishing a focused, specialty sales organization in the U.S. and successfully launching commercial sales following any marketing approval;</w:t>
      </w:r>
    </w:p>
    <w:p>
      <w:pPr>
        <w:spacing w:after="0" w:line="167" w:lineRule="exact"/>
        <w:rPr>
          <w:rFonts w:ascii="Arial" w:cs="Arial" w:eastAsia="Arial" w:hAnsi="Arial"/>
          <w:sz w:val="16"/>
          <w:szCs w:val="16"/>
          <w:color w:val="auto"/>
        </w:rPr>
      </w:pPr>
    </w:p>
    <w:p>
      <w:pPr>
        <w:ind w:left="880" w:right="22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5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Haduvio to treat serious neurologically mediated conditions is unproven.</w:t>
      </w:r>
    </w:p>
    <w:p>
      <w:pPr>
        <w:spacing w:after="0" w:line="1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currently focused on the development and commercialization of Haduvio to treat serious neurologically mediated conditions.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0" w:name="page41"/>
    <w:bookmarkEnd w:id="40"/>
    <w:p>
      <w:pPr>
        <w:spacing w:after="0" w:line="273" w:lineRule="auto"/>
        <w:rPr>
          <w:sz w:val="20"/>
          <w:szCs w:val="20"/>
          <w:color w:val="auto"/>
        </w:rPr>
      </w:pPr>
      <w:r>
        <w:rPr>
          <w:rFonts w:ascii="Arial" w:cs="Arial" w:eastAsia="Arial" w:hAnsi="Arial"/>
          <w:sz w:val="17"/>
          <w:szCs w:val="17"/>
          <w:color w:val="auto"/>
        </w:rPr>
        <w:t>systems, makes Haduvio a promising potential therapy for the treatment of chronic pruritus and other serious neurologically mediated conditions and that Haduvio has the potential to be safe and well-tolerated, nalbuphine has not been approved in any indications other than pain. Additionally, Haduvio has not been approved in any indication, including the treatment of pruritus associated with prurigo nodularis, the lead indication for which we are pursuing clinical development of Haduvio. No therapies have been approved in the U.S. or Europe for the treatment of moderate to severe pruritus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44"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may be larger than we anticipate, such as with the increase of the target number of enrolled subjects for our Phase 2b/3 PRISM trial from 240 to 360 subjects as a result of the SSRE analysis;</w:t>
      </w:r>
    </w:p>
    <w:p>
      <w:pPr>
        <w:spacing w:after="0" w:line="62" w:lineRule="exact"/>
        <w:rPr>
          <w:rFonts w:ascii="Arial" w:cs="Arial" w:eastAsia="Arial" w:hAnsi="Arial"/>
          <w:sz w:val="18"/>
          <w:szCs w:val="18"/>
          <w:color w:val="auto"/>
        </w:rPr>
      </w:pPr>
    </w:p>
    <w:p>
      <w:pPr>
        <w:ind w:left="880" w:right="32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w:t>
      </w:r>
    </w:p>
    <w:p>
      <w:pPr>
        <w:spacing w:after="0" w:line="75" w:lineRule="exact"/>
        <w:rPr>
          <w:rFonts w:ascii="Arial" w:cs="Arial" w:eastAsia="Arial" w:hAnsi="Arial"/>
          <w:sz w:val="18"/>
          <w:szCs w:val="18"/>
          <w:color w:val="auto"/>
        </w:rPr>
      </w:pPr>
    </w:p>
    <w:p>
      <w:pPr>
        <w:ind w:left="880" w:right="280" w:hanging="373"/>
        <w:spacing w:after="0" w:line="31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increased the target number of enrolled subjects as a result of the SSRE analysis, enrollment has taken longer than expected and we have used and expect to continue to use additional incentive strategies to address site activation and enrollment;</w:t>
      </w:r>
    </w:p>
    <w:p>
      <w:pPr>
        <w:spacing w:after="0" w:line="40" w:lineRule="exact"/>
        <w:rPr>
          <w:rFonts w:ascii="Arial" w:cs="Arial" w:eastAsia="Arial" w:hAnsi="Arial"/>
          <w:sz w:val="16"/>
          <w:szCs w:val="16"/>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44"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880" w:right="380" w:hanging="373"/>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880" w:right="20" w:hanging="373"/>
        <w:spacing w:after="0" w:line="259"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880" w:right="5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880" w:right="40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880" w:right="480" w:hanging="373"/>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5" w:lineRule="exact"/>
        <w:rPr>
          <w:rFonts w:ascii="Arial" w:cs="Arial" w:eastAsia="Arial" w:hAnsi="Arial"/>
          <w:sz w:val="16"/>
          <w:szCs w:val="16"/>
          <w:color w:val="auto"/>
        </w:rPr>
      </w:pPr>
    </w:p>
    <w:p>
      <w:pPr>
        <w:ind w:left="880" w:right="2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The COVID-19 pandemic could also result in further 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6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55" w:lineRule="exact"/>
        <w:rPr>
          <w:rFonts w:ascii="Arial" w:cs="Arial" w:eastAsia="Arial" w:hAnsi="Arial"/>
          <w:sz w:val="17"/>
          <w:szCs w:val="17"/>
          <w:color w:val="auto"/>
        </w:rPr>
      </w:pPr>
    </w:p>
    <w:p>
      <w:pPr>
        <w:ind w:left="880" w:right="40" w:hanging="373"/>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44"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5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failure to successfully and timely complete clinical trials of Haduvio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line="293" w:lineRule="auto"/>
        <w:rPr>
          <w:sz w:val="20"/>
          <w:szCs w:val="20"/>
          <w:color w:val="auto"/>
        </w:rPr>
      </w:pPr>
      <w:r>
        <w:rPr>
          <w:rFonts w:ascii="Arial" w:cs="Arial" w:eastAsia="Arial" w:hAnsi="Arial"/>
          <w:sz w:val="16"/>
          <w:szCs w:val="16"/>
          <w:color w:val="auto"/>
        </w:rPr>
        <w:t>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64"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Phase 2b/3 PRISM trial or the FDA does not otherwise believe that the results of the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pruritus associated with prurigo nodularis.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Phase 2b/3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8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6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competing clinical trials;</w:t>
      </w:r>
    </w:p>
    <w:p>
      <w:pPr>
        <w:spacing w:after="0" w:line="144"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52" w:lineRule="exact"/>
        <w:rPr>
          <w:sz w:val="20"/>
          <w:szCs w:val="20"/>
          <w:color w:val="auto"/>
        </w:rPr>
      </w:pPr>
    </w:p>
    <w:p>
      <w:pPr>
        <w:ind w:right="20" w:firstLine="514"/>
        <w:spacing w:after="0" w:line="268" w:lineRule="auto"/>
        <w:rPr>
          <w:sz w:val="20"/>
          <w:szCs w:val="20"/>
          <w:color w:val="auto"/>
        </w:rPr>
      </w:pPr>
      <w:r>
        <w:rPr>
          <w:rFonts w:ascii="Arial" w:cs="Arial" w:eastAsia="Arial" w:hAnsi="Arial"/>
          <w:sz w:val="17"/>
          <w:szCs w:val="17"/>
          <w:color w:val="auto"/>
        </w:rPr>
        <w:t>In particular, the successful completion of our clinical development program for Haduvio for the treatment of pruritus associated with prurigo nodularis is dependent upon our ability to enroll a sufficient number of subjects with this severe condition. We have experienced delays and difficulties in the enrollment of subjects in our clinical trials, including our Phase 2b/3 PRISM trial and our Phase 2 CANAL trial, which have delayed the completion of our trials. We have taken actions to increase enrollment, including increasing the number of clinical sites, providing sites with additional trial management staff and closing underperforming sites. However, these actions may not be successful. In addition, as a result of the COVID-19 pandemic, clinical sites for our Phase 2b/3 PRISM trial temporarily halted new subject screening and most subject enrollment and the clinical sites in our ongoing Phase 2 CANAL trial temporarily suspended enrollment and treatment of subjects in the trial due to the vulnerability of IPF patients to COVID-19 and we amended the protocol for the trial to reduce the number of in-person subject visits and procedures. While subject screening and enrollment for our Phase 2 CANAL trial resumed at certain clinical trial sites in the fourth quarter of 2020, all sites in the trial paused screening again in December 2020 in response to a shelter-in-place directive from the U.K. government. This shelter-in-place directive expired in March 2021 and other COVID-19 pandemic related restrictions were lifted in July 2021. The U.K. government may choose to reinstate any and/or all of the restrictions in the future depending on COVID-19 infection rates. Screening activity has resumed and is steadily progressing at most sites following the lifting of the shelter-in-place directive. However, we expect that some sites may take longer to resume their trial activity as the clinical research related infrastructure was disrupted by the COVID-19 pandemic and that other sites may cease to participate in the trial entirely.</w:t>
      </w:r>
    </w:p>
    <w:p>
      <w:pPr>
        <w:spacing w:after="0" w:line="184" w:lineRule="exact"/>
        <w:rPr>
          <w:sz w:val="20"/>
          <w:szCs w:val="20"/>
          <w:color w:val="auto"/>
        </w:rPr>
      </w:pPr>
    </w:p>
    <w:p>
      <w:pPr>
        <w:ind w:right="160" w:firstLine="514"/>
        <w:spacing w:after="0" w:line="296" w:lineRule="auto"/>
        <w:rPr>
          <w:sz w:val="20"/>
          <w:szCs w:val="20"/>
          <w:color w:val="auto"/>
        </w:rPr>
      </w:pPr>
      <w:r>
        <w:rPr>
          <w:rFonts w:ascii="Arial" w:cs="Arial" w:eastAsia="Arial" w:hAnsi="Arial"/>
          <w:sz w:val="16"/>
          <w:szCs w:val="16"/>
          <w:color w:val="auto"/>
        </w:rPr>
        <w:t>Other companies are conducting clinical trials or have announced plans for future clinical trials that are seeking or are likely to seek to enroll patients with prurigo nodularis in the case of our Phase 2b/3 PRISM trial and patients with IPF in the case of our Phase 2 CANAL trial and patients are generally only able to enroll in a single trial at a time. In addition, although there are no drugs approved in the U.S.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61" w:lineRule="exact"/>
        <w:rPr>
          <w:sz w:val="20"/>
          <w:szCs w:val="20"/>
          <w:color w:val="auto"/>
        </w:rPr>
      </w:pPr>
    </w:p>
    <w:p>
      <w:pPr>
        <w:ind w:firstLine="514"/>
        <w:spacing w:after="0" w:line="287" w:lineRule="auto"/>
        <w:rPr>
          <w:sz w:val="20"/>
          <w:szCs w:val="20"/>
          <w:color w:val="auto"/>
        </w:rPr>
      </w:pPr>
      <w:r>
        <w:rPr>
          <w:rFonts w:ascii="Arial" w:cs="Arial" w:eastAsia="Arial" w:hAnsi="Arial"/>
          <w:sz w:val="16"/>
          <w:szCs w:val="16"/>
          <w:color w:val="auto"/>
        </w:rPr>
        <w:t>In response to the COVID-19 pandemic, the FDA issued guidance on March 18, 2020, and updated it on July 2, 2020, January 27, 2021 and August 30, 2021, to address the conduct of clinical trials during the pandemic. The guidance sets out a number of considerations for sponsors of clinical trials impacted by the pandemic, including the requirement to include in a clinical study report (or as a separate document) contingency measures implemented to manage the study, and any disruption of the study, as a result of the COVID-19 pandemic; a list of all study participants affected by COVID-19 pandemic 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In its most recent update to this guidance, the FDA addressed questions received during the past year from clinical practitioners who are adapting their operations in a pandemic environment. These questions focused on, among other things, when to suspend, continue or initiate a trial and how to submit changes to protocols for investigational new drug applications and handle remote site monitoring visits. There is no assurance that this guidance governing clinical studies during the pandemic will remain in effect or, even if it does, that it will help address the risks and challenges enumerated above.</w:t>
      </w:r>
    </w:p>
    <w:p>
      <w:pPr>
        <w:spacing w:after="0" w:line="172" w:lineRule="exact"/>
        <w:rPr>
          <w:sz w:val="20"/>
          <w:szCs w:val="20"/>
          <w:color w:val="auto"/>
        </w:rPr>
      </w:pPr>
    </w:p>
    <w:p>
      <w:pPr>
        <w:ind w:firstLine="514"/>
        <w:spacing w:after="0" w:line="257" w:lineRule="auto"/>
        <w:rPr>
          <w:sz w:val="20"/>
          <w:szCs w:val="20"/>
          <w:color w:val="auto"/>
        </w:rPr>
      </w:pPr>
      <w:r>
        <w:rPr>
          <w:rFonts w:ascii="Arial" w:cs="Arial" w:eastAsia="Arial" w:hAnsi="Arial"/>
          <w:sz w:val="18"/>
          <w:szCs w:val="18"/>
          <w:color w:val="auto"/>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right="40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spacing w:after="0" w:line="17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subjects reported SAEs, but none of these events was attributed to Haduvio.</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 adequately addressed through a proposed REMS program for Haduvio may also prevent or delay any approval for commercialization.</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the parenteral formulation of nalbuphine is currently not classified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18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19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jc w:val="both"/>
        <w:ind w:right="60" w:firstLine="510"/>
        <w:spacing w:after="0" w:line="287"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5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subjects in each arm of the Phase 2 clinical trial and the large differential discontinuation rate among the three treatment arms, as well as our plan to increase the fixed-dose treatment duration from eight weeks in the Phase 2 clinical trial to 12 weeks in our Phase 2b/3 PRISM trial.</w:t>
      </w:r>
    </w:p>
    <w:p>
      <w:pPr>
        <w:spacing w:after="0" w:line="17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Phase 2b/3 PRISM trial based on an assumed discontinuation rate that takes into account observed discontinuation rates in our Phase 2 clinical trial of Haduvio for the treatment of pruritus associated with prurigo nodularis. If enrolled subjects withdraw from our Phase 2b/3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120"/>
        <w:spacing w:after="0" w:line="275" w:lineRule="auto"/>
        <w:rPr>
          <w:sz w:val="20"/>
          <w:szCs w:val="20"/>
          <w:color w:val="auto"/>
        </w:rPr>
      </w:pPr>
      <w:r>
        <w:rPr>
          <w:rFonts w:ascii="Arial" w:cs="Arial" w:eastAsia="Arial" w:hAnsi="Arial"/>
          <w:sz w:val="17"/>
          <w:szCs w:val="17"/>
          <w:color w:val="auto"/>
        </w:rPr>
        <w:t>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176"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Haduvio in patients with prurigo nodularis and uremic pruritus. While we believe these data may be useful in informing the design of our Phase 2b/3 PRISM trial and other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16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9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580"/>
        <w:spacing w:after="0" w:line="342" w:lineRule="auto"/>
        <w:rPr>
          <w:sz w:val="20"/>
          <w:szCs w:val="20"/>
          <w:color w:val="auto"/>
        </w:rPr>
      </w:pPr>
      <w:r>
        <w:rPr>
          <w:rFonts w:ascii="Arial" w:cs="Arial" w:eastAsia="Arial" w:hAnsi="Arial"/>
          <w:sz w:val="16"/>
          <w:szCs w:val="16"/>
          <w:color w:val="auto"/>
        </w:rPr>
        <w:t>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16"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2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as our lead program. However, the development of Haduvio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8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U.S. directly through our own focused, specialty sales organization. If Haduvio receives marketing approval outside the U.S.,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80" w:firstLine="510"/>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CDX-0159, a humanized monoclonal antibody targeting the KIT receptor being developed by Celldex Therapeutics; and abrocitinib, an oral small molecule targeting the janus kinase 1 receptor being developed by Pfizer Inc. In addition, a number of other product candidates are currently in clinical development to treat other pruritic conditions and Haduvio, if approved for the treatment of pruritus associated with prurigo nodularis, could face competition from these product candidates, including difelikefalin, an oral kappa opioid receptor agonist being developed by Cara Therapeutics that is in Phase 2 clinical trials for chronic pruritus in patients with atopic dermatitis, chronic liver disease, chronic kidney disease and notalgia paresthetica.</w:t>
      </w:r>
    </w:p>
    <w:p>
      <w:pPr>
        <w:spacing w:after="0" w:line="16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Haduvio is approved for the treatment of chronic cough associated with IPF, we expect that it would compete with product candidates currently in clinical development for the treatment of chronic cough associated with IPF, such as orvepitant, which is being developed by Nerre Therapeutics, and expect that it might also compete with other product candidates currently in development or submitted for approval to the FDA for the treatment of chronic refractory cough and unexplained chronic cough by companies including Merck, Shionogi, Bellus Health, Bayer, and Algernon Pharmaceuticals. In addition, it is possible that product candidates currently in development for the treatment of IPF could, if approved, reduce the need for therapies to treat chronic cough associated with IPF.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00" w:firstLine="510"/>
        <w:spacing w:after="0" w:line="275" w:lineRule="auto"/>
        <w:rPr>
          <w:sz w:val="20"/>
          <w:szCs w:val="20"/>
          <w:color w:val="auto"/>
        </w:rPr>
      </w:pPr>
      <w:r>
        <w:rPr>
          <w:rFonts w:ascii="Arial" w:cs="Arial" w:eastAsia="Arial" w:hAnsi="Arial"/>
          <w:sz w:val="17"/>
          <w:szCs w:val="17"/>
          <w:color w:val="auto"/>
        </w:rPr>
        <w:t>If Haduvio is approved for the treatment of LID in patients with Parkinson’s disease, we expect that it would compete with Gocovri and Osmolex, which are extended-release capsule formulations of amantadine marketed by Adamas Pharmaceuticals, which is being acquired by Supernus Pharmaceuticals,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17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moieties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6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60"/>
        <w:spacing w:after="0" w:line="259" w:lineRule="auto"/>
        <w:rPr>
          <w:sz w:val="20"/>
          <w:szCs w:val="20"/>
          <w:color w:val="auto"/>
        </w:rPr>
      </w:pPr>
      <w:r>
        <w:rPr>
          <w:rFonts w:ascii="Arial" w:cs="Arial" w:eastAsia="Arial" w:hAnsi="Arial"/>
          <w:sz w:val="18"/>
          <w:szCs w:val="18"/>
          <w:color w:val="auto"/>
        </w:rPr>
        <w:t>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8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do not independently conduct clinical trials of our product candidate. We rely and expect to continue to rely, on third parties, such as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2" w:name="page53"/>
    <w:bookmarkEnd w:id="52"/>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880" w:right="180" w:hanging="373"/>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44"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17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It is currently uncertain what impact, if any, Mallinckrodt’s bankruptcy filing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9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manufacturing facilities, which could result in delays in obtaining approval for the applicable product candidate and any future commercialization efforts.</w:t>
      </w:r>
    </w:p>
    <w:p>
      <w:pPr>
        <w:spacing w:after="0" w:line="24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164"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14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U.S.</w:t>
      </w:r>
    </w:p>
    <w:p>
      <w:pPr>
        <w:spacing w:after="0" w:line="17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establish one or more collaborations, all the risks relating to product development, regulatory approval and commercialization described in this Quarterly Report on Form 10-Q would also apply to the activities of any such future collaborators.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880" w:right="160" w:hanging="373"/>
        <w:spacing w:after="0" w:line="311"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880" w:right="130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880" w:right="580" w:hanging="373"/>
        <w:spacing w:after="0" w:line="308"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7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right="380" w:hanging="373"/>
        <w:spacing w:after="0" w:line="25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880" w:right="220" w:hanging="373"/>
        <w:spacing w:after="0" w:line="342"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880" w:right="8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67" w:lineRule="exact"/>
        <w:rPr>
          <w:rFonts w:ascii="Arial" w:cs="Arial" w:eastAsia="Arial" w:hAnsi="Arial"/>
          <w:sz w:val="16"/>
          <w:szCs w:val="16"/>
          <w:color w:val="auto"/>
        </w:rPr>
      </w:pPr>
    </w:p>
    <w:p>
      <w:pPr>
        <w:ind w:left="880" w:right="18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880" w:right="11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are also party to an exclusive license agreement with Rutgers, the State University of New Jersey,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66" w:lineRule="exact"/>
        <w:rPr>
          <w:sz w:val="20"/>
          <w:szCs w:val="20"/>
          <w:color w:val="auto"/>
        </w:rPr>
      </w:pPr>
    </w:p>
    <w:p>
      <w:pPr>
        <w:ind w:right="1020" w:firstLine="510"/>
        <w:spacing w:after="0" w:line="308"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40"/>
        <w:spacing w:after="0" w:line="259" w:lineRule="auto"/>
        <w:rPr>
          <w:sz w:val="20"/>
          <w:szCs w:val="20"/>
          <w:color w:val="auto"/>
        </w:rPr>
      </w:pPr>
      <w:r>
        <w:rPr>
          <w:rFonts w:ascii="Arial" w:cs="Arial" w:eastAsia="Arial" w:hAnsi="Arial"/>
          <w:sz w:val="18"/>
          <w:szCs w:val="18"/>
          <w:color w:val="auto"/>
        </w:rPr>
        <w:t>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5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19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5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20"/>
        <w:spacing w:after="0" w:line="270" w:lineRule="auto"/>
        <w:rPr>
          <w:sz w:val="20"/>
          <w:szCs w:val="20"/>
          <w:color w:val="auto"/>
        </w:rPr>
      </w:pPr>
      <w:r>
        <w:rPr>
          <w:rFonts w:ascii="Arial" w:cs="Arial" w:eastAsia="Arial" w:hAnsi="Arial"/>
          <w:sz w:val="17"/>
          <w:szCs w:val="17"/>
          <w:color w:val="auto"/>
        </w:rPr>
        <w:t>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18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82"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187"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40"/>
        <w:spacing w:after="0" w:line="272" w:lineRule="auto"/>
        <w:rPr>
          <w:sz w:val="20"/>
          <w:szCs w:val="20"/>
          <w:color w:val="auto"/>
        </w:rPr>
      </w:pPr>
      <w:r>
        <w:rPr>
          <w:rFonts w:ascii="Arial" w:cs="Arial" w:eastAsia="Arial" w:hAnsi="Arial"/>
          <w:sz w:val="17"/>
          <w:szCs w:val="17"/>
          <w:color w:val="auto"/>
        </w:rPr>
        <w:t>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right="120" w:firstLine="514"/>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360"/>
        <w:spacing w:after="0" w:line="277" w:lineRule="auto"/>
        <w:rPr>
          <w:sz w:val="20"/>
          <w:szCs w:val="20"/>
          <w:color w:val="auto"/>
        </w:rPr>
      </w:pPr>
      <w:r>
        <w:rPr>
          <w:rFonts w:ascii="Arial" w:cs="Arial" w:eastAsia="Arial" w:hAnsi="Arial"/>
          <w:sz w:val="18"/>
          <w:szCs w:val="18"/>
          <w:color w:val="auto"/>
        </w:rPr>
        <w:t>scientific personnel could be diverted in pursuing these proceedings, which could significantly harm our business and operating results. In addition, we may not have sufficient resources to bring these actions to a successful conclusion.</w:t>
      </w:r>
    </w:p>
    <w:p>
      <w:pPr>
        <w:spacing w:after="0" w:line="170" w:lineRule="exact"/>
        <w:rPr>
          <w:sz w:val="20"/>
          <w:szCs w:val="20"/>
          <w:color w:val="auto"/>
        </w:rPr>
      </w:pPr>
    </w:p>
    <w:p>
      <w:pPr>
        <w:ind w:right="80" w:firstLine="514"/>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16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100" w:firstLine="510"/>
        <w:spacing w:after="0" w:line="291"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16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9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Haduvio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9" w:lineRule="exact"/>
        <w:rPr>
          <w:sz w:val="20"/>
          <w:szCs w:val="20"/>
          <w:color w:val="auto"/>
        </w:rPr>
      </w:pPr>
    </w:p>
    <w:p>
      <w:pPr>
        <w:ind w:right="40" w:firstLine="514"/>
        <w:spacing w:after="0" w:line="253" w:lineRule="auto"/>
        <w:rPr>
          <w:sz w:val="20"/>
          <w:szCs w:val="20"/>
          <w:color w:val="auto"/>
        </w:rPr>
      </w:pPr>
      <w:r>
        <w:rPr>
          <w:rFonts w:ascii="Arial" w:cs="Arial" w:eastAsia="Arial" w:hAnsi="Arial"/>
          <w:sz w:val="18"/>
          <w:szCs w:val="18"/>
          <w:color w:val="auto"/>
        </w:rPr>
        <w:t>We commenced our Phase 2b/3 PRISM trial of Haduvio for the treatment of pruritus associated with prurigo nodularis and we believe we will need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Haduvio for the treatment of pruritus associated with prurigo nodularis and any future product candidates by potentially decreasing the amount of preclinical and clinical data that we would need to generate in order to obtain FDA approval. However, while we believe that Haduvio is a reformulation of an existing drug and, therefore, its active moiety will not be treated as a NCE, the submission of an NDA under the Section 505(b)(2) regulatory pathway does not preclude the FDA from determining that Haduvio contains an active moiety that is an NCE and, therefore, is not eligible for review under such regulatory pathway.</w:t>
      </w:r>
    </w:p>
    <w:p>
      <w:pPr>
        <w:spacing w:after="0" w:line="194" w:lineRule="exact"/>
        <w:rPr>
          <w:sz w:val="20"/>
          <w:szCs w:val="20"/>
          <w:color w:val="auto"/>
        </w:rPr>
      </w:pPr>
    </w:p>
    <w:p>
      <w:pPr>
        <w:ind w:firstLine="514"/>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177" w:lineRule="exact"/>
        <w:rPr>
          <w:sz w:val="20"/>
          <w:szCs w:val="20"/>
          <w:color w:val="auto"/>
        </w:rPr>
      </w:pPr>
    </w:p>
    <w:p>
      <w:pPr>
        <w:ind w:right="80" w:firstLine="514"/>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Haduvio or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ind w:right="20"/>
        <w:spacing w:after="0" w:line="259" w:lineRule="auto"/>
        <w:rPr>
          <w:sz w:val="20"/>
          <w:szCs w:val="20"/>
          <w:color w:val="auto"/>
        </w:rPr>
      </w:pPr>
      <w:r>
        <w:rPr>
          <w:rFonts w:ascii="Arial" w:cs="Arial" w:eastAsia="Arial" w:hAnsi="Arial"/>
          <w:sz w:val="18"/>
          <w:szCs w:val="18"/>
          <w:color w:val="auto"/>
        </w:rPr>
        <w:t>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18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Finally, disruptions at the FDA and other agencies may also slow the time necessary for new drugs to be reviewed 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May 2021, the FDA issued a report in which it outlined its priorities for inspections moving forward given the ongoing uncertainties stemming from the pandemic. The agency indicated that </w:t>
      </w:r>
      <w:r>
        <w:rPr>
          <w:rFonts w:ascii="Arial" w:cs="Arial" w:eastAsia="Arial" w:hAnsi="Arial"/>
          <w:sz w:val="17"/>
          <w:szCs w:val="17"/>
          <w:color w:val="333333"/>
        </w:rPr>
        <w:t>inspections considered critical to the FDA’s mission will remain the primary focus. When planning routine surveillance inspections, the</w:t>
      </w:r>
      <w:r>
        <w:rPr>
          <w:rFonts w:ascii="Arial" w:cs="Arial" w:eastAsia="Arial" w:hAnsi="Arial"/>
          <w:sz w:val="17"/>
          <w:szCs w:val="17"/>
          <w:color w:val="auto"/>
        </w:rPr>
        <w:t xml:space="preserve"> </w:t>
      </w:r>
      <w:r>
        <w:rPr>
          <w:rFonts w:ascii="Arial" w:cs="Arial" w:eastAsia="Arial" w:hAnsi="Arial"/>
          <w:sz w:val="17"/>
          <w:szCs w:val="17"/>
          <w:color w:val="333333"/>
        </w:rPr>
        <w:t>agency will prioritize higher-risk establishments. Therefore, a longer interval between inspections will occur for the less high-risk facilities as the FDA adjusts to the impact of the COVID-19 pandemic. This means that postponed inspections will be prioritized based on risk and conducted over a longer period of time, ultimately increasing the amount of time between inspections of certain lower-risk facilities.</w:t>
      </w:r>
    </w:p>
    <w:p>
      <w:pPr>
        <w:spacing w:after="0" w:line="185" w:lineRule="exact"/>
        <w:rPr>
          <w:sz w:val="20"/>
          <w:szCs w:val="20"/>
          <w:color w:val="auto"/>
        </w:rPr>
      </w:pPr>
    </w:p>
    <w:p>
      <w:pPr>
        <w:ind w:right="440" w:firstLine="510"/>
        <w:spacing w:after="0" w:line="301" w:lineRule="auto"/>
        <w:rPr>
          <w:sz w:val="20"/>
          <w:szCs w:val="20"/>
          <w:color w:val="auto"/>
        </w:rPr>
      </w:pPr>
      <w:r>
        <w:rPr>
          <w:rFonts w:ascii="Arial" w:cs="Arial" w:eastAsia="Arial" w:hAnsi="Arial"/>
          <w:sz w:val="16"/>
          <w:szCs w:val="16"/>
          <w:color w:val="auto"/>
        </w:rPr>
        <w:t>Regulatory authorities outside the United States may also impose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7"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76"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80"/>
        <w:spacing w:after="0" w:line="271" w:lineRule="auto"/>
        <w:rPr>
          <w:sz w:val="20"/>
          <w:szCs w:val="20"/>
          <w:color w:val="auto"/>
        </w:rPr>
      </w:pPr>
      <w:r>
        <w:rPr>
          <w:rFonts w:ascii="Arial" w:cs="Arial" w:eastAsia="Arial" w:hAnsi="Arial"/>
          <w:sz w:val="17"/>
          <w:szCs w:val="17"/>
          <w:color w:val="auto"/>
        </w:rPr>
        <w:t>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In addition, the conduct of clinical trials outside the U.S. could have a significant adverse impact on us. Risks inherent in conducting international clinical trials include:</w:t>
      </w:r>
    </w:p>
    <w:p>
      <w:pPr>
        <w:spacing w:after="0" w:line="62"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1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order to market and sell products in the European Union, or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6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Additionally, we could face heightened risks with respect to seeking marketing approval in the U.K. as a result of the recent withdrawal of the U.K. from the E.U., commonly referred to as Brexit. The U.K. and E.U. entered into a Trade and Cooperation Agreement in connection with Brexit that sets out certain procedures for approval and recognition of medical products in each jurisdiction. Since the regulatory framework for pharmaceutical products in the U.K. covering the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U.K. Any delay in obtaining or an inability to obtain, any marketing approvals, as a result of the Trade and Cooperation Agreement would prevent us from commercializing any product candidates in the U.K. and/or the E.U. and restrict our ability to generate revenue and achieve and sustain profitability. If any of these outcomes occur, we may be forced to restrict or delay efforts to seek regulatory approval in the U.K. and/or E.U. for any product candidates or incur additional costs, which could significantly and materially harm our business.</w:t>
      </w:r>
    </w:p>
    <w:p>
      <w:pPr>
        <w:spacing w:after="0" w:line="58"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40"/>
        <w:spacing w:after="0" w:line="263" w:lineRule="auto"/>
        <w:rPr>
          <w:sz w:val="20"/>
          <w:szCs w:val="20"/>
          <w:color w:val="auto"/>
        </w:rPr>
      </w:pPr>
      <w:r>
        <w:rPr>
          <w:rFonts w:ascii="Arial" w:cs="Arial" w:eastAsia="Arial" w:hAnsi="Arial"/>
          <w:sz w:val="18"/>
          <w:szCs w:val="18"/>
          <w:b w:val="1"/>
          <w:bCs w:val="1"/>
          <w:i w:val="1"/>
          <w:iCs w:val="1"/>
          <w:color w:val="auto"/>
        </w:rPr>
        <w:t>A fast-track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eligible for fast-track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fast-track designation for Haduvio for the proposed indication of reduction of moderate to severe pruritus in patients with prurigo nodularis, however this designation or any future fast-track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Any regulatory approval to market Haduvio in the U.S. will be limited by indication. If we fail to comply or are found to be in violation of FDA and other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pruritus associated with prurigo nodularis. If we obtain regulatory approval to market Haduvio with an indication statement for the treatment of pruritus associated with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15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Haduvio to treat pruritic conditions other than pruritus associated with prurigo nodularis,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line="254" w:lineRule="auto"/>
        <w:rPr>
          <w:sz w:val="20"/>
          <w:szCs w:val="20"/>
          <w:color w:val="auto"/>
        </w:rPr>
      </w:pPr>
      <w:r>
        <w:rPr>
          <w:rFonts w:ascii="Arial" w:cs="Arial" w:eastAsia="Arial" w:hAnsi="Arial"/>
          <w:sz w:val="18"/>
          <w:szCs w:val="18"/>
          <w:color w:val="auto"/>
        </w:rPr>
        <w:t>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is entitled to a share of any recovery or settlement.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suits, also commonly referred to as “whistleblower suits,” are often brought by current or former employees. In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the government must decide whether to intervene and prosecute the case. If it declines, the individual may pursue the case alone.</w:t>
      </w:r>
    </w:p>
    <w:p>
      <w:pPr>
        <w:spacing w:after="0" w:line="19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60" w:firstLine="510"/>
        <w:spacing w:after="0" w:line="252"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80"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6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ind w:right="48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For example,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78"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subject to a nationwide preliminary injunction for its failure to comply with notice and comment rulemaking requirements. The Biden Administration has frozen certain of the previous administration’s measures to reform drug prices, pending further review. It remains to be seen how the Biden Administration will address this issue but, under Medicare Part D, the new administration may seek to establish a ceiling for the launch prices of all branded, biologic and certain generic drugs by referencing the average price of these drugs in other developed countries. At the same time, the administration may seek to limit Medicare Part D and public option drug prices through a tax penalty on manufacturers for increases in the cost of drugs and biologics above the general inflation rate. The Biden administration has agreed to delay for a year the implementation of one of President Trump’s signature drug pricing policies, from January 2022 to 2023. The policy at issue would have prevented drug makers and middlemen from negotiating rebates on prescription drugs.</w:t>
      </w:r>
    </w:p>
    <w:p>
      <w:pPr>
        <w:spacing w:after="0" w:line="185" w:lineRule="exact"/>
        <w:rPr>
          <w:sz w:val="20"/>
          <w:szCs w:val="20"/>
          <w:color w:val="auto"/>
        </w:rPr>
      </w:pPr>
    </w:p>
    <w:p>
      <w:pPr>
        <w:ind w:right="160" w:firstLine="510"/>
        <w:spacing w:after="0" w:line="286" w:lineRule="auto"/>
        <w:rPr>
          <w:sz w:val="20"/>
          <w:szCs w:val="20"/>
          <w:color w:val="auto"/>
        </w:rPr>
      </w:pPr>
      <w:r>
        <w:rPr>
          <w:rFonts w:ascii="Arial" w:cs="Arial" w:eastAsia="Arial" w:hAnsi="Arial"/>
          <w:sz w:val="16"/>
          <w:szCs w:val="16"/>
          <w:color w:val="auto"/>
        </w:rPr>
        <w:t>More recently, 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 Further, on August 21, 2021, the Centers for Medicare &amp; Medicaid Services, or CMS, issued a proposed rule to rescind the Trump Administration’s interim final rule, following public notice and comment. With issuance of this proposal, CMS stated that it will carefully consider the comments it received on the November 2020 interim final rule as it explores all options to incorporate value into payments for Medicare Part B drugs and improve beneficiaries’ access to evidence-based care.</w:t>
      </w:r>
    </w:p>
    <w:p>
      <w:pPr>
        <w:spacing w:after="0" w:line="183"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7" w:name="page68"/>
    <w:bookmarkEnd w:id="67"/>
    <w:p>
      <w:pPr>
        <w:ind w:right="2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jc w:val="both"/>
        <w:ind w:right="360" w:firstLine="510"/>
        <w:spacing w:after="0" w:line="311"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w:t>
      </w:r>
    </w:p>
    <w:p>
      <w:pPr>
        <w:spacing w:after="0" w:line="1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1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20" w:firstLine="510"/>
        <w:spacing w:after="0" w:line="289"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184"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17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are highly dependent on Jennifer Good, our President and Chief Executive Officer; Thomas Sciascia, M.D., our Chief Medical Officer; and William Forbes, Pharm. 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7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 of September 30, 2021, we had 26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be unable to implement our business strategy, including the successful commercialization of any product candidate.</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agreement to resolve allegations of non-compliance with these laws, reputational harm and requirements to curtail or restructure our operations.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44" w:lineRule="exact"/>
        <w:rPr>
          <w:rFonts w:ascii="Arial" w:cs="Arial" w:eastAsia="Arial" w:hAnsi="Arial"/>
          <w:sz w:val="18"/>
          <w:szCs w:val="18"/>
          <w:color w:val="auto"/>
        </w:rPr>
      </w:pPr>
    </w:p>
    <w:p>
      <w:pPr>
        <w:ind w:left="880" w:right="9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44"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 including with respect to the substantial additional capital that we will need to raise by June 30, 2022 to satisfy the Milestone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obligations in connection with the SVB Term Loan;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jc w:val="both"/>
        <w:ind w:right="20" w:firstLine="510"/>
        <w:spacing w:after="0" w:line="263" w:lineRule="auto"/>
        <w:rPr>
          <w:sz w:val="20"/>
          <w:szCs w:val="20"/>
          <w:color w:val="auto"/>
        </w:rPr>
      </w:pPr>
      <w:r>
        <w:rPr>
          <w:rFonts w:ascii="Arial" w:cs="Arial" w:eastAsia="Arial" w:hAnsi="Arial"/>
          <w:sz w:val="18"/>
          <w:szCs w:val="18"/>
          <w:color w:val="auto"/>
        </w:rPr>
        <w:t>In addition, the COVID-19 pandemic has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As of November 10, 2021, we have outstanding 25,846,577 shares of common stock, of which 790,562 shares are subject to restrictions on transfer under lock-up agreements entered into by our directors and officers in connection with the initial October 2021 private placement. These restrictions are due to expire on January 3, 2022. With the exception of the shares of common stock subject to such lock-up agreements, 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61" w:lineRule="exact"/>
        <w:rPr>
          <w:sz w:val="20"/>
          <w:szCs w:val="20"/>
          <w:color w:val="auto"/>
        </w:rPr>
      </w:pPr>
    </w:p>
    <w:p>
      <w:pPr>
        <w:jc w:val="both"/>
        <w:ind w:right="8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16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“at-the-market” offerings. As of September 30, 2021, we had sold 3,583,394 shares of common stock for an aggregate purchase price of $10.9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17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73" w:name="page74"/>
    <w:bookmarkEnd w:id="73"/>
    <w:p>
      <w:pPr>
        <w:ind w:right="120"/>
        <w:spacing w:after="0" w:line="270" w:lineRule="auto"/>
        <w:rPr>
          <w:sz w:val="20"/>
          <w:szCs w:val="20"/>
          <w:color w:val="auto"/>
        </w:rPr>
      </w:pPr>
      <w:r>
        <w:rPr>
          <w:rFonts w:ascii="Arial" w:cs="Arial" w:eastAsia="Arial" w:hAnsi="Arial"/>
          <w:sz w:val="17"/>
          <w:szCs w:val="17"/>
          <w:color w:val="auto"/>
        </w:rPr>
        <w:t>terms of such warrants, provided that such percentage may in no event exceed 9.99%. We refer to such percentage limitations as the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Beneficial Ownership Limitation. The Initial Private Placement Investor may resell all, some or none of the shares of common stock registered pursuant to the Initial Private Placement Form S-3 at any time or in its discretion, subject to the Beneficial Ownership Limitations.</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Similarly, on October 18, 2021, we issued to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If and when the Second Private Placement Form S-3 is declared effective, NEA will be able to resell all, some or none of the shares of common stock registered pursuant to the Second Private Placement Form S-3 at any time or in its discretion.</w:t>
      </w:r>
    </w:p>
    <w:p>
      <w:pPr>
        <w:spacing w:after="0" w:line="16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by us under the Shelf Registration Statement, whether pursuant to the ATM Sales Agreement or otherwise, by Lincoln Park pursuant to the Form S-1, by the private placement investors pursuant to the Initial Private Placement Form S-3 or the Second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68"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Of the common stock warrants issued to the Initial Private Placement Investor,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As discussed above, the pre-funded warrants and the common stock warrants issued to the Initial Private Placement Investor are subject to Beneficial Ownership Limitations. As of November 10, 2021, all of the warrants issued to the Initial Private Placement Investor and NEA in the private placements remained outstanding. Although the Initial Private Placement Investor’s warrants are subject to the Beneficial Ownership Limitations, upon exercise in full of the warrants, the shares issuable upon exercise would represent a significant portion of our outstanding common stock. As a result, they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and/or NEA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68" w:lineRule="exact"/>
        <w:rPr>
          <w:sz w:val="20"/>
          <w:szCs w:val="20"/>
          <w:color w:val="auto"/>
        </w:rPr>
      </w:pPr>
    </w:p>
    <w:p>
      <w:pPr>
        <w:ind w:right="160" w:firstLine="510"/>
        <w:spacing w:after="0" w:line="304" w:lineRule="auto"/>
        <w:rPr>
          <w:sz w:val="20"/>
          <w:szCs w:val="20"/>
          <w:color w:val="auto"/>
        </w:rPr>
      </w:pPr>
      <w:r>
        <w:rPr>
          <w:rFonts w:ascii="Arial" w:cs="Arial" w:eastAsia="Arial" w:hAnsi="Arial"/>
          <w:sz w:val="15"/>
          <w:szCs w:val="15"/>
          <w:color w:val="auto"/>
        </w:rPr>
        <w:t>Furthermore, in the event of a sale of our company, whether by merger, sale of all or substantially all of our assets or otherwise, the Initial Private Placement Investor and NEA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spacing w:after="0" w:line="286" w:lineRule="auto"/>
        <w:rPr>
          <w:sz w:val="20"/>
          <w:szCs w:val="20"/>
          <w:color w:val="auto"/>
        </w:rPr>
      </w:pPr>
      <w:r>
        <w:rPr>
          <w:rFonts w:ascii="Arial" w:cs="Arial" w:eastAsia="Arial" w:hAnsi="Arial"/>
          <w:sz w:val="17"/>
          <w:szCs w:val="17"/>
          <w:color w:val="auto"/>
        </w:rPr>
        <w:t>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5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Given the amount and terms of these warrants, we may find it more difficult to raise additional equity capital on favorable terms or at all while these warrants are outstanding.</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Our executive officers and directors and their affiliates and our significant stockholders in the aggregate, beneficially own shares representing approximately 69.3% of our common stock as of November 10, 2021.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9" w:lineRule="exact"/>
        <w:rPr>
          <w:sz w:val="20"/>
          <w:szCs w:val="20"/>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44"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IPO price and have held their shares for a longer period, they may be more interested in selling our company to an acquirer than other investors or they may want us to pursue strategies that deviate from the interests of other stockholders.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1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62"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spacing w:after="0" w:line="286" w:lineRule="auto"/>
        <w:rPr>
          <w:sz w:val="20"/>
          <w:szCs w:val="20"/>
          <w:color w:val="auto"/>
        </w:rPr>
      </w:pPr>
      <w:r>
        <w:rPr>
          <w:rFonts w:ascii="Arial" w:cs="Arial" w:eastAsia="Arial" w:hAnsi="Arial"/>
          <w:sz w:val="16"/>
          <w:szCs w:val="16"/>
          <w:color w:val="auto"/>
        </w:rPr>
        <w:t>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5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As of December 31, 2020, we had federal and state net operating loss carryforwards of $137.6 million and federal research and development tax credit carryforwards of $3.9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IRC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8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6" w:name="page77"/>
    <w:bookmarkEnd w:id="76"/>
    <w:p>
      <w:pPr>
        <w:ind w:right="120"/>
        <w:spacing w:after="0" w:line="296" w:lineRule="auto"/>
        <w:rPr>
          <w:sz w:val="20"/>
          <w:szCs w:val="20"/>
          <w:color w:val="auto"/>
        </w:rPr>
      </w:pPr>
      <w:r>
        <w:rPr>
          <w:rFonts w:ascii="Arial" w:cs="Arial" w:eastAsia="Arial" w:hAnsi="Arial"/>
          <w:sz w:val="16"/>
          <w:szCs w:val="16"/>
          <w:color w:val="auto"/>
        </w:rPr>
        <w:t>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44"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left="880" w:right="36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6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ind w:right="120" w:firstLine="8"/>
        <w:spacing w:after="0" w:line="252"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19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Except as previously disclosed on a Current Report on Form 8-K (File No. 001-38886) that we filed with the SEC on June 21, 2021, we did not sell or issue any equity securities during the three months ended September 30, 2021 that were not registered under the Securities Act.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IPO of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May 9, 2019, we closed our IPO, in which we issued and sold 5,500,000 shares of common stock at a public offering price of $10.00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gross proceeds to us from our IPO were $55.0 million.</w:t>
      </w:r>
    </w:p>
    <w:p>
      <w:pPr>
        <w:spacing w:after="0" w:line="103"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4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As of September 30, 2021, we used approximately $43.5 million of the net proceeds from the IPO to fund the development of Haduvio for the treatment of pruritus associated with prurigo nodularis, the treatment of chronic cough in patients with IPF and general corporate purposes.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520" w:type="dxa"/>
            <w:vAlign w:val="bottom"/>
            <w:gridSpan w:val="19"/>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52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060" w:type="dxa"/>
            <w:vAlign w:val="bottom"/>
            <w:tcBorders>
              <w:top w:val="single" w:sz="8" w:color="auto"/>
              <w:bottom w:val="single" w:sz="8" w:color="0000EE"/>
            </w:tcBorders>
            <w:gridSpan w:val="21"/>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Form of Pre-Funded Warrant dated October 5, 2021 (incorporated by reference to Exhibit 4.1 to the Registrant’s Current Report on Form 8-</w:t>
              </w:r>
            </w:hyperlink>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K (File No. 001-38886) filed with the SEC on October 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20" w:type="dxa"/>
            <w:vAlign w:val="bottom"/>
            <w:tcBorders>
              <w:bottom w:val="single" w:sz="8" w:color="0000EE"/>
            </w:tcBorders>
            <w:gridSpan w:val="19"/>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Form of 7-Year Common Stock Warrant dated October 5, 2021 (incorporated by reference to Exhibit 4.2 to the Registrant’s Current Report</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on Form 8-K (File No. 001-38886) filed with the SEC on October 1, 2021)</w:t>
              </w:r>
            </w:hyperlink>
          </w:p>
        </w:tc>
        <w:tc>
          <w:tcPr>
            <w:tcW w:w="4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Form of 3.5-Year Common Stock Warrant dated October 5, 2021 (incorporated by reference to Exhibit 4.3 to the Registrant’s Current</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Report on Form 8-K (File No. 001-38886) filed with the SEC on October 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Form of 7-Year Common Stock Warrant dated October 18, 2021 (incorporated by reference to Exhibit 4.1 to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Report on Form 8-K (File No. 001-38886) filed with the SEC on October 19, 2021)</w:t>
              </w:r>
            </w:hyperlink>
          </w:p>
        </w:tc>
        <w:tc>
          <w:tcPr>
            <w:tcW w:w="3540" w:type="dxa"/>
            <w:vAlign w:val="bottom"/>
            <w:tcBorders>
              <w:top w:val="single" w:sz="8" w:color="0000EE"/>
            </w:tcBorders>
            <w:gridSpan w:val="4"/>
          </w:tcPr>
          <w:p>
            <w:pPr>
              <w:spacing w:after="0"/>
              <w:rPr>
                <w:sz w:val="17"/>
                <w:szCs w:val="17"/>
                <w:color w:val="auto"/>
              </w:rPr>
            </w:pPr>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Form of 3.5-Year Common Stock Warrant dated October 18, 2021 (incorporated by reference to Exhibit 4.2 to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Report on Form 8-K (File No. 001-38886) filed with the SEC on October 19, 2021)</w:t>
              </w:r>
            </w:hyperlink>
          </w:p>
        </w:tc>
        <w:tc>
          <w:tcPr>
            <w:tcW w:w="3680" w:type="dxa"/>
            <w:vAlign w:val="bottom"/>
            <w:tcBorders>
              <w:top w:val="single" w:sz="8" w:color="0000EE"/>
            </w:tcBorders>
            <w:gridSpan w:val="8"/>
          </w:tcPr>
          <w:p>
            <w:pPr>
              <w:spacing w:after="0"/>
              <w:rPr>
                <w:sz w:val="17"/>
                <w:szCs w:val="17"/>
                <w:color w:val="auto"/>
              </w:rPr>
            </w:pPr>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First Amendment to Loan and Security Agreement, dated July 6, 2021, by and between Silicon Valley Bank and the Registrant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99.1 to the Registrant’s Current Report on Form 8-K (File No. 001-38886) filed with the SEC on July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05">
              <w:r>
                <w:rPr>
                  <w:rFonts w:ascii="Arial" w:cs="Arial" w:eastAsia="Arial" w:hAnsi="Arial"/>
                  <w:sz w:val="18"/>
                  <w:szCs w:val="18"/>
                  <w:color w:val="0000EE"/>
                  <w:w w:val="87"/>
                </w:rPr>
                <w:t>7, 2021)</w:t>
              </w:r>
            </w:hyperlink>
          </w:p>
        </w:tc>
        <w:tc>
          <w:tcPr>
            <w:tcW w:w="260" w:type="dxa"/>
            <w:vAlign w:val="bottom"/>
            <w:tcBorders>
              <w:top w:val="single" w:sz="8" w:color="0000EE"/>
            </w:tcBorders>
          </w:tcPr>
          <w:p>
            <w:pPr>
              <w:spacing w:after="0"/>
              <w:rPr>
                <w:sz w:val="17"/>
                <w:szCs w:val="17"/>
                <w:color w:val="auto"/>
              </w:rPr>
            </w:pPr>
          </w:p>
        </w:tc>
        <w:tc>
          <w:tcPr>
            <w:tcW w:w="37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Second Amendment to Loan and Security Agreement, dated August 13, 2021, by and between Silicon Valley Bank and the Registrant</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Form of Securities Purchase Agreement dated September 30, 2021 (incorporated by reference to Exhibit 99.1 to the Registrant’s Current</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Report on Form 8-K (File No. 001-38886) filed with the SEC on October 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820" w:type="dxa"/>
            <w:vAlign w:val="bottom"/>
            <w:tcBorders>
              <w:bottom w:val="single" w:sz="8" w:color="0000EE"/>
            </w:tcBorders>
            <w:gridSpan w:val="16"/>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Registration Rights Agreement dated September 30, 2021 (incorporated by reference to Exhibit 99.2 to the Registrant’s Current</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Report on Form 8-K (File No. 001-38886) filed with the SEC on October 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Form of Securities Purchase Agreement dated October 15, 2021 (incorporated by reference to Exhibit 99.1 to the Registrant’s Current</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Report on Form 8-K (File No. 001-38886) filed with the SEC on October 19, 2021)</w:t>
              </w:r>
            </w:hyperlink>
          </w:p>
        </w:tc>
        <w:tc>
          <w:tcPr>
            <w:tcW w:w="40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Form of Registration Rights Agreement dated October 15, 2021 (incorporated by reference to Exhibit 99.2 to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Report on Form 8-K (File No. 001-38886) filed with the SEC on October 19, 2021)</w:t>
              </w:r>
            </w:hyperlink>
          </w:p>
        </w:tc>
        <w:tc>
          <w:tcPr>
            <w:tcW w:w="3600" w:type="dxa"/>
            <w:vAlign w:val="bottom"/>
            <w:tcBorders>
              <w:top w:val="single" w:sz="8" w:color="0000EE"/>
            </w:tcBorders>
            <w:gridSpan w:val="5"/>
          </w:tcPr>
          <w:p>
            <w:pPr>
              <w:spacing w:after="0"/>
              <w:rPr>
                <w:sz w:val="17"/>
                <w:szCs w:val="17"/>
                <w:color w:val="auto"/>
              </w:rPr>
            </w:pP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6"/>
              </w:rPr>
            </w:pPr>
            <w:hyperlink w:anchor="page86">
              <w:r>
                <w:rPr>
                  <w:rFonts w:ascii="Arial" w:cs="Arial" w:eastAsia="Arial" w:hAnsi="Arial"/>
                  <w:sz w:val="18"/>
                  <w:szCs w:val="18"/>
                  <w:color w:val="0000EE"/>
                  <w:w w:val="96"/>
                </w:rPr>
                <w:t>Certification of Principal Executive Officer Pursuant to Rules 13a-14(a) or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Adopted Pursuant to Section 302 of the Sarbanes-Oxley Act of 2002</w:t>
              </w:r>
            </w:hyperlink>
          </w:p>
        </w:tc>
        <w:tc>
          <w:tcPr>
            <w:tcW w:w="4560" w:type="dxa"/>
            <w:vAlign w:val="bottom"/>
            <w:tcBorders>
              <w:top w:val="single" w:sz="8" w:color="0000EE"/>
            </w:tcBorders>
            <w:gridSpan w:val="6"/>
          </w:tcPr>
          <w:p>
            <w:pPr>
              <w:spacing w:after="0"/>
              <w:rPr>
                <w:sz w:val="17"/>
                <w:szCs w:val="17"/>
                <w:color w:val="auto"/>
              </w:rPr>
            </w:pPr>
          </w:p>
        </w:tc>
        <w:tc>
          <w:tcPr>
            <w:tcW w:w="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4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of Principal Financial Officer Pursuant to Rules 13a-14(a) or 15d-14(a) under the Securities Exchange Act of 1934, as</w:t>
              </w:r>
            </w:hyperlink>
          </w:p>
        </w:tc>
        <w:tc>
          <w:tcPr>
            <w:tcW w:w="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Adopted Pursuant to Section 302 of the Sarbanes-Oxley Act of 2002</w:t>
              </w:r>
            </w:hyperlink>
          </w:p>
        </w:tc>
        <w:tc>
          <w:tcPr>
            <w:tcW w:w="51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Act of 2002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14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22"/>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7"/>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7"/>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hanging="1132"/>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120" w:val="left"/>
          <w:tab w:leader="none" w:pos="81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2"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Jennifer L. Good</w:t>
      </w:r>
    </w:p>
    <w:p>
      <w:pPr>
        <w:spacing w:after="0" w:line="2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614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Lisa Delfini</w:t>
      </w:r>
    </w:p>
    <w:p>
      <w:pPr>
        <w:spacing w:after="0" w:line="2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00"/>
          </w:cols>
          <w:pgMar w:left="320" w:top="553" w:right="77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Exhibit 10.2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This Second Amendment to Loan and Security Agreement (this “Amendment”) is entered into this 13</w:t>
      </w:r>
      <w:r>
        <w:rPr>
          <w:rFonts w:ascii="Arial" w:cs="Arial" w:eastAsia="Arial" w:hAnsi="Arial"/>
          <w:sz w:val="16"/>
          <w:szCs w:val="16"/>
          <w:color w:val="auto"/>
        </w:rPr>
        <w:t>th</w:t>
      </w:r>
      <w:r>
        <w:rPr>
          <w:rFonts w:ascii="Arial" w:cs="Arial" w:eastAsia="Arial" w:hAnsi="Arial"/>
          <w:sz w:val="20"/>
          <w:szCs w:val="20"/>
          <w:color w:val="auto"/>
        </w:rPr>
        <w:t xml:space="preserve"> day of August 2021, by and between </w:t>
      </w:r>
      <w:r>
        <w:rPr>
          <w:rFonts w:ascii="Arial" w:cs="Arial" w:eastAsia="Arial" w:hAnsi="Arial"/>
          <w:sz w:val="20"/>
          <w:szCs w:val="20"/>
          <w:b w:val="1"/>
          <w:bCs w:val="1"/>
          <w:color w:val="auto"/>
        </w:rPr>
        <w:t>SILICON VALLEY BANK</w:t>
      </w:r>
      <w:r>
        <w:rPr>
          <w:rFonts w:ascii="Arial" w:cs="Arial" w:eastAsia="Arial" w:hAnsi="Arial"/>
          <w:sz w:val="20"/>
          <w:szCs w:val="20"/>
          <w:color w:val="auto"/>
        </w:rPr>
        <w:t xml:space="preserve"> (“Bank”) and </w:t>
      </w:r>
      <w:r>
        <w:rPr>
          <w:rFonts w:ascii="Arial" w:cs="Arial" w:eastAsia="Arial" w:hAnsi="Arial"/>
          <w:sz w:val="20"/>
          <w:szCs w:val="20"/>
          <w:b w:val="1"/>
          <w:bCs w:val="1"/>
          <w:color w:val="auto"/>
        </w:rPr>
        <w:t>TREVI THERAPEUTICS, INC.</w:t>
      </w:r>
      <w:r>
        <w:rPr>
          <w:rFonts w:ascii="Arial" w:cs="Arial" w:eastAsia="Arial" w:hAnsi="Arial"/>
          <w:sz w:val="20"/>
          <w:szCs w:val="20"/>
          <w:color w:val="auto"/>
        </w:rPr>
        <w:t>, a Delaware corporation (“Borrower”) whose address is 195 Church Street, 14</w:t>
      </w:r>
      <w:r>
        <w:rPr>
          <w:rFonts w:ascii="Arial" w:cs="Arial" w:eastAsia="Arial" w:hAnsi="Arial"/>
          <w:sz w:val="16"/>
          <w:szCs w:val="16"/>
          <w:color w:val="auto"/>
        </w:rPr>
        <w:t>th</w:t>
      </w:r>
      <w:r>
        <w:rPr>
          <w:rFonts w:ascii="Arial" w:cs="Arial" w:eastAsia="Arial" w:hAnsi="Arial"/>
          <w:sz w:val="20"/>
          <w:szCs w:val="20"/>
          <w:color w:val="auto"/>
        </w:rPr>
        <w:t xml:space="preserve"> Floor, New Haven, Connecticut 06510.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22" w:lineRule="exact"/>
        <w:rPr>
          <w:sz w:val="20"/>
          <w:szCs w:val="20"/>
          <w:color w:val="auto"/>
        </w:rPr>
      </w:pPr>
    </w:p>
    <w:p>
      <w:pPr>
        <w:jc w:val="both"/>
        <w:ind w:firstLine="872"/>
        <w:spacing w:after="0" w:line="291" w:lineRule="auto"/>
        <w:tabs>
          <w:tab w:leader="none" w:pos="1704"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Bank and Borrower have entered into that certain Loan and Security Agreement dated as of August 13, 2020, as amended by that certain First Amendment to Loan and Security Agreement dated as of July 6, 2021 between Borrower and Bank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(as the same may from time to time be further amended, modified, supplemented or restated, the “Loan Agreement”).</w:t>
      </w:r>
    </w:p>
    <w:p>
      <w:pPr>
        <w:spacing w:after="0" w:line="151" w:lineRule="exact"/>
        <w:rPr>
          <w:rFonts w:ascii="Arial" w:cs="Arial" w:eastAsia="Arial" w:hAnsi="Arial"/>
          <w:sz w:val="18"/>
          <w:szCs w:val="18"/>
          <w:b w:val="1"/>
          <w:bCs w:val="1"/>
          <w:color w:val="auto"/>
        </w:rPr>
      </w:pPr>
    </w:p>
    <w:p>
      <w:pPr>
        <w:ind w:left="1700" w:hanging="828"/>
        <w:spacing w:after="0"/>
        <w:tabs>
          <w:tab w:leader="none" w:pos="170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Bank has extended credit to Borrower for the purposes permitted in the Loan Agreement.</w:t>
      </w:r>
    </w:p>
    <w:p>
      <w:pPr>
        <w:spacing w:after="0" w:line="215" w:lineRule="exact"/>
        <w:rPr>
          <w:rFonts w:ascii="Arial" w:cs="Arial" w:eastAsia="Arial" w:hAnsi="Arial"/>
          <w:sz w:val="20"/>
          <w:szCs w:val="20"/>
          <w:b w:val="1"/>
          <w:bCs w:val="1"/>
          <w:color w:val="auto"/>
        </w:rPr>
      </w:pPr>
    </w:p>
    <w:p>
      <w:pPr>
        <w:ind w:left="1720" w:hanging="848"/>
        <w:spacing w:after="0"/>
        <w:tabs>
          <w:tab w:leader="none" w:pos="172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Borrower has requested that Bank amend the Loan Agreement to make certain revisions to the Loan Agreement as more</w:t>
      </w:r>
    </w:p>
    <w:p>
      <w:pPr>
        <w:spacing w:after="0" w:line="6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fully set forth herein.</w:t>
      </w:r>
    </w:p>
    <w:p>
      <w:pPr>
        <w:spacing w:after="0" w:line="199" w:lineRule="exact"/>
        <w:rPr>
          <w:rFonts w:ascii="Arial" w:cs="Arial" w:eastAsia="Arial" w:hAnsi="Arial"/>
          <w:sz w:val="16"/>
          <w:szCs w:val="16"/>
          <w:b w:val="1"/>
          <w:bCs w:val="1"/>
          <w:color w:val="auto"/>
        </w:rPr>
      </w:pPr>
    </w:p>
    <w:p>
      <w:pPr>
        <w:ind w:firstLine="872"/>
        <w:spacing w:after="0" w:line="260" w:lineRule="auto"/>
        <w:tabs>
          <w:tab w:leader="none" w:pos="1704"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6"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 adequacy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hereby acknowledged, and intending to be legally bound, the parties hereto agree as follows:</w:t>
      </w:r>
    </w:p>
    <w:p>
      <w:pPr>
        <w:spacing w:after="0" w:line="177" w:lineRule="exact"/>
        <w:rPr>
          <w:sz w:val="20"/>
          <w:szCs w:val="20"/>
          <w:color w:val="auto"/>
        </w:rPr>
      </w:pPr>
    </w:p>
    <w:p>
      <w:pPr>
        <w:ind w:left="1780" w:hanging="809"/>
        <w:spacing w:after="0"/>
        <w:tabs>
          <w:tab w:leader="none" w:pos="1780" w:val="left"/>
        </w:tabs>
        <w:numPr>
          <w:ilvl w:val="0"/>
          <w:numId w:val="52"/>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w:t>
      </w:r>
    </w:p>
    <w:p>
      <w:pPr>
        <w:spacing w:after="0" w:line="33" w:lineRule="exact"/>
        <w:rPr>
          <w:rFonts w:ascii="Arial" w:cs="Arial" w:eastAsia="Arial" w:hAnsi="Arial"/>
          <w:sz w:val="19"/>
          <w:szCs w:val="19"/>
          <w:b w:val="1"/>
          <w:bCs w:val="1"/>
          <w:color w:val="auto"/>
        </w:rPr>
      </w:pPr>
    </w:p>
    <w:p>
      <w:pPr>
        <w:ind w:left="120"/>
        <w:spacing w:after="0"/>
        <w:rPr>
          <w:rFonts w:ascii="Arial" w:cs="Arial" w:eastAsia="Arial" w:hAnsi="Arial"/>
          <w:sz w:val="19"/>
          <w:szCs w:val="19"/>
          <w:b w:val="1"/>
          <w:bCs w:val="1"/>
          <w:color w:val="auto"/>
        </w:rPr>
      </w:pPr>
      <w:r>
        <w:rPr>
          <w:rFonts w:ascii="Arial" w:cs="Arial" w:eastAsia="Arial" w:hAnsi="Arial"/>
          <w:sz w:val="20"/>
          <w:szCs w:val="20"/>
          <w:color w:val="auto"/>
        </w:rPr>
        <w:t>Loan Agreement.</w:t>
      </w:r>
    </w:p>
    <w:p>
      <w:pPr>
        <w:spacing w:after="0" w:line="207" w:lineRule="exact"/>
        <w:rPr>
          <w:rFonts w:ascii="Arial" w:cs="Arial" w:eastAsia="Arial" w:hAnsi="Arial"/>
          <w:sz w:val="19"/>
          <w:szCs w:val="19"/>
          <w:b w:val="1"/>
          <w:bCs w:val="1"/>
          <w:color w:val="auto"/>
        </w:rPr>
      </w:pPr>
    </w:p>
    <w:p>
      <w:pPr>
        <w:ind w:left="1780" w:hanging="809"/>
        <w:spacing w:after="0"/>
        <w:tabs>
          <w:tab w:leader="none" w:pos="1780" w:val="left"/>
        </w:tabs>
        <w:numPr>
          <w:ilvl w:val="0"/>
          <w:numId w:val="52"/>
        </w:numPr>
        <w:rPr>
          <w:rFonts w:ascii="Arial" w:cs="Arial" w:eastAsia="Arial" w:hAnsi="Arial"/>
          <w:sz w:val="22"/>
          <w:szCs w:val="22"/>
          <w:b w:val="1"/>
          <w:bCs w:val="1"/>
          <w:color w:val="auto"/>
        </w:rPr>
      </w:pPr>
      <w:r>
        <w:rPr>
          <w:rFonts w:ascii="Arial" w:cs="Arial" w:eastAsia="Arial" w:hAnsi="Arial"/>
          <w:sz w:val="20"/>
          <w:szCs w:val="20"/>
          <w:b w:val="1"/>
          <w:bCs w:val="1"/>
          <w:color w:val="auto"/>
        </w:rPr>
        <w:t>Amendments to Loan Agreement.</w:t>
      </w:r>
    </w:p>
    <w:p>
      <w:pPr>
        <w:spacing w:after="0" w:line="314" w:lineRule="exact"/>
        <w:rPr>
          <w:sz w:val="20"/>
          <w:szCs w:val="20"/>
          <w:color w:val="auto"/>
        </w:rPr>
      </w:pPr>
    </w:p>
    <w:p>
      <w:pPr>
        <w:ind w:right="20" w:firstLine="1727"/>
        <w:spacing w:after="0" w:line="267" w:lineRule="auto"/>
        <w:rPr>
          <w:sz w:val="20"/>
          <w:szCs w:val="20"/>
          <w:color w:val="auto"/>
        </w:rPr>
      </w:pPr>
      <w:r>
        <w:rPr>
          <w:rFonts w:ascii="Arial" w:cs="Arial" w:eastAsia="Arial" w:hAnsi="Arial"/>
          <w:sz w:val="20"/>
          <w:szCs w:val="20"/>
          <w:b w:val="1"/>
          <w:bCs w:val="1"/>
          <w:color w:val="auto"/>
        </w:rPr>
        <w:t xml:space="preserve">2.1 Section 13.1 </w:t>
      </w:r>
      <w:r>
        <w:rPr>
          <w:rFonts w:ascii="Arial" w:cs="Arial" w:eastAsia="Arial" w:hAnsi="Arial"/>
          <w:sz w:val="20"/>
          <w:szCs w:val="20"/>
          <w:color w:val="auto"/>
        </w:rPr>
        <w:t>(</w:t>
      </w:r>
      <w:r>
        <w:rPr>
          <w:rFonts w:ascii="Arial" w:cs="Arial" w:eastAsia="Arial" w:hAnsi="Arial"/>
          <w:sz w:val="20"/>
          <w:szCs w:val="20"/>
          <w:b w:val="1"/>
          <w:bCs w:val="1"/>
          <w:color w:val="auto"/>
        </w:rPr>
        <w:t>Definitions</w:t>
      </w:r>
      <w:r>
        <w:rPr>
          <w:rFonts w:ascii="Arial" w:cs="Arial" w:eastAsia="Arial" w:hAnsi="Arial"/>
          <w:sz w:val="20"/>
          <w:szCs w:val="20"/>
          <w:color w:val="auto"/>
        </w:rPr>
        <w:t>). The following term and its respective definition set forth in Section 13.1 is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in its entirety and replaced with the following:</w:t>
      </w:r>
    </w:p>
    <w:p>
      <w:pPr>
        <w:spacing w:after="0" w:line="163" w:lineRule="exact"/>
        <w:rPr>
          <w:sz w:val="20"/>
          <w:szCs w:val="20"/>
          <w:color w:val="auto"/>
        </w:rPr>
      </w:pPr>
    </w:p>
    <w:p>
      <w:pPr>
        <w:jc w:val="both"/>
        <w:ind w:left="880"/>
        <w:spacing w:after="0" w:line="253" w:lineRule="auto"/>
        <w:rPr>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Designated Deposit Account</w:t>
      </w:r>
      <w:r>
        <w:rPr>
          <w:rFonts w:ascii="Arial" w:cs="Arial" w:eastAsia="Arial" w:hAnsi="Arial"/>
          <w:sz w:val="20"/>
          <w:szCs w:val="20"/>
          <w:color w:val="auto"/>
        </w:rPr>
        <w:t>” is the account number ending 291 (last three digits) maintained by Borrower with Bank (provided, however, if no such account number is included, then the Designated Deposit Account shall be any deposit account of Borrower maintained with Bank as chosen by Bank).”</w:t>
      </w:r>
    </w:p>
    <w:p>
      <w:pPr>
        <w:spacing w:after="0" w:line="191" w:lineRule="exact"/>
        <w:rPr>
          <w:sz w:val="20"/>
          <w:szCs w:val="20"/>
          <w:color w:val="auto"/>
        </w:rPr>
      </w:pPr>
    </w:p>
    <w:p>
      <w:pPr>
        <w:ind w:left="1680" w:hanging="808"/>
        <w:spacing w:after="0"/>
        <w:tabs>
          <w:tab w:leader="none" w:pos="1680" w:val="left"/>
        </w:tabs>
        <w:numPr>
          <w:ilvl w:val="0"/>
          <w:numId w:val="54"/>
        </w:numPr>
        <w:rPr>
          <w:rFonts w:ascii="Arial" w:cs="Arial" w:eastAsia="Arial" w:hAnsi="Arial"/>
          <w:sz w:val="22"/>
          <w:szCs w:val="22"/>
          <w:b w:val="1"/>
          <w:bCs w:val="1"/>
          <w:color w:val="auto"/>
        </w:rPr>
      </w:pPr>
      <w:r>
        <w:rPr>
          <w:rFonts w:ascii="Arial" w:cs="Arial" w:eastAsia="Arial" w:hAnsi="Arial"/>
          <w:sz w:val="20"/>
          <w:szCs w:val="20"/>
          <w:b w:val="1"/>
          <w:bCs w:val="1"/>
          <w:color w:val="auto"/>
        </w:rPr>
        <w:t>Limitation of Amendments.</w:t>
      </w:r>
    </w:p>
    <w:p>
      <w:pPr>
        <w:spacing w:after="0" w:line="193"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The amendments set forth in Section 2, above, are effective for the purposes set forth herein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both"/>
        <w:ind w:firstLine="1727"/>
        <w:spacing w:after="0" w:line="253"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color w:val="auto"/>
        </w:rPr>
        <w:t>This Amendment shall be construed in connection with and as part of the Loan Documents and all terms,</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representations, warranties, covenants and agreements set forth in the Loan Documents, except as herein amended, are hereby ratified and confirmed and shall remain in full force and effect.</w:t>
      </w:r>
    </w:p>
    <w:p>
      <w:pPr>
        <w:spacing w:after="0" w:line="191" w:lineRule="exact"/>
        <w:rPr>
          <w:sz w:val="20"/>
          <w:szCs w:val="20"/>
          <w:color w:val="auto"/>
        </w:rPr>
      </w:pPr>
    </w:p>
    <w:p>
      <w:pPr>
        <w:ind w:right="20" w:firstLine="979"/>
        <w:spacing w:after="0" w:line="243" w:lineRule="auto"/>
        <w:tabs>
          <w:tab w:leader="none" w:pos="1781"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Bank to enter into this Amendment, Borrower hereby represents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warrants to Bank as follows:</w:t>
      </w:r>
    </w:p>
    <w:p>
      <w:pPr>
        <w:spacing w:after="0" w:line="18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Immediately after giving effect to this Amendment (a) the representations and warranties contained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Documents are true and correct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83"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Borrower has the power and authority to execute and deliver this Amendment and to perform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Loan Agreement, as amended by this Amendment;</w:t>
      </w:r>
    </w:p>
    <w:p>
      <w:pPr>
        <w:spacing w:after="0" w:line="163" w:lineRule="exact"/>
        <w:rPr>
          <w:sz w:val="20"/>
          <w:szCs w:val="20"/>
          <w:color w:val="auto"/>
        </w:rPr>
      </w:pPr>
    </w:p>
    <w:p>
      <w:pPr>
        <w:jc w:val="both"/>
        <w:ind w:firstLine="1727"/>
        <w:spacing w:after="0" w:line="293"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The organizational documents of Borrower delivered to Bank on the Effective Date, remain true, accurate</w:t>
      </w:r>
      <w:r>
        <w:rPr>
          <w:rFonts w:ascii="Arial" w:cs="Arial" w:eastAsia="Arial" w:hAnsi="Arial"/>
          <w:sz w:val="19"/>
          <w:szCs w:val="19"/>
          <w:b w:val="1"/>
          <w:bCs w:val="1"/>
          <w:color w:val="auto"/>
        </w:rPr>
        <w:t xml:space="preserve"> </w:t>
      </w:r>
      <w:r>
        <w:rPr>
          <w:rFonts w:ascii="Arial" w:cs="Arial" w:eastAsia="Arial" w:hAnsi="Arial"/>
          <w:sz w:val="19"/>
          <w:szCs w:val="19"/>
          <w:color w:val="auto"/>
        </w:rPr>
        <w:t>and complete and have not been amended, supplemented or restated and are and continue to be in full force and effect;</w:t>
      </w:r>
    </w:p>
    <w:p>
      <w:pPr>
        <w:spacing w:after="0" w:line="142"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 have been duly authorized;</w:t>
      </w:r>
    </w:p>
    <w:p>
      <w:pPr>
        <w:spacing w:after="0" w:line="163"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b w:val="1"/>
          <w:bCs w:val="1"/>
          <w:color w:val="auto"/>
        </w:rPr>
        <w:t xml:space="preserve">4.5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 do not contravene (a) any material Requirement of Law, (b) any material agreement binding on Borrower, (c) any order, judgment or decree of any court or other governmental or public body or authority, or subdivision thereof, binding on Borrower, or (d) the organizational documents of Borrower;</w:t>
      </w:r>
    </w:p>
    <w:p>
      <w:pPr>
        <w:spacing w:after="0" w:line="183"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b w:val="1"/>
          <w:bCs w:val="1"/>
          <w:color w:val="auto"/>
        </w:rPr>
        <w:t xml:space="preserve">4.6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 do not require any action by, filing (other than a financing statement), registration, or qualification with, or Governmental Approval from, any Governmental Authority (except such Governmental Approvals which have already been obtained or made); and</w:t>
      </w:r>
    </w:p>
    <w:p>
      <w:pPr>
        <w:spacing w:after="0" w:line="183"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0"/>
          <w:szCs w:val="20"/>
          <w:b w:val="1"/>
          <w:bCs w:val="1"/>
          <w:color w:val="auto"/>
        </w:rPr>
        <w:t xml:space="preserve">4.7 </w:t>
      </w:r>
      <w:r>
        <w:rPr>
          <w:rFonts w:ascii="Arial" w:cs="Arial" w:eastAsia="Arial" w:hAnsi="Arial"/>
          <w:sz w:val="20"/>
          <w:szCs w:val="20"/>
          <w:color w:val="auto"/>
        </w:rPr>
        <w:t>This Amendment has been duly executed and delivered by Borrower and is the binding obligation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7" w:lineRule="exact"/>
        <w:rPr>
          <w:sz w:val="20"/>
          <w:szCs w:val="20"/>
          <w:color w:val="auto"/>
        </w:rPr>
      </w:pPr>
    </w:p>
    <w:p>
      <w:pPr>
        <w:jc w:val="both"/>
        <w:ind w:firstLine="872"/>
        <w:spacing w:after="0" w:line="256" w:lineRule="auto"/>
        <w:tabs>
          <w:tab w:leader="none" w:pos="1674" w:val="left"/>
        </w:tabs>
        <w:numPr>
          <w:ilvl w:val="0"/>
          <w:numId w:val="56"/>
        </w:numPr>
        <w:rPr>
          <w:rFonts w:ascii="Arial" w:cs="Arial" w:eastAsia="Arial" w:hAnsi="Arial"/>
          <w:sz w:val="21"/>
          <w:szCs w:val="21"/>
          <w:b w:val="1"/>
          <w:bCs w:val="1"/>
          <w:color w:val="auto"/>
        </w:rPr>
      </w:pPr>
      <w:r>
        <w:rPr>
          <w:rFonts w:ascii="Arial" w:cs="Arial" w:eastAsia="Arial" w:hAnsi="Arial"/>
          <w:sz w:val="19"/>
          <w:szCs w:val="19"/>
          <w:b w:val="1"/>
          <w:bCs w:val="1"/>
          <w:color w:val="auto"/>
        </w:rPr>
        <w:t>Ratification of Perfection Certificate</w:t>
      </w:r>
      <w:r>
        <w:rPr>
          <w:rFonts w:ascii="Arial" w:cs="Arial" w:eastAsia="Arial" w:hAnsi="Arial"/>
          <w:sz w:val="19"/>
          <w:szCs w:val="19"/>
          <w:color w:val="auto"/>
        </w:rPr>
        <w:t>. Borrower hereby ratifies, confirms and reaffirms, all and singular,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disclosures contained in a certain Perfection Certificate dated as of August 13, 2020, as amended by Schedule 2 of the First Amendment, and acknowledges, confirms and agrees that the disclosures and information Borrower provided to Bank in such Perfection Certificate, as amended by Schedule 2 of the First Amendment, have not changed, as of the date hereof.</w:t>
      </w:r>
    </w:p>
    <w:p>
      <w:pPr>
        <w:spacing w:after="0" w:line="190" w:lineRule="exact"/>
        <w:rPr>
          <w:rFonts w:ascii="Arial" w:cs="Arial" w:eastAsia="Arial" w:hAnsi="Arial"/>
          <w:sz w:val="21"/>
          <w:szCs w:val="21"/>
          <w:b w:val="1"/>
          <w:bCs w:val="1"/>
          <w:color w:val="auto"/>
        </w:rPr>
      </w:pPr>
    </w:p>
    <w:p>
      <w:pPr>
        <w:jc w:val="both"/>
        <w:ind w:firstLine="979"/>
        <w:spacing w:after="0" w:line="241" w:lineRule="auto"/>
        <w:tabs>
          <w:tab w:leader="none" w:pos="1781" w:val="left"/>
        </w:tabs>
        <w:numPr>
          <w:ilvl w:val="1"/>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Amendment and the Loan Documents represent the entire agreement about this subject matter and</w:t>
      </w:r>
      <w:r>
        <w:rPr>
          <w:rFonts w:ascii="Arial" w:cs="Arial" w:eastAsia="Arial" w:hAnsi="Arial"/>
          <w:sz w:val="20"/>
          <w:szCs w:val="20"/>
          <w:b w:val="1"/>
          <w:bCs w:val="1"/>
          <w:color w:val="auto"/>
        </w:rPr>
        <w:t xml:space="preserve"> </w:t>
      </w:r>
      <w:r>
        <w:rPr>
          <w:rFonts w:ascii="Arial" w:cs="Arial" w:eastAsia="Arial" w:hAnsi="Arial"/>
          <w:sz w:val="20"/>
          <w:szCs w:val="20"/>
          <w:color w:val="auto"/>
        </w:rPr>
        <w:t>supersede prior negotiations or agreements. All prior agreements, understandings, representations, warranties, and negotiations between the parties about the subject matter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of this Amendment and the Loan Documents merge into this Amendment and the Loan Documents.</w:t>
      </w:r>
    </w:p>
    <w:p>
      <w:pPr>
        <w:spacing w:after="0" w:line="223" w:lineRule="exact"/>
        <w:rPr>
          <w:sz w:val="20"/>
          <w:szCs w:val="20"/>
          <w:color w:val="auto"/>
        </w:rPr>
      </w:pPr>
    </w:p>
    <w:p>
      <w:pPr>
        <w:ind w:firstLine="979"/>
        <w:spacing w:after="0" w:line="243" w:lineRule="auto"/>
        <w:tabs>
          <w:tab w:leader="none" w:pos="1781" w:val="left"/>
        </w:tabs>
        <w:numPr>
          <w:ilvl w:val="0"/>
          <w:numId w:val="57"/>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 counterparts taken</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shall be deemed to constitute one and the same instrument.</w:t>
      </w:r>
    </w:p>
    <w:p>
      <w:pPr>
        <w:spacing w:after="0" w:line="199" w:lineRule="exact"/>
        <w:rPr>
          <w:rFonts w:ascii="Arial" w:cs="Arial" w:eastAsia="Arial" w:hAnsi="Arial"/>
          <w:sz w:val="22"/>
          <w:szCs w:val="22"/>
          <w:b w:val="1"/>
          <w:bCs w:val="1"/>
          <w:color w:val="auto"/>
        </w:rPr>
      </w:pPr>
    </w:p>
    <w:p>
      <w:pPr>
        <w:jc w:val="both"/>
        <w:ind w:firstLine="979"/>
        <w:spacing w:after="0" w:line="259" w:lineRule="auto"/>
        <w:tabs>
          <w:tab w:leader="none" w:pos="1781" w:val="left"/>
        </w:tabs>
        <w:numPr>
          <w:ilvl w:val="0"/>
          <w:numId w:val="57"/>
        </w:numPr>
        <w:rPr>
          <w:rFonts w:ascii="Arial" w:cs="Arial" w:eastAsia="Arial" w:hAnsi="Arial"/>
          <w:sz w:val="21"/>
          <w:szCs w:val="21"/>
          <w:b w:val="1"/>
          <w:bCs w:val="1"/>
          <w:color w:val="auto"/>
        </w:rPr>
      </w:pPr>
      <w:r>
        <w:rPr>
          <w:rFonts w:ascii="Arial" w:cs="Arial" w:eastAsia="Arial" w:hAnsi="Arial"/>
          <w:sz w:val="19"/>
          <w:szCs w:val="19"/>
          <w:b w:val="1"/>
          <w:bCs w:val="1"/>
          <w:color w:val="auto"/>
        </w:rPr>
        <w:t>Effectiveness</w:t>
      </w:r>
      <w:r>
        <w:rPr>
          <w:rFonts w:ascii="Arial" w:cs="Arial" w:eastAsia="Arial" w:hAnsi="Arial"/>
          <w:sz w:val="19"/>
          <w:szCs w:val="19"/>
          <w:color w:val="auto"/>
        </w:rPr>
        <w:t>. This Amendment shall be deemed effective upon (a) the due execution and delivery to Bank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by each party hereto and (b) Borrower’s payment to Bank of Bank’s reasonable and documented legal fees and expenses incurred in connection with this Amendment which shall have been invoiced within five (5) days of the date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4" w:name="page85"/>
    <w:bookmarkEnd w:id="84"/>
    <w:p>
      <w:pPr>
        <w:ind w:firstLine="864"/>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caused this Amendment to be duly executed as a sealed instrument under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Commonwealth of Massachusetts and delivered as of the date first written above.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60" w:type="dxa"/>
            <w:vAlign w:val="bottom"/>
            <w:gridSpan w:val="3"/>
          </w:tcPr>
          <w:p>
            <w:pPr>
              <w:spacing w:after="0"/>
              <w:rPr>
                <w:sz w:val="20"/>
                <w:szCs w:val="20"/>
                <w:color w:val="auto"/>
              </w:rPr>
            </w:pPr>
            <w:r>
              <w:rPr>
                <w:rFonts w:ascii="Arial" w:cs="Arial" w:eastAsia="Arial" w:hAnsi="Arial"/>
                <w:sz w:val="20"/>
                <w:szCs w:val="20"/>
                <w:b w:val="1"/>
                <w:bCs w:val="1"/>
                <w:color w:val="auto"/>
              </w:rPr>
              <w:t>BANK</w:t>
            </w:r>
          </w:p>
        </w:tc>
        <w:tc>
          <w:tcPr>
            <w:tcW w:w="4760" w:type="dxa"/>
            <w:vAlign w:val="bottom"/>
            <w:gridSpan w:val="4"/>
          </w:tcPr>
          <w:p>
            <w:pPr>
              <w:ind w:left="940"/>
              <w:spacing w:after="0"/>
              <w:rPr>
                <w:sz w:val="20"/>
                <w:szCs w:val="20"/>
                <w:color w:val="auto"/>
              </w:rPr>
            </w:pPr>
            <w:r>
              <w:rPr>
                <w:rFonts w:ascii="Arial" w:cs="Arial" w:eastAsia="Arial" w:hAnsi="Arial"/>
                <w:sz w:val="20"/>
                <w:szCs w:val="20"/>
                <w:b w:val="1"/>
                <w:bCs w:val="1"/>
                <w:color w:val="auto"/>
              </w:rPr>
              <w:t>BORROWER</w:t>
            </w:r>
          </w:p>
        </w:tc>
      </w:tr>
      <w:tr>
        <w:trPr>
          <w:trHeight w:val="459"/>
        </w:trPr>
        <w:tc>
          <w:tcPr>
            <w:tcW w:w="4260" w:type="dxa"/>
            <w:vAlign w:val="bottom"/>
            <w:gridSpan w:val="3"/>
          </w:tcPr>
          <w:p>
            <w:pPr>
              <w:spacing w:after="0"/>
              <w:rPr>
                <w:sz w:val="20"/>
                <w:szCs w:val="20"/>
                <w:color w:val="auto"/>
              </w:rPr>
            </w:pPr>
            <w:r>
              <w:rPr>
                <w:rFonts w:ascii="Arial" w:cs="Arial" w:eastAsia="Arial" w:hAnsi="Arial"/>
                <w:sz w:val="20"/>
                <w:szCs w:val="20"/>
                <w:color w:val="auto"/>
              </w:rPr>
              <w:t>SILICON VALLEY BANK</w:t>
            </w:r>
          </w:p>
        </w:tc>
        <w:tc>
          <w:tcPr>
            <w:tcW w:w="4760" w:type="dxa"/>
            <w:vAlign w:val="bottom"/>
            <w:gridSpan w:val="4"/>
          </w:tcPr>
          <w:p>
            <w:pPr>
              <w:ind w:left="940"/>
              <w:spacing w:after="0"/>
              <w:rPr>
                <w:sz w:val="20"/>
                <w:szCs w:val="20"/>
                <w:color w:val="auto"/>
              </w:rPr>
            </w:pPr>
            <w:r>
              <w:rPr>
                <w:rFonts w:ascii="Arial" w:cs="Arial" w:eastAsia="Arial" w:hAnsi="Arial"/>
                <w:sz w:val="20"/>
                <w:szCs w:val="20"/>
                <w:color w:val="auto"/>
              </w:rPr>
              <w:t>TREVI THERAPEUTICS, INC.</w:t>
            </w:r>
          </w:p>
        </w:tc>
      </w:tr>
      <w:tr>
        <w:trPr>
          <w:trHeight w:val="752"/>
        </w:trPr>
        <w:tc>
          <w:tcPr>
            <w:tcW w:w="4260" w:type="dxa"/>
            <w:vAlign w:val="bottom"/>
            <w:gridSpan w:val="3"/>
          </w:tcPr>
          <w:p>
            <w:pPr>
              <w:spacing w:after="0"/>
              <w:rPr>
                <w:sz w:val="20"/>
                <w:szCs w:val="20"/>
                <w:color w:val="auto"/>
              </w:rPr>
            </w:pPr>
            <w:r>
              <w:rPr>
                <w:rFonts w:ascii="Arial" w:cs="Arial" w:eastAsia="Arial" w:hAnsi="Arial"/>
                <w:sz w:val="20"/>
                <w:szCs w:val="20"/>
                <w:color w:val="auto"/>
              </w:rPr>
              <w:t>By: _/s/ Lauren Cole ________________</w:t>
            </w:r>
          </w:p>
        </w:tc>
        <w:tc>
          <w:tcPr>
            <w:tcW w:w="4760" w:type="dxa"/>
            <w:vAlign w:val="bottom"/>
            <w:gridSpan w:val="4"/>
          </w:tcPr>
          <w:p>
            <w:pPr>
              <w:ind w:left="940"/>
              <w:spacing w:after="0"/>
              <w:rPr>
                <w:sz w:val="20"/>
                <w:szCs w:val="20"/>
                <w:color w:val="auto"/>
              </w:rPr>
            </w:pPr>
            <w:r>
              <w:rPr>
                <w:rFonts w:ascii="Arial" w:cs="Arial" w:eastAsia="Arial" w:hAnsi="Arial"/>
                <w:sz w:val="20"/>
                <w:szCs w:val="20"/>
                <w:color w:val="auto"/>
                <w:w w:val="90"/>
              </w:rPr>
              <w:t>By: _/s/ Jennifer Good____________________</w:t>
            </w:r>
          </w:p>
        </w:tc>
      </w:tr>
      <w:tr>
        <w:trPr>
          <w:trHeight w:val="20"/>
        </w:trPr>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62"/>
        </w:trPr>
        <w:tc>
          <w:tcPr>
            <w:tcW w:w="4260" w:type="dxa"/>
            <w:vAlign w:val="bottom"/>
            <w:gridSpan w:val="3"/>
          </w:tcPr>
          <w:p>
            <w:pPr>
              <w:spacing w:after="0"/>
              <w:rPr>
                <w:sz w:val="20"/>
                <w:szCs w:val="20"/>
                <w:color w:val="auto"/>
              </w:rPr>
            </w:pPr>
            <w:r>
              <w:rPr>
                <w:rFonts w:ascii="Arial" w:cs="Arial" w:eastAsia="Arial" w:hAnsi="Arial"/>
                <w:sz w:val="20"/>
                <w:szCs w:val="20"/>
                <w:color w:val="auto"/>
              </w:rPr>
              <w:t>Name: Lauren Cole</w:t>
            </w:r>
          </w:p>
        </w:tc>
        <w:tc>
          <w:tcPr>
            <w:tcW w:w="1580" w:type="dxa"/>
            <w:vAlign w:val="bottom"/>
            <w:gridSpan w:val="2"/>
          </w:tcPr>
          <w:p>
            <w:pPr>
              <w:ind w:left="940"/>
              <w:spacing w:after="0"/>
              <w:rPr>
                <w:sz w:val="20"/>
                <w:szCs w:val="20"/>
                <w:color w:val="auto"/>
              </w:rPr>
            </w:pPr>
            <w:r>
              <w:rPr>
                <w:rFonts w:ascii="Arial" w:cs="Arial" w:eastAsia="Arial" w:hAnsi="Arial"/>
                <w:sz w:val="20"/>
                <w:szCs w:val="20"/>
                <w:color w:val="auto"/>
              </w:rPr>
              <w:t>Name:</w:t>
            </w:r>
          </w:p>
        </w:tc>
        <w:tc>
          <w:tcPr>
            <w:tcW w:w="3180" w:type="dxa"/>
            <w:vAlign w:val="bottom"/>
            <w:gridSpan w:val="2"/>
          </w:tcPr>
          <w:p>
            <w:pPr>
              <w:ind w:left="120"/>
              <w:spacing w:after="0"/>
              <w:rPr>
                <w:sz w:val="20"/>
                <w:szCs w:val="20"/>
                <w:color w:val="auto"/>
              </w:rPr>
            </w:pPr>
            <w:r>
              <w:rPr>
                <w:rFonts w:ascii="Arial" w:cs="Arial" w:eastAsia="Arial" w:hAnsi="Arial"/>
                <w:sz w:val="20"/>
                <w:szCs w:val="20"/>
                <w:color w:val="auto"/>
              </w:rPr>
              <w:t>Jennifer Good</w:t>
            </w:r>
          </w:p>
        </w:tc>
      </w:tr>
      <w:tr>
        <w:trPr>
          <w:trHeight w:val="338"/>
        </w:trPr>
        <w:tc>
          <w:tcPr>
            <w:tcW w:w="4260" w:type="dxa"/>
            <w:vAlign w:val="bottom"/>
            <w:gridSpan w:val="3"/>
          </w:tcPr>
          <w:p>
            <w:pPr>
              <w:spacing w:after="0"/>
              <w:rPr>
                <w:sz w:val="20"/>
                <w:szCs w:val="20"/>
                <w:color w:val="auto"/>
              </w:rPr>
            </w:pPr>
            <w:r>
              <w:rPr>
                <w:rFonts w:ascii="Arial" w:cs="Arial" w:eastAsia="Arial" w:hAnsi="Arial"/>
                <w:sz w:val="20"/>
                <w:szCs w:val="20"/>
                <w:color w:val="auto"/>
              </w:rPr>
              <w:t>Title: Director</w:t>
            </w:r>
          </w:p>
        </w:tc>
        <w:tc>
          <w:tcPr>
            <w:tcW w:w="1580" w:type="dxa"/>
            <w:vAlign w:val="bottom"/>
            <w:gridSpan w:val="2"/>
          </w:tcPr>
          <w:p>
            <w:pPr>
              <w:ind w:left="940"/>
              <w:spacing w:after="0"/>
              <w:rPr>
                <w:sz w:val="20"/>
                <w:szCs w:val="20"/>
                <w:color w:val="auto"/>
              </w:rPr>
            </w:pPr>
            <w:r>
              <w:rPr>
                <w:rFonts w:ascii="Arial" w:cs="Arial" w:eastAsia="Arial" w:hAnsi="Arial"/>
                <w:sz w:val="20"/>
                <w:szCs w:val="20"/>
                <w:color w:val="auto"/>
              </w:rPr>
              <w:t>Title:</w:t>
            </w:r>
          </w:p>
        </w:tc>
        <w:tc>
          <w:tcPr>
            <w:tcW w:w="3180" w:type="dxa"/>
            <w:vAlign w:val="bottom"/>
            <w:gridSpan w:val="2"/>
          </w:tcPr>
          <w:p>
            <w:pPr>
              <w:ind w:left="120"/>
              <w:spacing w:after="0"/>
              <w:rPr>
                <w:sz w:val="20"/>
                <w:szCs w:val="20"/>
                <w:color w:val="auto"/>
              </w:rPr>
            </w:pPr>
            <w:r>
              <w:rPr>
                <w:rFonts w:ascii="Arial" w:cs="Arial" w:eastAsia="Arial" w:hAnsi="Arial"/>
                <w:sz w:val="20"/>
                <w:szCs w:val="20"/>
                <w:color w:val="auto"/>
                <w:w w:val="91"/>
              </w:rPr>
              <w:t>President and Chief Executive Officer</w:t>
            </w:r>
          </w:p>
        </w:tc>
      </w:tr>
    </w:tbl>
    <w:p>
      <w:pPr>
        <w:sectPr>
          <w:pgSz w:w="11900" w:h="16838" w:orient="portrait"/>
          <w:cols w:equalWidth="0" w:num="1">
            <w:col w:w="11220"/>
          </w:cols>
          <w:pgMar w:left="320" w:top="549" w:right="359" w:bottom="1440" w:gutter="0" w:footer="0" w:header="0"/>
        </w:sectPr>
      </w:pPr>
    </w:p>
    <w:bookmarkStart w:id="85" w:name="page86"/>
    <w:bookmarkEnd w:id="8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CERTIFICATION PURSUANT TO RULES 13a-14(a) OR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580" w:val="left"/>
          <w:tab w:leader="none" w:pos="59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86" w:name="page87"/>
    <w:bookmarkEnd w:id="8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CERTIFICATION PURSUANT TO RULES 13a-14(a) OR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Lisa Delfini, certify that:</w:t>
      </w:r>
    </w:p>
    <w:p>
      <w:pPr>
        <w:spacing w:after="0" w:line="225" w:lineRule="exact"/>
        <w:rPr>
          <w:sz w:val="20"/>
          <w:szCs w:val="20"/>
          <w:color w:val="auto"/>
        </w:rPr>
      </w:pPr>
    </w:p>
    <w:p>
      <w:pPr>
        <w:ind w:left="700" w:hanging="18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580" w:val="left"/>
          <w:tab w:leader="none" w:pos="59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Lisa Delfini</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September 30, 2021,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September 30, 2021,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Lisa Delfini</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2"/>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3"/>
    </w:lvl>
  </w:abstractNum>
  <w:abstractNum w:abstractNumId="11">
    <w:nsid w:val="3804823E"/>
    <w:multiLevelType w:val="hybridMultilevel"/>
    <w:lvl w:ilvl="0">
      <w:lvlJc w:val="left"/>
      <w:lvlText w:val="%1."/>
      <w:numFmt w:val="decimal"/>
      <w:start w:val="4"/>
    </w:lvl>
  </w:abstractNum>
  <w:abstractNum w:abstractNumId="12">
    <w:nsid w:val="77465F01"/>
    <w:multiLevelType w:val="hybridMultilevel"/>
    <w:lvl w:ilvl="0">
      <w:lvlJc w:val="left"/>
      <w:lvlText w:val="%1."/>
      <w:numFmt w:val="decimal"/>
      <w:start w:val="5"/>
    </w:lvl>
  </w:abstractNum>
  <w:abstractNum w:abstractNumId="13">
    <w:nsid w:val="7724C67E"/>
    <w:multiLevelType w:val="hybridMultilevel"/>
    <w:lvl w:ilvl="0">
      <w:lvlJc w:val="left"/>
      <w:lvlText w:val="%1."/>
      <w:numFmt w:val="decimal"/>
      <w:start w:val="6"/>
    </w:lvl>
  </w:abstractNum>
  <w:abstractNum w:abstractNumId="14">
    <w:nsid w:val="5C482A97"/>
    <w:multiLevelType w:val="hybridMultilevel"/>
    <w:lvl w:ilvl="0">
      <w:lvlJc w:val="left"/>
      <w:lvlText w:val="%1."/>
      <w:numFmt w:val="decimal"/>
      <w:start w:val="7"/>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8"/>
    </w:lvl>
  </w:abstractNum>
  <w:abstractNum w:abstractNumId="17">
    <w:nsid w:val="51EAD36B"/>
    <w:multiLevelType w:val="hybridMultilevel"/>
    <w:lvl w:ilvl="0">
      <w:lvlJc w:val="left"/>
      <w:lvlText w:val="%1."/>
      <w:numFmt w:val="decimal"/>
      <w:start w:val="9"/>
    </w:lvl>
  </w:abstractNum>
  <w:abstractNum w:abstractNumId="18">
    <w:nsid w:val="2D517796"/>
    <w:multiLevelType w:val="hybridMultilevel"/>
    <w:lvl w:ilvl="0">
      <w:lvlJc w:val="left"/>
      <w:lvlText w:val="%1."/>
      <w:numFmt w:val="decimal"/>
      <w:start w:val="10"/>
    </w:lvl>
  </w:abstractNum>
  <w:abstractNum w:abstractNumId="19">
    <w:nsid w:val="580BD78F"/>
    <w:multiLevelType w:val="hybridMultilevel"/>
    <w:lvl w:ilvl="0">
      <w:lvlJc w:val="left"/>
      <w:lvlText w:val="%1."/>
      <w:numFmt w:val="decimal"/>
      <w:start w:val="11"/>
    </w:lvl>
  </w:abstractNum>
  <w:abstractNum w:abstractNumId="20">
    <w:nsid w:val="153EA438"/>
    <w:multiLevelType w:val="hybridMultilevel"/>
    <w:lvl w:ilvl="0">
      <w:lvlJc w:val="left"/>
      <w:lvlText w:val="%1."/>
      <w:numFmt w:val="decimal"/>
      <w:start w:val="12"/>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decimal"/>
      <w:start w:val="4"/>
    </w:lvl>
  </w:abstractNum>
  <w:abstractNum w:abstractNumId="49">
    <w:nsid w:val="649BB77C"/>
    <w:multiLevelType w:val="hybridMultilevel"/>
    <w:lvl w:ilvl="0">
      <w:lvlJc w:val="left"/>
      <w:lvlText w:val="%1"/>
      <w:numFmt w:val="decimal"/>
      <w:start w:val="104"/>
    </w:lvl>
  </w:abstractNum>
  <w:abstractNum w:abstractNumId="50">
    <w:nsid w:val="275AC794"/>
    <w:multiLevelType w:val="hybridMultilevel"/>
    <w:lvl w:ilvl="0">
      <w:lvlJc w:val="left"/>
      <w:lvlText w:val="%1."/>
      <w:numFmt w:val="upperLetter"/>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ldblquote"/>
      <w:numFmt w:val="bullet"/>
      <w:start w:val="1"/>
    </w:lvl>
  </w:abstractNum>
  <w:abstractNum w:abstractNumId="53">
    <w:nsid w:val="180115BE"/>
    <w:multiLevelType w:val="hybridMultilevel"/>
    <w:lvl w:ilvl="0">
      <w:lvlJc w:val="left"/>
      <w:lvlText w:val="%1."/>
      <w:numFmt w:val="decimal"/>
      <w:start w:val="3"/>
    </w:lvl>
  </w:abstractNum>
  <w:abstractNum w:abstractNumId="54">
    <w:nsid w:val="235BA861"/>
    <w:multiLevelType w:val="hybridMultilevel"/>
    <w:lvl w:ilvl="0">
      <w:lvlJc w:val="left"/>
      <w:lvlText w:val="%1."/>
      <w:numFmt w:val="decimal"/>
      <w:start w:val="4"/>
    </w:lvl>
  </w:abstractNum>
  <w:abstractNum w:abstractNumId="55">
    <w:nsid w:val="47398C89"/>
    <w:multiLevelType w:val="hybridMultilevel"/>
    <w:lvl w:ilvl="0">
      <w:lvlJc w:val="left"/>
      <w:lvlText w:val="%1."/>
      <w:numFmt w:val="decimal"/>
      <w:start w:val="5"/>
    </w:lvl>
    <w:lvl w:ilvl="1">
      <w:lvlJc w:val="left"/>
      <w:lvlText w:val="%2."/>
      <w:numFmt w:val="decimal"/>
      <w:start w:val="6"/>
    </w:lvl>
  </w:abstractNum>
  <w:abstractNum w:abstractNumId="56">
    <w:nsid w:val="354FE9F9"/>
    <w:multiLevelType w:val="hybridMultilevel"/>
    <w:lvl w:ilvl="0">
      <w:lvlJc w:val="left"/>
      <w:lvlText w:val="%1."/>
      <w:numFmt w:val="decimal"/>
      <w:start w:val="7"/>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00" Type="http://schemas.openxmlformats.org/officeDocument/2006/relationships/hyperlink" Target="http://www.sec.gov/Archives/edgar/data/1563880/000119312521288912/d208387dex41.htm" TargetMode="External"/><Relationship Id="rId101" Type="http://schemas.openxmlformats.org/officeDocument/2006/relationships/hyperlink" Target="http://www.sec.gov/Archives/edgar/data/1563880/000119312521288912/d208387dex42.htm" TargetMode="External"/><Relationship Id="rId102" Type="http://schemas.openxmlformats.org/officeDocument/2006/relationships/hyperlink" Target="http://www.sec.gov/Archives/edgar/data/1563880/000119312521288912/d208387dex43.htm" TargetMode="External"/><Relationship Id="rId103" Type="http://schemas.openxmlformats.org/officeDocument/2006/relationships/hyperlink" Target="http://www.sec.gov/Archives/edgar/data/1563880/000119312521301603/d540031dex41.htm" TargetMode="External"/><Relationship Id="rId104" Type="http://schemas.openxmlformats.org/officeDocument/2006/relationships/hyperlink" Target="http://www.sec.gov/Archives/edgar/data/1563880/000119312521301603/d540031dex42.htm" TargetMode="External"/><Relationship Id="rId105" Type="http://schemas.openxmlformats.org/officeDocument/2006/relationships/hyperlink" Target="http://www.sec.gov/Archives/edgar/data/1563880/000156459021035888/trvi-ex991_15.htm" TargetMode="External"/><Relationship Id="rId106" Type="http://schemas.openxmlformats.org/officeDocument/2006/relationships/hyperlink" Target="http://www.sec.gov/Archives/edgar/data/1563880/000119312521288912/d208387dex991.htm" TargetMode="External"/><Relationship Id="rId107" Type="http://schemas.openxmlformats.org/officeDocument/2006/relationships/hyperlink" Target="http://www.sec.gov/Archives/edgar/data/1563880/000119312521288912/d208387dex992.htm" TargetMode="External"/><Relationship Id="rId108" Type="http://schemas.openxmlformats.org/officeDocument/2006/relationships/hyperlink" Target="http://www.sec.gov/Archives/edgar/data/1563880/000119312521301603/d540031dex991.htm" TargetMode="External"/><Relationship Id="rId109" Type="http://schemas.openxmlformats.org/officeDocument/2006/relationships/hyperlink" Target="http://www.sec.gov/Archives/edgar/data/1563880/000119312521301603/d540031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2021-11-10T15:30:08Z</dcterms:created>
  <dcterms:modified xsi:type="dcterms:W3CDTF">2021-11-10T15:30:08Z</dcterms:modified>
</cp:coreProperties>
</file>