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1"/>
        </w:trPr>
        <w:tc>
          <w:tcPr>
            <w:tcW w:w="2060" w:type="dxa"/>
            <w:vAlign w:val="bottom"/>
          </w:tcPr>
          <w:p>
            <w:pPr>
              <w:spacing w:after="0"/>
              <w:rPr>
                <w:sz w:val="24"/>
                <w:szCs w:val="24"/>
                <w:color w:val="auto"/>
              </w:rPr>
            </w:pPr>
          </w:p>
        </w:tc>
        <w:tc>
          <w:tcPr>
            <w:tcW w:w="6440" w:type="dxa"/>
            <w:vAlign w:val="bottom"/>
            <w:gridSpan w:val="4"/>
          </w:tcPr>
          <w:p>
            <w:pPr>
              <w:jc w:val="center"/>
              <w:ind w:left="520"/>
              <w:spacing w:after="0"/>
              <w:rPr>
                <w:sz w:val="20"/>
                <w:szCs w:val="20"/>
                <w:color w:val="auto"/>
              </w:rPr>
            </w:pPr>
            <w:r>
              <w:rPr>
                <w:rFonts w:ascii="Times New Roman" w:cs="Times New Roman" w:eastAsia="Times New Roman" w:hAnsi="Times New Roman"/>
                <w:sz w:val="27"/>
                <w:szCs w:val="27"/>
                <w:b w:val="1"/>
                <w:bCs w:val="1"/>
                <w:color w:val="auto"/>
                <w:w w:val="99"/>
              </w:rPr>
              <w:t>UNITED STATES</w:t>
            </w:r>
          </w:p>
        </w:tc>
      </w:tr>
      <w:tr>
        <w:trPr>
          <w:trHeight w:val="322"/>
        </w:trPr>
        <w:tc>
          <w:tcPr>
            <w:tcW w:w="2060" w:type="dxa"/>
            <w:vAlign w:val="bottom"/>
          </w:tcPr>
          <w:p>
            <w:pPr>
              <w:spacing w:after="0"/>
              <w:rPr>
                <w:sz w:val="24"/>
                <w:szCs w:val="24"/>
                <w:color w:val="auto"/>
              </w:rPr>
            </w:pPr>
          </w:p>
        </w:tc>
        <w:tc>
          <w:tcPr>
            <w:tcW w:w="6440" w:type="dxa"/>
            <w:vAlign w:val="bottom"/>
            <w:gridSpan w:val="4"/>
          </w:tcPr>
          <w:p>
            <w:pPr>
              <w:jc w:val="center"/>
              <w:ind w:left="5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tc>
      </w:tr>
      <w:tr>
        <w:trPr>
          <w:trHeight w:val="238"/>
        </w:trPr>
        <w:tc>
          <w:tcPr>
            <w:tcW w:w="2060" w:type="dxa"/>
            <w:vAlign w:val="bottom"/>
          </w:tcPr>
          <w:p>
            <w:pPr>
              <w:spacing w:after="0"/>
              <w:rPr>
                <w:sz w:val="20"/>
                <w:szCs w:val="20"/>
                <w:color w:val="auto"/>
              </w:rPr>
            </w:pPr>
          </w:p>
        </w:tc>
        <w:tc>
          <w:tcPr>
            <w:tcW w:w="6440" w:type="dxa"/>
            <w:vAlign w:val="bottom"/>
            <w:gridSpan w:val="4"/>
          </w:tcPr>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Washington, D.C. 20549</w:t>
            </w:r>
          </w:p>
        </w:tc>
      </w:tr>
      <w:tr>
        <w:trPr>
          <w:trHeight w:val="122"/>
        </w:trPr>
        <w:tc>
          <w:tcPr>
            <w:tcW w:w="20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349"/>
        </w:trPr>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9"/>
                <w:szCs w:val="29"/>
                <w:b w:val="1"/>
                <w:bCs w:val="1"/>
                <w:color w:val="auto"/>
              </w:rPr>
              <w:t>SCHEDULE 14A</w:t>
            </w:r>
          </w:p>
        </w:tc>
      </w:tr>
      <w:tr>
        <w:trPr>
          <w:trHeight w:val="216"/>
        </w:trPr>
        <w:tc>
          <w:tcPr>
            <w:tcW w:w="2060" w:type="dxa"/>
            <w:vAlign w:val="bottom"/>
          </w:tcPr>
          <w:p>
            <w:pPr>
              <w:spacing w:after="0"/>
              <w:rPr>
                <w:sz w:val="18"/>
                <w:szCs w:val="18"/>
                <w:color w:val="auto"/>
              </w:rPr>
            </w:pPr>
          </w:p>
        </w:tc>
        <w:tc>
          <w:tcPr>
            <w:tcW w:w="6440" w:type="dxa"/>
            <w:vAlign w:val="bottom"/>
            <w:gridSpan w:val="4"/>
          </w:tcPr>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2060" w:type="dxa"/>
            <w:vAlign w:val="bottom"/>
          </w:tcPr>
          <w:p>
            <w:pPr>
              <w:spacing w:after="0"/>
              <w:rPr>
                <w:sz w:val="18"/>
                <w:szCs w:val="18"/>
                <w:color w:val="auto"/>
              </w:rPr>
            </w:pPr>
          </w:p>
        </w:tc>
        <w:tc>
          <w:tcPr>
            <w:tcW w:w="6440" w:type="dxa"/>
            <w:vAlign w:val="bottom"/>
            <w:gridSpan w:val="4"/>
          </w:tcPr>
          <w:p>
            <w:pPr>
              <w:jc w:val="center"/>
              <w:ind w:left="5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2060" w:type="dxa"/>
            <w:vAlign w:val="bottom"/>
          </w:tcPr>
          <w:p>
            <w:pPr>
              <w:spacing w:after="0"/>
              <w:rPr>
                <w:sz w:val="20"/>
                <w:szCs w:val="20"/>
                <w:color w:val="auto"/>
              </w:rPr>
            </w:pPr>
          </w:p>
        </w:tc>
        <w:tc>
          <w:tcPr>
            <w:tcW w:w="6440" w:type="dxa"/>
            <w:vAlign w:val="bottom"/>
            <w:gridSpan w:val="4"/>
          </w:tcPr>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(Amendment No.  )</w:t>
            </w:r>
          </w:p>
        </w:tc>
      </w:tr>
      <w:tr>
        <w:trPr>
          <w:trHeight w:val="122"/>
        </w:trPr>
        <w:tc>
          <w:tcPr>
            <w:tcW w:w="2060" w:type="dxa"/>
            <w:vAlign w:val="bottom"/>
          </w:tcPr>
          <w:p>
            <w:pPr>
              <w:spacing w:after="0"/>
              <w:rPr>
                <w:sz w:val="10"/>
                <w:szCs w:val="10"/>
                <w:color w:val="auto"/>
              </w:rPr>
            </w:pPr>
          </w:p>
        </w:tc>
        <w:tc>
          <w:tcPr>
            <w:tcW w:w="2860" w:type="dxa"/>
            <w:vAlign w:val="bottom"/>
            <w:gridSpan w:val="2"/>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303"/>
        </w:trPr>
        <w:tc>
          <w:tcPr>
            <w:tcW w:w="20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tc>
        <w:tc>
          <w:tcPr>
            <w:tcW w:w="6440" w:type="dxa"/>
            <w:vAlign w:val="bottom"/>
            <w:gridSpan w:val="4"/>
          </w:tcPr>
          <w:p>
            <w:pPr>
              <w:ind w:left="48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4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Check the appropriate box:</w:t>
            </w:r>
          </w:p>
        </w:tc>
        <w:tc>
          <w:tcPr>
            <w:tcW w:w="2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1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0"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23"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500" w:hanging="492"/>
        <w:spacing w:after="0"/>
        <w:tabs>
          <w:tab w:leader="none" w:pos="5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TREVI THERAPEUTICS, INC.</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6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b w:val="1"/>
          <w:bCs w:val="1"/>
          <w:color w:val="auto"/>
        </w:rPr>
        <w:t>(Name of Person(s) Filing Proxy Statement, if other than the Registrant)</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352" w:lineRule="exact"/>
        <w:rPr>
          <w:sz w:val="24"/>
          <w:szCs w:val="24"/>
          <w:color w:val="auto"/>
        </w:rPr>
      </w:pPr>
    </w:p>
    <w:p>
      <w:pPr>
        <w:ind w:left="320" w:hanging="312"/>
        <w:spacing w:after="0"/>
        <w:tabs>
          <w:tab w:leader="none" w:pos="3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31" w:lineRule="exact"/>
        <w:rPr>
          <w:sz w:val="24"/>
          <w:szCs w:val="24"/>
          <w:color w:val="auto"/>
        </w:rPr>
      </w:pPr>
    </w:p>
    <w:p>
      <w:pPr>
        <w:ind w:left="320" w:hanging="312"/>
        <w:spacing w:after="0"/>
        <w:tabs>
          <w:tab w:leader="none" w:pos="3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320" w:hanging="312"/>
        <w:spacing w:after="0"/>
        <w:tabs>
          <w:tab w:leader="none" w:pos="32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500380</wp:posOffset>
            </wp:positionV>
            <wp:extent cx="2168525"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685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195 Church Street, 16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Haven, CT 06510</w:t>
      </w:r>
    </w:p>
    <w:p>
      <w:pPr>
        <w:spacing w:after="0" w:line="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June 3, 2026</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Trevi Therapeutics, Inc. The Annual Meeting is scheduled to be held exclusively online via the Internet as a virtual web conference at www.virtualshareholdermeeting.com/TRVI2026 on Wednesday, June 3, 2026 at 11:00 a.m. Eastern Time.</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Only stockholders who owned common stock at the close of business on April 6, 2026, the record date for the Annual Meeting, can vote at the Annual Meeting or any adjournment or postponement that may take place. At the Annual Meeting, the stockholders will consider and vote on the following matters:</w:t>
      </w:r>
    </w:p>
    <w:p>
      <w:pPr>
        <w:spacing w:after="0" w:line="68" w:lineRule="exact"/>
        <w:rPr>
          <w:sz w:val="20"/>
          <w:szCs w:val="20"/>
          <w:color w:val="auto"/>
        </w:rPr>
      </w:pPr>
    </w:p>
    <w:p>
      <w:pPr>
        <w:ind w:left="680" w:hanging="3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one Class I director to our Board of Directors to serve until the 2029 Annual Meeting of Stockholders;</w:t>
      </w:r>
    </w:p>
    <w:p>
      <w:pPr>
        <w:spacing w:after="0" w:line="117" w:lineRule="exact"/>
        <w:rPr>
          <w:rFonts w:ascii="Times New Roman" w:cs="Times New Roman" w:eastAsia="Times New Roman" w:hAnsi="Times New Roman"/>
          <w:sz w:val="18"/>
          <w:szCs w:val="18"/>
          <w:color w:val="auto"/>
        </w:rPr>
      </w:pPr>
    </w:p>
    <w:p>
      <w:pPr>
        <w:ind w:left="680" w:right="140" w:hanging="372"/>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paid to our named executive officers;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Trevi Therapeutics, Inc. Amended and Restated 2019 Stock Incentive Plan;</w:t>
      </w:r>
    </w:p>
    <w:p>
      <w:pPr>
        <w:spacing w:after="0" w:line="117" w:lineRule="exact"/>
        <w:rPr>
          <w:rFonts w:ascii="Times New Roman" w:cs="Times New Roman" w:eastAsia="Times New Roman" w:hAnsi="Times New Roman"/>
          <w:sz w:val="18"/>
          <w:szCs w:val="18"/>
          <w:color w:val="auto"/>
        </w:rPr>
      </w:pPr>
    </w:p>
    <w:p>
      <w:pPr>
        <w:ind w:left="680" w:right="400" w:hanging="372"/>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Restated Certificate of Incorporation, as amended, to increase the number of authorized shares of common stock from 200,000,000 shares to 400,000,000 shares; and</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properly brought before the Annual Meeting or any adjournment or postponement of the Annual Meeting.</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complete list of registered stockholders as of the close of business on April 6, 2026, the record date for the Annual Meeting, will be available for examination by any stockholder for any purpose germane to the Annual Meeting for a period of ten days ending on the day before the Annual Meeting at www.virtualshareholdermeeting.com/TRVI2026.</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noted above, our Annual Meeting will be a “virtual meeting” of stockholders, which will be conducted exclusively via the Internet. There will not be a physical meeting location and stockholders will not be able to attend the Annual Meeting in person. However, you may attend the Annual Meeting online, vote your shares electronically during the meeting and submit questions during the meeting by visiting www.virtualshareholdermeeting.com/TRVI2026.</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order to attend the Annual Meeting online, vote your shares and submit your questions electronically during the Annual Meeting, you must visit www.virtualshareholdermeeting.com/TRVI2026 on June 3, 2026 at 11:00 a.m. Eastern Time. Further information about how to attend the Annual Meeting online, vote your shares and submit questions is included in the accompanying proxy statement. As outlined in the accompanying proxy statement, the Board of Directors recommends that you vote in favor of the director nominee in proposal one, and in favor of proposals two, three, four and five.</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can find more information, including the nominee for director, in the accompanying proxy statement for the Annual Meeting, which is also available for viewing, printing and downloading at www.proxyvote.com.</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Instead of mailing to our stockholders a printed copy of our proxy materials, including the accompanying proxy statement, the proxy card and our annual report to stockholders for the fiscal year ended December 31, 2025, we provide access to these materials via the Internet. This reduces the amount of paper necessary to produce these materials as well as the costs associated with mailing these materials to all stockholders. Accordingly, on or about April 23, 2026, we plan to mail a Notice of Internet Availability of Proxy Materials, or Notice, to all stockholders of record at the close of business on April 6, 2026, the record date for the Annual Meeting, and we will post our proxy materials on the website referenced in the Notice. As more fully described in the Notice, stockholders may choose to access our proxy materials on the website referred to in the Notice or may request to receive a printed or e-mailed set of our proxy materials. In addition, the Notice and website provide information regarding how you may request to receive proxy materials in printed form by mail, or electronically by email,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or submit a proxy to vote in one of the following ways:</w:t>
      </w:r>
    </w:p>
    <w:p>
      <w:pPr>
        <w:spacing w:after="0" w:line="113" w:lineRule="exact"/>
        <w:rPr>
          <w:sz w:val="20"/>
          <w:szCs w:val="20"/>
          <w:color w:val="auto"/>
        </w:rPr>
      </w:pPr>
    </w:p>
    <w:p>
      <w:pPr>
        <w:ind w:left="680" w:right="60" w:hanging="372"/>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to Vote Over the Internet Prior to the Annual Meeting</w:t>
      </w:r>
      <w:r>
        <w:rPr>
          <w:rFonts w:ascii="Times New Roman" w:cs="Times New Roman" w:eastAsia="Times New Roman" w:hAnsi="Times New Roman"/>
          <w:sz w:val="18"/>
          <w:szCs w:val="18"/>
          <w:color w:val="auto"/>
        </w:rPr>
        <w:t>, by going to www.proxyvote.com to complete an electronic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(have your notice or proxy card in hand when you visit the website) or scanning the QR code on the proxy card with your smartphone. You will be asked to provide the control number from your proxy card. Internet voting is available 24 hours a day, 7 days a week, until 11:59 p.m., Eastern Time, on June 2, 2026;</w:t>
      </w:r>
    </w:p>
    <w:p>
      <w:pPr>
        <w:spacing w:after="0" w:line="68" w:lineRule="exact"/>
        <w:rPr>
          <w:rFonts w:ascii="Times New Roman" w:cs="Times New Roman" w:eastAsia="Times New Roman" w:hAnsi="Times New Roman"/>
          <w:sz w:val="18"/>
          <w:szCs w:val="18"/>
          <w:color w:val="auto"/>
        </w:rPr>
      </w:pPr>
    </w:p>
    <w:p>
      <w:pPr>
        <w:ind w:left="680" w:right="60" w:hanging="372"/>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to Vote Over the Telephone</w:t>
      </w:r>
      <w:r>
        <w:rPr>
          <w:rFonts w:ascii="Times New Roman" w:cs="Times New Roman" w:eastAsia="Times New Roman" w:hAnsi="Times New Roman"/>
          <w:sz w:val="18"/>
          <w:szCs w:val="18"/>
          <w:color w:val="auto"/>
        </w:rPr>
        <w:t>, by calling 1-800-690-6903 and following the instructions. Have your proxy card available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call. You will be asked to provide the control number from your proxy card. Telephone voting is available 24 hours a day, 7 days a week, until 11:59 p.m., Eastern Time, on June 2, 2026;</w:t>
      </w:r>
    </w:p>
    <w:p>
      <w:pPr>
        <w:spacing w:after="0" w:line="62" w:lineRule="exact"/>
        <w:rPr>
          <w:rFonts w:ascii="Times New Roman" w:cs="Times New Roman" w:eastAsia="Times New Roman" w:hAnsi="Times New Roman"/>
          <w:sz w:val="18"/>
          <w:szCs w:val="18"/>
          <w:color w:val="auto"/>
        </w:rPr>
      </w:pPr>
    </w:p>
    <w:p>
      <w:pPr>
        <w:jc w:val="both"/>
        <w:ind w:left="680" w:right="160" w:hanging="372"/>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to Vote Through the Mail</w:t>
      </w:r>
      <w:r>
        <w:rPr>
          <w:rFonts w:ascii="Times New Roman" w:cs="Times New Roman" w:eastAsia="Times New Roman" w:hAnsi="Times New Roman"/>
          <w:sz w:val="18"/>
          <w:szCs w:val="18"/>
          <w:color w:val="auto"/>
        </w:rPr>
        <w:t>, if you received (or requested and received) a printed copy of the proxy materials, by completing,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and dating the proxy card that accompanies this proxy statement and returning it promptly in the postage-prepaid envelope provided or return it to Vote Processing, c/o Broadridge, 51 Mercedes Way, Edgewood, NY 11717. Your completed, signed and dated proxy card must be received by 11:59 p.m., Eastern Time, on June 2, 2026; or</w:t>
      </w:r>
    </w:p>
    <w:p>
      <w:pPr>
        <w:spacing w:after="0" w:line="68" w:lineRule="exact"/>
        <w:rPr>
          <w:rFonts w:ascii="Times New Roman" w:cs="Times New Roman" w:eastAsia="Times New Roman" w:hAnsi="Times New Roman"/>
          <w:sz w:val="18"/>
          <w:szCs w:val="18"/>
          <w:color w:val="auto"/>
        </w:rPr>
      </w:pPr>
    </w:p>
    <w:p>
      <w:pPr>
        <w:ind w:left="680" w:hanging="372"/>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Over the Internet During the Annual Meeting</w:t>
      </w:r>
      <w:r>
        <w:rPr>
          <w:rFonts w:ascii="Times New Roman" w:cs="Times New Roman" w:eastAsia="Times New Roman" w:hAnsi="Times New Roman"/>
          <w:sz w:val="18"/>
          <w:szCs w:val="18"/>
          <w:color w:val="auto"/>
        </w:rPr>
        <w:t>, while virtually attending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www.virtualshareholdermeeting.com/TRVI2026. Have your notice or proxy card in hand when you visit the Annual Meeting website and follow the instructions.</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bank, broker or other nominee, you will receive instructions from the bank, broker or other nominee that you must follow for your shares to be voted.</w:t>
      </w:r>
    </w:p>
    <w:p>
      <w:pPr>
        <w:spacing w:after="0" w:line="54" w:lineRule="exact"/>
        <w:rPr>
          <w:sz w:val="20"/>
          <w:szCs w:val="20"/>
          <w:color w:val="auto"/>
        </w:rPr>
      </w:pPr>
    </w:p>
    <w:p>
      <w:pPr>
        <w:ind w:right="2040"/>
        <w:spacing w:after="0" w:line="407"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take the time to submit your proxy to vote your shares.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77749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L. Good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740" w:type="dxa"/>
            <w:vAlign w:val="bottom"/>
            <w:tcBorders>
              <w:bottom w:val="single" w:sz="8" w:color="0000FF"/>
            </w:tcBorders>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PROXY STATEMENT</w:t>
            </w:r>
          </w:p>
        </w:tc>
        <w:tc>
          <w:tcPr>
            <w:tcW w:w="8900" w:type="dxa"/>
            <w:vAlign w:val="bottom"/>
            <w:tcBorders>
              <w:bottom w:val="single" w:sz="8" w:color="CFF0FC"/>
            </w:tcBorders>
            <w:gridSpan w:val="14"/>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IMPORTANT INFORMATION ABOUT THE ANNUAL MEETING AND VOTING</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820" w:type="dxa"/>
            <w:vAlign w:val="bottom"/>
            <w:tcBorders>
              <w:bottom w:val="single" w:sz="8" w:color="0000FF"/>
            </w:tcBorders>
            <w:gridSpan w:val="1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NO. 1—ELECTION OF ONE CLASS I DIRECTOR</w:t>
            </w:r>
          </w:p>
        </w:tc>
        <w:tc>
          <w:tcPr>
            <w:tcW w:w="5820" w:type="dxa"/>
            <w:vAlign w:val="bottom"/>
            <w:tcBorders>
              <w:bottom w:val="single" w:sz="8" w:color="CFF0FC"/>
            </w:tcBorders>
            <w:gridSpan w:val="7"/>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0160" w:type="dxa"/>
            <w:vAlign w:val="bottom"/>
            <w:tcBorders>
              <w:bottom w:val="single" w:sz="8" w:color="0000FF"/>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PROPOSAL NO. 2—RATIFICATION OF THE APPOINTMENT OF ERNST &amp; YOUNG LLP AS OUR INDEPENDENT REGISTERED</w:t>
            </w:r>
          </w:p>
        </w:tc>
        <w:tc>
          <w:tcPr>
            <w:tcW w:w="480" w:type="dxa"/>
            <w:vAlign w:val="bottom"/>
            <w:gridSpan w:val="3"/>
          </w:tcPr>
          <w:p>
            <w:pPr>
              <w:spacing w:after="0"/>
              <w:rPr>
                <w:sz w:val="15"/>
                <w:szCs w:val="15"/>
                <w:color w:val="auto"/>
              </w:rPr>
            </w:pPr>
          </w:p>
        </w:tc>
        <w:tc>
          <w:tcPr>
            <w:tcW w:w="600" w:type="dxa"/>
            <w:vAlign w:val="bottom"/>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104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 FOR THE FISCAL YEAR ENDING DECEMBER 31, 2026</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24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5"/>
        </w:trPr>
        <w:tc>
          <w:tcPr>
            <w:tcW w:w="10640" w:type="dxa"/>
            <w:vAlign w:val="bottom"/>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NO. 3—ADVISORY VOTE TO APPROVE EXECUTIVE COMPENSATION</w:t>
            </w:r>
          </w:p>
        </w:tc>
        <w:tc>
          <w:tcPr>
            <w:tcW w:w="6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
        </w:trPr>
        <w:tc>
          <w:tcPr>
            <w:tcW w:w="24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4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PROPOSAL NO. 4—APPROVAL OF THE TREVI THERAPEUTICS, INC. AMENDED AND RESTATED 2019 STOCK INCENTIVE PLAN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10320" w:type="dxa"/>
            <w:vAlign w:val="bottom"/>
            <w:tcBorders>
              <w:bottom w:val="single" w:sz="8" w:color="0000FF"/>
            </w:tcBorders>
            <w:gridSpan w:val="1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NO. 5—APPROVAL OF AN AMENDMENT TO THE RESTATED ARTICLES OF INCORPORATION, AS AMENDED, TO</w:t>
            </w:r>
          </w:p>
        </w:tc>
        <w:tc>
          <w:tcPr>
            <w:tcW w:w="320" w:type="dxa"/>
            <w:vAlign w:val="bottom"/>
            <w:tcBorders>
              <w:bottom w:val="single" w:sz="8" w:color="CFF0FC"/>
            </w:tcBorders>
            <w:gridSpan w:val="2"/>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r>
      <w:tr>
        <w:trPr>
          <w:trHeight w:val="196"/>
        </w:trPr>
        <w:tc>
          <w:tcPr>
            <w:tcW w:w="240" w:type="dxa"/>
            <w:vAlign w:val="bottom"/>
            <w:shd w:val="clear" w:color="auto" w:fill="CFF0FC"/>
          </w:tcPr>
          <w:p>
            <w:pPr>
              <w:spacing w:after="0"/>
              <w:rPr>
                <w:sz w:val="17"/>
                <w:szCs w:val="17"/>
                <w:color w:val="auto"/>
              </w:rPr>
            </w:pPr>
          </w:p>
        </w:tc>
        <w:tc>
          <w:tcPr>
            <w:tcW w:w="10400" w:type="dxa"/>
            <w:vAlign w:val="bottom"/>
            <w:gridSpan w:val="19"/>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INCREASE THE NUMBER OF AUTHORIZED SHARES</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CORPORATE GOVERNANCE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2480" w:type="dxa"/>
            <w:vAlign w:val="bottom"/>
            <w:tcBorders>
              <w:bottom w:val="single" w:sz="8" w:color="0000FF"/>
            </w:tcBorders>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8160" w:type="dxa"/>
            <w:vAlign w:val="bottom"/>
            <w:tcBorders>
              <w:bottom w:val="single" w:sz="8" w:color="CFF0FC"/>
            </w:tcBorders>
            <w:gridSpan w:val="11"/>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176"/>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TRANSACTIONS WITH RELATED PERSONS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10640" w:type="dxa"/>
            <w:vAlign w:val="bottom"/>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PRINCIPAL STOCKHOLDERS</w:t>
            </w:r>
          </w:p>
        </w:tc>
        <w:tc>
          <w:tcPr>
            <w:tcW w:w="6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4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r>
      <w:tr>
        <w:trPr>
          <w:trHeight w:val="21"/>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5"/>
        </w:trPr>
        <w:tc>
          <w:tcPr>
            <w:tcW w:w="10640" w:type="dxa"/>
            <w:vAlign w:val="bottom"/>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HOUSEHOLDING</w:t>
            </w:r>
          </w:p>
        </w:tc>
        <w:tc>
          <w:tcPr>
            <w:tcW w:w="6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24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STOCKHOLDER PROPOSALS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50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OTHER MATTERS</w:t>
            </w:r>
          </w:p>
        </w:tc>
        <w:tc>
          <w:tcPr>
            <w:tcW w:w="9140" w:type="dxa"/>
            <w:vAlign w:val="bottom"/>
            <w:tcBorders>
              <w:bottom w:val="single" w:sz="8" w:color="CFF0FC"/>
            </w:tcBorders>
            <w:gridSpan w:val="15"/>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6"/>
        </w:trPr>
        <w:tc>
          <w:tcPr>
            <w:tcW w:w="10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APPENDIX A</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640" w:type="dxa"/>
            <w:vAlign w:val="bottom"/>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APPENDIX B</w:t>
            </w:r>
          </w:p>
        </w:tc>
        <w:tc>
          <w:tcPr>
            <w:tcW w:w="6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1411"/>
        </w:trPr>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CFF0FC"/>
              <w:bottom w:val="single" w:sz="8" w:color="9A9A9A"/>
            </w:tcBorders>
          </w:tcPr>
          <w:p>
            <w:pPr>
              <w:spacing w:after="0"/>
              <w:rPr>
                <w:sz w:val="24"/>
                <w:szCs w:val="24"/>
                <w:color w:val="auto"/>
              </w:rPr>
            </w:pPr>
          </w:p>
        </w:tc>
        <w:tc>
          <w:tcPr>
            <w:tcW w:w="9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42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31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637540</wp:posOffset>
            </wp:positionV>
            <wp:extent cx="2168525" cy="1045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685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195 Church Street, 16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Haven, CT 06510</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203-304-2499</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June 3, 2026</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and the proxy card contain information about the 2026 Annual Meeting of Stockholders of Trevi Therapeutics, Inc., or the Annual Meeting, to be held exclusively online via the Internet as a virtual web conference at www.virtualshareholdermeeting.com/TRVI2026 on Wednesday, June 3, 2026 at 11:00 a.m. Eastern Time. You will be able to attend the Annual Meeting online, vote your shares electronically during the meeting and submit questions during the meeting by visiting www.virtualshareholdermeeting.com/TRVI2026. There will not be a physical meeting location and you will not be able to attend the Annual Meeting in person. Your vote is very important to us. Whether or not you plan to attend the Annual Meeting online, your shares should be represented and voted.</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of Directors of Trevi is using this proxy statement and the proxy card to solicit proxies for use at the Annual Meeting. In this proxy statement, unless expressly stated otherwise or the context otherwise requires, the use of “Trevi,” “our,” “we” or “us” refers to Trevi Therapeutics, Inc. and its wholly owned subsidiary.</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3, 2026:</w:t>
      </w:r>
    </w:p>
    <w:p>
      <w:pPr>
        <w:spacing w:after="0" w:line="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www.proxyvote.com.</w:t>
      </w:r>
    </w:p>
    <w:p>
      <w:pPr>
        <w:spacing w:after="0" w:line="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2025, as filed with the Securities and Exchange Commission, or SEC, except for exhibits, will be furnished without charge to any stockholder upon written request to Trevi Therapeutics, Inc., 195 Church Street, 16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 New Haven, CT 06510. This proxy statement and our Annual Report on Form 10-K for the fiscal year ended December 31, 2025 are also available on the SEC’s website at https://www.sec.gov.</w:t>
      </w:r>
    </w:p>
    <w:p>
      <w:pPr>
        <w:spacing w:after="0" w:line="7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or about April 23, 2026, we plan to mail a Notice of Internet Availability of Proxy Materials, or Notice, to all stockholders of record at the close of business on April 6, 2026, the record date for the Annual Meeting, other than to those stockholders who previously requested electronic or paper delivery of proxy materials. The Notice will direct stockholders to a website where they can access our proxy materials, including this proxy statement, the proxy card and our annual report to stockholders for the fiscal year ended December 31, 2025, and view instructions on how to submit a proxy.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234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our stockholders will consider and vote on the following matters:</w:t>
      </w:r>
    </w:p>
    <w:p>
      <w:pPr>
        <w:spacing w:after="0" w:line="117" w:lineRule="exact"/>
        <w:rPr>
          <w:sz w:val="20"/>
          <w:szCs w:val="20"/>
          <w:color w:val="auto"/>
        </w:rPr>
      </w:pPr>
    </w:p>
    <w:p>
      <w:pPr>
        <w:ind w:left="680" w:hanging="3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one Class I director to our Board of Directors to serve until the 2029 Annual Meeting of Stockholders;</w:t>
      </w:r>
    </w:p>
    <w:p>
      <w:pPr>
        <w:spacing w:after="0" w:line="117" w:lineRule="exact"/>
        <w:rPr>
          <w:rFonts w:ascii="Times New Roman" w:cs="Times New Roman" w:eastAsia="Times New Roman" w:hAnsi="Times New Roman"/>
          <w:sz w:val="18"/>
          <w:szCs w:val="18"/>
          <w:color w:val="auto"/>
        </w:rPr>
      </w:pPr>
    </w:p>
    <w:p>
      <w:pPr>
        <w:ind w:left="680" w:right="120" w:hanging="3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paid to our named executive officers;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Trevi Therapeutics, Inc. Amended and Restated 2019 Stock Incentive Plan;</w:t>
      </w:r>
    </w:p>
    <w:p>
      <w:pPr>
        <w:spacing w:after="0" w:line="117" w:lineRule="exact"/>
        <w:rPr>
          <w:rFonts w:ascii="Times New Roman" w:cs="Times New Roman" w:eastAsia="Times New Roman" w:hAnsi="Times New Roman"/>
          <w:sz w:val="18"/>
          <w:szCs w:val="18"/>
          <w:color w:val="auto"/>
        </w:rPr>
      </w:pPr>
    </w:p>
    <w:p>
      <w:pPr>
        <w:ind w:left="680" w:right="380" w:hanging="3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Restated Certificate of Incorporation, as amended, to increase the number of authorized shares of common stock from 200,000,000 shares to 400,000,000 shares; and</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properly brought before the Annual Meeting or any adjournment or postponement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Annual Meeting other than the first five items noted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one nominee to serve as a Class I director on our Board of Directors for a three-year term; and</w:t>
      </w:r>
    </w:p>
    <w:p>
      <w:pPr>
        <w:spacing w:after="0" w:line="117" w:lineRule="exact"/>
        <w:rPr>
          <w:sz w:val="20"/>
          <w:szCs w:val="20"/>
          <w:color w:val="auto"/>
        </w:rPr>
      </w:pPr>
    </w:p>
    <w:p>
      <w:pPr>
        <w:ind w:right="640" w:firstLine="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 and</w:t>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compensation paid to our named executive officers; and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Trevi Therapeutics, Inc. Amended and Restated 2019 Stock Incentive Plan; and</w:t>
      </w:r>
    </w:p>
    <w:p>
      <w:pPr>
        <w:spacing w:after="0" w:line="117" w:lineRule="exact"/>
        <w:rPr>
          <w:sz w:val="20"/>
          <w:szCs w:val="20"/>
          <w:color w:val="auto"/>
        </w:rPr>
      </w:pPr>
    </w:p>
    <w:p>
      <w:pPr>
        <w:ind w:right="120" w:firstLine="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Restated Certificate of Incorporation, as amended, to increase the number of authorized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from 200,000,000 shares to 400,000,000 shares.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plan to mail the Notice regarding our proxy materials, including this proxy statement, the proxy card and our annual report to stockholders for the fiscal year ended December 31, 2025, to stockholders of record on or about April 23, 2026. Our proxy materials will be available for viewing, printing and downloading on the Internet at www.proxyvote.com.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year’s Annual Meeting will be conducted as a virtual meeting of stockholders, which will be held exclusively online via the Internet as a virtual web conference. We believe that hosting a virtual meeting will facilitate stockholder attendance and participation at our Annual Meeting by enabling stockholders to participate from any location around the world. You will be able to attend the Annual Meeting online, vote your shares online during the Annual Meeting and submit your questions online during the Annual Meeting by visiting www.virtualshareholdermeeting.com/TRVI2026. There will not be a physical meeting location and you will not be able to attend the Annual Meeting in person. We have designed the virtual Annual Meeting to provide the same rights and opportunities to participate as stockholders have at an in-person meeting, including the right to vote and ask questions through the virtual meeting platform.</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Annual Meeting will start at 11:00 a.m. Eastern Time, on June 3, 2026. Please note that you can only access the Annual Meeting via www.virtualshareholdermeeting.com/TRVI2026 beginning at 10:45 a.m. Eastern Time, on June 3, 2026. Please be sure to follow the instructions found on your proxy card and/or notice. If you encounter any difficulties accessing the Annual Meeting during check-in or at the time of the Annual Meeting, please contact the technical support phone numbers at www.virtualshareholdermeeting.com/TRVI2026.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Only stockholders who owned our common stock at the close of business on the record date of April 6, 2026 are entitled to receive notice of the Annual Meeting and to vote the shares of our common stock that they held on that date. As of April 6, 2026, there were 128,586,792 shares of common stock issued and outstanding. Each share of common stock is entitled to one vote on each matter properly brought before the Annual Meeting.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“stockholder of record” and a beneficial owner of shares held in “street name”</w:t>
      </w:r>
    </w:p>
    <w:p>
      <w:pPr>
        <w:spacing w:after="0" w:line="11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then you are considered a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record” of those shares. In this case, the Notice has been sent to you directly by us. You may submit a proxy to vote your shares prior to the Annual Meeting by following the instructions contained on such Notice.</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by a bank, broker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those shares, which are held in “street name.” In this case, the Notice has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you can vote your shares in one of two ways: either by submitting a proxy or online during the Annual Meeting. If you choose to submit a proxy to vote, you may do so by telephone, via the Internet or by mail. Each of these methods is explained below. </w:t>
      </w:r>
      <w:r>
        <w:rPr>
          <w:rFonts w:ascii="Times New Roman" w:cs="Times New Roman" w:eastAsia="Times New Roman" w:hAnsi="Times New Roman"/>
          <w:sz w:val="18"/>
          <w:szCs w:val="18"/>
          <w:b w:val="1"/>
          <w:bCs w:val="1"/>
          <w:color w:val="auto"/>
        </w:rPr>
        <w:t>If you hold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of our common stock in multiple accounts, you should vote or submit a proxy to vote your shares as described in each set of proxy materials you receive.</w:t>
      </w:r>
    </w:p>
    <w:p>
      <w:pPr>
        <w:spacing w:after="0" w:line="70" w:lineRule="exact"/>
        <w:rPr>
          <w:sz w:val="20"/>
          <w:szCs w:val="20"/>
          <w:color w:val="auto"/>
        </w:rPr>
      </w:pPr>
    </w:p>
    <w:p>
      <w:pPr>
        <w:ind w:left="680" w:right="160" w:hanging="372"/>
        <w:spacing w:after="0" w:line="28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submit a proxy to vote by calling 1-800-690-6903 and following the instructions. Have your proxy card available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call.</w:t>
      </w:r>
    </w:p>
    <w:p>
      <w:pPr>
        <w:spacing w:after="0" w:line="50" w:lineRule="exact"/>
        <w:rPr>
          <w:rFonts w:ascii="Times New Roman" w:cs="Times New Roman" w:eastAsia="Times New Roman" w:hAnsi="Times New Roman"/>
          <w:sz w:val="18"/>
          <w:szCs w:val="18"/>
          <w:color w:val="auto"/>
        </w:rPr>
      </w:pPr>
    </w:p>
    <w:p>
      <w:pPr>
        <w:jc w:val="both"/>
        <w:ind w:left="680" w:right="220" w:hanging="372"/>
        <w:spacing w:after="0" w:line="26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 Prior to the Annual Meeting</w:t>
      </w:r>
      <w:r>
        <w:rPr>
          <w:rFonts w:ascii="Times New Roman" w:cs="Times New Roman" w:eastAsia="Times New Roman" w:hAnsi="Times New Roman"/>
          <w:sz w:val="18"/>
          <w:szCs w:val="18"/>
          <w:color w:val="auto"/>
        </w:rPr>
        <w:t>. You may submit a proxy to vote via the Internet by going to www.proxyvote.com to complete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proxy card (have your notice or proxy card in hand when you visit the website) or scanning the QR code on the proxy card with your smartphone. You will be asked to provide the control number from your proxy card.</w:t>
      </w:r>
    </w:p>
    <w:p>
      <w:pPr>
        <w:spacing w:after="0" w:line="65" w:lineRule="exact"/>
        <w:rPr>
          <w:rFonts w:ascii="Times New Roman" w:cs="Times New Roman" w:eastAsia="Times New Roman" w:hAnsi="Times New Roman"/>
          <w:sz w:val="18"/>
          <w:szCs w:val="18"/>
          <w:color w:val="auto"/>
        </w:rPr>
      </w:pPr>
    </w:p>
    <w:p>
      <w:pPr>
        <w:ind w:left="680" w:right="260" w:hanging="372"/>
        <w:spacing w:after="0" w:line="26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received (or requested and received) a printed copy of the proxy materials, you may submit a proxy to vote by completing,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signing and dating the proxy card that accompanies this proxy statement and returning it promptly in the postage-prepaid envelope provided or return it to Vote Processing, c/o Broadridge, 51 Mercedes Way, Edgewood, NY 11717.</w:t>
      </w:r>
    </w:p>
    <w:p>
      <w:pPr>
        <w:spacing w:after="0" w:line="65" w:lineRule="exact"/>
        <w:rPr>
          <w:rFonts w:ascii="Times New Roman" w:cs="Times New Roman" w:eastAsia="Times New Roman" w:hAnsi="Times New Roman"/>
          <w:sz w:val="18"/>
          <w:szCs w:val="18"/>
          <w:color w:val="auto"/>
        </w:rPr>
      </w:pPr>
    </w:p>
    <w:p>
      <w:pPr>
        <w:ind w:left="680" w:right="20" w:hanging="372"/>
        <w:spacing w:after="0" w:line="25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 During the Annual Meeting</w:t>
      </w:r>
      <w:r>
        <w:rPr>
          <w:rFonts w:ascii="Times New Roman" w:cs="Times New Roman" w:eastAsia="Times New Roman" w:hAnsi="Times New Roman"/>
          <w:sz w:val="18"/>
          <w:szCs w:val="18"/>
          <w:color w:val="auto"/>
        </w:rPr>
        <w:t>. You may vote your shares online while virtually attending the Annual Meeting by visiting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www.virtualshareholdermeeting.com/TRVI2026. If you submit a proxy to vote prior to the Annual Meeting and choose to attend the Annual Meeting online, there is no need to vote again during the Annual Meeting unless you wish to change your vote. Even if you plan to attend the Annual Meeting online, we urge you to submit a proxy to vote your shares in advance of the Annual Meeting so that if you should become unable to attend the Annual Meeting your shares will be voted as directed by you.</w:t>
      </w:r>
    </w:p>
    <w:p>
      <w:pPr>
        <w:spacing w:after="0" w:line="7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Stockholders of record will be able to submit a proxy to vote by telephone or the Internet prior to the Annual Meeting up until 11:59 p.m. Eastern Time on June 2, 2026, and mailed proxy cards must be received by June 2, 2026 in order to be counted at the Annual Meeting. If the Annual Meeting is adjourned or postponed, these deadlines may be extended.</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you can submit instructions to vote those shares by following the instructions contained on the voting instruction card provided to you by the bank, broker or other nominee that holds your shares. If you wish to vote online during the Annual Meeting, you must demonstrate proof of your beneficial ownership to virtually attend the Annual Meeting and obtain a legal proxy from the organization that holds your shares. The voting deadlines and availability of telephone and Internet submission of proxies for beneficial owners of shares held in “street name” will depend on the voting processes of the organization that holds your shares. Therefore, we urge you to carefully review and follow the voting instruction card and any other materials that you receive from that organization.</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Shares Held in “Street Name” and “Broker Non-Votes”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your shares are held in “street name,” your bank, broker or other nominee may under certain circumstances vote your shares even if you do not return voting instructions. Stock exchange rules permit brokers to vote customers’ shares on certain proposals for which they have received no voting instructions. Stock exchange rules, however, prohibit brokers from voting uninstructed shares in the case of the election of directors and certain other matters. Of the matters to be voted on at the Annual Meeting, we expect the only proposals on which your bank, broker or other nominee will have discretionary voting authority to vote your shares in the absence of voting instructions will be the proposal for the ratification of the appointment of Ernst &amp; Young LLP as our independent registered public accounting firm for the fiscal year ending December 31, 2026 and the proposal for approval of an amendment to our Restated Certificate of Incorporation, as amended, to increase the number of authorized shares of common stock from 200,000,000 shares to 400,000,000 shares.</w:t>
      </w:r>
    </w:p>
    <w:p>
      <w:pPr>
        <w:spacing w:after="0" w:line="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“Broker non-votes” occur when your bank, broker or other nominee submits a proxy for your shares but does not indicate a vote for a particular proposal because the bank, broker or other nominee does not have or did not exercise the authority to vote on that proposal and has not received voting instructions from you.</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Our amended and restated bylaws provide that a quorum will exist if stockholders holding a majority in voting power of the shares of stock issued and outstanding and entitled to vote are present at the meeting in person, by means of remote communication in a manner authorized by the Board of Directors in its sole discretion, or by proxy. If a quorum is not present, the meeting may be adjourned until a quorum is obtained.</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a quorum exists, we will count as present any shares that are represented by proxy submitted over the Internet, by telephone or by completing and submitting a proxy by mail, or that are present virtually during the Annual Meeting. Further, for purposes of establishing a quorum, we will count as present shares that a stockholder holds even if the stockholder votes to withhold or abstain or only votes on one of the proposals. In addition, we will count as present shares that are “broker non-votes.”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one nominee for director receiving the highest number of votes “for” election will be elected as a Class I director. This is called a plurality. You may vote “for” the nominee or “withhold” your vote for the nominee. Shares held in “street name” by your bank, broker or other nominee who indicate on their proxies that they do not have authority to vote the shares on this proposal will not be counted as votes “for” or “withhold” from any director nominee and will be treated as “broker non-votes.” Votes that are withheld and “broker non-votes” will not be included in the vote tally for the election of directors and will not affect the results of the vote.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Ratification of Appointment of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requires the affirmative vote of a majority of the shares of common stock present or represented by proxy and voted “for” or “against” such matter. Abstentions will have no effect on the outcome of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Advisory Vote to Approve Executive Compensation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approval on an advisory basis, of the compensation paid to our named executive officers, requires the affirmative vote of a majority of the shares of common stock present or represented by proxy and voted “for” or “against” such matter. Abstentions and “broker non-votes” will have no effect on the outcome of this proposal. Proposal No. 3 is non-binding. Because this vote is advisory and not binding on us or our Board of Directors in any way, our Board of Directors may decide that it is in our and our stockholders’ best interests to compensate our named executive officers in an amount or manner that differs from that which is approved by our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Approval of the Trevi Therapeutics, Inc. Amended and Restated 2019 Stock Incentive Plan</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approval the Trevi Therapeutics, Inc. Amended and Restated 2019 Stock Incentive Plan requires the affirmative vote of a majority of the shares of common stock present or represented by proxy and voted “for” or “against” such matter. Abstentions and “broker non-votes” will have no effect on the outcome of this proposal.</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5 – Approval of an Amendment to our Restated Certificate of Incorporation, as Amended, to Increase the Number of Authorized Shares of Common Stock</w:t>
      </w:r>
    </w:p>
    <w:p>
      <w:pPr>
        <w:spacing w:after="0" w:line="5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approval of an amendment to our Restated Certificate of Incorporation, as amended, to increase the number of authorized shares of common stock from 200,000,000 shares to 400,000,000 shares, requires the affirmative vote of a majority of the shares of common stock present or represented by proxy and voted “for” or “against” such matter. Abstentions and “broker non-votes” will have no effect on the outcome of this proposal.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Method of Counting Votes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at the Annual Meeting on each matter to come before the Annual Meeting, including the election of directors, for each share held by such stockholder as of the record date. Votes cast online during the Annual Meeting or represented by proxy submitted by mail, via the Internet or by telephone prior to the Annual Meeting will be tabulated by the inspector of election appointed for the Annual Meeting, who will also determine whether a quorum is present.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 Changing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 change your vote by following one of the below procedures:</w:t>
      </w:r>
    </w:p>
    <w:p>
      <w:pPr>
        <w:spacing w:after="0" w:line="117" w:lineRule="exact"/>
        <w:rPr>
          <w:sz w:val="20"/>
          <w:szCs w:val="20"/>
          <w:color w:val="auto"/>
        </w:rPr>
      </w:pPr>
    </w:p>
    <w:p>
      <w:pPr>
        <w:ind w:left="680" w:right="140" w:hanging="372"/>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sign and date a new proxy card and send it by mail in the postage-prepaid envelope provided to you. The proxy card must be received no later than June 2, 2026 at 11:59 p.m. Only your latest dated proxy card will be counted.</w:t>
      </w:r>
    </w:p>
    <w:p>
      <w:pPr>
        <w:spacing w:after="0" w:line="51" w:lineRule="exact"/>
        <w:rPr>
          <w:rFonts w:ascii="Times New Roman" w:cs="Times New Roman" w:eastAsia="Times New Roman" w:hAnsi="Times New Roman"/>
          <w:sz w:val="18"/>
          <w:szCs w:val="18"/>
          <w:color w:val="auto"/>
        </w:rPr>
      </w:pPr>
    </w:p>
    <w:p>
      <w:pPr>
        <w:jc w:val="both"/>
        <w:ind w:left="680" w:right="100" w:hanging="372"/>
        <w:spacing w:after="0" w:line="26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 a proxy to vote over the telephone or via the Internet as instructed above under “How to Vote Your Shares </w:t>
      </w:r>
      <w:r>
        <w:rPr>
          <w:rFonts w:ascii="Times New Roman" w:cs="Times New Roman" w:eastAsia="Times New Roman" w:hAnsi="Times New Roman"/>
          <w:sz w:val="18"/>
          <w:szCs w:val="18"/>
          <w:i w:val="1"/>
          <w:iCs w:val="1"/>
          <w:color w:val="auto"/>
        </w:rPr>
        <w:t>- By Telephone</w:t>
      </w:r>
      <w:r>
        <w:rPr>
          <w:rFonts w:ascii="Times New Roman" w:cs="Times New Roman" w:eastAsia="Times New Roman" w:hAnsi="Times New Roman"/>
          <w:sz w:val="18"/>
          <w:szCs w:val="18"/>
          <w:color w:val="auto"/>
        </w:rPr>
        <w:t xml:space="preserve">” and “How to Vote Your Shares </w:t>
      </w:r>
      <w:r>
        <w:rPr>
          <w:rFonts w:ascii="Times New Roman" w:cs="Times New Roman" w:eastAsia="Times New Roman" w:hAnsi="Times New Roman"/>
          <w:sz w:val="18"/>
          <w:szCs w:val="18"/>
          <w:i w:val="1"/>
          <w:iCs w:val="1"/>
          <w:color w:val="auto"/>
        </w:rPr>
        <w:t>- Via the Internet Prior to the Annual Meeting</w:t>
      </w:r>
      <w:r>
        <w:rPr>
          <w:rFonts w:ascii="Times New Roman" w:cs="Times New Roman" w:eastAsia="Times New Roman" w:hAnsi="Times New Roman"/>
          <w:sz w:val="18"/>
          <w:szCs w:val="18"/>
          <w:color w:val="auto"/>
        </w:rPr>
        <w:t>.” Only your latest telephone or Internet proxy is counted. You may change your vote by telephone or via the Internet up until 11:59 p.m. Eastern Time on June 2, 2026.</w:t>
      </w:r>
    </w:p>
    <w:p>
      <w:pPr>
        <w:spacing w:after="0" w:line="65" w:lineRule="exact"/>
        <w:rPr>
          <w:rFonts w:ascii="Times New Roman" w:cs="Times New Roman" w:eastAsia="Times New Roman" w:hAnsi="Times New Roman"/>
          <w:sz w:val="18"/>
          <w:szCs w:val="18"/>
          <w:color w:val="auto"/>
        </w:rPr>
      </w:pPr>
    </w:p>
    <w:p>
      <w:pPr>
        <w:jc w:val="both"/>
        <w:ind w:left="680" w:right="300" w:hanging="372"/>
        <w:spacing w:after="0" w:line="26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Virtually attend the Annual Meeting online and vote online as instructed above under “How to Vote Your Shares - </w:t>
      </w:r>
      <w:r>
        <w:rPr>
          <w:rFonts w:ascii="Times New Roman" w:cs="Times New Roman" w:eastAsia="Times New Roman" w:hAnsi="Times New Roman"/>
          <w:sz w:val="18"/>
          <w:szCs w:val="18"/>
          <w:i w:val="1"/>
          <w:iCs w:val="1"/>
          <w:color w:val="auto"/>
        </w:rPr>
        <w:t>Via the Internet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which will have the effect of revoking any previously submitted proxy. Attending the Annual Meeting alone will not revoke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proxy submitted via the Internet, by telephone or by mail, as the case may be.</w:t>
      </w:r>
    </w:p>
    <w:p>
      <w:pPr>
        <w:spacing w:after="0" w:line="6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corporate secretary written notice at our principal executive offices before the Annual Meeting that you want to revoke your proxy.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with a later date by contacting your bank, broker or other nominee holding your shares. You may also vote via the Internet during the Annual Meeting, which will have the effect of revoking any previously submitted voting instructions, if you demonstrate proof of your beneficial ownership to virtually attend the Annual Meeting and obtain a legal proxy from the organization that holds your shares as described in the “How to Vote Your Shares” section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attendance online at the Annual Meeting will not automatically revoke your proxy.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Proxy Solicitation</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will bear the costs of soliciting proxies. In addition to solicitations by mail, our directors, officers and regular employees, without additional remuneration, may solicit proxies by telephone, facsimile, email, personal interviews and other means.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Questions Online at the Annual Meeting</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you wish to submit a question during the Annual Meeting, you may log into the Annual Meeting platform at www.virtualshareholdermeeting.com/TRVI2026, type your question into the “ask a question field” and click “submit”. Our Annual Meeting will be governed by our Rules of Conduct, which will be posted at 10:45 a.m. on June 3, 2026 at www.virtualshareholdermeeting.com/TRVI2026. The Rules of Conduct will address the ability of stockholders to ask questions during the Annual Meeting, including rules on permissible topics, and rules for how questions and comments will be recognized and disclosed to Annual Meeting participants.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1—ELECTION OF ONE CLASS I DIRECTOR</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six members. In accordance with the terms of our Restated Certificate of Incorporation, as amended, or our restated certificate of incorporation, and our amended and restated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680" w:hanging="37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Michael Heffernan, and his term expires at the Annual Meeting;</w:t>
      </w:r>
    </w:p>
    <w:p>
      <w:pPr>
        <w:spacing w:after="0" w:line="117" w:lineRule="exact"/>
        <w:rPr>
          <w:rFonts w:ascii="Times New Roman" w:cs="Times New Roman" w:eastAsia="Times New Roman" w:hAnsi="Times New Roman"/>
          <w:sz w:val="18"/>
          <w:szCs w:val="18"/>
          <w:color w:val="auto"/>
        </w:rPr>
      </w:pPr>
    </w:p>
    <w:p>
      <w:pPr>
        <w:ind w:left="680" w:right="600" w:hanging="372"/>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Dominick Colangelo, Edward Mathers and David Meeker, M.D., and their term expires at the Annual Meeting of Stockholders to be held in 2027; and</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Jennifer Good and Anne VanLent, and their term expires at the Annual Meeting of Stockholders to be held in 2028.</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the authorized number of directors may be changed only by resolution of our Board of Directors. Our restated certificate of incorporation and amended and restated bylaws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Mr. Heffernan for election as a Class I director at the Annual Meeting. Mr. Heffernan is presently a director and has indicated a willingness to continue to serve as director, if elected. If Mr. Heffernan becomes unable or unwilling to serve, however, the proxies may be voted for a substitute nominee selected by our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as a Class I Director</w:t>
      </w:r>
    </w:p>
    <w:p>
      <w:pPr>
        <w:spacing w:after="0" w:line="121"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nominee for election as a Class I director at our Annual Meeting is set forth below.</w:t>
      </w:r>
    </w:p>
    <w:tbl>
      <w:tblPr>
        <w:tblLayout w:type="fixed"/>
        <w:tblInd w:w="0" w:type="dxa"/>
        <w:tblCellMar>
          <w:top w:w="0" w:type="dxa"/>
          <w:left w:w="0" w:type="dxa"/>
          <w:bottom w:w="0" w:type="dxa"/>
          <w:right w:w="0" w:type="dxa"/>
        </w:tblCellMar>
      </w:tblPr>
      <w:tr>
        <w:trPr>
          <w:trHeight w:val="156"/>
        </w:trPr>
        <w:tc>
          <w:tcPr>
            <w:tcW w:w="10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Michael Heffernan. </w:t>
            </w:r>
            <w:r>
              <w:rPr>
                <w:rFonts w:ascii="Times New Roman" w:cs="Times New Roman" w:eastAsia="Times New Roman" w:hAnsi="Times New Roman"/>
                <w:sz w:val="18"/>
                <w:szCs w:val="18"/>
                <w:color w:val="auto"/>
              </w:rPr>
              <w:t>Mr. Heffernan has served on our Board of Directors since February 2017 and served as our lead independent director from</w:t>
            </w:r>
          </w:p>
        </w:tc>
        <w:tc>
          <w:tcPr>
            <w:tcW w:w="56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91"/>
        </w:trPr>
        <w:tc>
          <w:tcPr>
            <w:tcW w:w="10680" w:type="dxa"/>
            <w:vAlign w:val="bottom"/>
            <w:vMerge w:val="continue"/>
          </w:tcPr>
          <w:p>
            <w:pPr>
              <w:spacing w:after="0"/>
              <w:rPr>
                <w:sz w:val="16"/>
                <w:szCs w:val="16"/>
                <w:color w:val="auto"/>
              </w:rPr>
            </w:pPr>
          </w:p>
        </w:tc>
        <w:tc>
          <w:tcPr>
            <w:tcW w:w="560" w:type="dxa"/>
            <w:vAlign w:val="bottom"/>
          </w:tcPr>
          <w:p>
            <w:pPr>
              <w:jc w:val="right"/>
              <w:ind w:right="59"/>
              <w:spacing w:after="0" w:line="191"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2020 until June 2023. Mr. Heffernan is the Founder of Collegium Pharmaceutical, a publicly traded pharmaceutical company, 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Collegium, and served as the Chairman of its Board of Directors from July 2018 to May 2025. Mr. Heffernan served as Interim President and Chief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of Collegium from May 2024 until November 2024 and as the President, Chief Executive Officer and a director of Collegium</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from October 2002 until July 2018. Most recently, Mr. Heffernan co-founded Avenge Bio, an oncology-focused biotechnology company, where he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has served as Chairman since 2019 and served as Chief Executive Officer from January 2022 until May 2024. He has also been an advisor, investor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and board member of a number of biopharmaceutical, medical device and healthcare services companies. Mr. Heffernan has served on the board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Avalo Therapeutics, Inc., a publicly traded clinical stage biotechnology company, since March 2025 and was named the Chairman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the Board in March 2025. Mr. Heffernan has served on the board of directors of enGene Holdings Inc., a publicly traded clinical stage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company, since July 2025. Mr. Heffernan has served on the board of directors of Par Health, a private pharmaceutical company,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since November 2025 and was named the Chairman of the Board in November 2025. Mr. Heffernan has also served on the board of directors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Biohaven LTD, a publicly traded biopharmaceutical company, since January 2020. Mr. Heffernan previously served on the board of directors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Synlogic, Inc., a publicly traded clinical-stage biotechnology company, from December 2020 to February 2025, and Akebia Therapeutics, Inc.,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publicly traded biopharmaceutical company, from December 2018 until May 2022. Mr. Heffernan is a current member of the boards of several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privately held companies. Mr. Heffernan earned his B.S. in Pharmacy from the University of Connecticut. Our Board of Directors believes that Mr.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Heffernan’s experience as an entrepreneur and biopharmaceutical leader with over 30 years of experience building and leading development-stage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and commercial companies, including as a member of the boards of publicly traded and privately held companies in the life sciences industry,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provide him with the qualifications and skills to serve on our Board of Directors.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Mr. Heffernan as a Class I director for a three-year term ending at the Annual Meeting of Stockholders to be held in 2029.</w:t>
      </w:r>
    </w:p>
    <w:p>
      <w:pPr>
        <w:spacing w:after="0" w:line="5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Any properly submitted proxy will be voted in favor of the nominee unless a contrary specification is made in the proxy. The nominee has consented to serve as director if elected. However, if the nominee is unable to serve or for good cause will not serve as a director, the persons named in the proxy intend to vote in their discretion for a substitute who will be designated by our Board of Directors.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directors continuing in office after the Annual Meeting is set forth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2027 Annual Meeting)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Dominick Colangelo</w:t>
            </w:r>
            <w:r>
              <w:rPr>
                <w:rFonts w:ascii="Times New Roman" w:cs="Times New Roman" w:eastAsia="Times New Roman" w:hAnsi="Times New Roman"/>
                <w:sz w:val="18"/>
                <w:szCs w:val="18"/>
                <w:color w:val="auto"/>
              </w:rPr>
              <w:t>. Mr. Colangelo has served on our Board of Directors since June 2020. Mr. Colangelo has served as President and Chief</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191"/>
        </w:trPr>
        <w:tc>
          <w:tcPr>
            <w:tcW w:w="10680" w:type="dxa"/>
            <w:vAlign w:val="bottom"/>
            <w:vMerge w:val="continue"/>
          </w:tcPr>
          <w:p>
            <w:pPr>
              <w:spacing w:after="0"/>
              <w:rPr>
                <w:sz w:val="16"/>
                <w:szCs w:val="16"/>
                <w:color w:val="auto"/>
              </w:rPr>
            </w:pPr>
          </w:p>
        </w:tc>
        <w:tc>
          <w:tcPr>
            <w:tcW w:w="560" w:type="dxa"/>
            <w:vAlign w:val="bottom"/>
          </w:tcPr>
          <w:p>
            <w:pPr>
              <w:jc w:val="center"/>
              <w:ind w:left="16"/>
              <w:spacing w:after="0" w:line="191"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a director of Vericel Corporation, a publicly traded commercial-stage biopharmaceutical company, since March 2013. Mr.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Colangelo has more than 20 years of executive management and corporate development experience in the biopharmaceutical industry, including</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nearly a decade with Eli Lilly and Company, a publicly traded pharmaceutical company. During his career, he has held a variety of executive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positions of increasing responsibility in product development, pharmaceutical operations, sales and marketing and corporate development. He has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extensive experience in the acquisition, development and commercialization of products across a variety of therapeutic areas. Mr. Colangelo</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received a B.S.B.A. in Accounting from the State University of New York at Buffalo and a J.D. from the Duke University School of Law. Our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believes that Mr. Colangelo’s experience as an executive and his governance experience provide him with the qualifications and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skills to serve on our Board of Directors.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Edward Mathers. </w:t>
            </w:r>
            <w:r>
              <w:rPr>
                <w:rFonts w:ascii="Times New Roman" w:cs="Times New Roman" w:eastAsia="Times New Roman" w:hAnsi="Times New Roman"/>
                <w:sz w:val="18"/>
                <w:szCs w:val="18"/>
                <w:color w:val="auto"/>
              </w:rPr>
              <w:t>Mr. Mathers has served on our Board of Directors since July 2017. Mr. Mathers has been a partner at New Enterprise Associates,</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Inc., a private venture capital firm, since August 2008. Mr. Mathers has served as a director of multiple publicly traded biopharmaceutical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companies including Synlogic, Inc., since October 2012, Senti Biosciences, Inc., since July 2016, Onkure Therapeutics (formerly Reneo</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 since December 2017, and MBX Biosciences, since July 2020. He previously served as a director of ObsEva SA,a publicly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traded biopharmaceutical company, from November 2015 until June 2023, Akouos, Inc., a publicly traded biopharmaceutical company, from</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October 2017 until December 2022, Mirum Pharmaceuticals, Inc., a publicly traded biopharmaceutical company, from November 2018 until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2022, Inozyme Pharma, a publicly traded biopharmaceutical company, from January 2017 to July 2025, and Rhythm Pharmaceuticals,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publicly traded biopharmaceutical company, from March 2013 to April 2026. He currently serves, and has previously served, on the board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directors of a number of private life sciences companies. Mr. Mathers earned his B.S. in chemistry from North Carolina State University. Our Board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believes that Mr. Mathers’ experience investing in and advising life sciences companies, as well as his experience as a director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public and private companies in the life sciences industry, provide him with the qualifications and skills to serve on our Board of Directors.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Meeker, M.D. </w:t>
            </w:r>
            <w:r>
              <w:rPr>
                <w:rFonts w:ascii="Times New Roman" w:cs="Times New Roman" w:eastAsia="Times New Roman" w:hAnsi="Times New Roman"/>
                <w:sz w:val="18"/>
                <w:szCs w:val="18"/>
                <w:color w:val="auto"/>
              </w:rPr>
              <w:t>Dr. Meeker has served as a member of our Board of Directors and our chairman since July 2017. Dr. Meeker has served as</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of Rhythm Pharmaceuticals, Inc., a publicly traded biopharmaceutical company, since July 2020, as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November 2015 and as chairman of the board since April 2017. Prior to joining Rhythm Pharmaceuticals, Dr. Meeker was Chief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director of KSQ Therapeutics, Inc., a biotechnology company, from September 2017 to July 2020 and worked at Sanofi</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Genzyme, a biopharmaceutical company, from October 2011 to June 2017, in a variety of roles, including President and Chief Executive Officer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Genzyme, a Sanofi Company, from October 2011 until January 2016, as a member of Sanofi’s Executive Committee from 2012 to June 2017 and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as Executive Vice President and head of Sanofi Genzyme, Sanofi’s specialty care unit with responsibility for rare diseases, multiple sclerosis,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oncology and immunology franchises, from January 2016 to June 2017. Prior to the acquisition of Genzyme by Sanofi in 2011, Dr. Meeker worked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at Genzyme Corporation beginning in 1994 as medical director, and held positions of increasing responsibility, ultimately serving as Chief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 Prior to joining Genzyme, Dr. Meeker was director of the Pulmonary Critical Care Fellowship at the Cleveland Clinic and an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Assistant Professor of Medicine at Ohio State University. Dr. Meeker has served as Chairman of Pharvaris B.V., a publicly traded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 company, since January 2021. Dr. Meeker holds a medical degree from the University of Vermont Medical School and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completed the Advanced Management Program at Harvard Business School in 2000. He completed his internal medicine training at Harvard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University’s Beth Israel Hospital and pulmonary/critical care training at Boston University. Our Board of Directors believes that Dr. Meeker is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qualified to serve as the Chairman of our Board of Directors because of his extensive executive experience in the life sciences industry, his medical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background and his deep familiarity with our business as an original investor and advisor to our company.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2028 Annual Meeting)</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153"/>
        </w:trPr>
        <w:tc>
          <w:tcPr>
            <w:tcW w:w="10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Jennifer Good. </w:t>
            </w:r>
            <w:r>
              <w:rPr>
                <w:rFonts w:ascii="Times New Roman" w:cs="Times New Roman" w:eastAsia="Times New Roman" w:hAnsi="Times New Roman"/>
                <w:sz w:val="18"/>
                <w:szCs w:val="18"/>
                <w:color w:val="auto"/>
                <w:w w:val="99"/>
              </w:rPr>
              <w:t>Ms. Good is our co-founder and has served as a member of our Board of Directors and as our President and Chief Executive Officer</w:t>
            </w: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680" w:type="dxa"/>
            <w:vAlign w:val="bottom"/>
            <w:vMerge w:val="continue"/>
          </w:tcPr>
          <w:p>
            <w:pPr>
              <w:spacing w:after="0"/>
              <w:rPr>
                <w:sz w:val="16"/>
                <w:szCs w:val="16"/>
                <w:color w:val="auto"/>
              </w:rPr>
            </w:pPr>
          </w:p>
        </w:tc>
        <w:tc>
          <w:tcPr>
            <w:tcW w:w="560" w:type="dxa"/>
            <w:vAlign w:val="bottom"/>
          </w:tcPr>
          <w:p>
            <w:pPr>
              <w:jc w:val="center"/>
              <w:ind w:left="16"/>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since our inception in March 2011. Previously, Ms. Good served at Penwest Pharmaceuticals Co., or Penwest, from 1997 to 2010, where she held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620"/>
        <w:spacing w:after="0" w:line="250" w:lineRule="auto"/>
        <w:rPr>
          <w:sz w:val="20"/>
          <w:szCs w:val="20"/>
          <w:color w:val="auto"/>
        </w:rPr>
      </w:pPr>
      <w:r>
        <w:rPr>
          <w:rFonts w:ascii="Times New Roman" w:cs="Times New Roman" w:eastAsia="Times New Roman" w:hAnsi="Times New Roman"/>
          <w:sz w:val="18"/>
          <w:szCs w:val="18"/>
          <w:color w:val="auto"/>
        </w:rPr>
        <w:t>various positions including President and Chief Executive Officer, Chief Operating Officer and Chief Financial Officer. Ms. Good has served on the board of Rhythm Pharmaceuticals, Inc., a publicly traded biopharmaceutical company, since June 2019. Ms. Good has also served as a board member of the Friedreich’s Ataxia Research Alliance (FARA), a patient advocacy group advancing treatments for the cure of Friedreich’s Ataxia, since 2011. Ms. Good received a Bachelor of Business Administration degree with a concentration in accounting from Pacific Lutheran University in 1987 and is a Certified Public Accountant licensed by the State of Washington, although her license is currently inactive. Our Board of Directors believes that Ms. Good’s in-depth knowledge of our business from serving as our founder, President and Chief Executive Officer and her perspective and experience as an executive and a director at publicly traded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privately held companies in the life sciences industry, provide her with the qualifications and skills to serve on our Board of Directors.</w:t>
            </w:r>
          </w:p>
        </w:tc>
        <w:tc>
          <w:tcPr>
            <w:tcW w:w="320" w:type="dxa"/>
            <w:vAlign w:val="bottom"/>
          </w:tcPr>
          <w:p>
            <w:pPr>
              <w:spacing w:after="0"/>
              <w:rPr>
                <w:sz w:val="20"/>
                <w:szCs w:val="20"/>
                <w:color w:val="auto"/>
              </w:rPr>
            </w:pPr>
          </w:p>
        </w:tc>
      </w:tr>
      <w:tr>
        <w:trPr>
          <w:trHeight w:val="581"/>
        </w:trPr>
        <w:tc>
          <w:tcPr>
            <w:tcW w:w="10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Anne VanLent. </w:t>
            </w:r>
            <w:r>
              <w:rPr>
                <w:rFonts w:ascii="Times New Roman" w:cs="Times New Roman" w:eastAsia="Times New Roman" w:hAnsi="Times New Roman"/>
                <w:sz w:val="18"/>
                <w:szCs w:val="18"/>
                <w:color w:val="auto"/>
              </w:rPr>
              <w:t>Ms. VanLent has served on our Board of Directors since October 2018. Since May 2008, Ms. VanLent has been President of AMV</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ind w:right="700"/>
        <w:spacing w:after="0" w:line="251" w:lineRule="auto"/>
        <w:rPr>
          <w:sz w:val="20"/>
          <w:szCs w:val="20"/>
          <w:color w:val="auto"/>
        </w:rPr>
      </w:pPr>
      <w:r>
        <w:rPr>
          <w:rFonts w:ascii="Times New Roman" w:cs="Times New Roman" w:eastAsia="Times New Roman" w:hAnsi="Times New Roman"/>
          <w:sz w:val="18"/>
          <w:szCs w:val="18"/>
          <w:color w:val="auto"/>
        </w:rPr>
        <w:t>Advisors, providing corporate strategy and financial consulting services to emerging growth life sciences companies. Ms. VanLent was the Executive Vice President and Chief Financial Officer of Barrier Therapeutics, Inc., a publicly traded pharmaceutical company, from 2002 through 2008. Ms. VanLent served as a member of the board of directors and audit committee chair of ObsEva SA, a publicly traded biopharmaceutical company, from May 2021 until June 2023. Ms. VanLent also served as a member of the board of directors and audit committee chair of Applied Genetics Technologies Corporation, a publicly traded biotechnology company, from August 2016 until it was acquired by Syncona Limited in December 2022. Ms. VanLent received a B.A. in physics from Mount Holyoke College. Our Board of Directors believes that Ms. VanLent’s financial and accounting expertise and her experience as an executive and a member on the boards of publicly traded life sciences companies provides her with the qualifications and skills to serve on our Board of Directors.</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our subsidiary or in which any such person has a material interest adverse to us or our subsidiary.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executive officers who are not directors is listed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James Cassella, Ph.D. </w:t>
            </w:r>
            <w:r>
              <w:rPr>
                <w:rFonts w:ascii="Times New Roman" w:cs="Times New Roman" w:eastAsia="Times New Roman" w:hAnsi="Times New Roman"/>
                <w:sz w:val="18"/>
                <w:szCs w:val="18"/>
                <w:color w:val="auto"/>
              </w:rPr>
              <w:t>Dr. Cassella has served as our Chief Development Officer since September 2024 and served as a member of our Board of</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191"/>
        </w:trPr>
        <w:tc>
          <w:tcPr>
            <w:tcW w:w="10680" w:type="dxa"/>
            <w:vAlign w:val="bottom"/>
            <w:vMerge w:val="continue"/>
          </w:tcPr>
          <w:p>
            <w:pPr>
              <w:spacing w:after="0"/>
              <w:rPr>
                <w:sz w:val="16"/>
                <w:szCs w:val="16"/>
                <w:color w:val="auto"/>
              </w:rPr>
            </w:pPr>
          </w:p>
        </w:tc>
        <w:tc>
          <w:tcPr>
            <w:tcW w:w="560" w:type="dxa"/>
            <w:vAlign w:val="bottom"/>
          </w:tcPr>
          <w:p>
            <w:pPr>
              <w:jc w:val="center"/>
              <w:ind w:left="16"/>
              <w:spacing w:after="0" w:line="191"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Directors from February 2020 to September 2024. Prior to joining us as our Chief Development Officer, Dr. Cassella served as Chief Development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Officer of Sun Pharmaceutical Industries Inc., a publicly traded biotechnology company, from March 2023 to September 2024, and as Chief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Officer of Concert Pharmaceuticals, Inc., a publicly traded biotechnology company, from February 2015 until it was acquired by Sun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Industries Inc. in March 2023. Prior to joining Concert, Dr. Cassella served as Executive Vice President, Research and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Chief Scientific Officer of Alexza Pharmaceuticals, Inc., a pharmaceutical company, from July 2012 to January 2015 and as its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Research and Development from June 2004 to July 2012. From April 1989 to April 2004, Dr. Cassella held various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positions, including Senior Vice President of Clinical Research and Development at Neurogen Corporation, a publicly traded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company. Dr. Cassella received a Ph.D. in Physiological Psychology from Dartmouth College, completed a postdoctoral fellowship</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in the Department of Psychiatry at the Yale University School of Medicine and received a B.A. in Psychology from the University of New Haven.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Hastings. </w:t>
            </w:r>
            <w:r>
              <w:rPr>
                <w:rFonts w:ascii="Times New Roman" w:cs="Times New Roman" w:eastAsia="Times New Roman" w:hAnsi="Times New Roman"/>
                <w:sz w:val="18"/>
                <w:szCs w:val="18"/>
                <w:color w:val="auto"/>
              </w:rPr>
              <w:t>Mr. Hastings has served as our Chief Financial Officer since January 2026. Prior to joining us as our Chief Financial Officer, Mr.</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Hastings served as Chief Financial Officer at Arbutus Biopharma Corporation, a publicly traded biotechnology company, from June 2018 to March</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580"/>
        <w:spacing w:after="0" w:line="265" w:lineRule="auto"/>
        <w:rPr>
          <w:sz w:val="20"/>
          <w:szCs w:val="20"/>
          <w:color w:val="auto"/>
        </w:rPr>
      </w:pPr>
      <w:r>
        <w:rPr>
          <w:rFonts w:ascii="Times New Roman" w:cs="Times New Roman" w:eastAsia="Times New Roman" w:hAnsi="Times New Roman"/>
          <w:sz w:val="17"/>
          <w:szCs w:val="17"/>
          <w:color w:val="auto"/>
        </w:rPr>
        <w:t>2025. Prior to joining Arbutus, Mr. Hastings served as Chief Financial Officer at Unilife Corporation, which was a publicly traded medical device company, before it ceased operations in 2017, from February 2015 to June 2017. Prior to Unilife, Mr. Hastings served as Chief Financial Officer and Executive Vice President at Incyte Corporation, a publicly traded biotechnology company, from October 2003 to October 2014. Prior to Incyte, Mr. Hastings served as Chief Financial Officer and Treasurer of ArQule Inc., a publicly traded biopharmaceutical company later acquired by Merck</w:t>
      </w:r>
    </w:p>
    <w:p>
      <w:pPr>
        <w:spacing w:after="0" w:line="1" w:lineRule="exact"/>
        <w:rPr>
          <w:sz w:val="20"/>
          <w:szCs w:val="20"/>
          <w:color w:val="auto"/>
        </w:rPr>
      </w:pPr>
    </w:p>
    <w:p>
      <w:pPr>
        <w:ind w:right="720" w:firstLine="8"/>
        <w:spacing w:after="0" w:line="251"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from February 2000 to October 2003. From 1994 to February 2000, Mr. Hastings held various management positions, including Vice President, Corporate Controller at Genzyme Inc., a publicly traded biotechnology company, and Director of Finance at Sepracor Inc., a specialty pharmaceutical company. Mr. Hastings started his career at Coopers &amp; Lybrand (now PwC), where he worked for nine years, completing his time as a Senior Manager. Mr. Hastings has served as a member of the board of directors and the audit committee chair of Scynexis, Inc., a publicly traded biotechnology company, since September 2015. Previously, Mr. Hastings has served as a member of the board of directors and the audit committee chair of Entasis Therapeutics, a publicly traded biotechnology company, from April 2018 to July 2022 and a member of the board of directors and the audit committee chair of VBL Therapeutics, a publicly traded biotechnology company, from January 2018 to October 2023. Mr. Hastings received a B.A. in economics from the University of Vermont.</w:t>
      </w:r>
    </w:p>
    <w:p>
      <w:pPr>
        <w:spacing w:after="0" w:line="9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Sciascia, M.D. </w:t>
      </w:r>
      <w:r>
        <w:rPr>
          <w:rFonts w:ascii="Times New Roman" w:cs="Times New Roman" w:eastAsia="Times New Roman" w:hAnsi="Times New Roman"/>
          <w:sz w:val="18"/>
          <w:szCs w:val="18"/>
          <w:color w:val="auto"/>
        </w:rPr>
        <w:t>Dr. Sciascia is our co-founder and has served as our Chief Scientific Officer since November 2022. Prior to that, he served 72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Chief Medical Officer from our inception, in March 2011, until November 2022. Previously, Dr. Sciascia was the Senior Vice President of Clinical Development and Regulatory and Chief Medical Officer at Penwest from 2001 to 2010. Dr. Sciascia received a B.S. in biology from the Massachusetts Institute of Technology and a medical degree from Columbia University. He is a board-certified neurologist licensed to practice medicine in the Commonwealth of Massachusetts.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0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Farrell Simon, Pharm. D. </w:t>
            </w:r>
            <w:r>
              <w:rPr>
                <w:rFonts w:ascii="Times New Roman" w:cs="Times New Roman" w:eastAsia="Times New Roman" w:hAnsi="Times New Roman"/>
                <w:sz w:val="18"/>
                <w:szCs w:val="18"/>
                <w:color w:val="auto"/>
              </w:rPr>
              <w:t>Dr. Simon has served as our Chief Commercial Officer since February 2023. Prior to that, he served as our Senior Vice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ind w:right="580"/>
        <w:spacing w:after="0" w:line="252" w:lineRule="auto"/>
        <w:rPr>
          <w:sz w:val="20"/>
          <w:szCs w:val="20"/>
          <w:color w:val="auto"/>
        </w:rPr>
      </w:pPr>
      <w:r>
        <w:rPr>
          <w:rFonts w:ascii="Times New Roman" w:cs="Times New Roman" w:eastAsia="Times New Roman" w:hAnsi="Times New Roman"/>
          <w:sz w:val="18"/>
          <w:szCs w:val="18"/>
          <w:color w:val="auto"/>
        </w:rPr>
        <w:t>President, Head of Commercial and Strategy, from February 2022 until February 2023 and Vice President, Head of US Marketing, from September 2020 until February 2022. Previously, Dr. Simon was the Senior Director, Chief of Staff to the Biopharma Group President at Pfizer Inc. and a member of the biopharmaceutical executive leadership team from January 2018 to September 2020. Prior to joining Pfizer, Dr. Simon gained general management, marketing, and medical affairs experience at Procter &amp; Gamble. Dr. Simon is the founder and Chief Executive Officer of The Simon Cancer Foundation and is on the board of directors for the Greater New Haven Chamber of Commerce. He previously held positions on the advisory boards for the business school and the College of Pharmacy at the University of Florida. Dr. Simon holds both an M.B.A. and a Pharm.D. from the University of Florida.</w:t>
      </w:r>
    </w:p>
    <w:p>
      <w:pPr>
        <w:spacing w:after="0" w:line="18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PROPOSAL NO. 2—RATIFICATION OF THE APPOINTMENT OF ERNST &amp; YOUNG LLP AS OUR INDEPENDENT REGISTERED PUBLIC ACCOUNTING FIRM FOR THE FISCAL YEAR ENDING DECEMBER 31, 2026</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our Board of Directors of Ernst &amp; Young LLP as our independent registered public accounting firm for the fiscal year ending December 31, 2026.</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Ernst &amp; Young LLP as our independent registered public accounting firm. However, our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LLP is expected to attend the Annual Meeting and will have an opportunity to make a statement if he or she desires to do so and to respond to appropriate questions from our stockholders.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Ernst &amp; Young LLP for the audit of the consolidated financial statements and for other services provided during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625,000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571,000</w:t>
            </w:r>
          </w:p>
        </w:tc>
      </w:tr>
      <w:tr>
        <w:trPr>
          <w:trHeight w:val="216"/>
        </w:trPr>
        <w:tc>
          <w:tcPr>
            <w:tcW w:w="7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9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685,000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571,000</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520" w:right="40" w:hanging="512"/>
        <w:spacing w:after="0" w:line="25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each year consist of fees billed for professional services, including for the audit of our consolidated financial statements and the review of our quarterly financial statements. Additionally, audit fees for 2025 included professional services for the issuance of a comfort letter in connection with our prospectus supplement filed with the SEC in June 2025, professional services for the review of our registration statement on Form S-8 filed with the SEC in August 2025 and professional services for the review of our registration statement on Form S-3 filed with the SEC in November 2025. Audit fees for 2024 included professional services for the issuances of comfort letters in connection with offerings of common stock under the sales agreement, as amended, to which we are a party with Leerink Partners LLC (formerly SVB Securities LLC), or the ATM Sales Agreement, professional services for the review of our registration statement on Form S-8 filed with the SEC in March 2024 and the issuance of a comfort letter in connection with our prospectus supplement filed with the SEC in December 2024.</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for 2025 were associated with Sarbanes-Oxley readiness assessment work.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for the pre-approval of audit and non-audit services for the purpose of maintaining the independence of our independent auditor. We may not engage our independent auditor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auditor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 of the audit committee.</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our audit committee may pre-approve services that are expected to be provided to us by the independent auditor during the following 12 months. At the time such pre-approval is granted, the audit committee must identify the particular</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right="40"/>
        <w:spacing w:after="0" w:line="255" w:lineRule="auto"/>
        <w:rPr>
          <w:sz w:val="20"/>
          <w:szCs w:val="20"/>
          <w:color w:val="auto"/>
        </w:rPr>
      </w:pPr>
      <w:r>
        <w:rPr>
          <w:rFonts w:ascii="Times New Roman" w:cs="Times New Roman" w:eastAsia="Times New Roman" w:hAnsi="Times New Roman"/>
          <w:sz w:val="18"/>
          <w:szCs w:val="18"/>
          <w:color w:val="auto"/>
        </w:rPr>
        <w:t>pre-approved services in a sufficient level of detail so that our management will not be called upon to make a judgment as to whether a proposed service fits within the pre-approved services, establish a monetary limit with respect to each particular pre-approved service, which limit shall not be exceeded without obtaining further pre-approval, and, at each regularly scheduled meeting of the audit committee following such approval, management or the independent auditor shall report to the audit committee regarding each service actually provided to us pursuant to such pre-approval. The audit committee has delegated to its chairman the authority to grant pre-approvals of audit or non-audit services to be provided by the independent auditor, provided that the fees for such services do not exceed $50,000. Any approval of services by the chairman of the audit committee is reported to the committee at its next regularly scheduled meeting.</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Ernst &amp; Young LLP other than in accordance with the pre-approval policies and procedures described above.</w:t>
      </w:r>
    </w:p>
    <w:p>
      <w:pPr>
        <w:spacing w:after="0" w:line="5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ratification of the appointment of Ernst &amp; Young LLP as our independent registered public accounting firm for the fiscal year ending December 31, 2026.</w:t>
      </w:r>
    </w:p>
    <w:p>
      <w:pPr>
        <w:spacing w:after="0" w:line="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Any properly submitted proxy will be voted in favor of the ratification of the appointment of Ernst &amp; Young LLP as our independent registered public accounting firm for the fiscal year ending December 31, 2026 unless a contrary specification is made in the proxy.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3—ADVISORY VOTE TO APPROVE EXECUTIVE COMPENSATION</w:t>
      </w:r>
    </w:p>
    <w:p>
      <w:pPr>
        <w:spacing w:after="0" w:line="2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or the Dodd-Frank Act, which added Section 14A to the Exchange Act. At the</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2025 Annual Meeting of Stockholders, our stockholders approved, on an advisory, non-binding basis, an annual advisory vote on the compensation of our named executive officers. In accordance with the results of this vote, our Board of Directors determined to implement an advisory vote on the compensation of our named executive officers every year until the next advisory vote on the preferred frequency of such advisory votes, which advisory vote is required to be taken at least once every six calendar years as required by the Dodd-Frank Act and Section 14A of the Exchange Act.</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qualified and talented executives, motivate such executives to achieve our business goals and reward them for short- and long-term performance with a simple and clear compensation structure. Under this program, our named executive officers are rewarded for the achievement of our short- and long-term performance, which we believe serves to enhance short- and long-term value creation for our stockholders. The program contains elements of cash and equity-based compensation and is designed to align the interests of our executives with those of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11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 including the compensation tables, narrative discussion and any related material disclosed in this proxy statement, is hereby approved.</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not binding on our Board of Directors, our compensation committee or the Company. However, our compensation committee and Board of Directors value the opinions expressed by our stockholders in their vote on this proposal and intend to carefully consider the outcome of the vote when making future compensation decisions for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the approval, on an advisory basis, of the compensation paid to our named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NO. 4—APPROVAL OF THE TREVI THERAPEUTICS, INC. AMENDED AND RESTATED 2019 STOCK INCENTIVE PLAN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April 10, 2026, or the Board Approval Date, our Board of Directors unanimously approved, subject to stockholder approval, an amendment and restatement of the Trevi Therapeutics, Inc. 2019 Stock Incentive Plan, as amended, or the 2019 Plan. The amendments reflected in the Trevi Therapeutics, Inc. Amended and Restated 2019 Stock Incentive Plan, or the A&amp;R 2019 Plan, (i) increase the number of shares available for issuance thereunder by 8,000,000 shares, (ii) limit non-employee director compensation, (iii) prohibit liberal share recycling by providing that shares delivered to the Company in satisfaction of an exercise price or tax withholding do not become available under the plan for future grants and (iv) clarify that any dividends or dividend equivalents paid with respect to awards under the plan are subject to the same vesting and forfeiture provisions as the award with respect to which the dividend or dividend equivalent is paid. We are asking our stockholders to approve the A&amp;R 2019 Plan because we think our equity compensation program is critical to the recruitment, retention and motivation of our employees, directors and consultants, all of whom drive the advancement of the Company’s business objectives and stockholder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Requesting Stockholder Approval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our success depends, in large part, on our ability to maintain a competitive position by attracting, retaining and motivating the best talent in what is a competitive labor market. Central to these objectives is our equity-based compensation program, which is consistent with our compensation philosophy and the compensatory practices of other companies in our peer group and other companies that we compete with for talent. We and our Board of Directors understand that our equity-compensation needs must be balanced against the dilutive effect of such programs on our stockholders and the interests of our stockholders in the structure of such programs. To that end, and based on careful weighing of these considerations, as more fully described below, on the Board Approval Date, upon the recommendation of the compensation committee of our Board of Directors, and subject to stockholder approval, our Board of Directors approved the A&amp;R 2019 Plan. If the A&amp;R 2019 Plan is approved by our stockholders, we intend to register the additional shares reserved for issuance under the A&amp;R 2019 Plan by filing a Registration Statement on Form S-8 as soon as practicable following such approval.</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2019 Plan is our existing equity incentive plan, which became effective on May 7, 2019 in connection with our initial public offering. The 2019 Plan was amended by our Board of Directors on April 24, 2025 to increase the shares available for grant under the plan and also to remove the “evergreen” provision in the plan, which amendments were approved by our stockholders on June 11, 2025. When the 2019 Plan was amended in 2025, we expected that the increased share pool would allow us to grant equity awards for one to two years. Consistent with that expectation, the remaining shares currently available for grant under the 2019 Plan are insufficient to meet our equity compensation needs. The A&amp;R 2019 Plan increases the share pool under the 2019 Plan by 8,000,000 shares of common stock and makes certain stockholder-focused changes to the plan, as described below. If approved, the new 8,000,000 shares reserved under the A&amp;R 2019 Plan would represent approximately 6.23% of our 128,411,048 outstanding shares as of March 31, 2026. Our Board of Directors believes the proposed dilution to stockholders as a result of the proposed increased pool is judicious and sustainable and, importantly, critical to meeting our business goals.</w:t>
      </w:r>
    </w:p>
    <w:p>
      <w:pPr>
        <w:spacing w:after="0" w:line="18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intend to utilize the A&amp;R 2019 Plan as we have utilized the 2019 Plan: specifically, to grant equity awards to our employees, non-employee directors, consultants, and advisors in order to recruit, incentivize, retain and reward those who are critical to our success. Our compensation committee determined the requested increased number of shares under the A&amp;R 2019 Plan based on projected new-hire equity awards, projected annual equity awards to our employees and non-employee directors, projected employee recognition and promotion awards, and an assessment of the magnitude of the share reserve under the A&amp;R 2019 Plan that our stockholders would likely find acceptable. If stockholders approve the A&amp;R 2019 Plan, subject to adjustment in the event of stock splits and other similar events, awards may be made under the A&amp;R 2019 Plan for up to a number of shares of common stock equal to the sum of: (i) 29,000,000 shares of common stock; and (ii) such additional number of shares of common stock (up to 11,000,000 shares) as is equal to the number of shares of common stock subject to awards granted under our 2012 Stock Incentive Plan, as amended, or the 2012 Plan, that were outstanding as of the date that the 2019 Plan originally became effective and which awards expire, terminate or are otherwise surrendered, cancelled, forfeited or repurchased by us at their original issuance price pursuant to a contractual repurchase right (subject, however, in the case of incentive stock options, to any limitations under the Internal Revenue Code of 1986, as amended, and any regulations thereunder, or the Code). The 2019 Plan included several features that are consistent with protecting the interests of our stockholders and sound corporate governance practices and the A&amp;R 2019 Plan further enhances those stockholder-focused provisions by adding to the plan provisions that prohibit liberal share recycling, limit the amount of non-employee director compensation and require that any dividend or dividend equivalents paid in respect of awards granted under the A&amp;R 2019 Plan is subject to the same vesting and forfeiture provisions as the award with respect to which the dividend or dividend equivalent is paid.</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includes information, as of March 31, 2026, regarding all of our outstanding equity awards under all of our equity-based compensation plans and arrangements under which shares of common stock may be issued. This includes shares subject to outstanding awards under the 2012 Plan, the 2019 Plan and the number of shares available under the 2019 Plan for future awards, but does not include shares issuable or otherwise available for issuance under our 2019 Employee Stock Purchase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outstanding stock options</w:t>
            </w:r>
          </w:p>
        </w:tc>
        <w:tc>
          <w:tcPr>
            <w:tcW w:w="2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12,041,686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w:t>
            </w:r>
          </w:p>
        </w:tc>
        <w:tc>
          <w:tcPr>
            <w:tcW w:w="2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 of outstanding stock options (years)</w:t>
            </w:r>
          </w:p>
        </w:tc>
        <w:tc>
          <w:tcPr>
            <w:tcW w:w="2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under the 2019 Plan for the grant of new awards</w:t>
            </w:r>
          </w:p>
        </w:tc>
        <w:tc>
          <w:tcPr>
            <w:tcW w:w="2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4,065,967</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shares requested for approval pursuant to the A&amp;R 2019 Plan</w:t>
            </w:r>
          </w:p>
        </w:tc>
        <w:tc>
          <w:tcPr>
            <w:tcW w:w="2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8,000,000</w:t>
            </w: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total number of shares available for the grant of new awards</w:t>
            </w:r>
          </w:p>
        </w:tc>
        <w:tc>
          <w:tcPr>
            <w:tcW w:w="2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under all equity-based compensation plans, assuming stockholder</w:t>
            </w: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approval of the A&amp;R 2019 Plan</w:t>
            </w:r>
          </w:p>
        </w:tc>
        <w:tc>
          <w:tcPr>
            <w:tcW w:w="2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12,065,967</w:t>
            </w: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Number of shares of common stock outstanding </w:t>
            </w:r>
            <w:r>
              <w:rPr>
                <w:rFonts w:ascii="Times New Roman" w:cs="Times New Roman" w:eastAsia="Times New Roman" w:hAnsi="Times New Roman"/>
                <w:sz w:val="24"/>
                <w:szCs w:val="24"/>
                <w:color w:val="auto"/>
                <w:vertAlign w:val="superscript"/>
              </w:rPr>
              <w:t>(1)</w:t>
            </w:r>
          </w:p>
        </w:tc>
        <w:tc>
          <w:tcPr>
            <w:tcW w:w="2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128,411,048</w:t>
            </w:r>
          </w:p>
        </w:tc>
      </w:tr>
    </w:tbl>
    <w:p>
      <w:pPr>
        <w:spacing w:after="0" w:line="198" w:lineRule="exact"/>
        <w:rPr>
          <w:sz w:val="20"/>
          <w:szCs w:val="20"/>
          <w:color w:val="auto"/>
        </w:rPr>
      </w:pPr>
    </w:p>
    <w:p>
      <w:pPr>
        <w:ind w:right="28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on March 31, 2026 does not include the 13,340,000 additional shares of common stock issued in our underwritten public offering on April 20, 2026.</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outstanding (i) shares of restricted stock, (ii) restricted stock units, or RSUs, (iii) stock appreciation rights, or SARs, or (iv) other stock-based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that the proposed share pool under the A&amp;R 2019 Plan will allow us to continue to grant equity awards at our historic rates for approximately two years, but the actual duration of the share pool may vary based on changes in participation, our stock price and market practice.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stock-based compensation programs have been integral to our success in the past and will be important to our ability to succeed in the future. The A&amp;R 2019 Plan will expire on May 6, 2029. If the A&amp;R 2019 Plan is not approved by our stockholders, we will not be able to make equity incentive awards to meet our hiring and retention needs in a highly competitive market, which could have an adverse impact on our business. Further, if the A&amp;R 2019 Plan is not approved, we could be forced to increase cash compensation, which will reduce the resources we are able to allocate to meet our business needs and objectives. Therefore, the approval of the A&amp;R 2019 Plan is vital to our future success.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approval of the Trevi Therapeutics, Inc. Amended and Restated 2019 Stock Incentive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below is a discussion of:</w:t>
      </w:r>
    </w:p>
    <w:p>
      <w:pPr>
        <w:spacing w:after="0" w:line="239" w:lineRule="exact"/>
        <w:rPr>
          <w:sz w:val="20"/>
          <w:szCs w:val="20"/>
          <w:color w:val="auto"/>
        </w:rPr>
      </w:pPr>
    </w:p>
    <w:p>
      <w:pPr>
        <w:ind w:left="1100" w:hanging="343"/>
        <w:spacing w:after="0"/>
        <w:tabs>
          <w:tab w:leader="none" w:pos="11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Highlights of the A&amp;R 2019 Plan;</w:t>
      </w:r>
    </w:p>
    <w:p>
      <w:pPr>
        <w:spacing w:after="0" w:line="26" w:lineRule="exact"/>
        <w:rPr>
          <w:rFonts w:ascii="Arial" w:cs="Arial" w:eastAsia="Arial" w:hAnsi="Arial"/>
          <w:sz w:val="18"/>
          <w:szCs w:val="18"/>
          <w:b w:val="1"/>
          <w:bCs w:val="1"/>
          <w:color w:val="auto"/>
        </w:rPr>
      </w:pPr>
    </w:p>
    <w:p>
      <w:pPr>
        <w:ind w:left="1100" w:hanging="343"/>
        <w:spacing w:after="0"/>
        <w:tabs>
          <w:tab w:leader="none" w:pos="11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Reasons Why Stockholders Should Approve the A&amp;R 2019 Plan;</w:t>
      </w:r>
    </w:p>
    <w:p>
      <w:pPr>
        <w:spacing w:after="0" w:line="21" w:lineRule="exact"/>
        <w:rPr>
          <w:rFonts w:ascii="Arial" w:cs="Arial" w:eastAsia="Arial" w:hAnsi="Arial"/>
          <w:sz w:val="18"/>
          <w:szCs w:val="18"/>
          <w:b w:val="1"/>
          <w:bCs w:val="1"/>
          <w:color w:val="auto"/>
        </w:rPr>
      </w:pPr>
    </w:p>
    <w:p>
      <w:pPr>
        <w:ind w:left="1100" w:hanging="343"/>
        <w:spacing w:after="0"/>
        <w:tabs>
          <w:tab w:leader="none" w:pos="11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Information Regarding Overhang and Burn Rate; and</w:t>
      </w:r>
    </w:p>
    <w:p>
      <w:pPr>
        <w:spacing w:after="0" w:line="21" w:lineRule="exact"/>
        <w:rPr>
          <w:rFonts w:ascii="Arial" w:cs="Arial" w:eastAsia="Arial" w:hAnsi="Arial"/>
          <w:sz w:val="18"/>
          <w:szCs w:val="18"/>
          <w:b w:val="1"/>
          <w:bCs w:val="1"/>
          <w:color w:val="auto"/>
        </w:rPr>
      </w:pPr>
    </w:p>
    <w:p>
      <w:pPr>
        <w:ind w:left="1100" w:hanging="343"/>
        <w:spacing w:after="0"/>
        <w:tabs>
          <w:tab w:leader="none" w:pos="11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Description of the A&amp;R 2019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A&amp;R 2019 Plan</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A&amp;R 2019 Plan would add several additional features to the 2019 Plan that are consistent with protecting the interests of our stockholders and sound corporate governance practices, in addition to the 2019 Plan’s existing stockholder-focused provisions. These features are highlighted below and are more fully described in the summary of the A&amp;R 2019 Plan further below in this proposal. These descriptions assume and give effect to stockholder approval of the A&amp;R 2019 Plan and are qualified in their entirety by the specific language of the A&amp;R 2019 Plan in Appendix A to this proxy statement.</w:t>
      </w:r>
    </w:p>
    <w:p>
      <w:pPr>
        <w:spacing w:after="0" w:line="17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Evergreen. </w:t>
      </w:r>
      <w:r>
        <w:rPr>
          <w:rFonts w:ascii="Times New Roman" w:cs="Times New Roman" w:eastAsia="Times New Roman" w:hAnsi="Times New Roman"/>
          <w:sz w:val="18"/>
          <w:szCs w:val="18"/>
          <w:color w:val="auto"/>
        </w:rPr>
        <w:t>The A&amp;R 2019 Plan does not include an “evergreen” or other provision that automatically increases the number of shares available for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and therefore any increase to the maximum share reserve in the A&amp;R 2019 Plan is subject to approval by our stockholders, allowing stockholders to have a say in our equity compensation programs.</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In accepting an Award under the A&amp;R 2019 Plan, a participant agrees to be bound by any clawback policy that we have in effect 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in the future.</w:t>
      </w:r>
    </w:p>
    <w:p>
      <w:pPr>
        <w:spacing w:after="0" w:line="160"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We have adopted a Dodd-Frank Compensation Recovery Policy, or Clawback Policy, in accordance with Rule 10D-1 of the Exchange Act, and Nasdaq listing standards that is applicable to our current and former executive officers, or the Covered Persons. The Clawback Policy is administered and interpreted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attempt to recover reasonably promptly the amount of erroneously awarded incentive-based compensation received by Covered Persons. The recovery of such compensation applies regardless of whether an executive engaged in misconduct or otherwise caused or contributed to the requirement for the accounting restatement.</w:t>
      </w:r>
    </w:p>
    <w:p>
      <w:pPr>
        <w:spacing w:after="0" w:line="19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Automatic Vesting of Awards on a Change in Control Event. </w:t>
      </w:r>
      <w:r>
        <w:rPr>
          <w:rFonts w:ascii="Times New Roman" w:cs="Times New Roman" w:eastAsia="Times New Roman" w:hAnsi="Times New Roman"/>
          <w:sz w:val="18"/>
          <w:szCs w:val="18"/>
          <w:color w:val="auto"/>
        </w:rPr>
        <w:t>The A&amp;R 2019 Plan does not provide for the automatic vesting of awards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change in control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 Repricing of Awards. </w:t>
      </w:r>
      <w:r>
        <w:rPr>
          <w:rFonts w:ascii="Times New Roman" w:cs="Times New Roman" w:eastAsia="Times New Roman" w:hAnsi="Times New Roman"/>
          <w:sz w:val="18"/>
          <w:szCs w:val="18"/>
          <w:color w:val="auto"/>
        </w:rPr>
        <w:t>The A&amp;R 2019 Plan prohibits the direct or indirect repricing of stock options or SARs without stockholder approval.</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Liberal Share Recycling. </w:t>
      </w:r>
      <w:r>
        <w:rPr>
          <w:rFonts w:ascii="Times New Roman" w:cs="Times New Roman" w:eastAsia="Times New Roman" w:hAnsi="Times New Roman"/>
          <w:sz w:val="18"/>
          <w:szCs w:val="18"/>
          <w:color w:val="auto"/>
        </w:rPr>
        <w:t>The A&amp;R 2019 Plan prohibits the re-granting of (i) shares withheld or delivered to satisfy the exercise price of an award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tax withholding obligations and (ii) shares that were subject to a stock appreciation right, or SAR, and were not issued upon the net settlement or net exercise of such award.</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Limit on Non-Employee Director Compensation. </w:t>
      </w:r>
      <w:r>
        <w:rPr>
          <w:rFonts w:ascii="Times New Roman" w:cs="Times New Roman" w:eastAsia="Times New Roman" w:hAnsi="Times New Roman"/>
          <w:sz w:val="18"/>
          <w:szCs w:val="18"/>
          <w:color w:val="auto"/>
        </w:rPr>
        <w:t>The maximum aggregate amount of cash earned or paid and value of awards (calculated based on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fair value for financial reporting purposes) granted to any non-employee director in any calendar year may not exceed $750,000 in the case of an incumbent director. However, such maximum aggregate amount shall not exceed $1,000,000 in any calendar year for an individual non-employee director in such non-employee director’s initial year of election 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appointment. Exceptions to these limitations may only be made by our Board of Directors in extraordinary circumstances, provided that the non-employee director receiving any additional compensation may not participate in the decision to award such compensation.</w:t>
      </w:r>
    </w:p>
    <w:p>
      <w:pPr>
        <w:spacing w:after="0" w:line="16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on Awards Not Paid Until Award Vests. </w:t>
      </w:r>
      <w:r>
        <w:rPr>
          <w:rFonts w:ascii="Times New Roman" w:cs="Times New Roman" w:eastAsia="Times New Roman" w:hAnsi="Times New Roman"/>
          <w:sz w:val="18"/>
          <w:szCs w:val="18"/>
          <w:color w:val="auto"/>
        </w:rPr>
        <w:t>Any dividends or dividend equivalents paid with respect to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A&amp;R 2019 Plan are subject to the same vesting and forfeiture provisions as the award with respect to which the dividend or dividend equivalent is paid.</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Discounted Stock Options or SARs. </w:t>
      </w:r>
      <w:r>
        <w:rPr>
          <w:rFonts w:ascii="Times New Roman" w:cs="Times New Roman" w:eastAsia="Times New Roman" w:hAnsi="Times New Roman"/>
          <w:sz w:val="18"/>
          <w:szCs w:val="18"/>
          <w:color w:val="auto"/>
        </w:rPr>
        <w:t>All stock options and SARs granted under the A&amp;R 2019 Plan must have an exercise or measurement price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equal to the fair market value of the underlying common stock on the date of grant.</w:t>
      </w:r>
    </w:p>
    <w:p>
      <w:pPr>
        <w:spacing w:after="0" w:line="15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Amendments Require Stockholder Approval. </w:t>
      </w:r>
      <w:r>
        <w:rPr>
          <w:rFonts w:ascii="Times New Roman" w:cs="Times New Roman" w:eastAsia="Times New Roman" w:hAnsi="Times New Roman"/>
          <w:sz w:val="18"/>
          <w:szCs w:val="18"/>
          <w:color w:val="auto"/>
        </w:rPr>
        <w:t>Stockholder approval is required prior to an amendment of the A&amp;R 2019 Plan that is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our stockholders under the rules of the Nasdaq Global Market or any other exchange or marketplace on which our stock is listed or traded.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Administered by an Independent Committee. </w:t>
      </w:r>
      <w:r>
        <w:rPr>
          <w:rFonts w:ascii="Times New Roman" w:cs="Times New Roman" w:eastAsia="Times New Roman" w:hAnsi="Times New Roman"/>
          <w:sz w:val="18"/>
          <w:szCs w:val="18"/>
          <w:color w:val="auto"/>
        </w:rPr>
        <w:t>The A&amp;R 2019 Plan is administered by the compensation committee, as delegated by our Board of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made up entirely of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Why Stockholders Should Approve the A&amp;R 2019 Plan</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Incentivizes, Retains and Motivates Talent</w:t>
      </w:r>
      <w:r>
        <w:rPr>
          <w:rFonts w:ascii="Times New Roman" w:cs="Times New Roman" w:eastAsia="Times New Roman" w:hAnsi="Times New Roman"/>
          <w:sz w:val="18"/>
          <w:szCs w:val="18"/>
          <w:color w:val="auto"/>
        </w:rPr>
        <w:t>. It is critical to our success that we incentivize, retain and motivate the best talent in what is a competitive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Our equity-based compensation program has always been and will continue to be a key component in our ability to pay market-competitive compensation to our employees.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Aligns with Our Pay-for-Performance Compensation Philosophy</w:t>
      </w:r>
      <w:r>
        <w:rPr>
          <w:rFonts w:ascii="Times New Roman" w:cs="Times New Roman" w:eastAsia="Times New Roman" w:hAnsi="Times New Roman"/>
          <w:sz w:val="18"/>
          <w:szCs w:val="18"/>
          <w:color w:val="auto"/>
        </w:rPr>
        <w:t>. We believe that equity-based compensation is inherently performance-based.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Aligns Employee and Director Interests with Stockholder Interests. </w:t>
      </w:r>
      <w:r>
        <w:rPr>
          <w:rFonts w:ascii="Times New Roman" w:cs="Times New Roman" w:eastAsia="Times New Roman" w:hAnsi="Times New Roman"/>
          <w:sz w:val="18"/>
          <w:szCs w:val="18"/>
          <w:color w:val="auto"/>
        </w:rPr>
        <w:t>Providing our employees and non-employee directors with compensation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directly aligns the interests of those employees and non-employee directors with the interests of our stockholders. If the A&amp;R 2019 Plan is approved by our stockholders, we will be able to continue granting equity-based incentives that foster this alignment between our employees and non-employee directors and our stockholders.</w:t>
      </w:r>
    </w:p>
    <w:p>
      <w:pPr>
        <w:spacing w:after="0" w:line="180"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Consistent with Stockholder Interests and Sound Corporate Governance</w:t>
      </w:r>
      <w:r>
        <w:rPr>
          <w:rFonts w:ascii="Times New Roman" w:cs="Times New Roman" w:eastAsia="Times New Roman" w:hAnsi="Times New Roman"/>
          <w:sz w:val="18"/>
          <w:szCs w:val="18"/>
          <w:color w:val="auto"/>
        </w:rPr>
        <w:t>. As described under the heading “Highlights of the A&amp;R 2019 Plan”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thoroughly below, the A&amp;R 2019 Plan was purposefully designed to include features that are consistent with the interests of our stockholders and sound corporate governance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Overhang and Burn Rate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developing our share request for the A&amp;R 2019 Plan and analyzing the impact of utilizing equity as a means of compensation on our stockholders, we considered both our “overhang” and our “burn rate.”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March 31, 2026, there were 11,763,268 shares underlying all equity awards outstanding, 4,065,967 shares available under the 2019 Plan for future awards, and 128,411,048 shares of common stock outstanding. Accordingly, our overhang at March 31, 2026 was 12.3%. If the 8,000,0000 additional shares proposed to be authorized for grant under the A&amp;R 2019 Plan are included in the calculation, our overhang on March 31, 2026 would have been 18.6%. If the 13,340,000 shares of common stock issued in our underwritten public offering on April 20, 2026 are included in our shares of common stock outstanding, our overhang would be 11.2%, or 16.8% if the 8,000,000 additional shares proposed under our A&amp;R 2019 Plan are included.</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2025, 2024 and 2023 calendar years, as well as an average over those years. Our three-year average burn rate is below the three-year average burn rate of the other companies in our peer group.</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3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Awards Granted (#)</w:t>
            </w:r>
          </w:p>
        </w:tc>
        <w:tc>
          <w:tcPr>
            <w:tcW w:w="1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Basic Weighted Average Number of</w:t>
            </w:r>
          </w:p>
        </w:tc>
        <w:tc>
          <w:tcPr>
            <w:tcW w:w="1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Gross Burn Rate </w:t>
            </w:r>
            <w:r>
              <w:rPr>
                <w:rFonts w:ascii="Times New Roman" w:cs="Times New Roman" w:eastAsia="Times New Roman" w:hAnsi="Times New Roman"/>
                <w:sz w:val="19"/>
                <w:szCs w:val="19"/>
                <w:b w:val="1"/>
                <w:bCs w:val="1"/>
                <w:color w:val="auto"/>
                <w:w w:val="98"/>
                <w:vertAlign w:val="superscript"/>
              </w:rPr>
              <w:t>(1)</w:t>
            </w: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 Stock Outstanding</w:t>
            </w: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2,999,800</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134,747,198</w:t>
            </w:r>
          </w:p>
        </w:tc>
        <w:tc>
          <w:tcPr>
            <w:tcW w:w="25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2.23%</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3,404,750</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101,971,873</w:t>
            </w:r>
          </w:p>
        </w:tc>
        <w:tc>
          <w:tcPr>
            <w:tcW w:w="2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3.34%</w:t>
            </w: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1,563,500</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99,033,373</w:t>
            </w:r>
          </w:p>
        </w:tc>
        <w:tc>
          <w:tcPr>
            <w:tcW w:w="25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1.58%</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Three-Year Average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2,656,017</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111,917,481</w:t>
            </w:r>
          </w:p>
        </w:tc>
        <w:tc>
          <w:tcPr>
            <w:tcW w:w="2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more information on our equity compensation plans, please see the section titled “Executive Compensation—Equity Incentives” contained elsewhere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A&amp;R 2019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Amended and Restated 2019 Stock Incentive Plan, or A&amp;R 2019 Plan. A copy of the A&amp;R 2019 Plan is attached as Appendix A to this proxy statement. This summary assumes and gives effect to stockholder approval of the A&amp;R 2019 Plan and is qualified in its entirety by the specific language of the A&amp;R 2019 Plan found in Appendix A to this proxy statement. References to our Board of Directors in this summary shall include the compensation committee or any similar committee or sub-committee or our officers to the extent that our Board of Directors’ powers or authority under the A&amp;R 2019 Plan have been delegated to such committee or officers, in accordance with the A&amp;R 2019 Plan.</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purposes of this proposal and except where the context otherwise requires, the term “Company” and similar terms shall include any of our present or future parent or subsidiary corporations as defined in Sections 424(e) or (f) of the Code and any other business venture (including, without limitation, joint venture or limited liability company) in which we have a controlling interest, as determined by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A&amp;R 2019 Plan provides for the grant of incentive stock options intended to qualify under Section 422 of the Code, nonstatutory stock options, SARs, restricted stock, RSUs and other stock-based awards as described below, which we refer to, collectively, as awards or Awards.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adjustment in the event of stock splits, stock dividends and other similar events, awards may be made under the A&amp;R 2019 Plan (any or all of which awards may be in the form of incentive stock options) for up to a number of shares of common stock equal to the sum of: (i) 29,000,000 shares of our common stock; and (ii) such additional number of shares of common stock (up to 11,000,000 shares) as is equal to the number of shares of common stock subject to awards granted under our 2012 Plan, that were outstanding as of the date that the 2019 Plan originally became effective and which awards expire, terminate or are otherwise surrendered, cancelled, forfeited or repurchased by us at their original issuance price pursuant to a contractual repurchase right (subject, however, in the case of incentive stock options to any limitations under the Code). Shares of common stock issued under the A&amp;R 2019 Plan may consist in whole or in part of authorized but unissued shares or treasury shares.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A&amp;R 2019 Plan provides that the maximum aggregate amount of cash and value of awards (calculated based on grant date fair value for financial reporting purposes) granted to any individual non-employee director in any calendar year may not exceed $750,000 in the case of an incumbent director. However, such maximum aggregate amount shall not exceed $1,000,000 in any calendar year for any individual non-employee director in such non-employee director’s initial year of election or appointment. Moreover, fees paid by the Company on behalf of any non-employee director in connection with regulatory compliance, any amounts paid to a non-employee director as reimbursement of an expense and any financial statement expense associated with the modification of an outstanding award will not count against this limit. Exceptions to this limitation may only be made by our Board of Directors in extraordinary circumstances provided that the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For purposes of counting the number of shares available for the grant of awards under the A&amp;R 2019 Plan, all shares of common stock covered by SARs shall be counted against the number of shares available for the grant of awards under the A&amp;R 2019 Plan. However, SARs that may be settled only in cash will not be so counted. In addition, if we grant a SAR in tandem with a stock option for the same number of shares of our common stock and provide that only one such award may be exercised, referred to as a tandem SAR, only the shares covered by the stock option, and not the shares covered by the tandem SAR, will be so counted, and the expiration of one in connection with the other’s exercise will not restore shares to the A&amp;R 2019 Plan.</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Shares covered by awards under the A&amp;R 2019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A&amp;R 2019 Plan (subject, in the case of incentive stock options, to any limitations under the Code). In the case of the exercise of a SAR, the number of shares counted against the shares available for the grant of awards under the A&amp;R 2019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A&amp;R 2019 Plan.</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a merger or consolidation of an entity with us or our acquisition of property or stock of an entity, our Board of Directors may grant awards under the A&amp;R 2019 Plan in substitution for any stock options or other stock or stock-based awards granted by such entity or an affiliate thereof on such terms as our Board of Directors determines appropriate in the circumstances, notwithstanding any limitation on awards contained in the A&amp;R 2019 Plan. No such substitute awards shall count against the overall share limit contained in the A&amp;R 2019 Plan, except as required by reason of Section 422 and related provisions of the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participant who is awarded a stock option receives the right to purchase a specified number of shares of common stock at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and subject to the 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of Directors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A&amp;R 2019 Plan, stock options may not be granted for a term in excess of ten years (and, under present law, five years in the case of incentive stock options granted to participants who hold greater than 10% of the total combined voting power of all classes of our stock or any of our subsidiaries).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A&amp;R 2019 Plan permits participants to pay the exercise price of stock options using one or more of the following manners of payment: (i) payment by cash or by check, (ii) except as may otherwise be provided in the applicable award agreement or approved by our Board of Directors, in connection with a “cashless exercise” through a broker, (iii) to the extent provided in the applicable award agreement or approved by our Board of Directors, and subject to certain conditions, by delivery to us (either by actual delivery or attestation) of shares of common stock owned by the participant valued at their fair market value, (iv) to the extent provided in an applicable nonstatutory stock option award agreement or approved by our Board of Directors, by delivery of a notice of “net exercise” as a result of which we will retain a number of shares of common stock otherwise issuable pursuant to the stock option equal to the aggregate exercise price for the portion of the stock option being exercised divided by the fair market value of our common stock on the date of exercise,</w:t>
      </w:r>
    </w:p>
    <w:p>
      <w:pPr>
        <w:spacing w:after="0" w:line="3" w:lineRule="exact"/>
        <w:rPr>
          <w:sz w:val="20"/>
          <w:szCs w:val="20"/>
          <w:color w:val="auto"/>
        </w:rPr>
      </w:pPr>
    </w:p>
    <w:p>
      <w:pPr>
        <w:ind w:right="480" w:firstLine="8"/>
        <w:spacing w:after="0" w:line="26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award agreement or approved by our Board of Directors, by any other lawful means, or (vi) by any combination of these forms of payment.</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participant who is awarded a SAR receives, upon exercise, a number of shares of our common stock, or cash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shares of our common stock and cash) determined by reference to appreciation, from and after the date of grant, in the fair market value of a share of our common stock over the measurement price. The A&amp;R 2019 Plan provides that the measurement price of a SAR may not be less than 100% of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 on Repricing of Stock Options or SARs. </w:t>
      </w:r>
      <w:r>
        <w:rPr>
          <w:rFonts w:ascii="Times New Roman" w:cs="Times New Roman" w:eastAsia="Times New Roman" w:hAnsi="Times New Roman"/>
          <w:sz w:val="18"/>
          <w:szCs w:val="18"/>
          <w:color w:val="auto"/>
        </w:rPr>
        <w:t>Unless such action is approved by our stockholders or otherwise permitted under the terms of the A&amp;R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Plan in connection with certain changes in capitalization and reorganization events, we may not (i) amend any outstanding stock option or SAR granted under the A&amp;R 2019 Plan to provide an exercise price or measurement price per share that is lower than the then-current exercise price or measurement price per share of such outstanding stock option or SAR, (ii) cancel any outstanding stock option or SAR (whether or not granted under the A&amp;R 2019 Plan) and grant in substitution therefor new awards under the A&amp;R 2019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(iii) cancel in exchange for a cash payment any outstanding stock option or SAR with an exercise price or measurement price per share above the then-current fair market value of our common stock, or (iv) take any other action under the A&amp;R 2019 Plan that constitutes a “repricing” within the meaning of the rules of the Nasdaq Global Market or any other exchange or marketplace on which our stock is listed or traded.</w:t>
      </w:r>
    </w:p>
    <w:p>
      <w:pPr>
        <w:spacing w:after="0" w:line="18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who is granted a restricted stock award is entitled to acquire shares of our common stock, subject to our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Dividends (whether paid in cash, stock or property) declared and paid by us with respect to shares of restricted stock will be paid to the participant only if and when such shares become free from the restrictions on transferability and forfeitability that apply to such shares.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A participant who is granted an RSU award is entitled to receive shares of our common stock, or cash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w:t>
      </w:r>
    </w:p>
    <w:p>
      <w:pPr>
        <w:spacing w:after="0" w:line="1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Under the A&amp;R 2019 Plan, our Board of Directors may grant other awards of shares of our common stock, and other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A&amp;R 2019 Plan or as payment in lieu of compensation to which a participant is otherwise entitled. Other stock-based awards may be paid in shares of our common stock or in cash, as our Board of Directors may determine.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All of our employees, officers, and directors, as well as our consultants and advisors, are eligible to receive awards under the A&amp;R 2019 Plan. However, incentive stock options may only be granted to our employees, employees of our present or future parent or subsidiary corporations as defined in Sections 424(e) or (f) of the Code, and employees of any other entities the employees of which are eligible to receive incentive stock options under the Code.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approximately 44 persons were eligible to receive awards under the A&amp;R 2019 Plan, including five executive officers (who are current employees), 33 employees (excluding executive officers), five non-employee directors, one consultant and zero advisors (excluding consultants).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2026, the last reported sale price of our common stock on the Nasdaq Global Market was $11.93.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such permitted transfer until such time as the permitted transferee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20" w:name="page21"/>
    <w:bookmarkEnd w:id="20"/>
    <w:p>
      <w:pPr>
        <w:ind w:right="320"/>
        <w:spacing w:after="0" w:line="282" w:lineRule="auto"/>
        <w:rPr>
          <w:sz w:val="20"/>
          <w:szCs w:val="20"/>
          <w:color w:val="auto"/>
        </w:rPr>
      </w:pPr>
      <w:r>
        <w:rPr>
          <w:rFonts w:ascii="Times New Roman" w:cs="Times New Roman" w:eastAsia="Times New Roman" w:hAnsi="Times New Roman"/>
          <w:sz w:val="18"/>
          <w:szCs w:val="18"/>
          <w:color w:val="auto"/>
        </w:rPr>
        <w:t>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stockholder with respect to any shares of common stock to be distributed with respect to an award granted under the A&amp;R 2019 Plan until becoming a record holder of such shares, subject to the terms of an award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an award under the A&amp;R 2019 Plan, a participant agrees to be bound by any clawback policy that we have in effect or may adopt in the future.</w:t>
      </w:r>
    </w:p>
    <w:p>
      <w:pPr>
        <w:spacing w:after="0" w:line="225"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We have adopted a Dodd-Frank Compensation Recovery Policy, or Clawback Policy, in accordance with Rule 10D-1 of the Exchange Act, and Nasdaq listing standards that is applicable to our current and former executive officers, or the Covered Persons. The Clawback Policy is administered and interpreted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attempt to recover reasonably promptly the amount of erroneously awarded incentive-based compensation received by Covered Persons. The recovery of such compensation applies regardless of whether an executive engaged in misconduct or otherwise caused or contributed to the requirement for the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Granted under the 2019 Plan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equity-based awards granted under the 2019 Plan since adoption of the 2019 Plan through March 31, 2026, to the individuals and groups described in the below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5000" w:type="dxa"/>
            <w:vAlign w:val="bottom"/>
            <w:gridSpan w:val="2"/>
          </w:tcPr>
          <w:p>
            <w:pPr>
              <w:jc w:val="center"/>
              <w:ind w:left="1453"/>
              <w:spacing w:after="0"/>
              <w:rPr>
                <w:sz w:val="20"/>
                <w:szCs w:val="20"/>
                <w:color w:val="auto"/>
              </w:rPr>
            </w:pPr>
            <w:r>
              <w:rPr>
                <w:rFonts w:ascii="Times New Roman" w:cs="Times New Roman" w:eastAsia="Times New Roman" w:hAnsi="Times New Roman"/>
                <w:sz w:val="14"/>
                <w:szCs w:val="14"/>
                <w:b w:val="1"/>
                <w:bCs w:val="1"/>
                <w:color w:val="auto"/>
              </w:rPr>
              <w:t>Number of Shares of Common Stock Underlying</w:t>
            </w:r>
          </w:p>
        </w:tc>
        <w:tc>
          <w:tcPr>
            <w:tcW w:w="0" w:type="dxa"/>
            <w:vAlign w:val="bottom"/>
          </w:tcPr>
          <w:p>
            <w:pPr>
              <w:spacing w:after="0"/>
              <w:rPr>
                <w:sz w:val="1"/>
                <w:szCs w:val="1"/>
                <w:color w:val="auto"/>
              </w:rPr>
            </w:pPr>
          </w:p>
        </w:tc>
      </w:tr>
      <w:tr>
        <w:trPr>
          <w:trHeight w:val="173"/>
        </w:trPr>
        <w:tc>
          <w:tcPr>
            <w:tcW w:w="6240" w:type="dxa"/>
            <w:vAlign w:val="bottom"/>
            <w:vMerge w:val="continue"/>
          </w:tcPr>
          <w:p>
            <w:pPr>
              <w:spacing w:after="0"/>
              <w:rPr>
                <w:sz w:val="15"/>
                <w:szCs w:val="15"/>
                <w:color w:val="auto"/>
              </w:rPr>
            </w:pPr>
          </w:p>
        </w:tc>
        <w:tc>
          <w:tcPr>
            <w:tcW w:w="5000" w:type="dxa"/>
            <w:vAlign w:val="bottom"/>
            <w:gridSpan w:val="2"/>
          </w:tcPr>
          <w:p>
            <w:pPr>
              <w:jc w:val="center"/>
              <w:ind w:left="149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89"/>
        </w:trPr>
        <w:tc>
          <w:tcPr>
            <w:tcW w:w="6240" w:type="dxa"/>
            <w:vAlign w:val="bottom"/>
            <w:tcBorders>
              <w:top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Jennifer Good</w:t>
            </w:r>
          </w:p>
        </w:tc>
        <w:tc>
          <w:tcPr>
            <w:tcW w:w="4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4,186,084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Cassella, Ph.D.</w:t>
            </w: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Farrell Simon, Pharm. D.</w:t>
            </w:r>
          </w:p>
        </w:tc>
        <w:tc>
          <w:tcPr>
            <w:tcW w:w="4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Our nominee for election as a director, Michael Heffernan</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Each associate of any of such directors, executive officers or</w:t>
            </w:r>
          </w:p>
        </w:tc>
        <w:tc>
          <w:tcPr>
            <w:tcW w:w="4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nominees</w:t>
            </w:r>
          </w:p>
        </w:tc>
        <w:tc>
          <w:tcPr>
            <w:tcW w:w="5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other person who received or is to receive 5 percent or</w:t>
            </w: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more of such stock options, warrants or rights</w:t>
            </w:r>
          </w:p>
        </w:tc>
        <w:tc>
          <w:tcPr>
            <w:tcW w:w="5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 officers who are not</w:t>
            </w:r>
          </w:p>
        </w:tc>
        <w:tc>
          <w:tcPr>
            <w:tcW w:w="4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11,018,512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granting of awards under the A&amp;R 2019 Plan is discretionary, and we cannot now determine the number or type of awards to be granted in the future to any particular person or group, other than as set forth below. We grant each of our non-employee directors a stock option to purchase 70,000 shares of our common stock upon initial election to the Board of Directors and, after such non-employee director has served on the Board of Directors for at least six months, a stock option to purchase 35,000 shares of our common stock on the date of each annual meeting thereafter, including the Annual Meeting, under the terms of our Non-Employee Director Compensation Policy and subject to the limits on director compensation set forth in the A&amp;R 2019 Plan. The compensation we pay to our directors is further discussed below under “Corporate Governance—Director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tbl>
      <w:tblPr>
        <w:tblLayout w:type="fixed"/>
        <w:tblInd w:w="102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3560" w:type="dxa"/>
            <w:vAlign w:val="bottom"/>
            <w:gridSpan w:val="2"/>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73"/>
        </w:trPr>
        <w:tc>
          <w:tcPr>
            <w:tcW w:w="5640" w:type="dxa"/>
            <w:vAlign w:val="bottom"/>
            <w:gridSpan w:val="2"/>
            <w:vMerge w:val="continue"/>
          </w:tcPr>
          <w:p>
            <w:pPr>
              <w:spacing w:after="0"/>
              <w:rPr>
                <w:sz w:val="15"/>
                <w:szCs w:val="15"/>
                <w:color w:val="auto"/>
              </w:rPr>
            </w:pPr>
          </w:p>
        </w:tc>
        <w:tc>
          <w:tcPr>
            <w:tcW w:w="3560" w:type="dxa"/>
            <w:vAlign w:val="bottom"/>
            <w:gridSpan w:val="2"/>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Underlying Stock Options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Borders>
              <w:top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Jennifer Good</w:t>
            </w:r>
          </w:p>
        </w:tc>
        <w:tc>
          <w:tcPr>
            <w:tcW w:w="34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34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Cassella, Ph.D.</w:t>
            </w:r>
          </w:p>
        </w:tc>
        <w:tc>
          <w:tcPr>
            <w:tcW w:w="3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3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Farrell Simon, Pharm. D.</w:t>
            </w:r>
          </w:p>
        </w:tc>
        <w:tc>
          <w:tcPr>
            <w:tcW w:w="3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34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current directors who are not executive officers as a group </w:t>
            </w:r>
            <w:r>
              <w:rPr>
                <w:rFonts w:ascii="Times New Roman" w:cs="Times New Roman" w:eastAsia="Times New Roman" w:hAnsi="Times New Roman"/>
                <w:sz w:val="24"/>
                <w:szCs w:val="24"/>
                <w:color w:val="auto"/>
                <w:vertAlign w:val="superscript"/>
              </w:rPr>
              <w:t>(1)</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 officers who are not</w:t>
            </w:r>
          </w:p>
        </w:tc>
        <w:tc>
          <w:tcPr>
            <w:tcW w:w="3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3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8"/>
        <w:spacing w:after="0" w:line="25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stock option award to purchase shares of common stock to be granted in 2026 to each non-employee director. Under our Non-Employee Director Compensation Policy, each non-employee director of at least six months will receive an annual stock option award of 35,000 shares on the date of our annual stockholder meeting. The exercise price of each stock option to be granted under this policy will be equal to the fair market value of our common stock on the date of grant. Excludes (i) stock options that the non-employee directors will be entitled to receive under our Non-Employee Director Compensation Policy for subsequent years following 2026 and (ii) any discretionary awards that any non-employee director may be awarded under the A&amp;R 2019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A&amp;R 2019 Plan will be administered by our Board of Directors. Our Board of Directors has the authority to grant awards and to adopt, amend and repeal the administrative rules, guidelines and practices relating to the A&amp;R 2019 Plan that it deems advisable and to construe and interpret the provisions of the A&amp;R 2019 Plan and any award agreements entered into under the A&amp;R 2019 Plan. Our Board of Directors may correct any defect, supply any omission or reconcile any inconsistency in the A&amp;R 2019 Plan or any award in the manner and to the extent it shall deem expedient and it shall be the sole and final judge of such expediency. All decisions by our Board of Directors will be made in our Board of Directors’ sole discretion and will be final and binding on all persons having or claiming any interest in the A&amp;R 2019 Plan or in any award.</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terms of the A&amp;R 2019 Plan, our Board of Directors may delegate any or all of its powers under the A&amp;R 2019 Plan to one or more committees or subcommittees of our Board of Directors. The Board of Directors has authorized the compensation committee to administer the A&amp;R 2019 Plan.</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any requirements of applicable law, the Board of Directors may delegate to one or more officers of the Company the power to grant awards (subject to any limitations under the A&amp;R 2019 Plan) to employees or officers of the Company and to exercise such other powers under the A&amp;R 2019 Plan as the Board of Directors may determine, provided that the Board of Directors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(as defined by Rule 3b-7 under the Securities Exchange Act of 1934, as amended, or the Exchange Act), or to any “officer” (as defined by Rule 16a-1(f) under the Exchange Act).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applicable limitations contained in the A&amp;R 2019 Plan, the Board of Directors, the compensation committee, or any other committee or subcommittee or Company officer to whom the Board of Directors has delegated authority pursuant to the A&amp;R 2019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A&amp;R 2019 Plan, each award under the A&amp;R 2019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an award.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may at any time provide that any award shall become immediately exercisable in whole or in part, free from some or all restrictions or conditions or otherwise realizable in whole or in part, as the case may be.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A&amp;R 2019 Plan, (ii) the share counting rules set forth in the A&amp;R 2019 Plan, (iii) the number and class of securities and exercise price per share of each outstanding stock option, (iv) the share and per share provisions and the measurement price of each outstanding SAR, (v) the number of shares subject to and the repurchase price per share subject to each outstanding award of restricted stock and (vi) the share and per share related provisions and purchase price, if any, of each outstanding RSU award and each outstanding other stock-based award. In the event we effect a split of our common stock by means of a stock dividend and the exercise price of and the number of shares subject to an outstanding stock option are adjusted as of the date of the distribution of the dividend (rather than as of the record date for such dividend), then a participant who exercises a stock option between the record date and the distribution date for such stock dividend shall be entitled to receive, on the distribution date, the stock dividend with respect to the shares of common stock acquired upon such stock option exercise, notwithstanding the fact that such shares were not outstanding as of the close of business on the record date for such stock dividend.</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will indemnify and hold harmless each director, officer, employee or agent to whom any duty or power relating to the administration or interpretation of the A&amp;R 2019 Plan has been or will be delegated against any cost or expense (including attorneys’ fees) or liability (including any sum paid in settlement of a claim with our Board of Directors’ approval) arising out of any act or omission to act concerning the A&amp;R 2019 Plan unless arising out of such person’s own fraud or bad faith.</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Except as otherwise provided under the A&amp;R 2019 Plan with respect to repricing outstanding stock options or SARs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actions requiring stockholder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A&amp;R 2019 Plan or the change is otherwise permitted under the terms of the A&amp;R 2019 Plan in connection with certain corporate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Events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A&amp;R 2019 Plan contains provisions addressing the consequences of any reorganization event. A reorganization event is defined under the A&amp;R 2019 Plan as (i) any merger or consolidation of us with or into another entity as a result of which all of our common stock is converted into or exchanged for the right to receive cash, securities or other property, or is cancelled, (ii) any transfer or disposition of all of our common stock for cash, securities or other property pursuant to a share exchange or other transaction or (iii) our liquidation or dissolution.</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Provisions Applicable to Awards Other than Restricted Stock</w:t>
      </w:r>
      <w:r>
        <w:rPr>
          <w:rFonts w:ascii="Times New Roman" w:cs="Times New Roman" w:eastAsia="Times New Roman" w:hAnsi="Times New Roman"/>
          <w:sz w:val="18"/>
          <w:szCs w:val="18"/>
          <w:color w:val="auto"/>
        </w:rPr>
        <w:t>. Under the A&amp;R 2019 Plan, if a reorganization event occurs, our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any one or more of the following actions as to all or any (or any portion of) outstanding awards other than restricted stock on such terms as our Board of Directors determines (except to the extent specifically provided otherwise in an applicable award agreement or another agreement between a participant and us): (i) provide that awards shall be assumed, or substantially equivalent awards shall be substituted, by the acquiring or succeeding corporation (or an affiliate thereof), (ii) upon written notice to a participant, provide that all of the participant’s unvested awards will be forfeited immediately before the reorganization event and/or that all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shares of common stock will receive upon consummation thereof a cash payment for each share surrendered in the reorganization event, or the Acquisition Price, make or provide for a cash payment to participants with respect to an award held by a participant equal to (I) the number of shares of our common stock subject to the vested portion of the award (after giving effect to any acceleration of vesting that occurs upon or immediately prior to such reorganization event) multiplied by (II) the excess, if any, of (A) the Acquisition Price over (B) the exercise, measurement or purchase price of such award and any applicable tax withholdings, in exchange for the termination of such award,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is not obligated to treat all awards, all awards held by a participant, or all awards of the same type, identically. Certain RSU awards that are subject to Section 409A of the Code will be settled in accordance with the terms of the applicable award agreement or as otherwise specified in the A&amp;R 2019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Provisions Applicable to Restricted Stock</w:t>
      </w:r>
      <w:r>
        <w:rPr>
          <w:rFonts w:ascii="Times New Roman" w:cs="Times New Roman" w:eastAsia="Times New Roman" w:hAnsi="Times New Roman"/>
          <w:sz w:val="18"/>
          <w:szCs w:val="18"/>
          <w:color w:val="auto"/>
        </w:rPr>
        <w:t>. Upon the occurrence of a reorganization event other than our liquidation or dissolution, our repurchase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provide for termination or deemed satisfaction of such repurchase or other rights under the instrument evidencing any restricted stock or any other agreement between a participant and us, either initially or by amendment.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for Foreign Participants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may establish one or more sub-plans under the A&amp;R 2019 Plan to satisfy applicable securities, tax or other laws of various jurisdictions. The Board of Directors will establish such sub-plans by adopting supplements to the A&amp;R 2019 Plan containing any limitations on the Board of Directors’ discretion under the A&amp;R 2019 Plan and any additional terms and conditions not otherwise inconsistent with the A&amp;R 2019 Plan as the Board of Directors deems necessary or desirable. All supplements adopted by the Board of Directors will be deemed to be part of the A&amp;R 2019 Plan, but each supplement will only apply to participants within the affected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participant must satisfy all applicable federal, state, and local or other income and employment tax withholding obligations before we will deliver stock certificates or otherwise recognize ownership of common stock under an award. We may elect to satisfy the withholding obligations through additional withholding on 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on exercise, vesting or release from forfeiture of an award or at the same time as payment of the exercise or purchase price, unless we determine otherwise. If provided for in an award or approved by the compensation committee,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compensation committee, the total tax withholding where stock is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shares of common stock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having a fair market value equal to the maximum individual statutory rate of tax) as we shall determine in our sole discretion to satisfy the tax liability associated with any award. Shares used to satisfy tax withholding requirements cannot be subject to any repurchase, forfeiture, unfulfilled vesting or other similar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 award may be granted under the A&amp;R 2019 Plan after May 7, 2029, but awards previously granted may extend beyond that date. Our Board of Directors may amend, suspend or terminate the A&amp;R 2019 Plan or any portion of the A&amp;R 2019 Plan at any time, provided that no amendment that would require stockholder approval under the rules of the Nasdaq Global Market or any other marketplace or exchange on which our common stock is listed or traded will be effective unless and until our stockholders approve such amendment. If at any time the approval of our stockholders is required as to any other modification or amendment under Section 422 of the Code or any successor provision with respect to incentive stock options, our Board of Directors may not effect such modification or amendment without such approval.</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amendment, any amendment to the A&amp;R 2019 Plan adopted in accordance with the procedures described above will apply to, and be binding on the holders of, all awards outstanding under the A&amp;R 2019 Plan at the time the amendment is adopted, provided that our Board of Directors determines that such amendment, taking into account any related action, does not materially and adversely affect the rights of participants under the A&amp;R 2019 Plan. No award will be made that is conditioned on stockholder approval of any amendment to the A&amp;R 2019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of such stockholder approval.</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stockholders do not approve the A&amp;R 2019 Plan, the A&amp;R 2019 Plan will not go into effect and we will not grant any awards under the A&amp;R 2019 Plan in excess of the current share reserve nor will the additional stockholder-focused provisions be added to the 2019</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Plan. In this event, the Board of Directors will consider whether to adopt alternative arrangements based on its assessment of our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A&amp;R 2019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will not have income upon the grant of an incentive stock option. Also, except as described below,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income upon exercise of an incentive stock option if the participant has been employed by us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A participant will not have income upon the grant of a nonstatutory stock option. A participant will have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participant will not have income upon the grant of a SAR. A participant generally will recognize compensation income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will not have income upon the grant of restricted stock unless an election under Section 83(b) of the Code is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participant will not have income upon the grant of an RSU. A participant is not permitted to make a Section 83(b) election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tax consequences associated with any other stock-based award will vary depending on the specific terms of such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Consequences to the Company. </w:t>
      </w:r>
      <w:r>
        <w:rPr>
          <w:rFonts w:ascii="Times New Roman" w:cs="Times New Roman" w:eastAsia="Times New Roman" w:hAnsi="Times New Roman"/>
          <w:sz w:val="18"/>
          <w:szCs w:val="18"/>
          <w:color w:val="auto"/>
        </w:rPr>
        <w:t>There will be no tax consequences to us except we will be entitled to a deduction when a participant has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subject to the limitations of Section 162(m) of the Code</w:t>
      </w:r>
    </w:p>
    <w:p>
      <w:pPr>
        <w:spacing w:after="0" w:line="15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approval of the Trevi Therapeutics, Inc., Amended and Restated 2019 Stock Incentive Plan.</w:t>
      </w:r>
    </w:p>
    <w:p>
      <w:pPr>
        <w:spacing w:after="0" w:line="155" w:lineRule="exact"/>
        <w:rPr>
          <w:sz w:val="20"/>
          <w:szCs w:val="20"/>
          <w:color w:val="auto"/>
        </w:rPr>
      </w:pPr>
    </w:p>
    <w:p>
      <w:pPr>
        <w:ind w:left="260" w:right="180" w:hanging="61"/>
        <w:spacing w:after="0" w:line="317" w:lineRule="auto"/>
        <w:rPr>
          <w:sz w:val="20"/>
          <w:szCs w:val="20"/>
          <w:color w:val="auto"/>
        </w:rPr>
      </w:pPr>
      <w:r>
        <w:rPr>
          <w:rFonts w:ascii="Times New Roman" w:cs="Times New Roman" w:eastAsia="Times New Roman" w:hAnsi="Times New Roman"/>
          <w:sz w:val="17"/>
          <w:szCs w:val="17"/>
          <w:b w:val="1"/>
          <w:bCs w:val="1"/>
          <w:color w:val="auto"/>
        </w:rPr>
        <w:t>PROPOSAL NO. 5—APPROVAL OF AMENDMENT TO OUR RESTATED CERTIFICATE OF INCORPORATION, AS AMENDED, TO INCREASE THE NUMBER OF AUTHORIZED SHARES OF COMMON STOCK FROM 200,000,000 SHARES TO 400,000,000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Board Approval Date, our Board of Directors unanimously approved, subject to stockholder approval, an amendment to our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to (i) increase the number of authorized shares of capital stock from 205,000,000 shares to 405,000,000 shares and (ii) increase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authorized shares of our common stock from 200,000,000 shares of common stock, par value $0.001 per share, to 400,000,000 shares of common stock.</w:t>
      </w:r>
    </w:p>
    <w:p>
      <w:pPr>
        <w:spacing w:after="0" w:line="13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currently authorizes 200,000,000 shares of common stock and 5,000,000 shares of preferred stock, par value $0.001 per share. As of March 31, 2026, out of the 200,000,000 shares of common stock authorized, 35,050,208 shares remained available for future issuance and 164,949,792 shares were issued or reserved for issuance, as follows:</w:t>
      </w:r>
    </w:p>
    <w:p>
      <w:pPr>
        <w:spacing w:after="0" w:line="9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128,411,048 shares of common stock were outstanding;</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12,041,686 shares of common stock were reserved for future issuance upon the exercise of outstanding stock options;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1,851,852 shares of common stock were reserved for future issuance upon the exercise of common stock warrants;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17,248,948 shares of common stock were reserved for future issuance upon the exercise of outstanding pre-funded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on April 20, 2026, we issued and sold 13,340,000 shares of common stock to investors in an underwritten public offering.</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addition, if Proposal 4 (Approval of the Trevi Therapeutics, Inc. Amended and Restated 2019 Stock Incentive Plan) is approved, we will be required to reserve additional shares of common stock for future issuance under the A&amp;R 2019 Plan (as further described under “Description of the A&amp;R 2019 Plan— </w:t>
      </w:r>
      <w:r>
        <w:rPr>
          <w:rFonts w:ascii="Times New Roman" w:cs="Times New Roman" w:eastAsia="Times New Roman" w:hAnsi="Times New Roman"/>
          <w:sz w:val="18"/>
          <w:szCs w:val="18"/>
          <w:i w:val="1"/>
          <w:iCs w:val="1"/>
          <w:color w:val="auto"/>
        </w:rPr>
        <w:t>Types of Awards; Shares Available for Awards; Share Counting Rules</w:t>
      </w:r>
      <w:r>
        <w:rPr>
          <w:rFonts w:ascii="Times New Roman" w:cs="Times New Roman" w:eastAsia="Times New Roman" w:hAnsi="Times New Roman"/>
          <w:sz w:val="18"/>
          <w:szCs w:val="18"/>
          <w:color w:val="auto"/>
        </w:rPr>
        <w:t>” above).</w:t>
      </w:r>
    </w:p>
    <w:p>
      <w:pPr>
        <w:spacing w:after="0" w:line="9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proposed amendment to our restated certificate of incorporation would not increase or otherwise affect our authorized preferred stock. As of April 21, 2026, there were no shares of our preferred stock outstanding.</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common stock is all of a single class, with equal voting, distribution, liquidation and other rights. The additional common stock to be authorized by adoption of the proposed amendment would have rights identical to our currently outstanding common stock.</w:t>
      </w:r>
    </w:p>
    <w:p>
      <w:pPr>
        <w:spacing w:after="0" w:line="9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A copy of the proposed amendment to our restated certificate of incorporation is attached as </w:t>
      </w:r>
      <w:r>
        <w:rPr>
          <w:rFonts w:ascii="Times New Roman" w:cs="Times New Roman" w:eastAsia="Times New Roman" w:hAnsi="Times New Roman"/>
          <w:sz w:val="18"/>
          <w:szCs w:val="18"/>
          <w:i w:val="1"/>
          <w:iCs w:val="1"/>
          <w:color w:val="auto"/>
        </w:rPr>
        <w:t>Appendix B</w:t>
      </w:r>
      <w:r>
        <w:rPr>
          <w:rFonts w:ascii="Times New Roman" w:cs="Times New Roman" w:eastAsia="Times New Roman" w:hAnsi="Times New Roman"/>
          <w:sz w:val="18"/>
          <w:szCs w:val="18"/>
          <w:color w:val="auto"/>
        </w:rPr>
        <w:t xml:space="preserve"> to this proxy statement. If our stockholders approve the proposal, subject to the discretion of the Board of Directors, we intend to file the amendment to our restated certificate of incorporation with the Secretary of State of the State of Delaware as soon as practicable thereafter.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interests of our Company and our stockholders to increase the number of authorized shares of common stock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14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 such as public or private offerings of common stock or convertible securities;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and other similar transactions;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 plans;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that have not yet been identified.</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this time, we do not have any specific plans, commitments, arrangements, understandings or agreements regarding the issuance of common stock following the increase of our authorized shares except for the shares issuable (i) pursuant to our equity incentive plans, (ii) pursuant to the exercise of our outstanding pre-funded and common stock warrants and (iii) under our sales agreement with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6" w:name="page27"/>
    <w:bookmarkEnd w:id="26"/>
    <w:p>
      <w:pPr>
        <w:ind w:right="340"/>
        <w:spacing w:after="0" w:line="266" w:lineRule="auto"/>
        <w:rPr>
          <w:sz w:val="20"/>
          <w:szCs w:val="20"/>
          <w:color w:val="auto"/>
        </w:rPr>
      </w:pPr>
      <w:r>
        <w:rPr>
          <w:rFonts w:ascii="Times New Roman" w:cs="Times New Roman" w:eastAsia="Times New Roman" w:hAnsi="Times New Roman"/>
          <w:sz w:val="18"/>
          <w:szCs w:val="18"/>
          <w:color w:val="auto"/>
        </w:rPr>
        <w:t>Leerink Partners LLC dated June 29, 2023, pursuant to which we may offer and sell shares of our common stock from time to time. However, the availability of additional shares of common stock for issuance is, in management’s view, prudent and may afford us flexibility in acting upon potential transactions to strengthen our financial position and/or engage in collaboration opportunities that may arise from time to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14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the proposed amendment of the restated certificate of incorporation is approved, the additional authorized shares would be available for issuance at the discretion of our Board of Directors and without the expense and delay of further stockholder approval, except as may be required by law or the rules of The Nasdaq Global Market on which our common stock is listed. If the authorization of an increase in the available common stock is postponed until the specific need arises, the delay and expense of obtaining stockholder approval at that time could impair our ability to pursue the issuance of the shares in furtherance of our corporate goals in a timely manner or at all. The additional shares of authorized common stock would have the same rights and privileges as the shares of common stock currently issued and outstanding. Holders of our common stock have no preemptive rights.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adoption of the proposed amendment would not have any immediate dilutive effect on the proportionate voting power or other rights of existing stockholders. However, 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they will own a smaller percentage of shares relative to the total authorized shares of the Company than they presently own.</w:t>
      </w:r>
    </w:p>
    <w:p>
      <w:pPr>
        <w:spacing w:after="0" w:line="12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issuance of additional shares of common stock could have the effect of making it more difficult for a third party to acquire, or discouraging a third party from attempting to acquire, control of the Company. We are not aware of any attempts on the part of a third party to effect a takeover of the Company, and the proposed amendment has been proposed for the reasons stated above and not with the intention that any increase in the authorized common stock be used as a type of anti-takeover device.</w:t>
      </w:r>
    </w:p>
    <w:p>
      <w:pPr>
        <w:spacing w:after="0" w:line="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approval of the Amendment to the Trevi Therapeutics, Inc. Restated Certificate of Incorporation, as amended.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no formal policy regarding board diversity, but our Corporate Governance Guidelines provide that the background and qualifications of the members of our Board of Directors considered as a group should provide a significant breadth of experience, knowledge and ability to assist our Board of Directors in fulfilling its responsibilities. In this regard, the nominating and corporate governance committee takes into consideration the diversity (for example, with respect to gender, race and national origin) of our directors. The nominating and corporate governance committee does not apply any particular weighting of diversity or any other characteristic in evaluating nominees and directors. Nominees are not discriminated against on the basis of race, religion, national origin, sex, sexual orientation, disability or any other basis proscribed by law.</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of Directors. The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680" w:hanging="3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17"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3" w:lineRule="exact"/>
        <w:rPr>
          <w:rFonts w:ascii="Times New Roman" w:cs="Times New Roman" w:eastAsia="Times New Roman" w:hAnsi="Times New Roman"/>
          <w:sz w:val="18"/>
          <w:szCs w:val="18"/>
          <w:color w:val="auto"/>
        </w:rPr>
      </w:pPr>
    </w:p>
    <w:p>
      <w:pPr>
        <w:ind w:left="680" w:right="380" w:hanging="372"/>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our Company and our industry and to regularly attend and participate in meetings of our Board of Directors and its committees.</w:t>
      </w: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ind w:left="680" w:right="480" w:hanging="372"/>
        <w:spacing w:after="0" w:line="312"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31" w:lineRule="exact"/>
        <w:rPr>
          <w:rFonts w:ascii="Times New Roman" w:cs="Times New Roman" w:eastAsia="Times New Roman" w:hAnsi="Times New Roman"/>
          <w:sz w:val="17"/>
          <w:szCs w:val="17"/>
          <w:color w:val="auto"/>
        </w:rPr>
      </w:pPr>
    </w:p>
    <w:p>
      <w:pPr>
        <w:ind w:left="680" w:right="100" w:hanging="372"/>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of a listed company must consider, for each member of the company’s compensation committee, all factors specifically relevant to determining whether a director has a relationship to such company that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July 2025, our Board of Directors undertook a review of the composition of our Board of Directors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Ms. Good, is an “independent director”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Ms. Good is not an independent director under these rules because she is our President and Chief Executive Officer.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Each of the audit committee, compensation committee and nominating and corporate governance committee operates under a charter. A current copy of the charter for each of the audit committee, compensation committee and the nominating and corporate governance committee is posted under the heading “Governance” on the Investors &amp; News section of our website, which is located at </w:t>
      </w:r>
      <w:r>
        <w:rPr>
          <w:rFonts w:ascii="Times New Roman" w:cs="Times New Roman" w:eastAsia="Times New Roman" w:hAnsi="Times New Roman"/>
          <w:sz w:val="18"/>
          <w:szCs w:val="18"/>
          <w:i w:val="1"/>
          <w:iCs w:val="1"/>
          <w:color w:val="auto"/>
        </w:rPr>
        <w:t>https://www.trevitherapeutics.com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current members of our audit committee are Mr. Colangelo, Mr. Heffernan, and Ms. VanLent. Ms. VanLent is the chair of our audit committee. Our Board of Directors has determined that each of Mr. Colangelo, Mr. Heffernan and Ms. VanLent is independent within the meaning of Rule 10A-3 under the Exchange Act. Our Board of Directors has determined that Ms. VanLent is an “audit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committee financial expert” as defined in applicable SEC rules. Our Board of Directors believes that the composition of our audit committee meets the requirements for independence under current Nasdaq and SEC rules and regulations. Our audit committee assists our Board of Directors in its oversight of our accounting and financial reporting process and the audits of our consolidated financial statements. The audit committee met five times during the year ended December 31, 2025, including telephonic meetings. Our audit committee’s responsibilities include:</w:t>
      </w:r>
    </w:p>
    <w:p>
      <w:pPr>
        <w:spacing w:after="0" w:line="72" w:lineRule="exact"/>
        <w:rPr>
          <w:sz w:val="20"/>
          <w:szCs w:val="20"/>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fees of, and assessing the independence of our registered public accounting firm;</w:t>
      </w:r>
    </w:p>
    <w:p>
      <w:pPr>
        <w:spacing w:after="0" w:line="117" w:lineRule="exact"/>
        <w:rPr>
          <w:rFonts w:ascii="Times New Roman" w:cs="Times New Roman" w:eastAsia="Times New Roman" w:hAnsi="Times New Roman"/>
          <w:sz w:val="18"/>
          <w:szCs w:val="18"/>
          <w:color w:val="auto"/>
        </w:rPr>
      </w:pPr>
    </w:p>
    <w:p>
      <w:pPr>
        <w:ind w:left="680" w:right="320" w:hanging="372"/>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680" w:right="180" w:hanging="372"/>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680" w:right="260" w:hanging="372"/>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 including through the review of our programs and procedures to assess, monitor, manage and mitigate cybersecurity, information security and technology risks;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 related complaints and concerns;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 audit services to be provided to us and all non-audit services, other than de minimis non-audit services, to be provided to us by our registered public accounting firm must be approved in advance by our audit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Messrs. Colangelo, Heffernan and Mathers. Mr. Heffernan is the chair of our compensation committee. Our Board of Directors has determined that each of Messrs. Colangelo, Heffernan and Mathers are independent within the meaning of Rule 10C-1 under the Exchange Act. Our compensation committee assists our Board of Directors in the discharge of its responsibilities relating to the compensation of our executive officers. The compensation committee met five times during the year ended December 31, 2025, including telephonic meetings. Our compensation committee’s responsibilities include:</w:t>
      </w:r>
    </w:p>
    <w:p>
      <w:pPr>
        <w:spacing w:after="0" w:line="75" w:lineRule="exact"/>
        <w:rPr>
          <w:sz w:val="20"/>
          <w:szCs w:val="20"/>
          <w:color w:val="auto"/>
        </w:rPr>
      </w:pPr>
    </w:p>
    <w:p>
      <w:pPr>
        <w:ind w:left="680" w:right="40" w:hanging="372"/>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implementation and administration of our compensation recovery policy; and</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then required by SEC rules.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Dr. Meeker and Ms. VanLent. The nominating and corporate governance committee met one time during the year ended December 31, 2025, including telephonic meetings. Our nominating and corporate governance committee’s responsibilities include:</w:t>
      </w:r>
    </w:p>
    <w:p>
      <w:pPr>
        <w:spacing w:after="0" w:line="68" w:lineRule="exact"/>
        <w:rPr>
          <w:sz w:val="20"/>
          <w:szCs w:val="20"/>
          <w:color w:val="auto"/>
        </w:rPr>
      </w:pPr>
    </w:p>
    <w:p>
      <w:pPr>
        <w:ind w:left="680" w:hanging="3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680" w:hanging="3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full Board of Directors met five times during 2025. During 2025, each member of the Board of Directors attended in person or participated in 75% or more of the aggregate of (i) the total number of meetings of the Board of Directors (held during the period for which such person has been a director) and</w:t>
      </w:r>
    </w:p>
    <w:p>
      <w:pPr>
        <w:ind w:right="560" w:firstLine="8"/>
        <w:spacing w:after="0" w:line="260"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the Board of Directors on which such person served (during the periods that such person served).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our Annual Meeting of Stockholders, we encourage all of our directors to attend. All of our directors attended our Annual Meeting of Stockholders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(PEO), principal financial officer, principal accounting officer or controller, or persons performing similar functions. A copy of the code is posted under the heading “Governance” on the Investors &amp; News section of our website, which is located at https://www.trevitherapeutics.com.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our Company and our stockholders. The guidelines provide that:</w:t>
      </w:r>
    </w:p>
    <w:p>
      <w:pPr>
        <w:spacing w:after="0" w:line="54" w:lineRule="exact"/>
        <w:rPr>
          <w:sz w:val="20"/>
          <w:szCs w:val="20"/>
          <w:color w:val="auto"/>
        </w:rPr>
      </w:pPr>
    </w:p>
    <w:p>
      <w:pPr>
        <w:ind w:left="680" w:hanging="3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our Company;</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Nasdaq rules, a majority of the members of our board must be independent directors;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officers, employees and, as necessary, independent advisors; and</w:t>
      </w:r>
    </w:p>
    <w:p>
      <w:pPr>
        <w:spacing w:after="0" w:line="117" w:lineRule="exact"/>
        <w:rPr>
          <w:rFonts w:ascii="Times New Roman" w:cs="Times New Roman" w:eastAsia="Times New Roman" w:hAnsi="Times New Roman"/>
          <w:sz w:val="18"/>
          <w:szCs w:val="18"/>
          <w:color w:val="auto"/>
        </w:rPr>
      </w:pPr>
    </w:p>
    <w:p>
      <w:pPr>
        <w:ind w:left="680" w:right="800" w:hanging="372"/>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will oversee periodic self-evaluations of the board to determine whether it and its committees are functioning effectively.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corporate governance guidelines is posted under the heading “Governance” on the Investors &amp; News section of our website, which is located at https://www.trevitherapeutics.com.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the roles of chairman of the board and chief executive officer may be separated or combined. Our Board of Directors has considered its leadership structure and determined that, at this time, the roles of chairman of the Board of Directors and chief executive officer should be separate. Separating the chairman and the chief executive officer positions allows our Chief Executive Officer, Ms. Good, to focus on running the business, while allowing our chairman of the Board of Directors, Dr. Meeker, to lead our board in its fundamental role of providing advice to and oversight of management.</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also provide that in the event the chairman of our Board of Directors is not an independent director under Nasdaq rules, the nominating and corporate governance committee may designate an independent director to serve as “Lead Director”, who shall be approved by a majority of the independent directors. The duties of the Lead Director include the following:</w:t>
      </w:r>
    </w:p>
    <w:p>
      <w:pPr>
        <w:spacing w:after="0" w:line="68" w:lineRule="exact"/>
        <w:rPr>
          <w:sz w:val="20"/>
          <w:szCs w:val="20"/>
          <w:color w:val="auto"/>
        </w:rPr>
      </w:pPr>
    </w:p>
    <w:p>
      <w:pPr>
        <w:ind w:left="680" w:hanging="372"/>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chairing any meeting of the independent directors in executive session;</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any director who is not adequately performing his or her duties as a member of the board or any committee;</w:t>
      </w:r>
    </w:p>
    <w:p>
      <w:pPr>
        <w:spacing w:after="0" w:line="117" w:lineRule="exact"/>
        <w:rPr>
          <w:rFonts w:ascii="Times New Roman" w:cs="Times New Roman" w:eastAsia="Times New Roman" w:hAnsi="Times New Roman"/>
          <w:sz w:val="18"/>
          <w:szCs w:val="18"/>
          <w:color w:val="auto"/>
        </w:rPr>
      </w:pPr>
    </w:p>
    <w:p>
      <w:pPr>
        <w:ind w:left="680" w:right="20" w:hanging="372"/>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communications between other members of the board and the chairman of our board and/or the chief executive officer; however, each director is free to communicate directly with the chairman of the board and with the chief executive officer;</w:t>
      </w:r>
    </w:p>
    <w:p>
      <w:pPr>
        <w:spacing w:after="0" w:line="53" w:lineRule="exact"/>
        <w:rPr>
          <w:rFonts w:ascii="Times New Roman" w:cs="Times New Roman" w:eastAsia="Times New Roman" w:hAnsi="Times New Roman"/>
          <w:sz w:val="18"/>
          <w:szCs w:val="18"/>
          <w:color w:val="auto"/>
        </w:rPr>
      </w:pPr>
    </w:p>
    <w:p>
      <w:pPr>
        <w:ind w:left="680" w:right="40" w:hanging="372"/>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chairman of our board in the preparation of the agenda for each board meeting and in determining the need for special meetings of the board; and</w:t>
      </w:r>
    </w:p>
    <w:p>
      <w:pPr>
        <w:spacing w:after="0" w:line="53" w:lineRule="exact"/>
        <w:rPr>
          <w:rFonts w:ascii="Times New Roman" w:cs="Times New Roman" w:eastAsia="Times New Roman" w:hAnsi="Times New Roman"/>
          <w:sz w:val="18"/>
          <w:szCs w:val="18"/>
          <w:color w:val="auto"/>
        </w:rPr>
      </w:pPr>
    </w:p>
    <w:p>
      <w:pPr>
        <w:jc w:val="center"/>
        <w:ind w:left="5540" w:right="100" w:hanging="5232"/>
        <w:spacing w:after="0" w:line="282" w:lineRule="auto"/>
        <w:tabs>
          <w:tab w:leader="none" w:pos="6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chairman of our board and/or the chief executive officer on matters relating to corporate governance and board performance.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has three standing committees that currently consist of independent directors. Our Board of Directors delegates substantial responsibilities to the committees, which then report their activities and actions back to the full Board of Directors. We believe that the independent committees of our Board of Directors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 proceedings.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those described under “Risk Factors” in our Annual Report on Form 10-K for the fiscal year ended December 31, 2025. Our Board of Directors is actively involved in oversight of risks that could affect us. This oversight is conducted primarily by our full Board of Directors, which has responsibility for general oversight of risks. Our Board of Directors oversees our risk management processes directly and through its committees. Our management is responsible for risk management on a day-to-day basis and our board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In addition, members of our senior management team attend our board meetings and are available to address any questions or concerns raised by the Board of Directors on risk management and any other matters. Our Board of Directors believes that full and open communication between management and the Board of Directors is essential for effective risk management and oversight.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Directors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chairman of our Board of Directors, by submitting a written communication to the attention of the board the chairman at the following address: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 Trevi Therapeutics,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195 Church Street</w:t>
      </w:r>
    </w:p>
    <w:p>
      <w:pPr>
        <w:jc w:val="center"/>
        <w:ind w:right="20"/>
        <w:spacing w:after="0" w:line="236"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Haven, CT 06510</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United States</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Absent unusual circumstances or as contemplated by the committee charters, the chairman of our Board of Directors shall, subject to advice and assistance from our legal counsel, (1) be primarily responsible for monitoring communications from stockholders and other interested parties, and (2) provide copies or summaries of such communications to the other directors as he or she considers appropriate.</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be retained for a reasonable period of time. The director may discuss the matter with our legal counsel, with independent advisors, with non-management directors, or with our management, or may take other action or no action as the board or director determines in good faith, using reasonable judgment and discretion.</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limits the personal liability of directors and officers for breach of fiduciary duty to the maximum extent permitted by the Delaware General Corporation Law, or the DGCL, and provides that no director or officer will have personal liability to us (in the case of directors) or to our stockholders (in the case of directors and officers) for monetary damages for breach of fiduciary duty as a director or officer. However, these provisions do not eliminate or limit liability:</w:t>
      </w:r>
    </w:p>
    <w:p>
      <w:pPr>
        <w:spacing w:after="0" w:line="72" w:lineRule="exact"/>
        <w:rPr>
          <w:sz w:val="20"/>
          <w:szCs w:val="20"/>
          <w:color w:val="auto"/>
        </w:rPr>
      </w:pPr>
    </w:p>
    <w:p>
      <w:pPr>
        <w:ind w:left="680" w:hanging="3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or officer's duty of loyalty to us or our stockholders;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of the director or officer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director voting for or assenting to unlawful payments of dividends, stock repurchases or other distributions;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left="680" w:hanging="372"/>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officer in any action by or in the right of the corporation.</w:t>
      </w:r>
    </w:p>
    <w:p>
      <w:pPr>
        <w:spacing w:after="0" w:line="11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or officers of corporations, then the personal liability of our directors and officers will be further limited to the greatest extent permitted by the DGCL.</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our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our directors and executive officers.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29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2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directors, executive officers or persons controlling us, in the opinion of the SEC, such indemnification is against public policy as expressed in the Securities Act and is therefore unenforceable.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is also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Insider Trading Policy expressly prohibits all of our employees, including our named executive officers, as well as our directors and certain of their family members and related entities, from engaging in short sales of our securities, including short sales “against the box”; purchases or sales of puts, calls or other derivative securities based on our securities and purchases of financial instruments (including prepaid variable forward contracts, equity swaps, collars and exchange funds) that are designed to hedge or offset any decrease in the market value of our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do not pay any compensation to our President and Chief Executive Officer in connection with her service on our Board of Directors. Ms. Good is one of our named executive officers and, accordingly, the compensation that we pay to Ms. Good is discussed under “—Executive Compensation—2025 Summary Compensation Table” and “Executive Compensation—Narrative to Summary Compensation Table.”</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our director compensation program, we pay our non-employee directors a cash retainer for service on the Board of Directors and for service on each committee on which the director is a member. The chairman of the board and the chairman of each committee receive higher retainers for such service. These fees are payable in arrears in four equal quarterly installments on the last day of each quarter, provided that the amount of such payment is prorated for any portion of such quarter that the director was not serving on our Board of Directors or on such committee. The fees paid to non-employee directors in 2025 as a retainer for service on the Board of Directors and for service on each committee of the Board of Directors on which the director was a member were as follows: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Chairman</w:t>
            </w:r>
          </w:p>
        </w:tc>
      </w:tr>
      <w:tr>
        <w:trPr>
          <w:trHeight w:val="173"/>
        </w:trPr>
        <w:tc>
          <w:tcPr>
            <w:tcW w:w="5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Annual Fee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Annual Fee</w:t>
            </w:r>
          </w:p>
        </w:tc>
        <w:tc>
          <w:tcPr>
            <w:tcW w:w="100" w:type="dxa"/>
            <w:vAlign w:val="bottom"/>
          </w:tcPr>
          <w:p>
            <w:pPr>
              <w:spacing w:after="0"/>
              <w:rPr>
                <w:sz w:val="15"/>
                <w:szCs w:val="15"/>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out-of-pocket expenses incurred in connection with attending board of director and committee meetings.</w:t>
      </w:r>
    </w:p>
    <w:p>
      <w:pPr>
        <w:spacing w:after="0" w:line="5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under our director compensation program, each non-employee director elected or appointed to our Board of Directors receives upon his or her initial election or appointment to our Board of Directors an option to purchase shares of our common stock under our 2019 Plan. Each of these options vests as to 50% of the shares of our common stock underlying such option at the earlier of the first anniversary of the date of grant or the date of the first Annual Meeting of Stockholders held following the date of grant, with the remainder vesting on the earlier of the second anniversary of the date of grant or the date of the second Annual Meeting of Stockholders held following the date of grant, subject to the non-employee director’s continued service as a director, employee or consultant. Further, on the date of each Annual Meeting of Stockholders, each non-employee director that has served on our Board of Directors for at least six months receives an option to purchase shares of our common stock under the 2019 Plan. Each of these options fully vests on the earlier of the first anniversary of the date of grant or the date of the next Annual Meeting of Stockholders, subject to the non-employee director’s continued service as a director, employee or consultant. All options granted to our non-employee directors under our director compensation program are issued at exercise prices equal to the fair market value of our common stock on the date of grant and become exercisable in full in the event of a change in control.</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2025, each non-employee director elected or appointed to our Board of Directors was eligible to receive upon his or her initial election or appointment to our Board of Directors an option to purchase 90,000 shares of our common stock under the 2019 Plan. Further, on the date of the 2025 Annual Meeting of Stockholders, each non-employee director was eligible to, and did receive, an option to purchase 45,000 shares of our common stock under the 2019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all compensation paid to our non-employee directors for the year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720" w:type="dxa"/>
            <w:vAlign w:val="bottom"/>
          </w:tcPr>
          <w:p>
            <w:pPr>
              <w:jc w:val="center"/>
              <w:ind w:left="588"/>
              <w:spacing w:after="0" w:line="146" w:lineRule="exact"/>
              <w:rPr>
                <w:sz w:val="20"/>
                <w:szCs w:val="20"/>
                <w:color w:val="auto"/>
              </w:rPr>
            </w:pPr>
            <w:r>
              <w:rPr>
                <w:rFonts w:ascii="Times New Roman" w:cs="Times New Roman" w:eastAsia="Times New Roman" w:hAnsi="Times New Roman"/>
                <w:sz w:val="14"/>
                <w:szCs w:val="14"/>
                <w:b w:val="1"/>
                <w:bCs w:val="1"/>
                <w:color w:val="auto"/>
              </w:rPr>
              <w:t>or paid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300" w:type="dxa"/>
            <w:vAlign w:val="bottom"/>
          </w:tcPr>
          <w:p>
            <w:pPr>
              <w:spacing w:after="0"/>
              <w:rPr>
                <w:sz w:val="12"/>
                <w:szCs w:val="12"/>
                <w:color w:val="auto"/>
              </w:rPr>
            </w:pPr>
          </w:p>
        </w:tc>
        <w:tc>
          <w:tcPr>
            <w:tcW w:w="2380" w:type="dxa"/>
            <w:vAlign w:val="bottom"/>
            <w:vMerge w:val="restart"/>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 (2)</w:t>
            </w:r>
          </w:p>
        </w:tc>
        <w:tc>
          <w:tcPr>
            <w:tcW w:w="300" w:type="dxa"/>
            <w:vAlign w:val="bottom"/>
          </w:tcPr>
          <w:p>
            <w:pPr>
              <w:spacing w:after="0"/>
              <w:rPr>
                <w:sz w:val="15"/>
                <w:szCs w:val="15"/>
                <w:color w:val="auto"/>
              </w:rPr>
            </w:pPr>
          </w:p>
        </w:tc>
        <w:tc>
          <w:tcPr>
            <w:tcW w:w="23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Meeker, M.D.</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218,430</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Anne VanLent</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218,430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Heffernan</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218,430</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Dominick Colangelo</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218,430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218,430</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120" w:hanging="512"/>
        <w:spacing w:after="0" w:line="255"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stock-based compensation awarded during the year computed in accordance with the provisions of Financial Accounting Standards Board, or FASB, Accounting Standards Codification, or ASC, Topic 718. See note 2 and note 8 to our consolidated financial statements in our Annual Report on Form 10-K for the year ended December 31, 2025 for a discussion of the assumptions underlying the valuation of equity awards.</w:t>
      </w:r>
    </w:p>
    <w:p>
      <w:pPr>
        <w:spacing w:after="0" w:line="2" w:lineRule="exact"/>
        <w:rPr>
          <w:rFonts w:ascii="Times New Roman" w:cs="Times New Roman" w:eastAsia="Times New Roman" w:hAnsi="Times New Roman"/>
          <w:sz w:val="18"/>
          <w:szCs w:val="18"/>
          <w:color w:val="auto"/>
        </w:rPr>
      </w:pPr>
    </w:p>
    <w:p>
      <w:pPr>
        <w:ind w:left="520" w:right="180" w:hanging="512"/>
        <w:spacing w:after="0" w:line="255"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aggregate number of shares of our common stock subject to outstanding option awards held by each individual who served as a non-employee director during 2025 was as follows: Dr. Meeker 209,209 shares, Ms. VanLent 201,315 shares, Mr. Heffernan 222,367 shares, Mr. Colangelo 168,684 shares, and Mr. Mathers 182,894 shares.</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February 19, 2026, our Board of Directors approved certain modifications to our director compensation program. As part of these modifications, effective as of April 1, 2026, the retainer paid to non-employee directors for serving on the compensation committee was increased to $10,000 and the retainer paid to the chair of the compensation committee was increased to $20,000 and the number of shares underlying option awards to be granted to our non-employee directors was decreased, effective February 19, 2026. Under the modified director compensation program, each non-employee director elected or appointed to our Board of Directors will receive upon his or her initial election or appointment to our Board of Directors an option to purchase 70,000 shares of our common stock, and on the date of each Annual Meeting of Stockholders, each non-employee director that has served on our Board of Directors for at least six months will receive an option to purchase 35,000 shares of our common stock. The vesting terms for both of these option grants remain unchanged.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following discussion relates to the compensation of Jennifer Good, our President and Chief Executive Officer, James Cassella, Ph.D., our Chief Development Officer, and Farrell Simon, Pharm D., our Chief Commercial Officer. These individuals are collectively referred to in this proxy statement as our named executive officers.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and earned by our named executive officers for the years ended December 31, 2025 and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40" w:type="dxa"/>
            <w:vAlign w:val="bottom"/>
          </w:tcPr>
          <w:p>
            <w:pPr>
              <w:spacing w:after="0"/>
              <w:rPr>
                <w:sz w:val="12"/>
                <w:szCs w:val="12"/>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xml:space="preserve">Bonus ($)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(2)</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(3)</w:t>
            </w:r>
          </w:p>
        </w:tc>
        <w:tc>
          <w:tcPr>
            <w:tcW w:w="2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Good</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622,382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2,968,260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607,930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1,601,781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James Cassella, Ph.D. </w:t>
            </w:r>
            <w:r>
              <w:rPr>
                <w:rFonts w:ascii="Times New Roman" w:cs="Times New Roman" w:eastAsia="Times New Roman" w:hAnsi="Times New Roman"/>
                <w:sz w:val="24"/>
                <w:szCs w:val="24"/>
                <w:color w:val="auto"/>
                <w:vertAlign w:val="superscript"/>
              </w:rPr>
              <w:t>(4)</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488,270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1,637,220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1,161,707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Farrell Simon, Pharm. D. </w:t>
            </w:r>
            <w:r>
              <w:rPr>
                <w:rFonts w:ascii="Times New Roman" w:cs="Times New Roman" w:eastAsia="Times New Roman" w:hAnsi="Times New Roman"/>
                <w:sz w:val="24"/>
                <w:szCs w:val="24"/>
                <w:color w:val="auto"/>
                <w:vertAlign w:val="superscript"/>
              </w:rPr>
              <w:t>(5)</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370,067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825,330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“Bonus” column reflect discretionary annual cash bonuses paid to our executive officers for their performance.</w:t>
      </w:r>
    </w:p>
    <w:p>
      <w:pPr>
        <w:spacing w:after="0" w:line="2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stock-based compensation awarded during the year computed in accordance with the provisions of FASB ASC Topic 718. See note 2 and note 8 to our consolidated financial statements in our Annual Report on Form 10-K for the year ended December 31, 2025 for a discussion of the assumptions underlying the valuation of our equity awards.</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cost to us of 401(k) matching contributions and, for Dr. Cassella, also include compensation that he earned with respect to his service as a director during 2024 under our director compensation program prior to his resignation from our Board of Directors as of September 30, 2024 in connection with his appointment as our Chief Development Officer.</w:t>
      </w:r>
    </w:p>
    <w:p>
      <w:pPr>
        <w:spacing w:after="0" w:line="1"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Cassella served on our Board of Directors until he was appointed as our Chief Development Officer on September 30, 2024 and resigned from our Board of Directors in connection with this appointment</w:t>
      </w:r>
    </w:p>
    <w:p>
      <w:pPr>
        <w:ind w:left="520" w:right="260" w:hanging="512"/>
        <w:spacing w:after="0" w:line="26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Simon was not a named executive officer for 2024. The Summary Compensation Table includes compensation information for Dr. Simon for 2025 only.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base salary for our named executive officers is determined by our compensation committee or by our Board of Directors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of our compensation committee. Base salaries for our named executive officers typically are established through arms’ length negotiation at the time the named executive officer is hired, taking into account the position for which the named executive officer is being considered and the named executive officer’s qualifications, prior experience and salary expectations. In addition, on an annual basis, our compensation committee reviews and evaluates, with input from our Chief Executive Officer (other than with respect to herself), the need for adjustment of the base salaries of our named executive officers. Each determination as to base salary is based on the scope of each officer’s responsibilities along with his or her respective experience and, in the case of continuing officers, contributions to our Company during the prior year. When reviewing base salaries, the compensation committee takes factors into account such as blended peer group and broader market data reviewed with the committee’s external compensation consultant, market competitiveness, expected future contribution, experience, impact and individual performance and internal parity relative to similar positions within our company, but does not assign any specific weighting to any factor. In assessing executive base salaries against the blended peer group and broader market data, the compensation committee generally targets base salaries at the 50th percentile for each of the named executive officers with variation based on other factors such as tenure and scope of responsibilities. None of our named executive officers is currently party to an employment agreement or other agreement or arrangement that provides for automatic or scheduled increases in base salary.</w:t>
      </w:r>
    </w:p>
    <w:p>
      <w:pPr>
        <w:spacing w:after="0" w:line="8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annualized base salary for our named executive officers during the years ended December 31, 2025 and December 31, 2024:</w:t>
      </w:r>
    </w:p>
    <w:tbl>
      <w:tblPr>
        <w:tblLayout w:type="fixed"/>
        <w:tblInd w:w="0" w:type="dxa"/>
        <w:tblCellMar>
          <w:top w:w="0" w:type="dxa"/>
          <w:left w:w="0" w:type="dxa"/>
          <w:bottom w:w="0" w:type="dxa"/>
          <w:right w:w="0" w:type="dxa"/>
        </w:tblCellMar>
      </w:tblPr>
      <w:tr>
        <w:trPr>
          <w:trHeight w:val="131"/>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1"/>
                <w:szCs w:val="11"/>
                <w:color w:val="auto"/>
              </w:rPr>
            </w:pPr>
          </w:p>
        </w:tc>
        <w:tc>
          <w:tcPr>
            <w:tcW w:w="2020" w:type="dxa"/>
            <w:vAlign w:val="bottom"/>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2025 Annualized Base</w:t>
            </w:r>
          </w:p>
        </w:tc>
        <w:tc>
          <w:tcPr>
            <w:tcW w:w="240" w:type="dxa"/>
            <w:vAlign w:val="bottom"/>
          </w:tcPr>
          <w:p>
            <w:pPr>
              <w:spacing w:after="0"/>
              <w:rPr>
                <w:sz w:val="11"/>
                <w:szCs w:val="11"/>
                <w:color w:val="auto"/>
              </w:rPr>
            </w:pPr>
          </w:p>
        </w:tc>
        <w:tc>
          <w:tcPr>
            <w:tcW w:w="2100" w:type="dxa"/>
            <w:vAlign w:val="bottom"/>
            <w:gridSpan w:val="2"/>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2024 Annualized Base</w:t>
            </w:r>
          </w:p>
        </w:tc>
        <w:tc>
          <w:tcPr>
            <w:tcW w:w="0" w:type="dxa"/>
            <w:vAlign w:val="bottom"/>
          </w:tcPr>
          <w:p>
            <w:pPr>
              <w:spacing w:after="0"/>
              <w:rPr>
                <w:sz w:val="1"/>
                <w:szCs w:val="1"/>
                <w:color w:val="auto"/>
              </w:rPr>
            </w:pPr>
          </w:p>
        </w:tc>
      </w:tr>
      <w:tr>
        <w:trPr>
          <w:trHeight w:val="173"/>
        </w:trPr>
        <w:tc>
          <w:tcPr>
            <w:tcW w:w="6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40" w:type="dxa"/>
            <w:vAlign w:val="bottom"/>
          </w:tcPr>
          <w:p>
            <w:pPr>
              <w:spacing w:after="0"/>
              <w:rPr>
                <w:sz w:val="15"/>
                <w:szCs w:val="15"/>
                <w:color w:val="auto"/>
              </w:rPr>
            </w:pPr>
          </w:p>
        </w:tc>
        <w:tc>
          <w:tcPr>
            <w:tcW w:w="20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Jennifer Good</w:t>
            </w:r>
          </w:p>
        </w:tc>
        <w:tc>
          <w:tcPr>
            <w:tcW w:w="21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625,000</w:t>
            </w:r>
          </w:p>
        </w:tc>
        <w:tc>
          <w:tcPr>
            <w:tcW w:w="22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610,000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James Cassella, Ph.D </w:t>
            </w:r>
            <w:r>
              <w:rPr>
                <w:rFonts w:ascii="Times New Roman" w:cs="Times New Roman" w:eastAsia="Times New Roman" w:hAnsi="Times New Roman"/>
                <w:sz w:val="24"/>
                <w:szCs w:val="24"/>
                <w:color w:val="auto"/>
                <w:vertAlign w:val="superscript"/>
              </w:rPr>
              <w:t>(1)</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Farrell Simon, Pharm. D.</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520" w:right="1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Cassella served on our Board of Directors until he was appointed as our Chief Development Officer on September 30, 2024 and resigned from our Board of Directors in connection with this appointment.</w:t>
      </w:r>
    </w:p>
    <w:p>
      <w:pPr>
        <w:spacing w:after="0" w:line="52"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The compensation committee or our Board of Directors upon the recommendation of our compensation committee may, in its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bonuses to our named executive officers. We typically establish annual bonus targets based on specified corporate goals for our named executive officers and conduct annual performance reviews to determine the attainment of such goals by each named executive officer. Bonus targets are generally established at the 50th percentile for each of our named executive officers. Our Chief Executive Officer may propose bonus awards to the compensation committee as part of this review process.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right="660"/>
        <w:spacing w:after="0" w:line="282" w:lineRule="auto"/>
        <w:rPr>
          <w:sz w:val="20"/>
          <w:szCs w:val="20"/>
          <w:color w:val="auto"/>
        </w:rPr>
      </w:pPr>
      <w:r>
        <w:rPr>
          <w:rFonts w:ascii="Times New Roman" w:cs="Times New Roman" w:eastAsia="Times New Roman" w:hAnsi="Times New Roman"/>
          <w:sz w:val="18"/>
          <w:szCs w:val="18"/>
          <w:color w:val="auto"/>
        </w:rPr>
        <w:t>compensation committee or our Board of Directors upon the recommendation of our compensation committee makes the final determination of the eligibility requirements for and the amount of each bonus awarded to a named executive officer.</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2025, the target annual bonus as a percentage of base salary was 55% for Ms. Good, 40% for Dr. Cassella and 40% for Dr. Simon. For the 2025 bonus period, our Board of Directors established corporate performance goals, each having a designated weighting, which related to key development, strategic and financial goals of the company. In January 2026, our compensation committee met and evaluated the performance of the Company against these performance goals and considered other achievements of the company. In light of the company’s performance against these goals and these achievements and factors, our compensation committee determined that we had achieved a corporate performance score of 100% and approved payment of a cash bonus for 2025 of $343,750 for Ms. Good, $196,000 for Dr. Cassella and $150,000 for Dr. Simon.</w:t>
      </w:r>
    </w:p>
    <w:p>
      <w:pPr>
        <w:spacing w:after="0" w:line="7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ownership guidelines applicable to them, we believe that equity grants provide our executives with a strong link to our long-term performance, create an ownership culture and help align the interests of our executives with those of our stockholders. We also believe that equity grants with a time-based vesting feature promote executive retention because this feature incentivizes our executive officers to remain employed by us during the vesting period, and that equity grants with performance-based vesting conditions further align our executive officer's interests with those of our stockholders. Accordingly, the compensation committee periodically reviews the equity incentive compensation of our executive officers and from time to time may grant equity incentive awards to them, including as part of our annual compensation review.</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stock options to compensate our executive officers in the form of initial grants in connection with the commencement of employment and also at other various times during their employment, including as part of the annual stock option grants that we typically make to our employees and directors. We also grant stock options to individuals upon promotion or for retention purposes. None of our executive officers is currently party to an employment agreement that provides for automatic award of stock options. The compensation committee generally targets equity compensation between the 50th and 75th percentile from our peer group and in light of our capitalization and peer group, prior to 2026, generally determined equity compensation on the basis of percentage of ownership of the Company. For 2026, the compensation committee determined equity compensation on the basis of a blended rate of percentage of ownership of the Company and the value of equity awards. The committee also considers other factors such as the executive's tenure with the Company and scope of responsibilities. We currently do not grant stock appreciation rights, RSUs or similar option-like instruments. During the last fiscal year, neither our Board of Directors nor the compensation committee of our Board of Directors took material nonpublic information into account when determining the timing or terms of stock options, nor did we time the disclosure of material nonpublic information for the purpose of affecting the value of executive compensation.</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stock options we have granted to our executive officers are typically subject to time-based vesting, although from time to time we granted stock options with performance-based vesting. The options with time-based vesting that we have granted to our executive officers typically vest over four years based on varying vesting schedules that primarily include: 25% vesting on the first anniversary date of grant and the balance ratably over the next 36 months or vesting in equal monthly or quarterly installments over four years. Vesting rights cease upon termination of employment and exercise rights cease shortly after termination, except that exercisability is extended in the case of death or disability and for options granted prior to July 14, 2017, vesting is fully accelerated upon a change of control. Prior to the exercise of an option, the holder has no rights as a stockholder with respect to the shares subject to such option, including no voting rights and no right to receive dividends or dividend equivalents.</w:t>
      </w:r>
    </w:p>
    <w:p>
      <w:pPr>
        <w:spacing w:after="0" w:line="8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exercise prices of all stock options granted are equal to the fair market value of shares of our common stock on the date of grant determined by reference to the closing market price of our common stock on the date of grant.</w:t>
      </w:r>
    </w:p>
    <w:p>
      <w:pPr>
        <w:spacing w:after="0" w:line="5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February 2025, our Board of Directors granted to our executive officers options with time-based vesting, including to Ms. Good a stock option to purchase 811,000 shares of our common stock, to Dr. Cassella a stock option to purchase 257,500 shares of our common stock and to Dr. Simon a stock option to purchase 225,500 shares of our common stock. These options are scheduled to vest with respect to 25% of the shares underlying the respective options on the one-year anniversary of the date of grant. The remaining 75% of the shares underlying the options are scheduled to vest in equal monthly installments thereafter through the remaining 36 months. In February 2024, our Board of Directors had granted to Ms. Good and Dr. Simon options with performance-based vesting. Specifically, we granted to Ms. Good a performance-based option to purchase 170,000 shares of our common stock and we granted to Dr. Simon a performance-based option to purchase 120,000 shares of our common stock. The options were subject to vesting based on the timing and successful results of our Phase 2b clinical trial of Haduvio (nalbuphine ER) for the treatment of chronic cough in patients with idiopathic pulmonary fibrosis, which we refer to as the CORAL trial, and our Phase 2 clinical trial of Haduvio for the treatment of patients with refractory chronic cough, which we refer to as the RIVER trial. In March 2025, the compensation committee certified that the performance metrics related to the successful results of the RIVER trial were satisfied with respect to 80% of the performance-based options subject to the RIVER trial performance metrics, resulting in the vesting of the performance-based options granted to Ms. Good and Dr. Simon as to 54,400 shares and 38,400 shares of common stock, respectively. In May 2025, the compensation committee certified that the performance metrics related to the successful results of the CORAL trial were satisfied with respect to 100% of the performance-based options subject to the CORAL trial performance metrics, resulting in the vesting of the performance-based options granted to Ms. Good and Dr. Simon as to 102,000 shares and 72,000 shares of common stock, respectively.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255" w:lineRule="auto"/>
        <w:rPr>
          <w:sz w:val="20"/>
          <w:szCs w:val="20"/>
          <w:color w:val="auto"/>
        </w:rPr>
      </w:pPr>
      <w:r>
        <w:rPr>
          <w:rFonts w:ascii="Times New Roman" w:cs="Times New Roman" w:eastAsia="Times New Roman" w:hAnsi="Times New Roman"/>
          <w:sz w:val="18"/>
          <w:szCs w:val="18"/>
          <w:color w:val="auto"/>
        </w:rPr>
        <w:t>In February 2026, our Board of Directors granted to our executive officers options with time-based vesting and options with performance-based vesting. In February 2026, we granted Ms. Good a time-based option to purchase 675,000 shares of our common stock and a performance-based option to purchase 260,000 shares of our common stock, Dr. Cassella a time-based option to purchase 215,000 shares of our common stock and a performance-based option to purchase 60,000 shares of our common stock, and Dr. Simon a time-based option to purchase 160,000 shares of our common stock and a performance-based option to purchase 40,000 shares of our common stock. The time-based options are scheduled to vest in equal monthly installments over four years in 48 equal monthly installments and the options with performance-based vesting are scheduled to vest based on performance criteria related to the timing and results of our clinical trials.</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Role of our Compensation Committee. </w:t>
      </w:r>
      <w:r>
        <w:rPr>
          <w:rFonts w:ascii="Times New Roman" w:cs="Times New Roman" w:eastAsia="Times New Roman" w:hAnsi="Times New Roman"/>
          <w:sz w:val="18"/>
          <w:szCs w:val="18"/>
          <w:color w:val="auto"/>
        </w:rPr>
        <w:t>Our compensation committee reviews and approves, or recommends to our Board of Directors which approves,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components including base salary, bonus, benefits, equity incentives and other perquisites, as well as severance arrangements, change-in-control benefits and other forms of compensation for our Chief Executive Officer and our other executive officers. In all cases, our compensation committee reviews executive compensation decisions with our Board of Directors before making a final determination. In addition, the compensation committee also considers matters related to individual compensation, such as compensation for new executive hires, as well as high-level strategic issues, such as the effectiveness of our compensation strategy, potential modifications to that strategy and new trends, plans, or approaches to compensation, at various meetings throughout the year. The compensation committee also reviews and approves the compensation of non-employee directors and has the authority to administer our equity-based plans.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its charter, our compensation committee may form and delegate authority to subcommittees consisting of independent directors, as it deems appropriate. Pursuant to the 2019 Plan, the compensation committee has delegated to our Chief Executive Officer the authority to approve grants of stock options to new hire employees below the level of Vice President, subject to specified limitations, including certain limitations for each level of employment and an annual aggregate maximum amount of awards that can be granted pursuant to such delegated authority.</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any immediate family member of such officer. The charter of the compensation committee grants the compensation committee full access to all of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may, in its sole discretion, retain compensation consultants to assist in its evaluation of executive and director compensation, including the authority to approve the consultant’s reasonable fees and other retention terms.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first engaged Alpine Rewards, LLC, or Alpine, as its compensation consultant in mid-2023. The compensation committee again engaged Alpine to assist with designing our 2025 compensation program. Our compensation committee has considered the relationship that Alpine has with us, the members of our Board of Directors and our executive officers. Based on its evaluation, the compensation committee has determined that no conflicts of interest exist between the Company and Alpine.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Alpine assisted the compensation committee in conducting a competitive compensation assessment for our executive officers for the fiscal year ended December 31, 2025, including with respect to its determinations and recommendations with respect to base salary, target bonus, target bonus percentage and option grants. In setting or recommending the compensation for our executive officers in 2025, the compensation committee, with the assistance of Alpine, reviewed and updated a peer group of publicly traded companies in the biopharmaceutical industry, which was comprised of companies whose market capitalization, number of employees, number of years as a public company, geographic region, maturity of product development pipeline and area of therapeutic focus are similar to ours. For purposes of setting 2025 compensation, the compensation committee used the following peer group of publicly traded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AnaptysBio</w:t>
            </w:r>
          </w:p>
        </w:tc>
        <w:tc>
          <w:tcPr>
            <w:tcW w:w="39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Centessa Pharmaceuticals</w:t>
            </w:r>
          </w:p>
        </w:tc>
        <w:tc>
          <w:tcPr>
            <w:tcW w:w="45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Mineralys Therapeutics</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Anavex Life Sciences</w:t>
            </w:r>
          </w:p>
        </w:tc>
        <w:tc>
          <w:tcPr>
            <w:tcW w:w="3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Dianthus Therapeutics</w:t>
            </w:r>
          </w:p>
        </w:tc>
        <w:tc>
          <w:tcPr>
            <w:tcW w:w="45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Rapport Therapeutics</w:t>
            </w: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Arbutus Biopharma</w:t>
            </w:r>
          </w:p>
        </w:tc>
        <w:tc>
          <w:tcPr>
            <w:tcW w:w="39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Disc Medicine</w:t>
            </w:r>
          </w:p>
        </w:tc>
        <w:tc>
          <w:tcPr>
            <w:tcW w:w="45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Rezolute</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Astria Therapeutics</w:t>
            </w:r>
          </w:p>
        </w:tc>
        <w:tc>
          <w:tcPr>
            <w:tcW w:w="3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Edgewise Therapeutics</w:t>
            </w:r>
          </w:p>
        </w:tc>
        <w:tc>
          <w:tcPr>
            <w:tcW w:w="45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Savara</w:t>
            </w: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Belite Bio</w:t>
            </w:r>
          </w:p>
        </w:tc>
        <w:tc>
          <w:tcPr>
            <w:tcW w:w="39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Janux Therapeutics</w:t>
            </w:r>
          </w:p>
        </w:tc>
        <w:tc>
          <w:tcPr>
            <w:tcW w:w="45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Spyre Therapeutics</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Celldex Therapeutics</w:t>
            </w:r>
          </w:p>
        </w:tc>
        <w:tc>
          <w:tcPr>
            <w:tcW w:w="3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Kodiak Sciences</w:t>
            </w:r>
          </w:p>
        </w:tc>
        <w:tc>
          <w:tcPr>
            <w:tcW w:w="45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Upstream Bio</w:t>
            </w:r>
          </w:p>
        </w:tc>
      </w:tr>
    </w:tbl>
    <w:p>
      <w:pPr>
        <w:spacing w:after="0" w:line="71"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In the future, we expect that the Compensation Committee will continue to engage compensation consultants to provide additional guidance on our executive and director compensation programs and to conduct further competitive benchmarking against our peer group.</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all outstanding stock options held by each of our named executive officers as of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unvested restricted stock awards were outstanding as of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740" w:type="dxa"/>
            <w:vAlign w:val="bottom"/>
          </w:tcPr>
          <w:p>
            <w:pPr>
              <w:jc w:val="center"/>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380" w:type="dxa"/>
            <w:vAlign w:val="bottom"/>
          </w:tcPr>
          <w:p>
            <w:pPr>
              <w:jc w:val="center"/>
              <w:ind w:right="349"/>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4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4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380" w:type="dxa"/>
            <w:vAlign w:val="bottom"/>
          </w:tcPr>
          <w:p>
            <w:pPr>
              <w:jc w:val="center"/>
              <w:ind w:right="34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vMerge w:val="restart"/>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7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380" w:type="dxa"/>
            <w:vAlign w:val="bottom"/>
          </w:tcPr>
          <w:p>
            <w:pPr>
              <w:jc w:val="center"/>
              <w:ind w:right="34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17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238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14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3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Good</w:t>
            </w:r>
          </w:p>
        </w:tc>
        <w:tc>
          <w:tcPr>
            <w:tcW w:w="14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173,684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263,541</w:t>
            </w:r>
          </w:p>
        </w:tc>
        <w:tc>
          <w:tcPr>
            <w:tcW w:w="140" w:type="dxa"/>
            <w:vAlign w:val="bottom"/>
            <w:shd w:val="clear" w:color="auto" w:fill="CFF0FC"/>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265,625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109,375</w:t>
            </w:r>
          </w:p>
        </w:tc>
      </w:tr>
      <w:tr>
        <w:trPr>
          <w:trHeight w:val="216"/>
        </w:trPr>
        <w:tc>
          <w:tcPr>
            <w:tcW w:w="3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341,250</w:t>
            </w:r>
          </w:p>
        </w:tc>
      </w:tr>
      <w:tr>
        <w:trPr>
          <w:trHeight w:val="198"/>
        </w:trPr>
        <w:tc>
          <w:tcPr>
            <w:tcW w:w="3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156,400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811,000</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James Cassella, Ph.D </w:t>
            </w:r>
            <w:r>
              <w:rPr>
                <w:rFonts w:ascii="Times New Roman" w:cs="Times New Roman" w:eastAsia="Times New Roman" w:hAnsi="Times New Roman"/>
                <w:sz w:val="22"/>
                <w:szCs w:val="22"/>
                <w:color w:val="auto"/>
                <w:vertAlign w:val="superscript"/>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23,684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32"/>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257,500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-482600</wp:posOffset>
            </wp:positionV>
            <wp:extent cx="4680585"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80585" cy="41148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spacing w:after="0"/>
              <w:rPr>
                <w:sz w:val="16"/>
                <w:szCs w:val="16"/>
                <w:color w:val="auto"/>
              </w:rPr>
            </w:pP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12/19/2027</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6/2/2029</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2/12/2030</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2/16/2031</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2/13/2032</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2/15/2033</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2/14/2034</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2/14/2034</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2/18/2035</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2/12/2030</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6/15/2031</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6/22/2032</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6/27/2033</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6/12/2034</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9/29/2034</w:t>
            </w:r>
          </w:p>
        </w:tc>
      </w:tr>
      <w:tr>
        <w:trPr>
          <w:trHeight w:val="232"/>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-1644015</wp:posOffset>
            </wp:positionV>
            <wp:extent cx="3625850" cy="685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5850" cy="6858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7360" w:space="220"/>
            <w:col w:w="140" w:space="180"/>
            <w:col w:w="33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386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rPr>
              <w:t>Farrell Simon, Pharm. D.</w:t>
            </w:r>
          </w:p>
        </w:tc>
        <w:tc>
          <w:tcPr>
            <w:tcW w:w="1660" w:type="dxa"/>
            <w:vAlign w:val="bottom"/>
            <w:gridSpan w:val="3"/>
            <w:shd w:val="clear" w:color="auto" w:fill="CFF0FC"/>
          </w:tcPr>
          <w:p>
            <w:pPr>
              <w:jc w:val="right"/>
              <w:spacing w:after="0" w:line="200" w:lineRule="exact"/>
              <w:rPr>
                <w:sz w:val="20"/>
                <w:szCs w:val="20"/>
                <w:color w:val="auto"/>
              </w:rPr>
            </w:pPr>
            <w:r>
              <w:rPr>
                <w:rFonts w:ascii="Times New Roman" w:cs="Times New Roman" w:eastAsia="Times New Roman" w:hAnsi="Times New Roman"/>
                <w:sz w:val="18"/>
                <w:szCs w:val="18"/>
                <w:color w:val="auto"/>
              </w:rPr>
              <w:t>11,187</w:t>
            </w: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450"/>
              <w:spacing w:after="0" w:line="200" w:lineRule="exact"/>
              <w:rPr>
                <w:sz w:val="20"/>
                <w:szCs w:val="20"/>
                <w:color w:val="auto"/>
              </w:rPr>
            </w:pPr>
            <w:r>
              <w:rPr>
                <w:rFonts w:ascii="Times New Roman" w:cs="Times New Roman" w:eastAsia="Times New Roman" w:hAnsi="Times New Roman"/>
                <w:sz w:val="18"/>
                <w:szCs w:val="18"/>
                <w:color w:val="auto"/>
              </w:rPr>
              <w:t>3.91</w:t>
            </w:r>
          </w:p>
        </w:tc>
        <w:tc>
          <w:tcPr>
            <w:tcW w:w="1300" w:type="dxa"/>
            <w:vAlign w:val="bottom"/>
            <w:shd w:val="clear" w:color="auto" w:fill="CFF0FC"/>
          </w:tcPr>
          <w:p>
            <w:pPr>
              <w:jc w:val="right"/>
              <w:spacing w:after="0" w:line="200" w:lineRule="exact"/>
              <w:rPr>
                <w:sz w:val="20"/>
                <w:szCs w:val="20"/>
                <w:color w:val="auto"/>
              </w:rPr>
            </w:pPr>
            <w:r>
              <w:rPr>
                <w:rFonts w:ascii="Times New Roman" w:cs="Times New Roman" w:eastAsia="Times New Roman" w:hAnsi="Times New Roman"/>
                <w:sz w:val="18"/>
                <w:szCs w:val="18"/>
                <w:color w:val="auto"/>
              </w:rPr>
              <w:t>9/21/2030</w:t>
            </w:r>
          </w:p>
        </w:tc>
        <w:tc>
          <w:tcPr>
            <w:tcW w:w="0" w:type="dxa"/>
            <w:vAlign w:val="bottom"/>
          </w:tcPr>
          <w:p>
            <w:pPr>
              <w:spacing w:after="0"/>
              <w:rPr>
                <w:sz w:val="1"/>
                <w:szCs w:val="1"/>
                <w:color w:val="auto"/>
              </w:rPr>
            </w:pPr>
          </w:p>
        </w:tc>
      </w:tr>
      <w:tr>
        <w:trPr>
          <w:trHeight w:val="145"/>
        </w:trPr>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94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c>
          <w:tcPr>
            <w:tcW w:w="94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1"/>
                <w:szCs w:val="11"/>
                <w:color w:val="auto"/>
              </w:rPr>
              <w:t>(1)</w:t>
            </w:r>
          </w:p>
        </w:tc>
        <w:tc>
          <w:tcPr>
            <w:tcW w:w="1540" w:type="dxa"/>
            <w:vAlign w:val="bottom"/>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0.51</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2/10/2032</w:t>
            </w:r>
          </w:p>
        </w:tc>
        <w:tc>
          <w:tcPr>
            <w:tcW w:w="0" w:type="dxa"/>
            <w:vAlign w:val="bottom"/>
          </w:tcPr>
          <w:p>
            <w:pPr>
              <w:spacing w:after="0"/>
              <w:rPr>
                <w:sz w:val="1"/>
                <w:szCs w:val="1"/>
                <w:color w:val="auto"/>
              </w:rPr>
            </w:pPr>
          </w:p>
        </w:tc>
      </w:tr>
      <w:tr>
        <w:trPr>
          <w:trHeight w:val="71"/>
        </w:trPr>
        <w:tc>
          <w:tcPr>
            <w:tcW w:w="38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20" w:type="dxa"/>
            <w:vAlign w:val="bottom"/>
            <w:gridSpan w:val="2"/>
            <w:vMerge w:val="continue"/>
            <w:shd w:val="clear" w:color="auto" w:fill="CFF0FC"/>
          </w:tcPr>
          <w:p>
            <w:pPr>
              <w:spacing w:after="0"/>
              <w:rPr>
                <w:sz w:val="6"/>
                <w:szCs w:val="6"/>
                <w:color w:val="auto"/>
              </w:rPr>
            </w:pPr>
          </w:p>
        </w:tc>
        <w:tc>
          <w:tcPr>
            <w:tcW w:w="1940" w:type="dxa"/>
            <w:vAlign w:val="bottom"/>
            <w:gridSpan w:val="2"/>
            <w:vMerge w:val="continue"/>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540" w:type="dxa"/>
            <w:vAlign w:val="bottom"/>
            <w:vMerge w:val="continue"/>
            <w:shd w:val="clear" w:color="auto" w:fill="CFF0FC"/>
          </w:tcPr>
          <w:p>
            <w:pPr>
              <w:spacing w:after="0"/>
              <w:rPr>
                <w:sz w:val="6"/>
                <w:szCs w:val="6"/>
                <w:color w:val="auto"/>
              </w:rPr>
            </w:pPr>
          </w:p>
        </w:tc>
        <w:tc>
          <w:tcPr>
            <w:tcW w:w="13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194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29,167</w:t>
            </w:r>
          </w:p>
        </w:tc>
        <w:tc>
          <w:tcPr>
            <w:tcW w:w="94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1"/>
                <w:szCs w:val="11"/>
                <w:color w:val="auto"/>
              </w:rPr>
              <w:t>(3)</w:t>
            </w:r>
          </w:p>
        </w:tc>
        <w:tc>
          <w:tcPr>
            <w:tcW w:w="1540" w:type="dxa"/>
            <w:vAlign w:val="bottom"/>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71"/>
        </w:trPr>
        <w:tc>
          <w:tcPr>
            <w:tcW w:w="38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0" w:type="dxa"/>
            <w:vAlign w:val="bottom"/>
            <w:vMerge w:val="continue"/>
            <w:shd w:val="clear" w:color="auto" w:fill="CFF0FC"/>
          </w:tcPr>
          <w:p>
            <w:pPr>
              <w:spacing w:after="0"/>
              <w:rPr>
                <w:sz w:val="6"/>
                <w:szCs w:val="6"/>
                <w:color w:val="auto"/>
              </w:rPr>
            </w:pPr>
          </w:p>
        </w:tc>
        <w:tc>
          <w:tcPr>
            <w:tcW w:w="1940" w:type="dxa"/>
            <w:vAlign w:val="bottom"/>
            <w:gridSpan w:val="2"/>
            <w:vMerge w:val="continue"/>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540" w:type="dxa"/>
            <w:vAlign w:val="bottom"/>
            <w:vMerge w:val="continue"/>
            <w:shd w:val="clear" w:color="auto" w:fill="CFF0FC"/>
          </w:tcPr>
          <w:p>
            <w:pPr>
              <w:spacing w:after="0"/>
              <w:rPr>
                <w:sz w:val="6"/>
                <w:szCs w:val="6"/>
                <w:color w:val="auto"/>
              </w:rPr>
            </w:pPr>
          </w:p>
        </w:tc>
        <w:tc>
          <w:tcPr>
            <w:tcW w:w="13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194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94,792</w:t>
            </w:r>
          </w:p>
        </w:tc>
        <w:tc>
          <w:tcPr>
            <w:tcW w:w="94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1"/>
                <w:szCs w:val="11"/>
                <w:color w:val="auto"/>
              </w:rPr>
              <w:t>(4)</w:t>
            </w:r>
          </w:p>
        </w:tc>
        <w:tc>
          <w:tcPr>
            <w:tcW w:w="1540" w:type="dxa"/>
            <w:vAlign w:val="bottom"/>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2.38</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2/14/2034</w:t>
            </w:r>
          </w:p>
        </w:tc>
        <w:tc>
          <w:tcPr>
            <w:tcW w:w="0" w:type="dxa"/>
            <w:vAlign w:val="bottom"/>
          </w:tcPr>
          <w:p>
            <w:pPr>
              <w:spacing w:after="0"/>
              <w:rPr>
                <w:sz w:val="1"/>
                <w:szCs w:val="1"/>
                <w:color w:val="auto"/>
              </w:rPr>
            </w:pPr>
          </w:p>
        </w:tc>
      </w:tr>
      <w:tr>
        <w:trPr>
          <w:trHeight w:val="90"/>
        </w:trPr>
        <w:tc>
          <w:tcPr>
            <w:tcW w:w="38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0" w:type="dxa"/>
            <w:vAlign w:val="bottom"/>
            <w:vMerge w:val="continue"/>
            <w:shd w:val="clear" w:color="auto" w:fill="CFF0FC"/>
          </w:tcPr>
          <w:p>
            <w:pPr>
              <w:spacing w:after="0"/>
              <w:rPr>
                <w:sz w:val="7"/>
                <w:szCs w:val="7"/>
                <w:color w:val="auto"/>
              </w:rPr>
            </w:pPr>
          </w:p>
        </w:tc>
        <w:tc>
          <w:tcPr>
            <w:tcW w:w="1940" w:type="dxa"/>
            <w:vAlign w:val="bottom"/>
            <w:gridSpan w:val="2"/>
            <w:vMerge w:val="continue"/>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540" w:type="dxa"/>
            <w:vAlign w:val="bottom"/>
            <w:vMerge w:val="continue"/>
            <w:shd w:val="clear" w:color="auto" w:fill="CFF0FC"/>
          </w:tcPr>
          <w:p>
            <w:pPr>
              <w:spacing w:after="0"/>
              <w:rPr>
                <w:sz w:val="7"/>
                <w:szCs w:val="7"/>
                <w:color w:val="auto"/>
              </w:rPr>
            </w:pPr>
          </w:p>
        </w:tc>
        <w:tc>
          <w:tcPr>
            <w:tcW w:w="13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110,400</w:t>
            </w: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2/14/2034</w:t>
            </w:r>
          </w:p>
        </w:tc>
        <w:tc>
          <w:tcPr>
            <w:tcW w:w="0" w:type="dxa"/>
            <w:vAlign w:val="bottom"/>
          </w:tcPr>
          <w:p>
            <w:pPr>
              <w:spacing w:after="0"/>
              <w:rPr>
                <w:sz w:val="1"/>
                <w:szCs w:val="1"/>
                <w:color w:val="auto"/>
              </w:rPr>
            </w:pPr>
          </w:p>
        </w:tc>
      </w:tr>
      <w:tr>
        <w:trPr>
          <w:trHeight w:val="145"/>
        </w:trPr>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2"/>
                <w:szCs w:val="12"/>
                <w:color w:val="auto"/>
              </w:rPr>
            </w:pPr>
          </w:p>
        </w:tc>
        <w:tc>
          <w:tcPr>
            <w:tcW w:w="18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225,500</w:t>
            </w:r>
          </w:p>
        </w:tc>
        <w:tc>
          <w:tcPr>
            <w:tcW w:w="94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1"/>
                <w:szCs w:val="11"/>
                <w:color w:val="auto"/>
              </w:rPr>
              <w:t>(5)</w:t>
            </w:r>
          </w:p>
        </w:tc>
        <w:tc>
          <w:tcPr>
            <w:tcW w:w="1540" w:type="dxa"/>
            <w:vAlign w:val="bottom"/>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4.22</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2/18/2035</w:t>
            </w:r>
          </w:p>
        </w:tc>
        <w:tc>
          <w:tcPr>
            <w:tcW w:w="0" w:type="dxa"/>
            <w:vAlign w:val="bottom"/>
          </w:tcPr>
          <w:p>
            <w:pPr>
              <w:spacing w:after="0"/>
              <w:rPr>
                <w:sz w:val="1"/>
                <w:szCs w:val="1"/>
                <w:color w:val="auto"/>
              </w:rPr>
            </w:pPr>
          </w:p>
        </w:tc>
      </w:tr>
      <w:tr>
        <w:trPr>
          <w:trHeight w:val="89"/>
        </w:trPr>
        <w:tc>
          <w:tcPr>
            <w:tcW w:w="38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540" w:type="dxa"/>
            <w:vAlign w:val="bottom"/>
            <w:vMerge w:val="continue"/>
            <w:shd w:val="clear" w:color="auto" w:fill="CFF0FC"/>
          </w:tcPr>
          <w:p>
            <w:pPr>
              <w:spacing w:after="0"/>
              <w:rPr>
                <w:sz w:val="7"/>
                <w:szCs w:val="7"/>
                <w:color w:val="auto"/>
              </w:rPr>
            </w:pPr>
          </w:p>
        </w:tc>
        <w:tc>
          <w:tcPr>
            <w:tcW w:w="13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36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February 11, 2022 and vested as to 25% of the shares underlying the option on February 11, 2023. The remaining 75% of the shares underlying the option are scheduled to vest in equal monthly installments thereafter through February 11, 2026.</w:t>
      </w:r>
    </w:p>
    <w:p>
      <w:pPr>
        <w:ind w:left="520" w:right="360" w:hanging="512"/>
        <w:spacing w:after="0" w:line="25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February 14, 2022 and vested as to 25% of the shares underlying the option on February 14, 2023. The remaining 75% of the shares underlying the option are scheduled to vest in equal monthly installments thereafter through February 14, 2026.</w:t>
      </w:r>
    </w:p>
    <w:p>
      <w:pPr>
        <w:ind w:left="520" w:right="360" w:hanging="512"/>
        <w:spacing w:after="0" w:line="25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February 16, 2023 and vested as to 25% of the shares underlying the option on February 16, 2024. The remaining 75% of the shares underlying the option are scheduled to vest in equal monthly installments thereafter through February 16, 2027.</w:t>
      </w:r>
    </w:p>
    <w:p>
      <w:pPr>
        <w:ind w:left="520" w:right="360" w:hanging="512"/>
        <w:spacing w:after="0" w:line="25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February 15, 2024 and vested as to 25% of the shares underlying the option on February 15, 2025. The remaining 75% of the shares underlying the option are scheduled to vest in equal monthly installments thereafter through February 15, 2028.</w:t>
      </w: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February 19, 2026 and vests in equal monthly installments through February 19, 2030.</w:t>
      </w:r>
    </w:p>
    <w:p>
      <w:pPr>
        <w:spacing w:after="0" w:line="9" w:lineRule="exact"/>
        <w:rPr>
          <w:rFonts w:ascii="Times New Roman" w:cs="Times New Roman" w:eastAsia="Times New Roman" w:hAnsi="Times New Roman"/>
          <w:sz w:val="18"/>
          <w:szCs w:val="18"/>
          <w:color w:val="auto"/>
        </w:rPr>
      </w:pPr>
    </w:p>
    <w:p>
      <w:pPr>
        <w:ind w:left="520" w:right="40" w:hanging="512"/>
        <w:spacing w:after="0" w:line="265" w:lineRule="auto"/>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Cassella served as a member of our Board of Directors from February 2020 to September 30, 2024. On September 30,2024, he was appointed as our Chief Development Officer. All options held by Dr. Cassella as of December 31, 2024 were granted pursuant to our director compensation program except for the option granted to Dr. Cassella on September 30, 2024 in connection with his appointment as our Chief Development Officer.</w:t>
      </w:r>
    </w:p>
    <w:p>
      <w:pPr>
        <w:ind w:left="520" w:right="100" w:hanging="512"/>
        <w:spacing w:after="0" w:line="26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September 30, 2024 and scheduled to vest as to 25% of the shares underlying the option on September 30, 2025. The remaining 75% of the shares underlying the option are scheduled to vest in equal monthly installments thereafter through September 30, 2028.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Ms. Good</w:t>
      </w:r>
    </w:p>
    <w:p>
      <w:pPr>
        <w:spacing w:after="0" w:line="121" w:lineRule="exact"/>
        <w:rPr>
          <w:sz w:val="20"/>
          <w:szCs w:val="20"/>
          <w:color w:val="auto"/>
        </w:rPr>
      </w:pPr>
    </w:p>
    <w:p>
      <w:pPr>
        <w:ind w:right="860"/>
        <w:spacing w:after="0" w:line="261" w:lineRule="auto"/>
        <w:rPr>
          <w:sz w:val="20"/>
          <w:szCs w:val="20"/>
          <w:color w:val="auto"/>
        </w:rPr>
      </w:pPr>
      <w:r>
        <w:rPr>
          <w:rFonts w:ascii="Times New Roman" w:cs="Times New Roman" w:eastAsia="Times New Roman" w:hAnsi="Times New Roman"/>
          <w:sz w:val="18"/>
          <w:szCs w:val="18"/>
          <w:color w:val="auto"/>
        </w:rPr>
        <w:t>In December 2012, we and Ms. Good entered into an employment agreement. Under the agreement, Ms. Good is an “at will” employee, and her employment with us can be terminated by her or us at any time and for any reason. The agreement sets forth Ms.</w:t>
      </w: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Good’s initial base salary, subject to adjustment from time to time and for any reason and provides that she is eligible, at the sole discretion of our Board of Directors, to earn an annual bonus of up to a specified percentage of her base salary. In September 2019, our Board of Directors approved our Executive Separation Benefits and Retention Plan, or Separation Benefits Plan, which superseded the terms of Ms. Good’s employment agreement pertaining to potential payments upon the termination of her employment in certain circumstances, including following a change in control. The Separation Benefits Plan is discussed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 with Dr. Cassella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2024, we and Dr. Cassella entered into an offer letter agreement. Under the agreement, Dr. Cassella is an “at will” employee, and his employment with us can be terminated by him or us at any time and for any reason. The offer letter sets forth Dr. Cassella’s initial base salary, subject to adjustment from time to time and for any reason, and provides that he is eligible, at the sole discretion of our Board of Directors, to earn an annual bonus of up to a specified percentage of his base salary. The offer letter also provides that Dr. Cassella is eligible for benefits pursuant to the Separation Benefits Plan, which is discussed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 with Dr. Simon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2020, we and Dr. Simon entered into an offer letter agreement. Under the agreement, Dr. Simon is an “at will” employee, and his employment with us can be terminated by him or us at any time and for any reason. The offer letter sets forth Dr. Simon’s initial base salary, subject to adjustment from time to time and for any reason, and provides that he is eligible, at the sole discretion of our Board of Directors, to earn an annual bonus of up to a specified percentage of his base salary. The offer letter also provides that Dr. Simon is eligible for benefits pursuant to the Separation Benefits Plan, which is discussed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Non-Competition, Non-Solicitation, Confidentiality and Assignment of Inventions Agreements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entered into standard form agreements with us with respect to non-competition, non-solicitation, confidential information and assignment of inventions. Under these agreements, each named executive officer has agreed not to compete with us during his or her employment and for a period ranging from one to two years after the termination of his or her employment, not to solicit our employees, independent contractors, clients, customers or business partners during his or her employment and for a period ranging from one to two years after the termination of his or her employment and to protect our confidential and proprietary information indefinitely.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September 2019, the compensation committee of our Board of Directors adopted our Separation Benefits Plan. The Separation Benefits Plan applies to our Chief Executive Officer and our other officers, who we refer to collectively as our covered executives. Ms. Good, Dr. Cassella, and Dr. Simon are covered executives under the Separation Benefits Plan.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Separation Benefits Plan provides for separation benefits in the event of (i) a termination of a covered executive’s employment by us other than for cause or by reason of such covered executive’s death or disability, or (ii) a resignation by such covered executive for good reason. Except as specifically provided in the Separation Benefits Plan, the separation benefits set forth in the Separation Benefits Plan supersede any separation benefits set forth in any award agreements and/or employment offer letters between us and any covered executive.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Separation Benefits Plan, subject to the execution and effectiveness of a separation and release of claims agreement, if a covered executive’s employment is terminated by us other than for cause or by reason of such covered executive’s death or disability, or the covered executive resigns for good reason, in each case other than upon or within 12 months following a change in control (as defined in the Separation Benefits Plan), which we refer to as the CIC period, we will be obligated to:</w:t>
      </w:r>
    </w:p>
    <w:p>
      <w:pPr>
        <w:spacing w:after="0" w:line="72" w:lineRule="exact"/>
        <w:rPr>
          <w:sz w:val="20"/>
          <w:szCs w:val="20"/>
          <w:color w:val="auto"/>
        </w:rPr>
      </w:pPr>
    </w:p>
    <w:p>
      <w:pPr>
        <w:ind w:left="680" w:right="260" w:hanging="372"/>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pay the covered executive’s most recent base salary for a period, which we refer to as the severance period, of (i) 12 months, in the case of Ms. Good as Chief Executive Officer, or (ii) six months, in the case of the other covered executives; and</w:t>
      </w:r>
    </w:p>
    <w:p>
      <w:pPr>
        <w:spacing w:after="0" w:line="53" w:lineRule="exact"/>
        <w:rPr>
          <w:rFonts w:ascii="Times New Roman" w:cs="Times New Roman" w:eastAsia="Times New Roman" w:hAnsi="Times New Roman"/>
          <w:sz w:val="18"/>
          <w:szCs w:val="18"/>
          <w:color w:val="auto"/>
        </w:rPr>
      </w:pPr>
    </w:p>
    <w:p>
      <w:pPr>
        <w:ind w:left="680" w:right="40" w:hanging="372"/>
        <w:spacing w:after="0" w:line="25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covered executive is eligible for and elects to continue receiving medical insurance pursuant to COBRA, pay on such covered executive’s behalf the share of the monthly premiums for such coverage that we pay for active and similarly situated employees receiving the same type of coverage during the severance period; provided, however, that in the event the covered executive becomes eligible during the severance period for the same or substantially similar group health insurance coverage through another employer, our obligation to make monthly premium payments shall end.</w:t>
      </w:r>
    </w:p>
    <w:p>
      <w:pPr>
        <w:spacing w:after="0" w:line="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Under the terms of the Separation Benefits Plan, subject to the execution and effectiveness of a severance and release of claims agreement, if, during the CIC period, a covered executive’s employment is terminated by us other than for cause (as defined in the Separation Benefits Plan) or by reason of such covered executive’s death or disability, or the covered executive resigns for good reason, we will be obligated to:</w:t>
      </w:r>
    </w:p>
    <w:p>
      <w:pPr>
        <w:spacing w:after="0" w:line="68" w:lineRule="exact"/>
        <w:rPr>
          <w:sz w:val="20"/>
          <w:szCs w:val="20"/>
          <w:color w:val="auto"/>
        </w:rPr>
      </w:pPr>
    </w:p>
    <w:p>
      <w:pPr>
        <w:ind w:left="680" w:right="20" w:hanging="372"/>
        <w:spacing w:after="0" w:line="272"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 lump sum equal to the covered executive’s most recent monthly base salary, or, if greater, such covered executive’s highest base salary immediately prior to the change in control or during the CIC period, for a period, which we refer to as the CIC severance period) of (i) 18 months, in the case of Ms. Good as Chief Executive Officer, or (ii) 12 months, in the case of the other covered executives, provided that the severance to</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be paid to a covered executive shall be reduced by the amount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left="680" w:right="460"/>
        <w:spacing w:after="0" w:line="282" w:lineRule="auto"/>
        <w:rPr>
          <w:sz w:val="20"/>
          <w:szCs w:val="20"/>
          <w:color w:val="auto"/>
        </w:rPr>
      </w:pPr>
      <w:r>
        <w:rPr>
          <w:rFonts w:ascii="Times New Roman" w:cs="Times New Roman" w:eastAsia="Times New Roman" w:hAnsi="Times New Roman"/>
          <w:sz w:val="18"/>
          <w:szCs w:val="18"/>
          <w:color w:val="auto"/>
        </w:rPr>
        <w:t>any other post-termination payments we make to the covered executive, which are made to enforce the covered executive’s non-competition obligation or are otherwise required by law;</w:t>
      </w:r>
    </w:p>
    <w:p>
      <w:pPr>
        <w:spacing w:after="0" w:line="54" w:lineRule="exact"/>
        <w:rPr>
          <w:sz w:val="20"/>
          <w:szCs w:val="20"/>
          <w:color w:val="auto"/>
        </w:rPr>
      </w:pPr>
    </w:p>
    <w:p>
      <w:pPr>
        <w:ind w:left="680" w:right="220" w:hanging="372"/>
        <w:spacing w:after="0" w:line="258"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covered executive is eligible for and elects to continue receiving medical insurance pursuant to COBRA, pay on such covered executive’s behalf the share of the monthly premiums for such coverage that we pay for active and similarly situated employees receiving the same type of coverage during the CIC severance period; provided, however, that in the event the covered executive becomes eligible during the CIC severance period for the same or substantially similar group health insurance coverage through another employer, our obligation to make monthly premium payments shall end;</w:t>
      </w:r>
    </w:p>
    <w:p>
      <w:pPr>
        <w:spacing w:after="0" w:line="75" w:lineRule="exact"/>
        <w:rPr>
          <w:rFonts w:ascii="Times New Roman" w:cs="Times New Roman" w:eastAsia="Times New Roman" w:hAnsi="Times New Roman"/>
          <w:sz w:val="18"/>
          <w:szCs w:val="18"/>
          <w:color w:val="auto"/>
        </w:rPr>
      </w:pPr>
    </w:p>
    <w:p>
      <w:pPr>
        <w:ind w:left="680" w:right="80" w:hanging="372"/>
        <w:spacing w:after="0" w:line="261"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covered executive a lump sum equal to such covered executive’s target bonus award for the year in which the termination of employment occurs, without regard to whether the performance goals applicable to such target bonus had been established or satisfied at the date of termination, multiplied by (i) 1.5 in the case of Ms. Good as the Chief Executive Officer, or (ii) 1.0 in the case of the other covered executives; and</w:t>
      </w:r>
    </w:p>
    <w:p>
      <w:pPr>
        <w:spacing w:after="0" w:line="71" w:lineRule="exact"/>
        <w:rPr>
          <w:rFonts w:ascii="Times New Roman" w:cs="Times New Roman" w:eastAsia="Times New Roman" w:hAnsi="Times New Roman"/>
          <w:sz w:val="18"/>
          <w:szCs w:val="18"/>
          <w:color w:val="auto"/>
        </w:rPr>
      </w:pPr>
    </w:p>
    <w:p>
      <w:pPr>
        <w:ind w:left="680" w:right="360" w:hanging="372"/>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all equity awards held by such covered executive at the date of termination (other than equity awards that vest on the basis of performance and do not provide solely for time-based vesting), such that such equity awards shall become 100% vested.</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Separation Benefits Plan is administered by our Board of Directors or our compensation committee. Our Board of Directors or our compensation committee may amend, modify, or terminate the Separation Benefits Plan at any time in its sole discretion; provided that (a) any such amendment, modification or termination made prior to a change in control that adversely affects the rights of any covered executive must be unanimously approved by our Board of Directors, including Ms. Good as Chief Executive Officer, (b) no such amendment, modification or termination may affect the rights of a covered executive then receiving payments or benefits under the Separation Benefits Plan without the consent of such covered executive, and (c) no such amendment, modification or termination made after a change in control will be effective for one year from the date of the change in control.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we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one-year period, with 100% vesting after one completed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three equity compensation plans: our 2012 Stock Incentive Plan, as amended to date, or the 2012 Plan; the 2019 Plan; and our 2019 Employee Stock Purchase Plan, or the 2019 ESPP; each of which was approved by our stockholders.</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80" w:type="dxa"/>
            <w:vAlign w:val="bottom"/>
            <w:gridSpan w:val="2"/>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80" w:type="dxa"/>
            <w:vAlign w:val="bottom"/>
            <w:gridSpan w:val="2"/>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80" w:type="dxa"/>
            <w:vAlign w:val="bottom"/>
            <w:gridSpan w:val="2"/>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0" w:type="dxa"/>
            <w:vAlign w:val="bottom"/>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80" w:type="dxa"/>
            <w:vAlign w:val="bottom"/>
            <w:gridSpan w:val="2"/>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80" w:type="dxa"/>
            <w:vAlign w:val="bottom"/>
          </w:tcPr>
          <w:p>
            <w:pPr>
              <w:spacing w:after="0"/>
              <w:rPr>
                <w:sz w:val="15"/>
                <w:szCs w:val="15"/>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80" w:type="dxa"/>
            <w:vAlign w:val="bottom"/>
            <w:gridSpan w:val="2"/>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2"/>
                <w:szCs w:val="12"/>
                <w:color w:val="auto"/>
              </w:rPr>
            </w:pPr>
          </w:p>
        </w:tc>
        <w:tc>
          <w:tcPr>
            <w:tcW w:w="178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9,301,618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8,014,869</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0" w:type="dxa"/>
            <w:vAlign w:val="bottom"/>
          </w:tcPr>
          <w:p>
            <w:pPr>
              <w:spacing w:after="0"/>
              <w:rPr>
                <w:sz w:val="17"/>
                <w:szCs w:val="17"/>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holders</w:t>
            </w:r>
          </w:p>
        </w:tc>
        <w:tc>
          <w:tcPr>
            <w:tcW w:w="160" w:type="dxa"/>
            <w:vAlign w:val="bottom"/>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57"/>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9,301,618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8,014,869</w:t>
            </w: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8" w:lineRule="exact"/>
        <w:rPr>
          <w:sz w:val="20"/>
          <w:szCs w:val="20"/>
          <w:color w:val="auto"/>
        </w:rPr>
      </w:pPr>
    </w:p>
    <w:p>
      <w:pPr>
        <w:ind w:left="520" w:right="80" w:hanging="512"/>
        <w:spacing w:after="0" w:line="26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2012 Plan, the 2019 Plan, and the 2019 ESPP. The 2019 ESPP provides for annual increases, to be added as of the first day of each fiscal year until and including, January 1, 2029, equal to the least of (a) 526,315 shares of common stock, (b) 1% of the number of outstanding shares of the company’s common stock on such date and (c) an amount determined by the company’s Board of Directors. No increase was made on January 1, 2026 under the 2019 ESPP.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and its most recent fiscal year ended December 31, 2025. As required by Item 402(v) of Regulation S-K, we are providing the following information regarding the relationship between executive compensation and our</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140"/>
        <w:spacing w:after="0" w:line="266" w:lineRule="auto"/>
        <w:rPr>
          <w:sz w:val="20"/>
          <w:szCs w:val="20"/>
          <w:color w:val="auto"/>
        </w:rPr>
      </w:pPr>
      <w:r>
        <w:rPr>
          <w:rFonts w:ascii="Times New Roman" w:cs="Times New Roman" w:eastAsia="Times New Roman" w:hAnsi="Times New Roman"/>
          <w:sz w:val="18"/>
          <w:szCs w:val="18"/>
          <w:color w:val="auto"/>
        </w:rPr>
        <w:t>financial performance for each of the last two completed fiscal years. In determining the “compensation actually paid”, or CAP, to our NEOs, we are required to make various adjustments to amounts that have been previously reported in the Summary Compensation Table in previous years, as the SEC’s valuation methods for this section differ from those required in the Summary Compensation 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information required for our NEOs for each of the fiscal years ended December 31, 2025, December 31, 2024, and December 31, 2023 along with the financial information required for each fiscal year. As a pre-commercial biotechnology company, we do not use Net Income (Loss) performance in determining our executive compensation, and as a smaller reporting company, we are not required to choose a “Company Selected Measure.” Information presented in this section will not be deemed to be incorporated by reference into any of our filings under the Securities Act of 1933, as amended, or the Exchange Act, except as we may specifically do so by reference to this section.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3"/>
                <w:szCs w:val="13"/>
                <w:color w:val="auto"/>
              </w:rPr>
            </w:pPr>
          </w:p>
        </w:tc>
        <w:tc>
          <w:tcPr>
            <w:tcW w:w="13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2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2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24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580" w:type="dxa"/>
            <w:vAlign w:val="bottom"/>
            <w:gridSpan w:val="2"/>
          </w:tcPr>
          <w:p>
            <w:pPr>
              <w:jc w:val="center"/>
              <w:ind w:left="95"/>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22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220" w:type="dxa"/>
            <w:vAlign w:val="bottom"/>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240" w:type="dxa"/>
            <w:vAlign w:val="bottom"/>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Total Shareholder</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Total for PEO </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8"/>
                <w:szCs w:val="8"/>
                <w:b w:val="1"/>
                <w:bCs w:val="1"/>
                <w:color w:val="auto"/>
              </w:rPr>
              <w:t xml:space="preserve">(2) </w:t>
            </w:r>
            <w:r>
              <w:rPr>
                <w:rFonts w:ascii="Times New Roman" w:cs="Times New Roman" w:eastAsia="Times New Roman" w:hAnsi="Times New Roman"/>
                <w:sz w:val="20"/>
                <w:szCs w:val="20"/>
                <w:b w:val="1"/>
                <w:bCs w:val="1"/>
                <w:color w:val="auto"/>
                <w:vertAlign w:val="subscript"/>
              </w:rPr>
              <w:t>($)</w:t>
            </w:r>
          </w:p>
        </w:tc>
        <w:tc>
          <w:tcPr>
            <w:tcW w:w="2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 NEOs ($)</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PEO NEOs </w:t>
            </w:r>
            <w:r>
              <w:rPr>
                <w:rFonts w:ascii="Times New Roman" w:cs="Times New Roman" w:eastAsia="Times New Roman" w:hAnsi="Times New Roman"/>
                <w:sz w:val="19"/>
                <w:szCs w:val="19"/>
                <w:b w:val="1"/>
                <w:bCs w:val="1"/>
                <w:color w:val="auto"/>
                <w:w w:val="99"/>
                <w:vertAlign w:val="superscript"/>
              </w:rPr>
              <w:t>(2)</w:t>
            </w:r>
            <w:r>
              <w:rPr>
                <w:rFonts w:ascii="Times New Roman" w:cs="Times New Roman" w:eastAsia="Times New Roman" w:hAnsi="Times New Roman"/>
                <w:sz w:val="14"/>
                <w:szCs w:val="14"/>
                <w:b w:val="1"/>
                <w:bCs w:val="1"/>
                <w:color w:val="auto"/>
                <w:w w:val="99"/>
              </w:rPr>
              <w:t xml:space="preserve"> ($)</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Return </w:t>
            </w:r>
            <w:r>
              <w:rPr>
                <w:rFonts w:ascii="Times New Roman" w:cs="Times New Roman" w:eastAsia="Times New Roman" w:hAnsi="Times New Roman"/>
                <w:sz w:val="19"/>
                <w:szCs w:val="19"/>
                <w:b w:val="1"/>
                <w:bCs w:val="1"/>
                <w:color w:val="auto"/>
                <w:w w:val="98"/>
                <w:vertAlign w:val="superscript"/>
              </w:rPr>
              <w:t>(3)</w:t>
            </w:r>
            <w:r>
              <w:rPr>
                <w:rFonts w:ascii="Times New Roman" w:cs="Times New Roman" w:eastAsia="Times New Roman" w:hAnsi="Times New Roman"/>
                <w:sz w:val="14"/>
                <w:szCs w:val="14"/>
                <w:b w:val="1"/>
                <w:bCs w:val="1"/>
                <w:color w:val="auto"/>
                <w:w w:val="98"/>
              </w:rPr>
              <w:t xml:space="preserve"> ($)</w:t>
            </w:r>
          </w:p>
        </w:tc>
        <w:tc>
          <w:tcPr>
            <w:tcW w:w="240" w:type="dxa"/>
            <w:vAlign w:val="bottom"/>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(Loss) ($M)</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3,944,892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15,377,546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1,496,559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5,419,549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1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2,589,035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4,954,025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1,314,261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2,021,363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(47.91)</w:t>
            </w: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1,687,298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1,107,264</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793,882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567,277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firstLine="8"/>
        <w:spacing w:after="0" w:line="254"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Jennifer Good served as our PEO for the fiscal years ended December 31, 2023, December 31, 2024 and December 31, 2025. Our non-PEO NEOs for the fiscal year ended December 31, 2023 were Dr. David Clark, our former Chief Medical Officer, and Dr. Thomas Sciascia, our Chief Scientific Officer. Our non-PEO NEOs for the fiscal year ended December 31, 2024 were Dr. James Cassella, our Chief Development Officer, and Ms. Lisa Delfini, our former Chief Financial Officer. Our non-PEO NEOs for the fiscal year ended December 31, 2025 were Dr. James Cassella, our Chief Development Officer, and Dr. Farrell Simon, our Chief Commercial Officer.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200" w:firstLine="8"/>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or CAP, include: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44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PEO ($)</w:t>
            </w:r>
          </w:p>
        </w:tc>
        <w:tc>
          <w:tcPr>
            <w:tcW w:w="106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Average non-</w:t>
            </w:r>
          </w:p>
        </w:tc>
        <w:tc>
          <w:tcPr>
            <w:tcW w:w="200" w:type="dxa"/>
            <w:vAlign w:val="bottom"/>
          </w:tcPr>
          <w:p>
            <w:pPr>
              <w:spacing w:after="0"/>
              <w:rPr>
                <w:sz w:val="10"/>
                <w:szCs w:val="10"/>
                <w:color w:val="auto"/>
              </w:rPr>
            </w:pPr>
          </w:p>
        </w:tc>
        <w:tc>
          <w:tcPr>
            <w:tcW w:w="144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PEO ($)</w:t>
            </w:r>
          </w:p>
        </w:tc>
        <w:tc>
          <w:tcPr>
            <w:tcW w:w="106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Average non-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PEO ($)</w:t>
            </w:r>
          </w:p>
        </w:tc>
        <w:tc>
          <w:tcPr>
            <w:tcW w:w="1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Average non-PEO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3"/>
            <w:vMerge w:val="continue"/>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360" w:type="dxa"/>
            <w:vAlign w:val="bottom"/>
            <w:gridSpan w:val="2"/>
            <w:vMerge w:val="continue"/>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187"/>
        </w:trPr>
        <w:tc>
          <w:tcPr>
            <w:tcW w:w="3120" w:type="dxa"/>
            <w:vAlign w:val="bottom"/>
            <w:tcBorders>
              <w:top w:val="single" w:sz="8" w:color="auto"/>
            </w:tcBorders>
            <w:shd w:val="clear" w:color="auto" w:fill="CFF0FC"/>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Compensation from Summary</w:t>
            </w:r>
          </w:p>
        </w:tc>
        <w:tc>
          <w:tcPr>
            <w:tcW w:w="11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 Table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3,944,892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1,496,559</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2,589,035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1,314,261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1,687,298</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793,882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 Grant Date Fair Value of Option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and Stock Awards Granted in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(2,968,260)</w:t>
            </w:r>
          </w:p>
        </w:tc>
        <w:tc>
          <w:tcPr>
            <w:tcW w:w="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(883,890)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(1,601,781)</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(872,216)</w:t>
            </w:r>
          </w:p>
        </w:tc>
        <w:tc>
          <w:tcPr>
            <w:tcW w:w="1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(851,399)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(212,850)</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 Fair Value at Fiscal Year-End of</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and Unvested Option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and Stock Awards Granted in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8,944,352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2,663,454</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2,825,276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1,272,035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341,324</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 Change in Fair Value of Outstanding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Unvested Option Awards and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Granted in Prior Fiscal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3,588,846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1,549,727</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744,655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(120,418)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(87,704)</w:t>
            </w: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 Fair Value at Vesting of Option Awards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and Stock Awards Granted in Fiscal Year</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That Vested During Fiscal Year</w:t>
            </w:r>
          </w:p>
        </w:tc>
        <w:tc>
          <w:tcPr>
            <w:tcW w:w="14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60" w:right="8120" w:firstLine="5"/>
        <w:spacing w:after="0" w:line="250" w:lineRule="auto"/>
        <w:tabs>
          <w:tab w:leader="none" w:pos="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as of Vesting Date of Option Awards and Stock Awards Granted in Prior Fiscal Years For Which Applicable Vesting Conditions Were</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Satisfied During Fiscal Year</w:t>
            </w:r>
          </w:p>
        </w:tc>
        <w:tc>
          <w:tcPr>
            <w:tcW w:w="1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1,867,716</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593,699</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396,839</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115,270</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50,458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85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60" w:right="8200" w:firstLine="5"/>
        <w:spacing w:after="0" w:line="261" w:lineRule="auto"/>
        <w:tabs>
          <w:tab w:leader="none" w:pos="16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as of Prior Fiscal Year-End of Option Awards and Stock Awards Granted in Prior Fiscal Years That Failed to Meet Applicable Vesting Conditions</w:t>
      </w:r>
    </w:p>
    <w:tbl>
      <w:tblPr>
        <w:tblLayout w:type="fixed"/>
        <w:tblInd w:w="60" w:type="dxa"/>
        <w:tblCellMar>
          <w:top w:w="0" w:type="dxa"/>
          <w:left w:w="0" w:type="dxa"/>
          <w:bottom w:w="0" w:type="dxa"/>
          <w:right w:w="0" w:type="dxa"/>
        </w:tblCellMar>
      </w:tblP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During Fiscal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15,377,546</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5,419,549</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4,954,025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2,021,363</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1,107,264</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567,277</w:t>
            </w:r>
          </w:p>
        </w:tc>
      </w:tr>
    </w:tbl>
    <w:p>
      <w:pPr>
        <w:spacing w:after="0" w:line="67" w:lineRule="exact"/>
        <w:rPr>
          <w:sz w:val="20"/>
          <w:szCs w:val="20"/>
          <w:color w:val="auto"/>
        </w:rPr>
      </w:pPr>
    </w:p>
    <w:p>
      <w:pPr>
        <w:ind w:right="180" w:firstLine="8"/>
        <w:spacing w:after="0" w:line="261"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illustrates the value, as of the last day of the indicated fiscal year, of an investment of $100 in our common stock made after the market closed on December 31, 2022.</w:t>
      </w: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for each of the last three completed fiscal years and the following measures:</w:t>
      </w:r>
    </w:p>
    <w:p>
      <w:pPr>
        <w:spacing w:after="0" w:line="54"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Trevi’s cumulative total shareholder return, or TSR;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Trevi’s Net Income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6172200" cy="2606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versus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6172200" cy="2606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with our directors, executive officers and holders of 5% or more of our voting securities, and affiliates of our directors, executive officers and holders of 5% or more of our voting securities. We believe that all of these transactions were on terms as favorable as could have been obtained from unrelated third parties.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2024 Registered Offering</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17, 2024, we issued and sold 12,500,000 shares of our common stock to certain investors in an underwritten registered direct offering (the “December 2024 Offering”), at an offering price to investors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$50.0 million.</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that were issued and sold to certain of our 5% stockholders and their respective affiliates in the December 2024 Offering:</w:t>
      </w:r>
    </w:p>
    <w:tbl>
      <w:tblPr>
        <w:tblLayout w:type="fixed"/>
        <w:tblInd w:w="0" w:type="dxa"/>
        <w:tblCellMar>
          <w:top w:w="0" w:type="dxa"/>
          <w:left w:w="0" w:type="dxa"/>
          <w:bottom w:w="0" w:type="dxa"/>
          <w:right w:w="0" w:type="dxa"/>
        </w:tblCellMar>
      </w:tblPr>
      <w:tr>
        <w:trPr>
          <w:trHeight w:val="194"/>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40" w:type="dxa"/>
            <w:vAlign w:val="bottom"/>
          </w:tcPr>
          <w:p>
            <w:pPr>
              <w:spacing w:after="0"/>
              <w:rPr>
                <w:sz w:val="16"/>
                <w:szCs w:val="16"/>
                <w:color w:val="auto"/>
              </w:rPr>
            </w:pPr>
          </w:p>
        </w:tc>
        <w:tc>
          <w:tcPr>
            <w:tcW w:w="14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6"/>
                <w:szCs w:val="16"/>
                <w:color w:val="auto"/>
              </w:rPr>
            </w:pPr>
          </w:p>
        </w:tc>
      </w:tr>
      <w:tr>
        <w:trPr>
          <w:trHeight w:val="238"/>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40" w:type="dxa"/>
            <w:vAlign w:val="bottom"/>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Frazier Life Sciences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1,875,000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Rubric Capital Management LP</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8"/>
                <w:szCs w:val="18"/>
                <w:color w:val="auto"/>
              </w:rPr>
            </w:pPr>
          </w:p>
        </w:tc>
      </w:tr>
      <w:tr>
        <w:trPr>
          <w:trHeight w:val="24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Underwritten Public Offering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20, 2026, we issued and sold 13,340,000 shares of our common stock to certain investors in an underwritten public offering (the “April 2026 Offering”), at an offering price to investors of $13.00 per share of common stock pursuant to an underwriting agreement with Morgan Stanley &amp; Co. LLC and Leerink Partners LLC as representatives of the several underwriters. The April 2026 Offering resulted in aggregate gross proceeds to us of $173.42 million.</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that were issued and sold to certain of our 5% stockholders and their respective affiliates in the April 2026 Offering:</w:t>
      </w:r>
    </w:p>
    <w:tbl>
      <w:tblPr>
        <w:tblLayout w:type="fixed"/>
        <w:tblInd w:w="0" w:type="dxa"/>
        <w:tblCellMar>
          <w:top w:w="0" w:type="dxa"/>
          <w:left w:w="0" w:type="dxa"/>
          <w:bottom w:w="0" w:type="dxa"/>
          <w:right w:w="0" w:type="dxa"/>
        </w:tblCellMar>
      </w:tblPr>
      <w:tr>
        <w:trPr>
          <w:trHeight w:val="194"/>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40" w:type="dxa"/>
            <w:vAlign w:val="bottom"/>
          </w:tcPr>
          <w:p>
            <w:pPr>
              <w:spacing w:after="0"/>
              <w:rPr>
                <w:sz w:val="16"/>
                <w:szCs w:val="16"/>
                <w:color w:val="auto"/>
              </w:rPr>
            </w:pPr>
          </w:p>
        </w:tc>
        <w:tc>
          <w:tcPr>
            <w:tcW w:w="14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6"/>
                <w:szCs w:val="16"/>
                <w:color w:val="auto"/>
              </w:rPr>
            </w:pPr>
          </w:p>
        </w:tc>
      </w:tr>
      <w:tr>
        <w:trPr>
          <w:trHeight w:val="238"/>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40" w:type="dxa"/>
            <w:vAlign w:val="bottom"/>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32,587,776</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2,506,752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BlackRock, Inc.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1,823,250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140,250</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34,411,026</w:t>
            </w: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2,647,002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were a party to a second amended and restated investors’ rights agreement, which we refer to as the investors’ rights agreement, with certain of our 5% stockholders and their affiliates, as well as entities affiliated with some of our directors. This investors’ rights agreement, which terminated in 2024 on the fifth anniversary of our initial public offering, provided these holders the right, subject to certain conditions, to demand that we file a registration statement or to request that their shares be covered by a registration statement that we were otherwise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we will indemnify our directors and officers to the fullest extent permitted by Delaware law. In addition, we have entered into indemnification agreements with all of our directors and executive officers.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the “Executive Compensation—Agreements with our Named Executive Officers” section of this proxy statement for a further discussion of these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Jordyn Saradhi, the daughter of our Chief Executive Officer, has been employed as our Senior Director, R&amp;D Financial Operations since February 1, 2026. Prior to that, she was employed as the Director, R&amp;D Financial Operations from January 1, 2025 to January 31, 2026. Prior to that, she was the Director FP&amp;A and Accounting Operations from May 30, 2023 to December 31, 2024. From January 1, 2025 through December 31, 2025, Jordyn Saradhi was paid total compensation of $405,229 representing her base salary, the grant date fair value of stock awards granted to her and other compensation related to her employment by the Company. From January 1, 2024 through December 31, 2024, Jordyn Saradhi was paid total compensation of $340,840 representing her base salary, the grant date fair value of stock awards granted to her and other compensation related to her employment by the Company. Additionally, Madelyn Good, the daughter of our Chief Executive Officer, has been employed as our Senior Manager, Clinical Development Operations since March 30, 2026. From March 30, 2026 to December 31, 2026, Madelyn Good is projected to be paid total compensation of approximately $253,000, representing her base salary, the grant date fair value of stock awards granted to her and other compensation related to her employment by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written policies and procedures for the review of any transaction, arrangement or relationship in which our Company is a participant, the amount involved exceeds $120,000 and one of our executive officers, directors, director</w:t>
      </w: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nominees or 5% stockholders, or their immediate family members, each of whom we refer to as a “related person,” has a direct or indirect material interest.</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will be required to report the proposed related person transaction to our Chief Financial Officer and the chairman of our audit committee. The policy calls for the proposed related person transaction to be reviewed and, if deemed appropriate, approved by our audit committee. Whenever practicable, the reporting, review and approval will occur prior to entry into the proposed related person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54" w:lineRule="exact"/>
        <w:rPr>
          <w:sz w:val="20"/>
          <w:szCs w:val="20"/>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680" w:right="540" w:hanging="372"/>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54" w:lineRule="exact"/>
        <w:rPr>
          <w:sz w:val="20"/>
          <w:szCs w:val="20"/>
          <w:color w:val="auto"/>
        </w:rPr>
      </w:pPr>
    </w:p>
    <w:p>
      <w:pPr>
        <w:jc w:val="both"/>
        <w:ind w:right="800"/>
        <w:spacing w:after="0" w:line="282" w:lineRule="auto"/>
        <w:rPr>
          <w:sz w:val="20"/>
          <w:szCs w:val="20"/>
          <w:color w:val="auto"/>
        </w:rPr>
      </w:pPr>
      <w:r>
        <w:rPr>
          <w:rFonts w:ascii="Times New Roman" w:cs="Times New Roman" w:eastAsia="Times New Roman" w:hAnsi="Times New Roman"/>
          <w:sz w:val="18"/>
          <w:szCs w:val="18"/>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5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68" w:lineRule="exact"/>
        <w:rPr>
          <w:sz w:val="20"/>
          <w:szCs w:val="20"/>
          <w:color w:val="auto"/>
        </w:rPr>
      </w:pPr>
    </w:p>
    <w:p>
      <w:pPr>
        <w:ind w:left="680" w:right="40" w:hanging="372"/>
        <w:spacing w:after="0" w:line="258"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and 5% of the annual gross revenues of the Company receiving payment under the transaction; and</w:t>
      </w:r>
    </w:p>
    <w:p>
      <w:pPr>
        <w:spacing w:after="0" w:line="75"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restated certificate of incorporation or by-laws.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will be reviewed and approved by our compensation committee in the manner specified in the compensation committee’s charter.</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did not have a written policy regarding the review and approval of related person transactions prior to our initial public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of holdings and transactions in our common stock and other securities with the Securities Exchange Commission. Based solely on our review of copies of such forms that we have received, or written representations from reporting persons, we believe that during the fiscal year ended December 31, 2025, all executive officers, directors, and greater than 10% stockholders complied with all applicable filing requirements under Section 16(a) of the Exchange Act, with the exception of a Form 5 filed on February 13, 2026 by each of the following individuals or entities affiliated with New Enterprise Associates to report transactions not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line="257" w:lineRule="auto"/>
        <w:rPr>
          <w:sz w:val="20"/>
          <w:szCs w:val="20"/>
          <w:color w:val="auto"/>
        </w:rPr>
      </w:pPr>
      <w:r>
        <w:rPr>
          <w:rFonts w:ascii="Times New Roman" w:cs="Times New Roman" w:eastAsia="Times New Roman" w:hAnsi="Times New Roman"/>
          <w:sz w:val="18"/>
          <w:szCs w:val="18"/>
          <w:color w:val="auto"/>
        </w:rPr>
        <w:t>reported on a Form 4 on a timely basis: Forest Baskett, Scott D Sandell, Mohamad Makhzoumi, Carmen Chang, Paul Edward Walker, New Enterprise Associates 16, L.P., Ali Behbahani and Anthony A. Florence Jr. Each Form 5 was filed due to an administrative error related to the exercise of warrants to purchase 1,851,852 shares of our common stock in April 2025.</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5" w:name="page46"/>
    <w:bookmarkEnd w:id="45"/>
    <w:p>
      <w:pPr>
        <w:ind w:left="43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6, 2026 by:</w:t>
      </w:r>
    </w:p>
    <w:p>
      <w:pPr>
        <w:spacing w:after="0" w:line="117" w:lineRule="exact"/>
        <w:rPr>
          <w:sz w:val="20"/>
          <w:szCs w:val="20"/>
          <w:color w:val="auto"/>
        </w:rPr>
      </w:pPr>
    </w:p>
    <w:p>
      <w:pPr>
        <w:ind w:left="680" w:hanging="372"/>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680" w:right="260" w:hanging="372"/>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 (on an as-converted to common stock basis).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128,586,792 shares of our common stock outstanding as of April 6, 2026.</w:t>
      </w:r>
    </w:p>
    <w:p>
      <w:pPr>
        <w:spacing w:after="0" w:line="5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April 6,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each beneficial owner is c/o Trevi Therapeutics, Inc., 195 Church Street,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Haven, Connecticut 06510.</w:t>
      </w:r>
    </w:p>
    <w:tbl>
      <w:tblPr>
        <w:tblLayout w:type="fixed"/>
        <w:tblInd w:w="0" w:type="dxa"/>
        <w:tblCellMar>
          <w:top w:w="0" w:type="dxa"/>
          <w:left w:w="0" w:type="dxa"/>
          <w:bottom w:w="0" w:type="dxa"/>
          <w:right w:w="0" w:type="dxa"/>
        </w:tblCellMar>
      </w:tblPr>
      <w:tr>
        <w:trPr>
          <w:trHeight w:val="133"/>
        </w:trPr>
        <w:tc>
          <w:tcPr>
            <w:tcW w:w="7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7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7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New Enterprise Associates </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15,074,080</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Frazier Life Sciences </w:t>
            </w:r>
            <w:r>
              <w:rPr>
                <w:rFonts w:ascii="Times New Roman" w:cs="Times New Roman" w:eastAsia="Times New Roman" w:hAnsi="Times New Roman"/>
                <w:sz w:val="24"/>
                <w:szCs w:val="24"/>
                <w:color w:val="auto"/>
                <w:vertAlign w:val="superscript"/>
              </w:rPr>
              <w:t>(2)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13,132,880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BlackRock, Inc. </w:t>
            </w:r>
            <w:r>
              <w:rPr>
                <w:rFonts w:ascii="Times New Roman" w:cs="Times New Roman" w:eastAsia="Times New Roman" w:hAnsi="Times New Roman"/>
                <w:sz w:val="24"/>
                <w:szCs w:val="24"/>
                <w:color w:val="auto"/>
                <w:vertAlign w:val="superscript"/>
              </w:rPr>
              <w:t>(3)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6,804,338</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4"/>
                <w:szCs w:val="24"/>
                <w:color w:val="auto"/>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6,500,009</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Edward Mathers </w:t>
            </w:r>
            <w:r>
              <w:rPr>
                <w:rFonts w:ascii="Times New Roman" w:cs="Times New Roman" w:eastAsia="Times New Roman" w:hAnsi="Times New Roman"/>
                <w:sz w:val="24"/>
                <w:szCs w:val="24"/>
                <w:color w:val="auto"/>
                <w:vertAlign w:val="superscript"/>
              </w:rPr>
              <w:t>(5)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15,256,974</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Jennifer Good </w:t>
            </w:r>
            <w:r>
              <w:rPr>
                <w:rFonts w:ascii="Times New Roman" w:cs="Times New Roman" w:eastAsia="Times New Roman" w:hAnsi="Times New Roman"/>
                <w:sz w:val="24"/>
                <w:szCs w:val="24"/>
                <w:color w:val="auto"/>
                <w:vertAlign w:val="superscript"/>
              </w:rPr>
              <w:t>(6)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2,603,084</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David Meeker, M.D. </w:t>
            </w:r>
            <w:r>
              <w:rPr>
                <w:rFonts w:ascii="Times New Roman" w:cs="Times New Roman" w:eastAsia="Times New Roman" w:hAnsi="Times New Roman"/>
                <w:sz w:val="24"/>
                <w:szCs w:val="24"/>
                <w:color w:val="auto"/>
                <w:vertAlign w:val="superscript"/>
              </w:rPr>
              <w:t>(7)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561,698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Farrell Simon </w:t>
            </w:r>
            <w:r>
              <w:rPr>
                <w:rFonts w:ascii="Times New Roman" w:cs="Times New Roman" w:eastAsia="Times New Roman" w:hAnsi="Times New Roman"/>
                <w:sz w:val="24"/>
                <w:szCs w:val="24"/>
                <w:color w:val="auto"/>
                <w:vertAlign w:val="superscript"/>
              </w:rPr>
              <w:t>(8)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482,045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James Cassella, Ph.D. </w:t>
            </w:r>
            <w:r>
              <w:rPr>
                <w:rFonts w:ascii="Times New Roman" w:cs="Times New Roman" w:eastAsia="Times New Roman" w:hAnsi="Times New Roman"/>
                <w:sz w:val="24"/>
                <w:szCs w:val="24"/>
                <w:color w:val="auto"/>
                <w:vertAlign w:val="superscript"/>
              </w:rPr>
              <w:t>(9)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384,256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Michael Heffernan </w:t>
            </w:r>
            <w:r>
              <w:rPr>
                <w:rFonts w:ascii="Times New Roman" w:cs="Times New Roman" w:eastAsia="Times New Roman" w:hAnsi="Times New Roman"/>
                <w:sz w:val="24"/>
                <w:szCs w:val="24"/>
                <w:color w:val="auto"/>
                <w:vertAlign w:val="superscript"/>
              </w:rPr>
              <w:t>(10)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228,718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Anne VanLent </w:t>
            </w:r>
            <w:r>
              <w:rPr>
                <w:rFonts w:ascii="Times New Roman" w:cs="Times New Roman" w:eastAsia="Times New Roman" w:hAnsi="Times New Roman"/>
                <w:sz w:val="24"/>
                <w:szCs w:val="24"/>
                <w:color w:val="auto"/>
                <w:vertAlign w:val="superscript"/>
              </w:rPr>
              <w:t>(11)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227,298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Dominick Colangelo </w:t>
            </w:r>
            <w:r>
              <w:rPr>
                <w:rFonts w:ascii="Times New Roman" w:cs="Times New Roman" w:eastAsia="Times New Roman" w:hAnsi="Times New Roman"/>
                <w:sz w:val="24"/>
                <w:szCs w:val="24"/>
                <w:color w:val="auto"/>
                <w:vertAlign w:val="superscript"/>
              </w:rPr>
              <w:t>(12)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tcPr>
          <w:p>
            <w:pPr>
              <w:ind w:left="140"/>
              <w:spacing w:after="0" w:line="218" w:lineRule="exact"/>
              <w:rPr>
                <w:sz w:val="20"/>
                <w:szCs w:val="20"/>
                <w:color w:val="auto"/>
              </w:rPr>
            </w:pPr>
            <w:r>
              <w:rPr>
                <w:rFonts w:ascii="Times New Roman" w:cs="Times New Roman" w:eastAsia="Times New Roman" w:hAnsi="Times New Roman"/>
                <w:sz w:val="18"/>
                <w:szCs w:val="18"/>
                <w:color w:val="auto"/>
              </w:rPr>
              <w:t xml:space="preserve">All Executive Officers and Directors as a group (10 persons) </w:t>
            </w:r>
            <w:r>
              <w:rPr>
                <w:rFonts w:ascii="Times New Roman" w:cs="Times New Roman" w:eastAsia="Times New Roman" w:hAnsi="Times New Roman"/>
                <w:sz w:val="24"/>
                <w:szCs w:val="24"/>
                <w:color w:val="auto"/>
                <w:vertAlign w:val="superscript"/>
              </w:rPr>
              <w:t>(13)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20,822,900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05" w:lineRule="exact"/>
        <w:rPr>
          <w:sz w:val="20"/>
          <w:szCs w:val="20"/>
          <w:color w:val="auto"/>
        </w:rPr>
      </w:pPr>
    </w:p>
    <w:p>
      <w:pPr>
        <w:ind w:left="520" w:hanging="512"/>
        <w:spacing w:after="0" w:line="25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13D/A filed on February 13, 2026, as well as information otherwise known to the company, shares held by New Enterprise Associates 16, L.P, or NEA 16, and NEA 18 Venture Growth Equity, L.P., or NEA 18, which we refer to collectively as the NEA Entities, consist of: (i) 12,273,280 shares of our common stock and warrants to purchase 1,851,852 shares of common stock held by NEA 16, and (ii) 948,948 shares of our common stock and pre-funded warrants to purchase 3,000,000 shares of common stock held by NEA 18. The ability of NEA 18 to exercise its pre-funded warrants is subject to beneficial ownership limitations applicable to the pre-funded warrants we issued and sold in our April 2022 private placement wherein we may not effect the exercise of any such warrant, and the holder will not be entitled to exercise any portion of any such warrant, if, upon giving effect to such exercise, the aggregate number of shares of common stock beneficially owned by the holder of such warrant (together with its affiliates, any other persons acting as a group together with such holder or any of such holder’s affiliates, and any other persons whose beneficial ownership of common stock would or could be aggregated with such holder’s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holder’s election upon 61 days’ notice to us subject to the terms of such warrants, provided that such percentage may in no event</w:t>
      </w:r>
    </w:p>
    <w:p>
      <w:pPr>
        <w:spacing w:after="0" w:line="2" w:lineRule="exact"/>
        <w:rPr>
          <w:sz w:val="20"/>
          <w:szCs w:val="20"/>
          <w:color w:val="auto"/>
        </w:rPr>
      </w:pPr>
    </w:p>
    <w:p>
      <w:pPr>
        <w:ind w:left="520" w:right="160"/>
        <w:spacing w:after="0" w:line="250" w:lineRule="auto"/>
        <w:rPr>
          <w:sz w:val="20"/>
          <w:szCs w:val="20"/>
          <w:color w:val="auto"/>
        </w:rPr>
      </w:pPr>
      <w:r>
        <w:rPr>
          <w:rFonts w:ascii="Times New Roman" w:cs="Times New Roman" w:eastAsia="Times New Roman" w:hAnsi="Times New Roman"/>
          <w:sz w:val="18"/>
          <w:szCs w:val="18"/>
          <w:color w:val="auto"/>
        </w:rPr>
        <w:t>exceed 19.99%. We refer to such beneficial ownership limitations as the 2022 Private Placement Beneficial Ownership Limitations, which prevent NEA 18 from exercising any portion of such pre-funded warrants to the extent such exercise would result in the NEA Entities exceeding the applicable 2022 Private Placement Beneficial Ownership Limitation. The shares reported under “Shares Beneficially Owned” consist of (i) the 13,222,228 shares of common stock held by the NEA Entities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left="512"/>
        <w:spacing w:after="0" w:line="251" w:lineRule="auto"/>
        <w:rPr>
          <w:sz w:val="20"/>
          <w:szCs w:val="20"/>
          <w:color w:val="auto"/>
        </w:rPr>
      </w:pPr>
      <w:r>
        <w:rPr>
          <w:rFonts w:ascii="Times New Roman" w:cs="Times New Roman" w:eastAsia="Times New Roman" w:hAnsi="Times New Roman"/>
          <w:sz w:val="18"/>
          <w:szCs w:val="18"/>
          <w:color w:val="auto"/>
        </w:rPr>
        <w:t>(ii) the 1,851,852 shares of common stock issuable to NEA 16 upon exercise of its warrants. The shares reported under “Shares Beneficially Owned” do not include the 3,000,000 shares of common stock issuable to NEA 18 upon the exercise of its pre-funded warrants due to the application of the applicable 2022 Private Placement Beneficial Ownership Limitation. The shares directly held by NEA 16 are indirectly held by (i) NEA Partners 16, L.P., or NEA Partners 16, the sole general partner of NEA 16, (ii) NEA 16 GP, LLC, or NEA 16 LLC, the sole general partner of NEA Partners 16, and (iii) each of the individual Managers of NEA 16 LLC, which we refer to as the NEA 16 Managers. The NEA 16 Managers are Forest Baskett, Ali Behbahani, Carmen Chang, Anthony A. Florence, Jr., Mohamad Makhzoumi, Paul Walker and Scott D. Sandell. NEA Partners 16, NEA 16 LLC and the NEA 16 Managers share voting and dispositive power with regard to the shares directly held by NEA 16. The shares directly held by NEA 18 are indirectly held by (i) NEA Partners 18 VGE, L.P., or NEA Partners 18, the sole general partner of NEA 18, (ii) NEA 18 VGE GP, LLC, or NEA 18 LLC, the sole general partner of NEA Partners 18, and (iii) each of the individual Managers of NEA 18 LLC, which we refer to as the NEA 18 Managers. The NEA 18 Managers are Edward T. Mathers, Rick Yang, Mr. Behbahani, Ms. Chang, Mr. Florence, Mr. Makhzoumi, Mr. Walker and Mr. Sandell. NEA Partners 18, NEA 18 LLC and the NEA 18 Managers share voting and dispositive power with regard to the shares directly held by NEA 18. Mr. Mathers, a member of our Board of Directors, a General Partner of New Enterprise Associates, Inc., an entity affiliated with NEA 16 and an NEA 18 Manager, has no voting or investment control over any of the shares held by NEA 16 and NEA 18 and disclaims beneficial ownership of all shares owned by such entities, except to the extent of any pecuniary interest therein. All indirect holders of the above referenced shares disclaim beneficial ownership of the above referenced shares except to the extent of their pecuniary interests therein. The address of the above referenced entities and persons is 1954 Greenspring Drive, Suite 600, Timonium MD, 21093.</w:t>
      </w:r>
    </w:p>
    <w:p>
      <w:pPr>
        <w:spacing w:after="0" w:line="10" w:lineRule="exact"/>
        <w:rPr>
          <w:sz w:val="20"/>
          <w:szCs w:val="20"/>
          <w:color w:val="auto"/>
        </w:rPr>
      </w:pPr>
    </w:p>
    <w:p>
      <w:pPr>
        <w:ind w:left="512" w:hanging="512"/>
        <w:spacing w:after="0" w:line="250" w:lineRule="auto"/>
        <w:tabs>
          <w:tab w:leader="none" w:pos="5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13G/A filed on November 14, 2025, as well as information otherwise known to the company, shares held by Frazier Life Sciences Public Fund, L.P., Frazier Life Sciences X, L.P. and Frazier Life Sciences XI, L.P., which we refer to collectively as the Frazier Life Sciences Entities, consist of (i) 8,508,021 shares of our common stock and pre-funded warrants to purchase 10,331,265 shares of common stock held by Frazier Life Sciences Public Fund, L.P., (ii) 397,309 shares of our common stock and pre-funded warrants to purchase 1,458,294 shares of common stock held by Frazier Life Sciences X, L.P., and (iii) 1,354,079 shares of our common stock and pre-funded warrants to purchase 2,459,389 shares of common stock held by Frazier Life Sciences XI, L.P. The ability of the Frazier Life Sciences Entities to exercise their pre-funded warrants is subject to both the 2022 Private Placement Beneficial Ownership Limitations and the beneficial ownership limitations applicable to the pre-funded warrants we issued and sold in our September 2022 public offering wherein we may not effect the exercise of any such pre-funded warrant, and the holder will not be entitled to exercise any portion of any such pre-funded warrant, if, upon giving effect to such exercise, the aggregate number of shares of common stock beneficially owned by the holder of such pre-funded warrant (together with its affiliates, any other persons acting as a group together with such holder or any of such holder’s affiliates, and any other persons whose beneficial ownership of common stock would or could be aggregated with such holder’s for purposes of Section 13(d) or Section 16 of the Exchange Act) would exceed 9.99% of the number of shares of common stock outstanding immediately after giving effect to the exercise, as such percentage ownership is determined in accordance with the terms of such pre-funded warrant. We refer to such beneficial ownership limitations as the September 2022 Offering Beneficial Ownership Limitations, which we refer to together with the 2022 Private Placement Beneficial Ownership Limitations as the Beneficial Ownership Limitations. The Beneficial Ownership Limitations prevent the Frazier Life Sciences Entities from exercising any portion of the pre-funded warrants to the extent such exercise would result in the Frazier Life Sciences Entities exceeding the Beneficial Ownership Limitations. The shares reported under “Shares Beneficially Owned” consist of (i) 10,259,409 shares of our common stock held by the Frazier Life Sciences Entities, and (ii) 2,873,471 shares of common stock issuable to the Frazier Life Sciences Entities upon exercise of the pre-funded warrants. The shares reported under “Shares Beneficially Owned” do not include the remaining 11,375,477 shares of common stock issuable to the Frazier Life Sciences Entities upon the exercise of the pre-funded warrants due to application of the Beneficial Ownership Limitations. FHMLSP, L.P. is the general partner of Frazier Life Sciences Public Fund, L.P. and FHMLSP, L.L.C. is the general partner of FHMLSP, L.P. Patrick Heron, James Topper, Albert Cha and James Brush are the members of FHMLSP, L.L.C. and therefore share voting and investment power over the shares held by Frazier Life Sciences Public Fund, L.P. FHMLS X, L.P. is the general partner of Frazier Life Sciences X, L.P. and FHMLS X, L.L.C. is the general partner of FHMLS X, L.P. Mr. Heron and Mr. Topper are the members of FHMLS X, L.L.C. and therefore share voting and investment power over the shares held by Frazier Life Sciences X, L.P. FHMLS XI, L.P. is the general partner of Frazier Life Sciences XI, L.P. and FHMLS XI, L.L.C. is the general partner of FHMLS XI, L.P. Mr. Heron, Mr. Topper and Daniel Estes are the members of FHMLS XI, L.L.C. and therefore share voting and investment power over the shares held by Frazier Life Sciences XI, L.P. The address of each of Frazier Life Sciences X, L.P., Frazier Life Sciences XI, L.P., Frazier Life Sciences Public Fund, L.P. and their affiliated entities and persons, is 1001 Page Mill Rd, Building 4, Suite B Palo Alto, CA 94304.</w:t>
      </w:r>
    </w:p>
    <w:p>
      <w:pPr>
        <w:spacing w:after="0" w:line="1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 filed on October 17, 2025 in which BlackRock, Inc. reported that it has sole dispositive power over 6,804,338 shares of our common stock and sole voting power over 6,669,528 shares of our common stock. The address of BlackRock, Inc. is 50 Hudson Yards, New York, NY 10001. The foregoing excludes shares of common stock that we issued and sold to affiliates of BlackRock, Inc. in the April 2026 Offering. See “Transactions with Related Persons—2026 Underwritten Public Offering” for additional information regarding the securities issued to affiliates of BlackRock, Inc. in the April 2026 Offering.</w:t>
      </w:r>
    </w:p>
    <w:p>
      <w:pPr>
        <w:spacing w:after="0" w:line="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47" w:name="page48"/>
    <w:bookmarkEnd w:id="47"/>
    <w:p>
      <w:pPr>
        <w:ind w:left="520" w:right="20" w:hanging="512"/>
        <w:spacing w:after="0" w:line="253"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 filed on February 5, 2026, reporting as of December 31, 2025, in which FMR LLC and Abigail P. Johnson reported that (i) FMR LLC has sole dispositive power over 6,500,009 shares of our common stock and sole voting power over 6,485,775 shares of our common stock and (ii) Abigail P. Johnson has sole dispositive power over 6,500,009 shares of our common stock. The address of the above referenced entity and person is 245 Summer Street, Boston, Massachusetts 02210. The foregoing excludes shares of common stock that we issued and sold to affiliates of FMR LLC in the April 2026 Offering. See “Transactions with Related Persons—2026 Underwritten Public Offering” for additional information regarding the securities issued to affiliates of FMR LLC in the April 2026 Offering.</w:t>
      </w:r>
    </w:p>
    <w:p>
      <w:pPr>
        <w:spacing w:after="0" w:line="5"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182,894 shares of common stock underlying stock options held by Mr. Mathers that are exercisable as of April 6, 2026 or will become exercisable within 60 days after such date and (b) the shares described in note 1 above. Mr. Mathers has no voting or dispositive power with regard to the shares described in note 1 above and disclaims beneficial ownership of such shares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213,313 shares of common stock owned by Ms. Good and (b) 2,389,771 shares of common stock underlying stock options held by Ms. Good that are exercisable as of April 6, 2026 or will become exercisable within 60 days after such date.</w:t>
      </w:r>
    </w:p>
    <w:p>
      <w:pPr>
        <w:ind w:left="520" w:right="10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311,786 shares of common stock owned by Dr. Meeker, (b) 27,432 shares of common stock held by the Trevi 2014 Irrevocable Trust, (c) 13,271 shares of common stock held by the Spinnaker Trust as Trustee for the Trevi 2014 Irrevocable Trust, and (d) 209,209 shares of common stock underlying stock options held by Dr. Meeker that are exercisable as of April 6, 2026 or will become exercisable within 60 days after such date.</w:t>
      </w:r>
    </w:p>
    <w:p>
      <w:pPr>
        <w:spacing w:after="0" w:line="1"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81,553 shares of common stock owned by Dr. Simon and (b) 400,492 shares of common stock underlying stock options held by Dr. Simon that are exercisable as of April 6, 2026 or will become exercisable within 60 days after such date.</w:t>
      </w:r>
    </w:p>
    <w:p>
      <w:pPr>
        <w:ind w:left="520" w:right="22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384,256 shares of common stock underlying stock options held by Dr. Cassella that are exercisable as of April 6, 2026 or will become exercisable within 60 days after such date.</w:t>
      </w:r>
    </w:p>
    <w:p>
      <w:pPr>
        <w:ind w:left="520" w:right="22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6,351 shares of common stock owned by Mr. Heffernan and (b) 222,367 shares of common stock underlying stock options held by Mr. Heffernan that are exercisable as of April 6, 2026 or will become exercisable within 60 days after such date.</w:t>
      </w:r>
    </w:p>
    <w:p>
      <w:pPr>
        <w:ind w:left="520" w:right="22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25,983 shares of common stock owned by Ms. VanLent and (b) 201,315 shares of common stock underlying stock options held by Ms. VanLent that are exercisable as of April 6, 2026 or will become exercisable within 60 days after such date.</w:t>
      </w:r>
    </w:p>
    <w:p>
      <w:pPr>
        <w:ind w:left="520" w:right="40" w:hanging="512"/>
        <w:spacing w:after="0" w:line="25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168,684 shares of common stock underlying stock options held by Mr. Colangelo that are exercisable as of April 6, 2026 or will become exercisable within 60 days after such date.</w:t>
      </w:r>
    </w:p>
    <w:p>
      <w:pPr>
        <w:ind w:left="520" w:right="240" w:hanging="512"/>
        <w:spacing w:after="0" w:line="26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14,126,385 shares of common stock and (b) 6,696,515 shares of common stock underlying stock options and outstanding warrants that are exercisable as of April 6, 2026 or will become exercisable within 60 days after such date.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audit committee has reviewed our audited financial statements for the year ended December 31, 2025 and discussed them with our management and our independent registered public accounting firm, Ernst &amp; Young LLP.</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audit committee has also received from, and discussed with, Ernst &amp; Young LLP various communications that Ernst &amp; Young LLP is required to provide to our audit committee, including the matters required to be discussed by the applicable requirements of the Public Company Accounting Oversight Board and the SEC.</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our audit committee recommended to our Board of Directors that our financial statements audited by Ernst &amp; Young LLP be included in our Annual Report on Form 10-K for the year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audit committee of the Board of Directors of Trevi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VanLent,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Dominick Colangelo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Heffernan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banks, brokers and other nominee stockholders of record may be participating in the practice of “householding” proxy statements, annual reports and notices of Internet availability of proxy materials. This means that only one copy of our documents, including the Notice, may have been sent to multiple stockholders in your household. We will promptly deliver a separate copy of any such document to you upon written or oral request to Trevi Therapeutics, Inc., 195 Church Street,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Haven, CT 06510, Attention: Investor Relations, telephone: 203-304-2499. If you want to receive separate copies of our proxy statements, annual reports, or notices of Internet availability of proxy materials in the future, or if you are receiving multiple copies and would like to receive only one copy per household, you should contact your bank, broker or other nominee stockholders of record, or you may contact us at the above address and phone number.</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24, 2026. However, if the date of the 2027 Annual Meeting of Stockholders is changed by more than 30 days from the date of the previous year’s annual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Trevi Therapeutics, Inc., 195 Church Street,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Haven, CT 06510, Attention: Investor Relations.</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our amended and restated bylaws establish an advance notice procedure for such nominations and proposals. The required notice must be delivered by the stockholder and received by our corporate secretary at our principal executive offices and must otherwise meet the requirements set forth in our amended and restated bylaws, including the requirements of Rule 14a-19 under the Exchange Act, if the stockholder intends to comply with the SEC’s universal proxy rules and to solicit proxies in support of director nominees other than our nominees. Stockholders at an annual meeting may only consider proposals or nominations specified in the notice of the annual meeting or brought before the annual meeting by or at the direction of the Board of Directors or by a stockholder of record on the record date for the annual meeting, who is entitled to vote at the annual meeting and who has delivered timely notice in proper form to our corporate secretary of the stockholder’s intention to bring such business before the annual meeting.</w:t>
      </w:r>
    </w:p>
    <w:p>
      <w:pPr>
        <w:spacing w:after="0" w:line="8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given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3, 2027 and no later than March 5, 2027; provided, however, that if the annual meeting is held earlier than May 4, 2027 or has not been held by August 2, 2027, then such notice must be received no later than the close of business on the later of (i) the 90th day prior to such annual meeting and (ii) the tenth day following the day on which notice of the date of such annual meeting was given or public disclosure of the date of such annual meeting was made, whichever first occurs.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Annual Meeting, the individuals named in the enclosed proxy intend to use their discretionary voting authority under the proxy to vote the proxy in accordance with their best judgment on those matters.</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102870</wp:posOffset>
            </wp:positionV>
            <wp:extent cx="1225550" cy="488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255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Jennifer Good</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637540</wp:posOffset>
            </wp:positionV>
            <wp:extent cx="6017895" cy="7774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017895" cy="777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637540</wp:posOffset>
            </wp:positionV>
            <wp:extent cx="6017895" cy="7774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017895" cy="777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A&amp;R 2019 PLAN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Trevi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AMENDED AND RESTATED 2019 STOCK INCENTIVE PLAN</w:t>
      </w:r>
    </w:p>
    <w:p>
      <w:pPr>
        <w:spacing w:after="0" w:line="225"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purpose of this Amended and Restated 2019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Trevi Therapeutics,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to advance the interests of the Company’s stockholders by enhancing the Company’s ability to attract, retain and motivate persons who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make important contributions to the Company and by providing such persons with equity ownership opportunities and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that are intended to better align the interests of such persons with those of the Company’s stockholders. Except where the context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or limited liability company) in which the Company has a controlling interest, as determined by the Board of Directors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such terms consultants and advisors are defined and interpreted for purposes of Form S-8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any successor form) are eligible to be granted Awards under the Plan. Each person who is granted an Award under the Plan is deemed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3"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ind w:right="80" w:firstLine="757"/>
        <w:spacing w:after="0" w:line="256" w:lineRule="auto"/>
        <w:tabs>
          <w:tab w:leader="none" w:pos="10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87"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officers referred to in Section 3(c) to the extent that the Board’s powers or authority under the Plan have been delegated to such Committee or officers.</w:t>
      </w:r>
    </w:p>
    <w:p>
      <w:pPr>
        <w:spacing w:after="0" w:line="179" w:lineRule="exact"/>
        <w:rPr>
          <w:rFonts w:ascii="Times New Roman" w:cs="Times New Roman" w:eastAsia="Times New Roman" w:hAnsi="Times New Roman"/>
          <w:sz w:val="18"/>
          <w:szCs w:val="18"/>
          <w:color w:val="auto"/>
        </w:rPr>
      </w:pPr>
    </w:p>
    <w:p>
      <w:pPr>
        <w:ind w:right="320" w:firstLine="757"/>
        <w:spacing w:after="0" w:line="255" w:lineRule="auto"/>
        <w:tabs>
          <w:tab w:leader="none" w:pos="10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w:t>
      </w:r>
    </w:p>
    <w:p>
      <w:pPr>
        <w:spacing w:after="0" w:line="18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Share Counting.</w:t>
      </w:r>
    </w:p>
    <w:p>
      <w:pPr>
        <w:spacing w:after="0" w:line="225" w:lineRule="exact"/>
        <w:rPr>
          <w:rFonts w:ascii="Times New Roman" w:cs="Times New Roman" w:eastAsia="Times New Roman" w:hAnsi="Times New Roman"/>
          <w:sz w:val="18"/>
          <w:szCs w:val="18"/>
          <w:color w:val="auto"/>
        </w:rPr>
      </w:pPr>
    </w:p>
    <w:p>
      <w:pPr>
        <w:ind w:firstLine="1505"/>
        <w:spacing w:after="0" w:line="266" w:lineRule="auto"/>
        <w:tabs>
          <w:tab w:leader="none" w:pos="203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9, Awards may be made under the Plan (any or all of which Awards may be in the form of Incentive Stock Options, as defined in Section 5(b)) for up to such number of shares of common stock, $0.001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is equal to the sum of:</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29,000,000 shares of Common Stock; plus</w:t>
      </w:r>
    </w:p>
    <w:p>
      <w:pPr>
        <w:spacing w:after="0" w:line="225" w:lineRule="exact"/>
        <w:rPr>
          <w:rFonts w:ascii="Times New Roman" w:cs="Times New Roman" w:eastAsia="Times New Roman" w:hAnsi="Times New Roman"/>
          <w:sz w:val="18"/>
          <w:szCs w:val="18"/>
          <w:color w:val="auto"/>
        </w:rPr>
      </w:pPr>
    </w:p>
    <w:p>
      <w:pPr>
        <w:ind w:right="340" w:firstLine="2254"/>
        <w:spacing w:after="0" w:line="282" w:lineRule="auto"/>
        <w:tabs>
          <w:tab w:leader="none" w:pos="2546"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shares of Common Stock (up to 11,000,000 shares) as is equal to the number of shares of Common Stock subject to awards granted under the Company’s 2012 Stock Incentive Plan, as amended, that were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4" w:name="page55"/>
    <w:bookmarkEnd w:id="5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outstanding on the Effective Date (as defined below) and which awards expire, terminate or are otherwise surrendered, canceled, forfeited or repurchased by the Company at their original issuance price pursuant to a contractual repurchase right (subject, however, in the case of Incentive Stock Options, to any limitations under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under the Plan may consist in whole or in part of authorized but unissued shares or treasury shares.</w:t>
      </w:r>
    </w:p>
    <w:p>
      <w:pPr>
        <w:spacing w:after="0" w:line="27" w:lineRule="exact"/>
        <w:rPr>
          <w:sz w:val="20"/>
          <w:szCs w:val="20"/>
          <w:color w:val="auto"/>
        </w:rPr>
      </w:pPr>
    </w:p>
    <w:p>
      <w:pPr>
        <w:ind w:left="2040" w:hanging="535"/>
        <w:spacing w:after="0"/>
        <w:tabs>
          <w:tab w:leader="none" w:pos="20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w:t>
      </w:r>
    </w:p>
    <w:p>
      <w:pPr>
        <w:spacing w:after="0" w:line="206" w:lineRule="exact"/>
        <w:rPr>
          <w:rFonts w:ascii="Times New Roman" w:cs="Times New Roman" w:eastAsia="Times New Roman" w:hAnsi="Times New Roman"/>
          <w:sz w:val="18"/>
          <w:szCs w:val="18"/>
          <w:color w:val="auto"/>
        </w:rPr>
      </w:pPr>
    </w:p>
    <w:p>
      <w:pPr>
        <w:ind w:right="60" w:firstLine="2254"/>
        <w:spacing w:after="0" w:line="258" w:lineRule="auto"/>
        <w:tabs>
          <w:tab w:leader="none" w:pos="2546"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183" w:lineRule="exact"/>
        <w:rPr>
          <w:rFonts w:ascii="Times New Roman" w:cs="Times New Roman" w:eastAsia="Times New Roman" w:hAnsi="Times New Roman"/>
          <w:sz w:val="18"/>
          <w:szCs w:val="18"/>
          <w:color w:val="auto"/>
        </w:rPr>
      </w:pPr>
    </w:p>
    <w:p>
      <w:pPr>
        <w:ind w:right="40" w:firstLine="2254"/>
        <w:spacing w:after="0" w:line="254" w:lineRule="auto"/>
        <w:tabs>
          <w:tab w:leader="none" w:pos="2546"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and</w:t>
      </w:r>
    </w:p>
    <w:p>
      <w:pPr>
        <w:spacing w:after="0" w:line="19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(by actual delivery, attestation, or net exercise) to the Company by a Participant to</w:t>
      </w:r>
    </w:p>
    <w:p>
      <w:pPr>
        <w:spacing w:after="0" w:line="27" w:lineRule="exact"/>
        <w:rPr>
          <w:rFonts w:ascii="Times New Roman" w:cs="Times New Roman" w:eastAsia="Times New Roman" w:hAnsi="Times New Roman"/>
          <w:sz w:val="18"/>
          <w:szCs w:val="18"/>
          <w:color w:val="auto"/>
        </w:rPr>
      </w:pPr>
    </w:p>
    <w:p>
      <w:pPr>
        <w:ind w:right="240" w:firstLine="8"/>
        <w:spacing w:after="0" w:line="260"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w:t>
      </w:r>
    </w:p>
    <w:p>
      <w:pPr>
        <w:spacing w:after="0" w:line="181" w:lineRule="exact"/>
        <w:rPr>
          <w:rFonts w:ascii="Times New Roman" w:cs="Times New Roman" w:eastAsia="Times New Roman" w:hAnsi="Times New Roman"/>
          <w:sz w:val="18"/>
          <w:szCs w:val="18"/>
          <w:color w:val="auto"/>
        </w:rPr>
      </w:pPr>
    </w:p>
    <w:p>
      <w:pPr>
        <w:ind w:firstLine="757"/>
        <w:spacing w:after="0" w:line="258" w:lineRule="auto"/>
        <w:tabs>
          <w:tab w:leader="none" w:pos="1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spacing w:after="0" w:line="183"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aggregate amount of cash and value of Awards (calculated based on grant date fair value for financial reporting purposes) granted in any calendar year to any individual non-employee director for services as a director shall not exceed US$750,000 in the case of an incumbent director; provided, however, that such maximum aggregate amount shall not exceed US$1,000,000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w:t>
      </w:r>
    </w:p>
    <w:p>
      <w:pPr>
        <w:spacing w:after="0" w:line="194"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221" w:lineRule="exact"/>
        <w:rPr>
          <w:rFonts w:ascii="Times New Roman" w:cs="Times New Roman" w:eastAsia="Times New Roman" w:hAnsi="Times New Roman"/>
          <w:sz w:val="18"/>
          <w:szCs w:val="18"/>
          <w:color w:val="auto"/>
        </w:rPr>
      </w:pPr>
    </w:p>
    <w:p>
      <w:pPr>
        <w:ind w:right="380" w:firstLine="757"/>
        <w:spacing w:after="0" w:line="268"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74" w:lineRule="exact"/>
        <w:rPr>
          <w:rFonts w:ascii="Times New Roman" w:cs="Times New Roman" w:eastAsia="Times New Roman" w:hAnsi="Times New Roman"/>
          <w:sz w:val="18"/>
          <w:szCs w:val="18"/>
          <w:color w:val="auto"/>
        </w:rPr>
      </w:pPr>
    </w:p>
    <w:p>
      <w:pPr>
        <w:ind w:right="380" w:firstLine="757"/>
        <w:spacing w:after="0" w:line="266"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shall only be granted to employees of Trevi Therapeutics, Inc., any of Trevi Therapeutics, Inc.’s present or future parent or subsidiary corporations as defined in Sections 424(e) or (f) of the Code, and any other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t>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8"/>
          <w:szCs w:val="18"/>
          <w:b w:val="1"/>
          <w:bCs w:val="1"/>
          <w:i w:val="1"/>
          <w:iCs w:val="1"/>
          <w:color w:val="auto"/>
        </w:rPr>
        <w:t>Nonstatutory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Option</w:t>
      </w:r>
      <w:r>
        <w:rPr>
          <w:rFonts w:ascii="Times New Roman" w:cs="Times New Roman" w:eastAsia="Times New Roman" w:hAnsi="Times New Roman"/>
          <w:sz w:val="18"/>
          <w:szCs w:val="18"/>
          <w:color w:val="auto"/>
        </w:rPr>
        <w:t>.” The Company shall have no liability to a Participant, or any other party, if an Option (or any part thereof) that is intended to be an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Option is not an Incentive Stock Option or if the Company converts an Incentive Stock Option to a Nonstatutory Stock Option.</w:t>
      </w:r>
    </w:p>
    <w:p>
      <w:pPr>
        <w:spacing w:after="0" w:line="180" w:lineRule="exact"/>
        <w:rPr>
          <w:sz w:val="20"/>
          <w:szCs w:val="20"/>
          <w:color w:val="auto"/>
        </w:rPr>
      </w:pPr>
    </w:p>
    <w:p>
      <w:pPr>
        <w:ind w:right="180" w:firstLine="757"/>
        <w:spacing w:after="0" w:line="258" w:lineRule="auto"/>
        <w:tabs>
          <w:tab w:leader="none" w:pos="10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auto"/>
        </w:rPr>
        <w:t>Grant Date Fair Market Value</w:t>
      </w:r>
      <w:r>
        <w:rPr>
          <w:rFonts w:ascii="Times New Roman" w:cs="Times New Roman" w:eastAsia="Times New Roman" w:hAnsi="Times New Roman"/>
          <w:sz w:val="18"/>
          <w:szCs w:val="18"/>
          <w:color w:val="auto"/>
        </w:rPr>
        <w:t>” of a share of Common Stock for purposes of the Plan will be determined as follows:</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trades on a national securities exchange, the closing sale price (for the primary trading session)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or</w:t>
      </w:r>
    </w:p>
    <w:p>
      <w:pPr>
        <w:spacing w:after="0" w:line="206" w:lineRule="exact"/>
        <w:rPr>
          <w:rFonts w:ascii="Times New Roman" w:cs="Times New Roman" w:eastAsia="Times New Roman" w:hAnsi="Times New Roman"/>
          <w:sz w:val="18"/>
          <w:szCs w:val="18"/>
          <w:color w:val="auto"/>
        </w:rPr>
      </w:pPr>
    </w:p>
    <w:p>
      <w:pPr>
        <w:ind w:right="40" w:firstLine="1505"/>
        <w:spacing w:after="0" w:line="282" w:lineRule="auto"/>
        <w:tabs>
          <w:tab w:leader="none" w:pos="20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does not trade on any such exchange, the average of the closing bid and asked prices on the date of grant as reported by an over-the-counter marketplace designated by the Board; or</w:t>
      </w:r>
    </w:p>
    <w:p>
      <w:pPr>
        <w:spacing w:after="0" w:line="161" w:lineRule="exact"/>
        <w:rPr>
          <w:rFonts w:ascii="Times New Roman" w:cs="Times New Roman" w:eastAsia="Times New Roman" w:hAnsi="Times New Roman"/>
          <w:sz w:val="18"/>
          <w:szCs w:val="18"/>
          <w:color w:val="auto"/>
        </w:rPr>
      </w:pPr>
    </w:p>
    <w:p>
      <w:pPr>
        <w:ind w:right="180" w:firstLine="1505"/>
        <w:spacing w:after="0" w:line="266" w:lineRule="auto"/>
        <w:tabs>
          <w:tab w:leader="none" w:pos="20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83"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right="20" w:firstLine="757"/>
        <w:spacing w:after="0" w:line="282" w:lineRule="auto"/>
        <w:tabs>
          <w:tab w:leader="none" w:pos="10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ind w:right="120" w:firstLine="757"/>
        <w:spacing w:after="0" w:line="266" w:lineRule="auto"/>
        <w:tabs>
          <w:tab w:leader="none" w:pos="10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ind w:right="40" w:firstLine="1505"/>
        <w:spacing w:after="0" w:line="261" w:lineRule="auto"/>
        <w:tabs>
          <w:tab w:leader="none" w:pos="20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9" w:lineRule="exact"/>
        <w:rPr>
          <w:rFonts w:ascii="Times New Roman" w:cs="Times New Roman" w:eastAsia="Times New Roman" w:hAnsi="Times New Roman"/>
          <w:sz w:val="18"/>
          <w:szCs w:val="18"/>
          <w:color w:val="auto"/>
        </w:rPr>
      </w:pPr>
    </w:p>
    <w:p>
      <w:pPr>
        <w:jc w:val="both"/>
        <w:ind w:right="100" w:firstLine="1505"/>
        <w:spacing w:after="0" w:line="258" w:lineRule="auto"/>
        <w:tabs>
          <w:tab w:leader="none" w:pos="20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6" w:name="page57"/>
    <w:bookmarkEnd w:id="56"/>
    <w:p>
      <w:pPr>
        <w:jc w:val="both"/>
        <w:ind w:left="-8" w:right="120" w:firstLine="1505"/>
        <w:spacing w:after="0" w:line="261" w:lineRule="auto"/>
        <w:tabs>
          <w:tab w:leader="none" w:pos="202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79" w:lineRule="exact"/>
        <w:rPr>
          <w:rFonts w:ascii="Times New Roman" w:cs="Times New Roman" w:eastAsia="Times New Roman" w:hAnsi="Times New Roman"/>
          <w:sz w:val="18"/>
          <w:szCs w:val="18"/>
          <w:color w:val="auto"/>
        </w:rPr>
      </w:pPr>
    </w:p>
    <w:p>
      <w:pPr>
        <w:ind w:left="-8" w:right="320" w:firstLine="1505"/>
        <w:spacing w:after="0" w:line="282" w:lineRule="auto"/>
        <w:tabs>
          <w:tab w:leader="none" w:pos="202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161" w:lineRule="exact"/>
        <w:rPr>
          <w:rFonts w:ascii="Times New Roman" w:cs="Times New Roman" w:eastAsia="Times New Roman" w:hAnsi="Times New Roman"/>
          <w:sz w:val="18"/>
          <w:szCs w:val="18"/>
          <w:color w:val="auto"/>
        </w:rPr>
      </w:pPr>
    </w:p>
    <w:p>
      <w:pPr>
        <w:ind w:left="2032" w:hanging="535"/>
        <w:spacing w:after="0"/>
        <w:tabs>
          <w:tab w:leader="none" w:pos="203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25" w:lineRule="exact"/>
        <w:rPr>
          <w:rFonts w:ascii="Times New Roman" w:cs="Times New Roman" w:eastAsia="Times New Roman" w:hAnsi="Times New Roman"/>
          <w:sz w:val="18"/>
          <w:szCs w:val="18"/>
          <w:color w:val="auto"/>
        </w:rPr>
      </w:pPr>
    </w:p>
    <w:p>
      <w:pPr>
        <w:ind w:left="-8" w:firstLine="757"/>
        <w:spacing w:after="0" w:line="254" w:lineRule="auto"/>
        <w:tabs>
          <w:tab w:leader="none" w:pos="10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4(b))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 (4) take any other action under the Plan that constitutes a “repricing” within the meaning of the rules of the Nasdaq Global Market or any other exchange or marketplace on which the Company stock is listed or traded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221" w:lineRule="exact"/>
        <w:rPr>
          <w:rFonts w:ascii="Times New Roman" w:cs="Times New Roman" w:eastAsia="Times New Roman" w:hAnsi="Times New Roman"/>
          <w:sz w:val="18"/>
          <w:szCs w:val="18"/>
          <w:color w:val="auto"/>
        </w:rPr>
      </w:pPr>
    </w:p>
    <w:p>
      <w:pPr>
        <w:ind w:left="-8" w:firstLine="757"/>
        <w:spacing w:after="0" w:line="262"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measurement price established pursuant to Section 6(b). The date as of which such appreciation is determined shall be the exercise date.</w:t>
      </w:r>
    </w:p>
    <w:p>
      <w:pPr>
        <w:spacing w:after="0" w:line="180" w:lineRule="exact"/>
        <w:rPr>
          <w:rFonts w:ascii="Times New Roman" w:cs="Times New Roman" w:eastAsia="Times New Roman" w:hAnsi="Times New Roman"/>
          <w:sz w:val="18"/>
          <w:szCs w:val="18"/>
          <w:color w:val="auto"/>
        </w:rPr>
      </w:pPr>
    </w:p>
    <w:p>
      <w:pPr>
        <w:ind w:left="-8" w:right="80" w:firstLine="757"/>
        <w:spacing w:after="0" w:line="261"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79" w:lineRule="exact"/>
        <w:rPr>
          <w:rFonts w:ascii="Times New Roman" w:cs="Times New Roman" w:eastAsia="Times New Roman" w:hAnsi="Times New Roman"/>
          <w:sz w:val="18"/>
          <w:szCs w:val="18"/>
          <w:color w:val="auto"/>
        </w:rPr>
      </w:pPr>
    </w:p>
    <w:p>
      <w:pPr>
        <w:ind w:left="-8" w:right="340" w:firstLine="757"/>
        <w:spacing w:after="0" w:line="282"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8" w:right="80" w:firstLine="757"/>
        <w:spacing w:after="0" w:line="282"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left="-8" w:right="140" w:firstLine="757"/>
        <w:spacing w:after="0" w:line="254"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4(b))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91"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Restricted Stock Units</w:t>
      </w:r>
    </w:p>
    <w:p>
      <w:pPr>
        <w:spacing w:after="0" w:line="221" w:lineRule="exact"/>
        <w:rPr>
          <w:rFonts w:ascii="Times New Roman" w:cs="Times New Roman" w:eastAsia="Times New Roman" w:hAnsi="Times New Roman"/>
          <w:sz w:val="18"/>
          <w:szCs w:val="18"/>
          <w:color w:val="auto"/>
        </w:rPr>
      </w:pPr>
    </w:p>
    <w:p>
      <w:pPr>
        <w:ind w:left="-8" w:right="180" w:firstLine="757"/>
        <w:spacing w:after="0" w:line="259" w:lineRule="auto"/>
        <w:tabs>
          <w:tab w:leader="none" w:pos="10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57" w:name="page58"/>
    <w:bookmarkEnd w:id="57"/>
    <w:p>
      <w:pPr>
        <w:ind w:right="380"/>
        <w:spacing w:after="0" w:line="286" w:lineRule="auto"/>
        <w:rPr>
          <w:sz w:val="20"/>
          <w:szCs w:val="20"/>
          <w:color w:val="auto"/>
        </w:rPr>
      </w:pPr>
      <w:r>
        <w:rPr>
          <w:rFonts w:ascii="Times New Roman" w:cs="Times New Roman" w:eastAsia="Times New Roman" w:hAnsi="Times New Roman"/>
          <w:sz w:val="18"/>
          <w:szCs w:val="18"/>
          <w:color w:val="auto"/>
        </w:rPr>
        <w:t>time such Award vests or is settled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(Restricted Stock and Restricted Stock Units are each referred to herein as a “</w:t>
      </w:r>
      <w:r>
        <w:rPr>
          <w:rFonts w:ascii="Times New Roman" w:cs="Times New Roman" w:eastAsia="Times New Roman" w:hAnsi="Times New Roman"/>
          <w:sz w:val="18"/>
          <w:szCs w:val="18"/>
          <w:b w:val="1"/>
          <w:bCs w:val="1"/>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300" w:firstLine="757"/>
        <w:spacing w:after="0" w:line="282" w:lineRule="auto"/>
        <w:tabs>
          <w:tab w:leader="none" w:pos="10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(whether paid in cash, stock or property) declared and paid by the Company with respect to shares of Restricted Stock (“</w:t>
      </w:r>
      <w:r>
        <w:rPr>
          <w:rFonts w:ascii="Times New Roman" w:cs="Times New Roman" w:eastAsia="Times New Roman" w:hAnsi="Times New Roman"/>
          <w:sz w:val="18"/>
          <w:szCs w:val="18"/>
          <w:b w:val="1"/>
          <w:bCs w:val="1"/>
          <w:i w:val="1"/>
          <w:iCs w:val="1"/>
          <w:color w:val="auto"/>
        </w:rPr>
        <w:t>Accrued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83" w:lineRule="exact"/>
        <w:rPr>
          <w:rFonts w:ascii="Times New Roman" w:cs="Times New Roman" w:eastAsia="Times New Roman" w:hAnsi="Times New Roman"/>
          <w:sz w:val="18"/>
          <w:szCs w:val="18"/>
          <w:color w:val="auto"/>
        </w:rPr>
      </w:pPr>
    </w:p>
    <w:p>
      <w:pPr>
        <w:ind w:firstLine="1505"/>
        <w:spacing w:after="0" w:line="256" w:lineRule="auto"/>
        <w:tabs>
          <w:tab w:leader="none" w:pos="20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505"/>
        <w:spacing w:after="0" w:line="258" w:lineRule="auto"/>
        <w:tabs>
          <w:tab w:leader="none" w:pos="20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w:t>
      </w:r>
    </w:p>
    <w:p>
      <w:pPr>
        <w:spacing w:after="0" w:line="225" w:lineRule="exact"/>
        <w:rPr>
          <w:rFonts w:ascii="Times New Roman" w:cs="Times New Roman" w:eastAsia="Times New Roman" w:hAnsi="Times New Roman"/>
          <w:sz w:val="18"/>
          <w:szCs w:val="18"/>
          <w:color w:val="auto"/>
        </w:rPr>
      </w:pPr>
    </w:p>
    <w:p>
      <w:pPr>
        <w:ind w:right="200" w:firstLine="1505"/>
        <w:spacing w:after="0" w:line="261" w:lineRule="auto"/>
        <w:tabs>
          <w:tab w:leader="none" w:pos="20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Equivalents</w:t>
      </w:r>
      <w:r>
        <w:rPr>
          <w:rFonts w:ascii="Times New Roman" w:cs="Times New Roman" w:eastAsia="Times New Roman" w:hAnsi="Times New Roman"/>
          <w:sz w:val="18"/>
          <w:szCs w:val="18"/>
          <w:color w:val="auto"/>
        </w:rPr>
        <w:t>”). Dividend Equivalents may be settled in cash and/or shares of Common Stock and shall be subject to the same restrictions on transfer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forfeitability as the Restricted Stock Units with respect to which paid.</w:t>
      </w:r>
    </w:p>
    <w:p>
      <w:pPr>
        <w:spacing w:after="0" w:line="39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225" w:lineRule="exact"/>
        <w:rPr>
          <w:rFonts w:ascii="Times New Roman" w:cs="Times New Roman" w:eastAsia="Times New Roman" w:hAnsi="Times New Roman"/>
          <w:sz w:val="18"/>
          <w:szCs w:val="18"/>
          <w:color w:val="auto"/>
        </w:rPr>
      </w:pPr>
    </w:p>
    <w:p>
      <w:pPr>
        <w:ind w:right="160" w:firstLine="757"/>
        <w:spacing w:after="0" w:line="261" w:lineRule="auto"/>
        <w:tabs>
          <w:tab w:leader="none" w:pos="10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79" w:lineRule="exact"/>
        <w:rPr>
          <w:rFonts w:ascii="Times New Roman" w:cs="Times New Roman" w:eastAsia="Times New Roman" w:hAnsi="Times New Roman"/>
          <w:sz w:val="18"/>
          <w:szCs w:val="18"/>
          <w:color w:val="auto"/>
        </w:rPr>
      </w:pPr>
    </w:p>
    <w:p>
      <w:pPr>
        <w:ind w:right="180" w:firstLine="757"/>
        <w:spacing w:after="0" w:line="282" w:lineRule="auto"/>
        <w:tabs>
          <w:tab w:leader="none" w:pos="10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 each Other Stock-Based Award, including any purchase price applicable thereto.</w:t>
      </w:r>
    </w:p>
    <w:p>
      <w:pPr>
        <w:spacing w:after="0" w:line="37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225" w:lineRule="exact"/>
        <w:rPr>
          <w:rFonts w:ascii="Times New Roman" w:cs="Times New Roman" w:eastAsia="Times New Roman" w:hAnsi="Times New Roman"/>
          <w:sz w:val="18"/>
          <w:szCs w:val="18"/>
          <w:color w:val="auto"/>
        </w:rPr>
      </w:pPr>
    </w:p>
    <w:p>
      <w:pPr>
        <w:ind w:right="80" w:firstLine="757"/>
        <w:spacing w:after="0" w:line="256" w:lineRule="auto"/>
        <w:tabs>
          <w:tab w:leader="none" w:pos="10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Sections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ind w:right="80"/>
        <w:spacing w:after="0" w:line="255" w:lineRule="auto"/>
        <w:rPr>
          <w:sz w:val="20"/>
          <w:szCs w:val="20"/>
          <w:color w:val="auto"/>
        </w:rPr>
      </w:pPr>
      <w:r>
        <w:rPr>
          <w:rFonts w:ascii="Times New Roman" w:cs="Times New Roman" w:eastAsia="Times New Roman" w:hAnsi="Times New Roman"/>
          <w:sz w:val="18"/>
          <w:szCs w:val="18"/>
          <w:color w:val="auto"/>
        </w:rPr>
        <w:t>per-share-related provisions and the purchase price, if any, of each outstanding Restricted Stock Unit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9" w:lineRule="exact"/>
        <w:rPr>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Events.</w:t>
      </w:r>
    </w:p>
    <w:p>
      <w:pPr>
        <w:spacing w:after="0" w:line="221" w:lineRule="exact"/>
        <w:rPr>
          <w:rFonts w:ascii="Times New Roman" w:cs="Times New Roman" w:eastAsia="Times New Roman" w:hAnsi="Times New Roman"/>
          <w:sz w:val="18"/>
          <w:szCs w:val="18"/>
          <w:color w:val="auto"/>
        </w:rPr>
      </w:pPr>
    </w:p>
    <w:p>
      <w:pPr>
        <w:jc w:val="both"/>
        <w:ind w:right="100" w:firstLine="1505"/>
        <w:spacing w:after="0" w:line="262" w:lineRule="auto"/>
        <w:tabs>
          <w:tab w:leader="none" w:pos="20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a Reorganization Event on Awards Other than Restricted Stock.</w:t>
      </w:r>
    </w:p>
    <w:p>
      <w:pPr>
        <w:spacing w:after="0" w:line="225" w:lineRule="exact"/>
        <w:rPr>
          <w:rFonts w:ascii="Times New Roman" w:cs="Times New Roman" w:eastAsia="Times New Roman" w:hAnsi="Times New Roman"/>
          <w:sz w:val="18"/>
          <w:szCs w:val="18"/>
          <w:color w:val="auto"/>
        </w:rPr>
      </w:pPr>
    </w:p>
    <w:p>
      <w:pPr>
        <w:ind w:right="20" w:firstLine="2254"/>
        <w:spacing w:after="0" w:line="252" w:lineRule="auto"/>
        <w:tabs>
          <w:tab w:leader="none" w:pos="254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93" w:lineRule="exact"/>
        <w:rPr>
          <w:rFonts w:ascii="Times New Roman" w:cs="Times New Roman" w:eastAsia="Times New Roman" w:hAnsi="Times New Roman"/>
          <w:sz w:val="18"/>
          <w:szCs w:val="18"/>
          <w:color w:val="auto"/>
        </w:rPr>
      </w:pPr>
    </w:p>
    <w:p>
      <w:pPr>
        <w:ind w:firstLine="2254"/>
        <w:spacing w:after="0" w:line="253" w:lineRule="auto"/>
        <w:tabs>
          <w:tab w:leader="none" w:pos="254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9(b)(2)(A),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 defined under Treasury Regulation Section 1.409A-3(i)</w:t>
      </w:r>
    </w:p>
    <w:p>
      <w:pPr>
        <w:spacing w:after="0" w:line="5"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188" w:lineRule="exact"/>
        <w:rPr>
          <w:rFonts w:ascii="Times New Roman" w:cs="Times New Roman" w:eastAsia="Times New Roman" w:hAnsi="Times New Roman"/>
          <w:sz w:val="18"/>
          <w:szCs w:val="18"/>
          <w:color w:val="auto"/>
        </w:rPr>
      </w:pPr>
    </w:p>
    <w:p>
      <w:pPr>
        <w:ind w:right="20" w:firstLine="2254"/>
        <w:spacing w:after="0" w:line="254" w:lineRule="auto"/>
        <w:tabs>
          <w:tab w:leader="none" w:pos="254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t>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76" w:lineRule="exact"/>
        <w:rPr>
          <w:sz w:val="20"/>
          <w:szCs w:val="20"/>
          <w:color w:val="auto"/>
        </w:rPr>
      </w:pPr>
    </w:p>
    <w:p>
      <w:pPr>
        <w:ind w:right="120" w:firstLine="1505"/>
        <w:spacing w:after="0" w:line="254" w:lineRule="auto"/>
        <w:tabs>
          <w:tab w:leader="none" w:pos="2036"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Stock</w:t>
      </w:r>
      <w:r>
        <w:rPr>
          <w:rFonts w:ascii="Times New Roman" w:cs="Times New Roman" w:eastAsia="Times New Roman" w:hAnsi="Times New Roman"/>
          <w:sz w:val="18"/>
          <w:szCs w:val="18"/>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the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91" w:lineRule="exact"/>
        <w:rPr>
          <w:rFonts w:ascii="Times New Roman" w:cs="Times New Roman" w:eastAsia="Times New Roman" w:hAnsi="Times New Roman"/>
          <w:sz w:val="18"/>
          <w:szCs w:val="18"/>
          <w:color w:val="auto"/>
        </w:rPr>
      </w:pPr>
    </w:p>
    <w:p>
      <w:pPr>
        <w:ind w:right="300" w:firstLine="757"/>
        <w:spacing w:after="0" w:line="282"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auto"/>
        </w:rPr>
      </w:pPr>
    </w:p>
    <w:p>
      <w:pPr>
        <w:ind w:right="40" w:firstLine="757"/>
        <w:spacing w:after="0" w:line="282"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auto"/>
        </w:rPr>
      </w:pPr>
    </w:p>
    <w:p>
      <w:pPr>
        <w:ind w:right="120" w:firstLine="757"/>
        <w:spacing w:after="0" w:line="266"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75"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except as otherwise provided by the Committee,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ind w:right="300"/>
        <w:spacing w:after="0" w:line="282" w:lineRule="auto"/>
        <w:rPr>
          <w:sz w:val="20"/>
          <w:szCs w:val="20"/>
          <w:color w:val="auto"/>
        </w:rPr>
      </w:pPr>
      <w:r>
        <w:rPr>
          <w:rFonts w:ascii="Times New Roman" w:cs="Times New Roman" w:eastAsia="Times New Roman" w:hAnsi="Times New Roman"/>
          <w:sz w:val="18"/>
          <w:szCs w:val="18"/>
          <w:color w:val="auto"/>
        </w:rPr>
        <w:t>with any Award. Shares used to satisfy tax withholding requirements cannot be subject to any repurchase, forfeiture, unfulfilled vesting or other similar requirements.</w:t>
      </w:r>
    </w:p>
    <w:p>
      <w:pPr>
        <w:spacing w:after="0" w:line="162" w:lineRule="exact"/>
        <w:rPr>
          <w:sz w:val="20"/>
          <w:szCs w:val="20"/>
          <w:color w:val="auto"/>
        </w:rPr>
      </w:pPr>
    </w:p>
    <w:p>
      <w:pPr>
        <w:ind w:right="240" w:firstLine="757"/>
        <w:spacing w:after="0" w:line="258" w:lineRule="auto"/>
        <w:tabs>
          <w:tab w:leader="none" w:pos="10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otherwise provided in Sections 5(g) and 6(e) with respect to repricings and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83" w:lineRule="exact"/>
        <w:rPr>
          <w:rFonts w:ascii="Times New Roman" w:cs="Times New Roman" w:eastAsia="Times New Roman" w:hAnsi="Times New Roman"/>
          <w:sz w:val="18"/>
          <w:szCs w:val="18"/>
          <w:color w:val="auto"/>
        </w:rPr>
      </w:pPr>
    </w:p>
    <w:p>
      <w:pPr>
        <w:ind w:firstLine="757"/>
        <w:spacing w:after="0" w:line="256" w:lineRule="auto"/>
        <w:tabs>
          <w:tab w:leader="none" w:pos="10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right="120" w:firstLine="757"/>
        <w:spacing w:after="0" w:line="282" w:lineRule="auto"/>
        <w:tabs>
          <w:tab w:leader="none" w:pos="10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right="60" w:firstLine="757"/>
        <w:spacing w:after="0" w:line="261"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auto"/>
        </w:rPr>
      </w:pPr>
    </w:p>
    <w:p>
      <w:pPr>
        <w:ind w:right="100" w:firstLine="757"/>
        <w:spacing w:after="0" w:line="261"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Clawback Policy</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spacing w:after="0" w:line="179" w:lineRule="exact"/>
        <w:rPr>
          <w:rFonts w:ascii="Times New Roman" w:cs="Times New Roman" w:eastAsia="Times New Roman" w:hAnsi="Times New Roman"/>
          <w:sz w:val="18"/>
          <w:szCs w:val="18"/>
          <w:color w:val="auto"/>
        </w:rPr>
      </w:pPr>
    </w:p>
    <w:p>
      <w:pPr>
        <w:ind w:right="60" w:firstLine="757"/>
        <w:spacing w:after="0" w:line="266"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immediately prior to the effectiveness of the Company’s registration statement for the Company’s initial public offering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Awards shall be granted under the Plan after the expiration of 10 years from the Effective Date, but Awards previously granted may extend beyond that date.</w:t>
      </w:r>
    </w:p>
    <w:p>
      <w:pPr>
        <w:spacing w:after="0" w:line="175" w:lineRule="exact"/>
        <w:rPr>
          <w:rFonts w:ascii="Times New Roman" w:cs="Times New Roman" w:eastAsia="Times New Roman" w:hAnsi="Times New Roman"/>
          <w:sz w:val="18"/>
          <w:szCs w:val="18"/>
          <w:color w:val="auto"/>
        </w:rPr>
      </w:pPr>
    </w:p>
    <w:p>
      <w:pPr>
        <w:ind w:right="60" w:firstLine="757"/>
        <w:spacing w:after="0" w:line="253"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no amendment that would require stockholder approval under the rules of the Exchange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194" w:lineRule="exact"/>
        <w:rPr>
          <w:rFonts w:ascii="Times New Roman" w:cs="Times New Roman" w:eastAsia="Times New Roman" w:hAnsi="Times New Roman"/>
          <w:sz w:val="18"/>
          <w:szCs w:val="18"/>
          <w:color w:val="auto"/>
        </w:rPr>
      </w:pPr>
    </w:p>
    <w:p>
      <w:pPr>
        <w:ind w:right="40" w:firstLine="757"/>
        <w:spacing w:after="0" w:line="256"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7" w:lineRule="exact"/>
        <w:rPr>
          <w:rFonts w:ascii="Times New Roman" w:cs="Times New Roman" w:eastAsia="Times New Roman" w:hAnsi="Times New Roman"/>
          <w:sz w:val="18"/>
          <w:szCs w:val="18"/>
          <w:color w:val="auto"/>
        </w:rPr>
      </w:pPr>
    </w:p>
    <w:p>
      <w:pPr>
        <w:ind w:right="120" w:firstLine="757"/>
        <w:spacing w:after="0" w:line="282"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If and to the extent (i) any portion of any payment, compensation or other benefit provided to a Participant pursuant to the Plan in connection with his or her employment termination constitutes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40"/>
        <w:spacing w:after="0" w:line="255" w:lineRule="auto"/>
        <w:rPr>
          <w:sz w:val="20"/>
          <w:szCs w:val="20"/>
          <w:color w:val="auto"/>
        </w:rPr>
      </w:pPr>
      <w:r>
        <w:rPr>
          <w:rFonts w:ascii="Times New Roman" w:cs="Times New Roman" w:eastAsia="Times New Roman" w:hAnsi="Times New Roman"/>
          <w:sz w:val="18"/>
          <w:szCs w:val="18"/>
          <w:color w:val="auto"/>
        </w:rPr>
        <w:t>“nonqualified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except as Section 409A of the Code may then permit. The aggregate of any payments that otherwise would have been paid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during the period between the date of separation from service and the New Payment Date shall be paid to the Participant in a lump sum on such New Payment Date, and any remaining payments will be paid on their original schedule.</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76" w:lineRule="exact"/>
        <w:rPr>
          <w:sz w:val="20"/>
          <w:szCs w:val="20"/>
          <w:color w:val="auto"/>
        </w:rPr>
      </w:pPr>
    </w:p>
    <w:p>
      <w:pPr>
        <w:ind w:right="20" w:firstLine="757"/>
        <w:spacing w:after="0" w:line="255" w:lineRule="auto"/>
        <w:tabs>
          <w:tab w:leader="none" w:pos="10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AS AMENDED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Trevi Therapeutics, Inc. (the “Corporation”), a corporation organized and existing under and by virtue of the General Corporation Law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“General Corporation Law”), does hereby certify as follows:</w:t>
      </w:r>
    </w:p>
    <w:p>
      <w:pPr>
        <w:spacing w:after="0" w:line="207"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setting forth a proposed amendment to the Corporation’s Restated Certificate of Incorporation, as amended (the “Certificate of Incorporation”), and declaring said amendment to be advisable. The stockholders of the Corporation duly approved said proposed amendment in accordance with Section 242 of the General Corporation Law. Accordingly, to effect such proposed amendment, it is</w:t>
      </w:r>
    </w:p>
    <w:p>
      <w:pPr>
        <w:spacing w:after="0" w:line="180" w:lineRule="exact"/>
        <w:rPr>
          <w:sz w:val="20"/>
          <w:szCs w:val="20"/>
          <w:color w:val="auto"/>
        </w:rPr>
      </w:pPr>
    </w:p>
    <w:p>
      <w:pPr>
        <w:ind w:left="1500" w:right="20" w:hanging="1497"/>
        <w:spacing w:after="0" w:line="282" w:lineRule="auto"/>
        <w:rPr>
          <w:sz w:val="20"/>
          <w:szCs w:val="20"/>
          <w:color w:val="auto"/>
        </w:rPr>
      </w:pPr>
      <w:r>
        <w:rPr>
          <w:rFonts w:ascii="Times New Roman" w:cs="Times New Roman" w:eastAsia="Times New Roman" w:hAnsi="Times New Roman"/>
          <w:sz w:val="18"/>
          <w:szCs w:val="18"/>
          <w:color w:val="auto"/>
        </w:rPr>
        <w:t>RESOLVED: That the first sentence of Article FOURTH of the Certificate of Incorporation be and hereby is deleted in its entirety and the following is inserted in lieu thereof:</w:t>
      </w:r>
    </w:p>
    <w:p>
      <w:pPr>
        <w:spacing w:after="0" w:line="162" w:lineRule="exact"/>
        <w:rPr>
          <w:sz w:val="20"/>
          <w:szCs w:val="20"/>
          <w:color w:val="auto"/>
        </w:rPr>
      </w:pPr>
    </w:p>
    <w:p>
      <w:pPr>
        <w:ind w:left="1500" w:right="80"/>
        <w:spacing w:after="0" w:line="266" w:lineRule="auto"/>
        <w:rPr>
          <w:sz w:val="20"/>
          <w:szCs w:val="20"/>
          <w:color w:val="auto"/>
        </w:rPr>
      </w:pPr>
      <w:r>
        <w:rPr>
          <w:rFonts w:ascii="Times New Roman" w:cs="Times New Roman" w:eastAsia="Times New Roman" w:hAnsi="Times New Roman"/>
          <w:sz w:val="18"/>
          <w:szCs w:val="18"/>
          <w:color w:val="auto"/>
        </w:rPr>
        <w:t>“FOURTH: The total number of shares of all classes of stock that the Corporation shall have authority to issue is 405,000,000 shares, consisting of (i) 400,000,000 shares of Common Stock, $0.001 par value per share (“Common Stock”), and (ii) 5,000,000 shares of Preferred Stock, $0.001 par value per share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ind w:left="860"/>
        <w:spacing w:after="0"/>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this [ ] day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3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amp;"/>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lowerRoman"/>
      <w:start w:val="5"/>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lowerRoman"/>
      <w:start w:val="2"/>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2"/>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3"/>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2"/>
    </w:lvl>
  </w:abstractNum>
  <w:abstractNum w:abstractNumId="50">
    <w:nsid w:val="D34B6A8"/>
    <w:multiLevelType w:val="hybridMultilevel"/>
    <w:lvl w:ilvl="0">
      <w:lvlJc w:val="left"/>
      <w:lvlText w:val="(%1)"/>
      <w:numFmt w:val="decimal"/>
      <w:start w:val="4"/>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4">
    <w:nsid w:val="7E0C57B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55">
    <w:nsid w:val="77AE35EB"/>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56">
    <w:nsid w:val="579BE4F1"/>
    <w:multiLevelType w:val="hybridMultilevel"/>
    <w:lvl w:ilvl="0">
      <w:lvlJc w:val="left"/>
      <w:lvlText w:val="(%1)"/>
      <w:numFmt w:val="lowerLetter"/>
      <w:start w:val="5"/>
    </w:lvl>
    <w:lvl w:ilvl="1">
      <w:lvlJc w:val="left"/>
      <w:lvlText w:val="%2."/>
      <w:numFmt w:val="lowerLetter"/>
      <w:start w:val="1"/>
    </w:lvl>
  </w:abstractNum>
  <w:abstractNum w:abstractNumId="57">
    <w:nsid w:val="310C50B3"/>
    <w:multiLevelType w:val="hybridMultilevel"/>
    <w:lvl w:ilvl="0">
      <w:lvlJc w:val="left"/>
      <w:lvlText w:val="%1."/>
      <w:numFmt w:val="lowerLetter"/>
      <w:start w:val="3"/>
    </w:lvl>
    <w:lvl w:ilvl="1">
      <w:lvlJc w:val="left"/>
      <w:lvlText w:val="%2."/>
      <w:numFmt w:val="lowerRoman"/>
      <w:start w:val="1"/>
    </w:lvl>
  </w:abstractNum>
  <w:abstractNum w:abstractNumId="58">
    <w:nsid w:val="5FF87E05"/>
    <w:multiLevelType w:val="hybridMultilevel"/>
    <w:lvl w:ilvl="0">
      <w:lvlJc w:val="left"/>
      <w:lvlText w:val="%1."/>
      <w:numFmt w:val="lowerLetter"/>
      <w:start w:val="4"/>
    </w:lvl>
    <w:lvl w:ilvl="1">
      <w:lvlJc w:val="left"/>
      <w:lvlText w:val="%2."/>
      <w:numFmt w:val="lowerRoman"/>
      <w:start w:val="1"/>
    </w:lvl>
  </w:abstractNum>
  <w:abstractNum w:abstractNumId="59">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60">
    <w:nsid w:val="25A70BF7"/>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61">
    <w:nsid w:val="1DBABF00"/>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62">
    <w:nsid w:val="4AD084E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3">
    <w:nsid w:val="1F48EAA1"/>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64">
    <w:nsid w:val="1381823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5">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66">
    <w:nsid w:val="100F8FCA"/>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abstractNum>
  <w:abstractNum w:abstractNumId="67">
    <w:nsid w:val="6590700B"/>
    <w:multiLevelType w:val="hybridMultilevel"/>
    <w:lvl w:ilvl="0">
      <w:lvlJc w:val="left"/>
      <w:lvlText w:val="%1"/>
      <w:numFmt w:val="lowerLetter"/>
      <w:start w:val="1"/>
    </w:lvl>
    <w:lvl w:ilvl="1">
      <w:lvlJc w:val="left"/>
      <w:lvlText w:val="%2."/>
      <w:numFmt w:val="lowerLetter"/>
      <w:start w:val="6"/>
    </w:lvl>
  </w:abstractNum>
  <w:abstractNum w:abstractNumId="68">
    <w:nsid w:val="15014ACB"/>
    <w:multiLevelType w:val="hybridMultilevel"/>
    <w:lvl w:ilvl="0">
      <w:lvlJc w:val="left"/>
      <w:lvlText w:val="(%1)"/>
      <w:numFmt w:val="lowerLetter"/>
      <w:start w:val="11"/>
    </w:lvl>
    <w:lvl w:ilvl="1">
      <w:lvlJc w:val="left"/>
      <w:lvlText w:val="%2."/>
      <w:numFmt w:val="lowerLetter"/>
      <w:start w:val="1"/>
    </w:lvl>
  </w:abstractNum>
  <w:abstractNum w:abstractNumId="69">
    <w:nsid w:val="5F5E7FD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2026-04-21T15:04:38Z</dcterms:created>
  <dcterms:modified xsi:type="dcterms:W3CDTF">2026-04-21T15:04:38Z</dcterms:modified>
</cp:coreProperties>
</file>