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Heffernan Michael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TREVI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 CHURCH STREET,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Trevi Therapeutics, Inc.</w:t>
              </w:r>
            </w:hyperlink>
            <w:r>
              <w:rPr/>
              <w:t xml:space="preserve"> [ </w:t>
            </w:r>
            <w:r>
              <w:rPr>
                <w:rFonts w:ascii="Times;serif" w:hAnsi="Times;serif"/>
                <w:color w:val="0000FF"/>
                <w:sz w:val="24"/>
                <w:shd w:fill="FFFFFF" w:val="clear"/>
              </w:rPr>
              <w:t>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91"/>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18,421</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24,772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18,321</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21,052</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27,403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20,952</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15.88</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exercise of stock options and subsequent sale were effected pursuant to a Rule 10b5-1 trading plan that was adopted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$14.80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February 28, 2017. The 18,421 shares of common stock underlying the options vested over four years from the date of grant in equal quarterly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which were awarded on February 28, 2017, would otherwise expire and become forfeitable on February 27,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were granted on December 20, 2017. The 21,052 shares of common stock underlying the options vested over four years from the date of grant in equal quarterly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which were awarded on December 20, 2017, would otherwise expire and become forfeitable on December 19,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Galletta,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48914" TargetMode="External"/><Relationship Id="rId5" Type="http://schemas.openxmlformats.org/officeDocument/2006/relationships/hyperlink" Target="http://www.sec.gov/cgi-bin/browse-edgar?action=getcompany&amp;CIK=0001563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4473</Characters>
  <CharactersWithSpaces>5180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