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80" w:right="1580" w:hanging="3872"/>
        <w:spacing w:after="0" w:line="391" w:lineRule="auto"/>
        <w:tabs>
          <w:tab w:leader="none" w:pos="50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8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-5080</wp:posOffset>
            </wp:positionV>
            <wp:extent cx="951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TREVI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45-0834299</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58"/>
              <w:spacing w:after="0" w:line="149" w:lineRule="exact"/>
              <w:rPr>
                <w:sz w:val="20"/>
                <w:szCs w:val="20"/>
                <w:color w:val="auto"/>
              </w:rPr>
            </w:pPr>
            <w:r>
              <w:rPr>
                <w:rFonts w:ascii="Times New Roman" w:cs="Times New Roman" w:eastAsia="Times New Roman" w:hAnsi="Times New Roman"/>
                <w:sz w:val="14"/>
                <w:szCs w:val="14"/>
                <w:b w:val="1"/>
                <w:bCs w:val="1"/>
                <w:color w:val="auto"/>
              </w:rPr>
              <w:t>( State or other jurisdiction of</w:t>
            </w: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85"/>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rPr>
              <w:t>195 Church Street, 14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gridSpan w:val="3"/>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New Haven, Connecticut</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06510</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9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(203) 304-2499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60" w:type="dxa"/>
            <w:vAlign w:val="bottom"/>
            <w:gridSpan w:val="7"/>
          </w:tcPr>
          <w:p>
            <w:pPr>
              <w:jc w:val="center"/>
              <w:ind w:left="34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50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2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50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60" w:type="dxa"/>
            <w:vAlign w:val="bottom"/>
            <w:gridSpan w:val="4"/>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80" w:type="dxa"/>
            <w:vAlign w:val="bottom"/>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3"/>
            <w:vMerge w:val="continue"/>
          </w:tcPr>
          <w:p>
            <w:pPr>
              <w:spacing w:after="0"/>
              <w:rPr>
                <w:sz w:val="15"/>
                <w:szCs w:val="15"/>
                <w:color w:val="auto"/>
              </w:rPr>
            </w:pPr>
          </w:p>
        </w:tc>
        <w:tc>
          <w:tcPr>
            <w:tcW w:w="326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TRVI</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both"/>
        <w:ind w:firstLine="5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1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24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6" w:lineRule="exact"/>
        <w:rPr>
          <w:sz w:val="24"/>
          <w:szCs w:val="24"/>
          <w:color w:val="auto"/>
        </w:rPr>
      </w:pPr>
    </w:p>
    <w:p>
      <w:pPr>
        <w:jc w:val="both"/>
        <w:ind w:right="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right="216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11, 2022, the registrant had 42,770,577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“estimate,” “expect,” “intend,” “may,” “might,” “plan,” “potential,” “predict,” “project,” “should,” “target,” “would,” “could,” “continue” and similar expressions are intended to identify forward-looking statements, although not all forward-looking statements contain these identifying words.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880" w:right="10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including our Phase 2b/3 PRISM trial of Haduvio (oral nalbuphine ER) for the treatment of prurigo nodularis and our Phase 2 CANAL trial for the treatment of chronic cough in adults with idiopathic pulmonary fibrosis, or IPF;</w:t>
      </w:r>
    </w:p>
    <w:p>
      <w:pPr>
        <w:spacing w:after="0" w:line="53" w:lineRule="exact"/>
        <w:rPr>
          <w:rFonts w:ascii="Times New Roman" w:cs="Times New Roman" w:eastAsia="Times New Roman" w:hAnsi="Times New Roman"/>
          <w:sz w:val="18"/>
          <w:szCs w:val="18"/>
          <w:color w:val="auto"/>
        </w:rPr>
      </w:pPr>
    </w:p>
    <w:p>
      <w:pPr>
        <w:ind w:left="880" w:right="6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Haduvio for the treatment of prurigo nodularis, for the treatment of chronic cough in adults with IPF, or for other serious neurologically mediated conditions;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for the initiation of clinical trials and the reporting of data from such trials;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to obtain and maintain regulatory approvals for Haduvio;</w:t>
      </w:r>
    </w:p>
    <w:p>
      <w:pPr>
        <w:spacing w:after="0" w:line="144" w:lineRule="exact"/>
        <w:rPr>
          <w:rFonts w:ascii="Times New Roman" w:cs="Times New Roman" w:eastAsia="Times New Roman" w:hAnsi="Times New Roman"/>
          <w:sz w:val="18"/>
          <w:szCs w:val="18"/>
          <w:color w:val="auto"/>
        </w:rPr>
      </w:pPr>
    </w:p>
    <w:p>
      <w:pPr>
        <w:ind w:left="880" w:right="10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and cash equivalents and to continue as a going concern;</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w:t>
      </w:r>
    </w:p>
    <w:p>
      <w:pPr>
        <w:spacing w:after="0" w:line="117" w:lineRule="exact"/>
        <w:rPr>
          <w:rFonts w:ascii="Times New Roman" w:cs="Times New Roman" w:eastAsia="Times New Roman" w:hAnsi="Times New Roman"/>
          <w:sz w:val="18"/>
          <w:szCs w:val="18"/>
          <w:color w:val="auto"/>
        </w:rPr>
      </w:pPr>
    </w:p>
    <w:p>
      <w:pPr>
        <w:ind w:left="880" w:right="22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caused by the novel coronavirus, or COVID-19, which pandemic we refer to as the COVID-19 pandemic, on our clinical trials, business and operations and our response to the COVID-19 pandemic.</w:t>
      </w:r>
    </w:p>
    <w:p>
      <w:pPr>
        <w:spacing w:after="0" w:line="54"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7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pacing w:after="0" w:line="7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81"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We own the trademarks Trevi®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 We intend to propose Haduvio as the trade name for our oral nalbuphine ER investigational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43"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89" w:lineRule="exact"/>
        <w:rPr>
          <w:sz w:val="20"/>
          <w:szCs w:val="20"/>
          <w:color w:val="auto"/>
        </w:rPr>
      </w:pPr>
    </w:p>
    <w:p>
      <w:pPr>
        <w:ind w:left="74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continue to incur significant and increasing losses for the foreseeable future. We may never achieve or maintain profitability.</w:t>
      </w:r>
    </w:p>
    <w:p>
      <w:pPr>
        <w:spacing w:after="0" w:line="161" w:lineRule="exact"/>
        <w:rPr>
          <w:rFonts w:ascii="Times New Roman" w:cs="Times New Roman" w:eastAsia="Times New Roman" w:hAnsi="Times New Roman"/>
          <w:sz w:val="18"/>
          <w:szCs w:val="18"/>
          <w:color w:val="auto"/>
        </w:rPr>
      </w:pPr>
    </w:p>
    <w:p>
      <w:pPr>
        <w:ind w:left="740" w:right="28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sufficient capital when needed on acceptable terms or at all, we could be forced to delay, reduce or abandon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ind w:left="740" w:right="560" w:hanging="368"/>
        <w:spacing w:after="0" w:line="255" w:lineRule="auto"/>
        <w:tabs>
          <w:tab w:leader="none" w:pos="7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Our existing indebtedness, together with our other financial obligations and contractual commitments, could adversely affect our financial condition and restrict our future operations.</w:t>
      </w:r>
    </w:p>
    <w:p>
      <w:pPr>
        <w:spacing w:after="0" w:line="183" w:lineRule="exact"/>
        <w:rPr>
          <w:rFonts w:ascii="Times New Roman" w:cs="Times New Roman" w:eastAsia="Times New Roman" w:hAnsi="Times New Roman"/>
          <w:sz w:val="20"/>
          <w:szCs w:val="20"/>
          <w:color w:val="auto"/>
        </w:rPr>
      </w:pPr>
    </w:p>
    <w:p>
      <w:pPr>
        <w:jc w:val="both"/>
        <w:ind w:left="740" w:right="2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175" w:lineRule="exact"/>
        <w:rPr>
          <w:rFonts w:ascii="Times New Roman" w:cs="Times New Roman" w:eastAsia="Times New Roman" w:hAnsi="Times New Roman"/>
          <w:sz w:val="18"/>
          <w:szCs w:val="18"/>
          <w:color w:val="auto"/>
        </w:rPr>
      </w:pPr>
    </w:p>
    <w:p>
      <w:pPr>
        <w:ind w:left="740" w:right="20" w:hanging="368"/>
        <w:spacing w:after="0" w:line="255"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delays and difficulties in the enrollment of subjects in our clinical trials in the past, including in our Phase 2b/3 PRISM trial and our Phase 2 CANAL trial. If we experience delays or difficulties in the enrollment of subjects in future clinical trials, our receipt of necessary regulatory approvals could be delayed or prevented. Other companies are conducting clinical trials or have announced plans for future clinical trials that are seeking or are likely to seek to enroll subjects with prurigo nodularis or chronic cough in adults with IPF and subjects are generally only able to enroll in a single trial at a time. In addition, many patients use various treatments off-label to treat prurigo nodularis and chronic cough in adults with IPF and these patients and their physicians may be reluctant to forgo, discontinue or otherwise alter their use of such off-label therapeutic approaches to participate in our clinical trials.</w:t>
      </w:r>
    </w:p>
    <w:p>
      <w:pPr>
        <w:spacing w:after="0" w:line="18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development and commercialization of Haduvio to treat serious neurologically mediated conditions is unproven.</w:t>
      </w:r>
    </w:p>
    <w:p>
      <w:pPr>
        <w:spacing w:after="0" w:line="225" w:lineRule="exact"/>
        <w:rPr>
          <w:rFonts w:ascii="Times New Roman" w:cs="Times New Roman" w:eastAsia="Times New Roman" w:hAnsi="Times New Roman"/>
          <w:sz w:val="18"/>
          <w:szCs w:val="18"/>
          <w:color w:val="auto"/>
        </w:rPr>
      </w:pPr>
    </w:p>
    <w:p>
      <w:pPr>
        <w:ind w:left="740" w:right="22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Even if we complete the necessary preclinical studies and clinical trials, the regulatory approval process is expensive, time consuming and uncertain, which may prevent us from obtaining approvals for the commercialization of Haduvio or any future product candidate.</w:t>
      </w:r>
    </w:p>
    <w:p>
      <w:pPr>
        <w:spacing w:after="0" w:line="175"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results of our Phase 2 CANAL trial of Haduvio for the treatment of chronic cough in adults with IPF may not be predictive of the full trial results for the Phase 2 CANAL trial or any future trials of Haduvio for the treatment of chronic cough in adults with IPF.</w:t>
      </w:r>
    </w:p>
    <w:p>
      <w:pPr>
        <w:spacing w:after="0" w:line="161" w:lineRule="exact"/>
        <w:rPr>
          <w:rFonts w:ascii="Times New Roman" w:cs="Times New Roman" w:eastAsia="Times New Roman" w:hAnsi="Times New Roman"/>
          <w:sz w:val="18"/>
          <w:szCs w:val="18"/>
          <w:color w:val="auto"/>
        </w:rPr>
      </w:pPr>
    </w:p>
    <w:p>
      <w:pPr>
        <w:ind w:left="740" w:right="20" w:hanging="368"/>
        <w:spacing w:after="0" w:line="25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 The drug label for nalbuphine, the active ingredient in Haduvio, carries a warning for serious, life-threatening or fatal respiratory depression and Haduvio, if approved for marketing in any indication, will likely carry a similar label.</w:t>
      </w:r>
    </w:p>
    <w:p>
      <w:pPr>
        <w:spacing w:after="0" w:line="187" w:lineRule="exact"/>
        <w:rPr>
          <w:rFonts w:ascii="Times New Roman" w:cs="Times New Roman" w:eastAsia="Times New Roman" w:hAnsi="Times New Roman"/>
          <w:sz w:val="18"/>
          <w:szCs w:val="18"/>
          <w:color w:val="auto"/>
        </w:rPr>
      </w:pPr>
    </w:p>
    <w:p>
      <w:pPr>
        <w:ind w:left="740" w:right="80" w:hanging="368"/>
        <w:spacing w:after="0" w:line="25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currently approved μ-opioid products are subject to restrictive marketing and distribution regulations which, if applied to Haduvio, could potentially restrict its use and harm our ability to generate profits. We plan to conduct a human abuse liability, or HAL, study to further characterize the abuse potential of oral nalbuphine. If the results of the HAL study suggest that Haduvio may carry risks of misuse, abuse or addiction or even if the trial indicates that Haduvio does not carry such risks, the U.S. Food and Drug Administration, or FDA, may require us to implement a Risk Evaluation and Mitigation Strategy in connection with any commercialization of Haduvio and the U.S. Drug Enforcement Agency could determine that Haduvio should be classified as a controlled substance.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left="368" w:right="120" w:hanging="368"/>
        <w:spacing w:after="0" w:line="282"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products before or more successfully than we do.</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they do not perform satisfactorily, our business could be harmed.</w:t>
      </w:r>
    </w:p>
    <w:p>
      <w:pPr>
        <w:spacing w:after="0" w:line="225" w:lineRule="exact"/>
        <w:rPr>
          <w:rFonts w:ascii="Times New Roman" w:cs="Times New Roman" w:eastAsia="Times New Roman" w:hAnsi="Times New Roman"/>
          <w:sz w:val="18"/>
          <w:szCs w:val="18"/>
          <w:color w:val="auto"/>
        </w:rPr>
      </w:pPr>
    </w:p>
    <w:p>
      <w:pPr>
        <w:jc w:val="both"/>
        <w:ind w:left="368" w:right="160" w:hanging="368"/>
        <w:spacing w:after="0" w:line="266"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and any future product candidates.</w:t>
      </w:r>
    </w:p>
    <w:p>
      <w:pPr>
        <w:spacing w:after="0" w:line="175" w:lineRule="exact"/>
        <w:rPr>
          <w:rFonts w:ascii="Times New Roman" w:cs="Times New Roman" w:eastAsia="Times New Roman" w:hAnsi="Times New Roman"/>
          <w:sz w:val="18"/>
          <w:szCs w:val="18"/>
          <w:color w:val="auto"/>
        </w:rPr>
      </w:pPr>
    </w:p>
    <w:p>
      <w:pPr>
        <w:jc w:val="both"/>
        <w:ind w:left="368" w:right="140" w:hanging="368"/>
        <w:spacing w:after="0" w:line="266"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spacing w:after="0" w:line="175" w:lineRule="exact"/>
        <w:rPr>
          <w:rFonts w:ascii="Times New Roman" w:cs="Times New Roman" w:eastAsia="Times New Roman" w:hAnsi="Times New Roman"/>
          <w:sz w:val="18"/>
          <w:szCs w:val="18"/>
          <w:color w:val="auto"/>
        </w:rPr>
      </w:pPr>
    </w:p>
    <w:p>
      <w:pPr>
        <w:ind w:left="368" w:right="240" w:hanging="368"/>
        <w:spacing w:after="0" w:line="261"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179" w:lineRule="exact"/>
        <w:rPr>
          <w:rFonts w:ascii="Times New Roman" w:cs="Times New Roman" w:eastAsia="Times New Roman" w:hAnsi="Times New Roman"/>
          <w:sz w:val="18"/>
          <w:szCs w:val="18"/>
          <w:color w:val="auto"/>
        </w:rPr>
      </w:pPr>
    </w:p>
    <w:p>
      <w:pPr>
        <w:jc w:val="both"/>
        <w:ind w:left="368" w:hanging="368"/>
        <w:spacing w:after="0" w:line="266"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spacing w:after="0" w:line="175" w:lineRule="exact"/>
        <w:rPr>
          <w:rFonts w:ascii="Times New Roman" w:cs="Times New Roman" w:eastAsia="Times New Roman" w:hAnsi="Times New Roman"/>
          <w:sz w:val="18"/>
          <w:szCs w:val="18"/>
          <w:color w:val="auto"/>
        </w:rPr>
      </w:pPr>
    </w:p>
    <w:p>
      <w:pPr>
        <w:ind w:left="368" w:right="180" w:hanging="368"/>
        <w:spacing w:after="0" w:line="261"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health epidemics and other widespread outbreaks of contagious disease, including the COVID-19 pandemic, which has delayed our ongoing clinical trials, disrupted our business operations and may delay future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92" w:top="553"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660" w:type="dxa"/>
            <w:vAlign w:val="bottom"/>
            <w:gridSpan w:val="16"/>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240" w:type="dxa"/>
            <w:vAlign w:val="bottom"/>
            <w:gridSpan w:val="8"/>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Loss</w:t>
            </w:r>
          </w:p>
        </w:tc>
        <w:tc>
          <w:tcPr>
            <w:tcW w:w="52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52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8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3"/>
          </w:tcPr>
          <w:p>
            <w:pPr>
              <w:spacing w:after="0"/>
              <w:rPr>
                <w:sz w:val="18"/>
                <w:szCs w:val="18"/>
                <w:color w:val="auto"/>
              </w:rPr>
            </w:pPr>
          </w:p>
        </w:tc>
        <w:tc>
          <w:tcPr>
            <w:tcW w:w="3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780" w:type="dxa"/>
            <w:vAlign w:val="bottom"/>
            <w:gridSpan w:val="10"/>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8"/>
                <w:szCs w:val="18"/>
                <w:color w:val="auto"/>
              </w:rPr>
            </w:pPr>
          </w:p>
        </w:tc>
        <w:tc>
          <w:tcPr>
            <w:tcW w:w="8340" w:type="dxa"/>
            <w:vAlign w:val="bottom"/>
            <w:gridSpan w:val="1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3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Exhibits</w:t>
            </w:r>
          </w:p>
        </w:tc>
        <w:tc>
          <w:tcPr>
            <w:tcW w:w="836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24,698</w:t>
            </w:r>
          </w:p>
        </w:tc>
        <w:tc>
          <w:tcPr>
            <w:tcW w:w="260" w:type="dxa"/>
            <w:vAlign w:val="bottom"/>
          </w:tcPr>
          <w:p>
            <w:pPr>
              <w:spacing w:after="0"/>
              <w:rPr>
                <w:sz w:val="18"/>
                <w:szCs w:val="18"/>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Marketable securities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53,157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Prepaid expenses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79,885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Marketable securities - non-current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Property, equipment and leasehold improvements, net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81,414</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38,475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3,938</w:t>
            </w:r>
          </w:p>
        </w:tc>
        <w:tc>
          <w:tcPr>
            <w:tcW w:w="260" w:type="dxa"/>
            <w:vAlign w:val="bottom"/>
          </w:tcPr>
          <w:p>
            <w:pPr>
              <w:spacing w:after="0"/>
              <w:rPr>
                <w:sz w:val="18"/>
                <w:szCs w:val="18"/>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4,403</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Term loan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Term loan derivative liability</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15,433</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Term loan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20,899</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21,400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680" w:type="dxa"/>
            <w:vAlign w:val="bottom"/>
          </w:tcPr>
          <w:p>
            <w:pPr>
              <w:ind w:left="260"/>
              <w:spacing w:after="0" w:line="194" w:lineRule="exact"/>
              <w:rPr>
                <w:sz w:val="20"/>
                <w:szCs w:val="20"/>
                <w:color w:val="auto"/>
              </w:rPr>
            </w:pPr>
            <w:r>
              <w:rPr>
                <w:rFonts w:ascii="Times New Roman" w:cs="Times New Roman" w:eastAsia="Times New Roman" w:hAnsi="Times New Roman"/>
                <w:sz w:val="17"/>
                <w:szCs w:val="17"/>
                <w:color w:val="auto"/>
              </w:rPr>
              <w:t>Preferred stock: $0.001 par value; 5,000,000 shares authorized at June 30, 2022 and December 31, 2021;</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no shares issued or outstanding at June 30, 2022 and December 31, 2021.</w:t>
            </w:r>
          </w:p>
        </w:tc>
        <w:tc>
          <w:tcPr>
            <w:tcW w:w="24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5"/>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Common stock: $0.001 par value; 200,000,000 shares authorized at June 30, 2022 and December 31,</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2021; and 39,719,572 and 28,505,804 shares issued and outstanding at June 30, 2022 and December 31,</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2021, respectively.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256,908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(135)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(196,298)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(180,917)</w:t>
            </w: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60,515</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17,075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81,414</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530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2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24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20" w:type="dxa"/>
            <w:vAlign w:val="bottom"/>
            <w:shd w:val="clear" w:color="auto" w:fill="CFF0FC"/>
          </w:tcPr>
          <w:p>
            <w:pPr>
              <w:spacing w:after="0"/>
              <w:rPr>
                <w:sz w:val="19"/>
                <w:szCs w:val="19"/>
                <w:color w:val="auto"/>
              </w:rPr>
            </w:pPr>
          </w:p>
        </w:tc>
      </w:tr>
      <w:tr>
        <w:trPr>
          <w:trHeight w:val="223"/>
        </w:trPr>
        <w:tc>
          <w:tcPr>
            <w:tcW w:w="53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17,256</w:t>
            </w:r>
          </w:p>
        </w:tc>
        <w:tc>
          <w:tcPr>
            <w:tcW w:w="12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(17,256)</w:t>
            </w: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r>
      <w:tr>
        <w:trPr>
          <w:trHeight w:val="223"/>
        </w:trPr>
        <w:tc>
          <w:tcPr>
            <w:tcW w:w="53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5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(18,182)</w:t>
            </w:r>
          </w:p>
        </w:tc>
        <w:tc>
          <w:tcPr>
            <w:tcW w:w="12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benefit</w:t>
            </w:r>
          </w:p>
        </w:tc>
        <w:tc>
          <w:tcPr>
            <w:tcW w:w="5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r>
      <w:tr>
        <w:trPr>
          <w:trHeight w:val="263"/>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120" w:type="dxa"/>
            <w:vAlign w:val="bottom"/>
            <w:tcBorders>
              <w:bottom w:val="single" w:sz="8" w:color="CFF0FC"/>
            </w:tcBorders>
          </w:tcPr>
          <w:p>
            <w:pPr>
              <w:spacing w:after="0"/>
              <w:rPr>
                <w:sz w:val="22"/>
                <w:szCs w:val="22"/>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shd w:val="clear" w:color="auto" w:fill="CFF0FC"/>
          </w:tcPr>
          <w:p>
            <w:pPr>
              <w:spacing w:after="0"/>
              <w:rPr>
                <w:sz w:val="18"/>
                <w:szCs w:val="18"/>
                <w:color w:val="auto"/>
              </w:rPr>
            </w:pPr>
          </w:p>
        </w:tc>
      </w:tr>
      <w:tr>
        <w:trPr>
          <w:trHeight w:val="21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59,542,628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20,123,461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45,253,599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19,772,201</w:t>
            </w:r>
          </w:p>
        </w:tc>
        <w:tc>
          <w:tcPr>
            <w:tcW w:w="120" w:type="dxa"/>
            <w:vAlign w:val="bottom"/>
          </w:tcPr>
          <w:p>
            <w:pPr>
              <w:spacing w:after="0"/>
              <w:rPr>
                <w:sz w:val="20"/>
                <w:szCs w:val="20"/>
                <w:color w:val="auto"/>
              </w:rPr>
            </w:pPr>
          </w:p>
        </w:tc>
      </w:tr>
      <w:tr>
        <w:trPr>
          <w:trHeight w:val="229"/>
        </w:trPr>
        <w:tc>
          <w:tcPr>
            <w:tcW w:w="5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(8,052)</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(9,794)</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(15,381)</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(18,165)</w:t>
            </w: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unrealized losses on available-for-sale marketable securities</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12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4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8"/>
                <w:szCs w:val="18"/>
                <w:color w:val="auto"/>
              </w:rPr>
            </w:pPr>
          </w:p>
        </w:tc>
        <w:tc>
          <w:tcPr>
            <w:tcW w:w="120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46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30,805,804</w:t>
            </w:r>
          </w:p>
        </w:tc>
        <w:tc>
          <w:tcPr>
            <w:tcW w:w="5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198,678</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(188,246)</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the at-the-market sales agreement,</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of commissions and allocated fees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Employee Stock Purchase Plan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and warrants under private placements,</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issuance costs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4,580,526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51,821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warrant exercise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4,299,270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losses on available-for-sale marketable securities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(8,052)</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(8,052)</w:t>
            </w:r>
          </w:p>
        </w:tc>
        <w:tc>
          <w:tcPr>
            <w:tcW w:w="0" w:type="dxa"/>
            <w:vAlign w:val="bottom"/>
          </w:tcPr>
          <w:p>
            <w:pPr>
              <w:spacing w:after="0"/>
              <w:rPr>
                <w:sz w:val="1"/>
                <w:szCs w:val="1"/>
                <w:color w:val="auto"/>
              </w:rPr>
            </w:pPr>
          </w:p>
        </w:tc>
      </w:tr>
      <w:tr>
        <w:trPr>
          <w:trHeight w:val="210"/>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39,719,572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256,908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(196,298</w:t>
            </w:r>
          </w:p>
        </w:tc>
        <w:tc>
          <w:tcPr>
            <w:tcW w:w="26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60,515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60" w:type="dxa"/>
            <w:vAlign w:val="bottom"/>
            <w:vMerge w:val="continue"/>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19,914,407</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179,013</w:t>
            </w:r>
          </w:p>
        </w:tc>
        <w:tc>
          <w:tcPr>
            <w:tcW w:w="140" w:type="dxa"/>
            <w:vAlign w:val="bottom"/>
          </w:tcPr>
          <w:p>
            <w:pPr>
              <w:spacing w:after="0"/>
              <w:rPr>
                <w:sz w:val="24"/>
                <w:szCs w:val="24"/>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(155,348)</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the at-the-market sales agreement,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net of commissions and allocated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1,365,871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from Employee Stock Purchase Plan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to Lincoln Park Capital Fund (see Note 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170,088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(9,794)</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(9,794)</w:t>
            </w:r>
          </w:p>
        </w:tc>
        <w:tc>
          <w:tcPr>
            <w:tcW w:w="0" w:type="dxa"/>
            <w:vAlign w:val="bottom"/>
          </w:tcPr>
          <w:p>
            <w:pPr>
              <w:spacing w:after="0"/>
              <w:rPr>
                <w:sz w:val="1"/>
                <w:szCs w:val="1"/>
                <w:color w:val="auto"/>
              </w:rPr>
            </w:pP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21,459,498</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182,857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(165,142</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4660" w:type="dxa"/>
            <w:vAlign w:val="bottom"/>
          </w:tcPr>
          <w:p>
            <w:pPr>
              <w:spacing w:after="0"/>
              <w:rPr>
                <w:sz w:val="18"/>
                <w:szCs w:val="18"/>
                <w:color w:val="auto"/>
              </w:rPr>
            </w:pPr>
          </w:p>
        </w:tc>
        <w:tc>
          <w:tcPr>
            <w:tcW w:w="14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4"/>
        </w:trPr>
        <w:tc>
          <w:tcPr>
            <w:tcW w:w="466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60" w:type="dxa"/>
            <w:vAlign w:val="bottom"/>
          </w:tcPr>
          <w:p>
            <w:pPr>
              <w:spacing w:after="0"/>
              <w:rPr>
                <w:sz w:val="18"/>
                <w:szCs w:val="18"/>
                <w:color w:val="auto"/>
              </w:rPr>
            </w:pPr>
          </w:p>
        </w:tc>
        <w:tc>
          <w:tcPr>
            <w:tcW w:w="9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1"/>
        </w:trPr>
        <w:tc>
          <w:tcPr>
            <w:tcW w:w="4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28,505,804</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197,963</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(180,917)</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17,075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20" w:type="dxa"/>
            <w:vAlign w:val="bottom"/>
          </w:tcPr>
          <w:p>
            <w:pPr>
              <w:spacing w:after="0"/>
              <w:rPr>
                <w:sz w:val="18"/>
                <w:szCs w:val="18"/>
                <w:color w:val="auto"/>
              </w:rPr>
            </w:pPr>
          </w:p>
        </w:tc>
      </w:tr>
      <w:tr>
        <w:trPr>
          <w:trHeight w:val="205"/>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the at-the-market sales agreement,</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of commissions and allocated fees</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r>
      <w:tr>
        <w:trPr>
          <w:trHeight w:val="205"/>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and warrants under private placements,</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issuance costs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4,580,526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51,821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51,826</w:t>
            </w:r>
          </w:p>
        </w:tc>
        <w:tc>
          <w:tcPr>
            <w:tcW w:w="12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warrant exercise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6,599,270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120" w:type="dxa"/>
            <w:vAlign w:val="bottom"/>
          </w:tcPr>
          <w:p>
            <w:pPr>
              <w:spacing w:after="0"/>
              <w:rPr>
                <w:sz w:val="18"/>
                <w:szCs w:val="18"/>
                <w:color w:val="auto"/>
              </w:rPr>
            </w:pP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losses on available-for-sale marketable securities</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(135)</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(135)</w:t>
            </w: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(15,381)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(15,381)</w:t>
            </w:r>
          </w:p>
        </w:tc>
      </w:tr>
      <w:tr>
        <w:trPr>
          <w:trHeight w:val="209"/>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39,719,572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256,908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(196,298</w:t>
            </w:r>
          </w:p>
        </w:tc>
        <w:tc>
          <w:tcPr>
            <w:tcW w:w="16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60,515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4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18,546,786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174,240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(146,977)</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27,282</w:t>
            </w:r>
          </w:p>
        </w:tc>
        <w:tc>
          <w:tcPr>
            <w:tcW w:w="12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20" w:type="dxa"/>
            <w:vAlign w:val="bottom"/>
          </w:tcPr>
          <w:p>
            <w:pPr>
              <w:spacing w:after="0"/>
              <w:rPr>
                <w:sz w:val="18"/>
                <w:szCs w:val="18"/>
                <w:color w:val="auto"/>
              </w:rPr>
            </w:pPr>
          </w:p>
        </w:tc>
      </w:tr>
      <w:tr>
        <w:trPr>
          <w:trHeight w:val="205"/>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the at-the-market sales agreement,</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of commissions and allocated fees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2,733,492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6,764</w:t>
            </w:r>
          </w:p>
        </w:tc>
        <w:tc>
          <w:tcPr>
            <w:tcW w:w="12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to Lincoln Park Capital Fund (see Note 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170,088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shd w:val="clear" w:color="auto" w:fill="CFF0FC"/>
          </w:tcPr>
          <w:p>
            <w:pPr>
              <w:spacing w:after="0"/>
              <w:rPr>
                <w:sz w:val="19"/>
                <w:szCs w:val="19"/>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(18,165)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(18,165)</w:t>
            </w:r>
          </w:p>
        </w:tc>
      </w:tr>
      <w:tr>
        <w:trPr>
          <w:trHeight w:val="209"/>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21,459,498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182,857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(165,142</w:t>
            </w:r>
          </w:p>
        </w:tc>
        <w:tc>
          <w:tcPr>
            <w:tcW w:w="16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17,736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3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FF0FC"/>
            </w:tcBorders>
          </w:tcPr>
          <w:p>
            <w:pPr>
              <w:spacing w:after="0"/>
              <w:rPr>
                <w:sz w:val="13"/>
                <w:szCs w:val="13"/>
                <w:color w:val="auto"/>
              </w:rPr>
            </w:pPr>
          </w:p>
        </w:tc>
      </w:tr>
      <w:tr>
        <w:trPr>
          <w:trHeight w:val="20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(15,381)</w:t>
            </w:r>
          </w:p>
        </w:tc>
        <w:tc>
          <w:tcPr>
            <w:tcW w:w="820" w:type="dxa"/>
            <w:vAlign w:val="bottom"/>
            <w:gridSpan w:val="2"/>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(18,165)</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Depreciation</w:t>
            </w: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Accretion of available-for-sale marketable securities, net</w:t>
            </w:r>
          </w:p>
        </w:tc>
        <w:tc>
          <w:tcPr>
            <w:tcW w:w="10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w:t>
            </w:r>
          </w:p>
        </w:tc>
      </w:tr>
      <w:tr>
        <w:trPr>
          <w:trHeight w:val="216"/>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Accretion/accrual of term loan discounts and debt issuance costs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expense related to transaction with Lincoln Park Capital Fund, LLC</w:t>
            </w:r>
          </w:p>
        </w:tc>
        <w:tc>
          <w:tcPr>
            <w:tcW w:w="10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(885)</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(592)</w:t>
            </w:r>
          </w:p>
        </w:tc>
      </w:tr>
      <w:tr>
        <w:trPr>
          <w:trHeight w:val="216"/>
        </w:trPr>
        <w:tc>
          <w:tcPr>
            <w:tcW w:w="73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(310)</w:t>
            </w:r>
          </w:p>
        </w:tc>
      </w:tr>
      <w:tr>
        <w:trPr>
          <w:trHeight w:val="210"/>
        </w:trPr>
        <w:tc>
          <w:tcPr>
            <w:tcW w:w="73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(13,268)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w:t>
            </w:r>
          </w:p>
        </w:tc>
        <w:tc>
          <w:tcPr>
            <w:tcW w:w="100" w:type="dxa"/>
            <w:vAlign w:val="bottom"/>
            <w:tcBorders>
              <w:bottom w:val="single" w:sz="8" w:color="CFF0FC"/>
            </w:tcBorders>
          </w:tcPr>
          <w:p>
            <w:pPr>
              <w:spacing w:after="0"/>
              <w:rPr>
                <w:sz w:val="18"/>
                <w:szCs w:val="18"/>
                <w:color w:val="auto"/>
              </w:rPr>
            </w:pPr>
          </w:p>
        </w:tc>
      </w:tr>
      <w:tr>
        <w:trPr>
          <w:trHeight w:val="20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available-for-sale marketable securities</w:t>
            </w:r>
          </w:p>
        </w:tc>
        <w:tc>
          <w:tcPr>
            <w:tcW w:w="10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(54,217)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738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(54,217)</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FF0FC"/>
            </w:tcBorders>
            <w:shd w:val="clear" w:color="auto" w:fill="CFF0FC"/>
          </w:tcPr>
          <w:p>
            <w:pPr>
              <w:spacing w:after="0"/>
              <w:rPr>
                <w:sz w:val="18"/>
                <w:szCs w:val="18"/>
                <w:color w:val="auto"/>
              </w:rPr>
            </w:pPr>
          </w:p>
        </w:tc>
      </w:tr>
      <w:tr>
        <w:trPr>
          <w:trHeight w:val="208"/>
        </w:trPr>
        <w:tc>
          <w:tcPr>
            <w:tcW w:w="7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Repayments of term loan</w:t>
            </w:r>
          </w:p>
        </w:tc>
        <w:tc>
          <w:tcPr>
            <w:tcW w:w="10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(2,333)</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Payments of financing costs of term loan</w:t>
            </w:r>
          </w:p>
        </w:tc>
        <w:tc>
          <w:tcPr>
            <w:tcW w:w="10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94"/>
        </w:trPr>
        <w:tc>
          <w:tcPr>
            <w:tcW w:w="73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Proceeds from sale of common stock and warrants under private placement,</w:t>
            </w:r>
          </w:p>
        </w:tc>
        <w:tc>
          <w:tcPr>
            <w:tcW w:w="10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4"/>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of issuance costs</w:t>
            </w:r>
          </w:p>
        </w:tc>
        <w:tc>
          <w:tcPr>
            <w:tcW w:w="10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51,826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exercises of warrants</w:t>
            </w: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at-the-market sales, net of commissions</w:t>
            </w:r>
          </w:p>
        </w:tc>
        <w:tc>
          <w:tcPr>
            <w:tcW w:w="10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6,972</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of offering costs</w:t>
            </w:r>
          </w:p>
        </w:tc>
        <w:tc>
          <w:tcPr>
            <w:tcW w:w="10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(89)</w:t>
            </w:r>
          </w:p>
        </w:tc>
      </w:tr>
      <w:tr>
        <w:trPr>
          <w:trHeight w:val="209"/>
        </w:trPr>
        <w:tc>
          <w:tcPr>
            <w:tcW w:w="73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55,353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6,900</w:t>
            </w:r>
          </w:p>
        </w:tc>
        <w:tc>
          <w:tcPr>
            <w:tcW w:w="100" w:type="dxa"/>
            <w:vAlign w:val="bottom"/>
            <w:tcBorders>
              <w:bottom w:val="single" w:sz="8" w:color="CFF0FC"/>
            </w:tcBorders>
          </w:tcPr>
          <w:p>
            <w:pPr>
              <w:spacing w:after="0"/>
              <w:rPr>
                <w:sz w:val="18"/>
                <w:szCs w:val="18"/>
                <w:color w:val="auto"/>
              </w:rPr>
            </w:pPr>
          </w:p>
        </w:tc>
      </w:tr>
      <w:tr>
        <w:trPr>
          <w:trHeight w:val="210"/>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(12,132)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(8,576)</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36,830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45,001</w:t>
            </w:r>
          </w:p>
        </w:tc>
        <w:tc>
          <w:tcPr>
            <w:tcW w:w="100" w:type="dxa"/>
            <w:vAlign w:val="bottom"/>
            <w:tcBorders>
              <w:bottom w:val="single" w:sz="8" w:color="CFF0FC"/>
            </w:tcBorders>
          </w:tcPr>
          <w:p>
            <w:pPr>
              <w:spacing w:after="0"/>
              <w:rPr>
                <w:sz w:val="18"/>
                <w:szCs w:val="18"/>
                <w:color w:val="auto"/>
              </w:rPr>
            </w:pPr>
          </w:p>
        </w:tc>
      </w:tr>
      <w:tr>
        <w:trPr>
          <w:trHeight w:val="210"/>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02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24,698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36,425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5"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w:t>
      </w:r>
    </w:p>
    <w:p>
      <w:pPr>
        <w:spacing w:after="0" w:line="121"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Trevi Therapeutics, Inc. (“Trevi” or the “Company”) is a clinical-stage biopharmaceutical company focused on the development and commercialization of the investigational therapy Haduvio (oral nalbuphine ER) to treat serious neurologically mediated conditions. The Company is currently developing Haduvio for the treatment of prurigo nodularis and chronic cough in adults with idiopathic pulmonary fibrosis (“IPF”).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p>
    <w:p>
      <w:pPr>
        <w:spacing w:after="0" w:line="79"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Haduvio is an oral extended-release formulation of nalbuphine. Nalbuphine is a mixed κ-opioid receptor agonist and μ-opioid receptor antagonist that has been approved and marketed as an injectable for pain indications for more than 20 years in the United States (“U.S.”) and Europe. The κ- and μ-opioid receptors are known to be critical mediators of itch, cough and certain movement disorders. Nalbuphine’s mechanism of action also mitigates the risk of abuse associated with μ-opioid agonists because it antagonizes or blocks, the μ-opioid receptor. Parenteral nalbuphine is not scheduled as a controlled substance in the U.S. and most of Europe.</w:t>
      </w:r>
    </w:p>
    <w:p>
      <w:pPr>
        <w:spacing w:after="0" w:line="71" w:lineRule="exact"/>
        <w:rPr>
          <w:sz w:val="20"/>
          <w:szCs w:val="20"/>
          <w:color w:val="auto"/>
        </w:rPr>
      </w:pPr>
    </w:p>
    <w:p>
      <w:pPr>
        <w:ind w:left="520" w:right="7340" w:hanging="512"/>
        <w:spacing w:after="0" w:line="377" w:lineRule="auto"/>
        <w:tabs>
          <w:tab w:leader="none" w:pos="51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for the three and six months ended June 30, 2022 and 2021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2021 (the “Annual Report on Form 10-K”).</w:t>
      </w:r>
    </w:p>
    <w:p>
      <w:pPr>
        <w:spacing w:after="0" w:line="79"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54"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All amounts presented are in thousands of dollars, except share and per share amounts, unless noted otherwise. The Company has evaluated events occurring subsequent to June 30, 2022 for potential recognition or disclosure in the Condensed Consolidated Financial Statements and concluded there were no subsequent events that required recognition or disclosure other than those provided in Note 13.</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of deferred tax assets resulting from net operating losses.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 The inputs into the Company’s estimates also considered the economic implications of the COVID-19 pandemic on the Company’s estimates.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Balance Sheet as of June 30, 2022 and the Condensed Consolidated Statements of Comprehensive Loss, the Condensed Consolidated Statements of Stockholders’ Equity and the Condensed Consolidated Statements of Cash Flows for the three and six months ended June 30, 2022 and 2021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June 30, 2022 and the results of its operations and its cash flows for the three and six months ended June 30, 2022 and 2021. The results for the three and six months ended June 30, 2022 and 2021 are not necessarily indicative of results to be expected for the year ending December 31, 2022 or any other interim period or any future year or period.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1" w:name="page12"/>
    <w:bookmarkEnd w:id="11"/>
    <w:p>
      <w:pPr>
        <w:ind w:right="820" w:firstLine="510"/>
        <w:spacing w:after="0" w:line="282" w:lineRule="auto"/>
        <w:rPr>
          <w:sz w:val="20"/>
          <w:szCs w:val="20"/>
          <w:color w:val="auto"/>
        </w:rPr>
      </w:pPr>
      <w:r>
        <w:rPr>
          <w:rFonts w:ascii="Times New Roman" w:cs="Times New Roman" w:eastAsia="Times New Roman" w:hAnsi="Times New Roman"/>
          <w:sz w:val="18"/>
          <w:szCs w:val="18"/>
          <w:color w:val="auto"/>
        </w:rPr>
        <w:t>The Company classifies short-term, highly liquid investments with an original term of three months or less at the date of purchase as cash equivalents.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The Company generally invests its excess cash in money market funds and investment grade short- to intermediate-term fixed income securities. Such investments are included in cash and cash equivalents, short-term marketable securities or long-term marketable securities on the Condensed Consolidated Balance Sheet. Marketable securities with an original maturity date greater than 90 days and less than one year at each balance sheet date are classified as short-term. Marketable securities with a maturity date greater than one year at each balance sheet date are classified as long-term. All of the Company’s marketable securities are considered available-for-sale and are reported at fair value with unrealized gains and losses included as a component of stockholders’ equity (deficit). The amortized cost of debt securities is adjusted for amortization of premiums and accretion of discounts to maturity, which is included in interest income, net on the Condensed Consolidated Statements of Comprehensive Loss. Realized gains and losses and declines in value judged to be other-than-temporary, if any, on marketable securities are included in interest income, net on the Condensed Consolidated Statements of Comprehensive Loss. The cost of securities sold is determined using specific identification.</w:t>
      </w:r>
    </w:p>
    <w:p>
      <w:pPr>
        <w:spacing w:after="0" w:line="80"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The Company evaluates whether declines in the fair values of its marketable securities below their amortized cost are other-than temporary on a quarterly basis. This evaluation consists of several qualitative and quantitative factors regarding the severity and duration of the unrealized loss, as well as the Company’s ability and intent to hold the marketable security until a forecasted recovery occurs. Additionally,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have consisted of cash and cash equivalents, available-for-sale marketable securities, other current assets, accounts payable, accrued expenses, term loans, term loan derivative liability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carrying amount of the term loan approximates its fair value due to its floating market-based interest rate. The fair value of the term loan derivative liability is estimated utilizing a probability-weighted cash flow approach. The warrants to acquire the Company’s common stock are not required to be accounted for at fair value.</w:t>
      </w:r>
    </w:p>
    <w:p>
      <w:pPr>
        <w:spacing w:after="0" w:line="84"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 xml:space="preserve">Current accounting guidance defines fair value, establishes a framework for measuring fair value in accordance with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4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68"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Level 3—Unobservable inputs—includes amounts derived from valuation models where one or more significant inputs are unobservable and require the company to develop relevant assumptions.</w:t>
      </w:r>
    </w:p>
    <w:p>
      <w:pPr>
        <w:spacing w:after="0" w:line="45"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Valuaton Techniques - Level 2 Inputs</w:t>
      </w:r>
    </w:p>
    <w:p>
      <w:pPr>
        <w:spacing w:after="0" w:line="113"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values of its financial instruments categorized as level 2 in the fair value hierarchy, including U.S. Treasury securities, U.S. government agency obligations, corporate bonds, commercial paper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The Company obtains a single price for each financial instrument and does not adjust the prices obtained from the pricing service.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Leasehold Improvements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19" w:lineRule="exact"/>
        <w:rPr>
          <w:sz w:val="20"/>
          <w:szCs w:val="20"/>
          <w:color w:val="auto"/>
        </w:rPr>
      </w:pPr>
    </w:p>
    <w:p>
      <w:pPr>
        <w:ind w:right="80" w:firstLine="510"/>
        <w:spacing w:after="0" w:line="267" w:lineRule="auto"/>
        <w:rPr>
          <w:sz w:val="20"/>
          <w:szCs w:val="20"/>
          <w:color w:val="auto"/>
        </w:rPr>
      </w:pPr>
      <w:r>
        <w:rPr>
          <w:rFonts w:ascii="Times New Roman" w:cs="Times New Roman" w:eastAsia="Times New Roman" w:hAnsi="Times New Roman"/>
          <w:sz w:val="18"/>
          <w:szCs w:val="18"/>
          <w:color w:val="auto"/>
        </w:rPr>
        <w:t xml:space="preserve">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addresses the financial accounting and reporting for impairment or disposal of long-lived assets. The Company reviews the recorded values of long-lived assets for impairment whenever events or changes in business circumstances indicate that the carrying amount of an asset or group of assets may not be fully recoverable.</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the Condensed Consolidated Statements of Comprehensive Loss.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operating expenses. The deferred offering costs are included in Other non-current assets on the Condensed Consolidated Balance Sheets.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12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All of the Company’s R&amp;D expenses consist of expenses incurred in connection with the development of Haduvio. These expenses include certain payroll and personnel expenses, including stock-based compensation, consulting costs, contract manufacturing costs and fees paid to clinical research organizations (“CROs”) to conduct certain R&amp;D activities on the Company’s behalf. The Company does not allocate its costs by each indication for which it is developing Haduvio, as a significant amount of the Company’s development activities broadly support all indications. In addition, several of the Company’s departments support the Company’s Haduvio drug candidate development program and the Company does not identify internal costs for each potential indication. The Company expenses both internal and external R&amp;D expenses as they are incurred.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R&amp;D Expenses</w:t>
      </w:r>
    </w:p>
    <w:p>
      <w:pPr>
        <w:spacing w:after="0" w:line="121"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The Company has entered into agreements with CROs, contract manufacturing organizations (“CMOs”) and other companies that provide services in connection with the Company’s R&amp;D activities. The Company’s R&amp;D accruals are estimated based on the level of services performed, progress of the studies, including the phase or completion of events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All patent-related costs in connection with filing and prosecuting patent applications are expensed to general and administrative expense as incurred, as recoverability of such expenditures is uncertain.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then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spacing w:after="0" w:line="75" w:lineRule="exact"/>
        <w:rPr>
          <w:sz w:val="20"/>
          <w:szCs w:val="20"/>
          <w:color w:val="auto"/>
        </w:rPr>
      </w:pPr>
    </w:p>
    <w:p>
      <w:pPr>
        <w:ind w:right="180" w:firstLine="510"/>
        <w:spacing w:after="0" w:line="274" w:lineRule="auto"/>
        <w:rPr>
          <w:sz w:val="20"/>
          <w:szCs w:val="20"/>
          <w:color w:val="auto"/>
        </w:rPr>
      </w:pPr>
      <w:r>
        <w:rPr>
          <w:rFonts w:ascii="Times New Roman" w:cs="Times New Roman" w:eastAsia="Times New Roman" w:hAnsi="Times New Roman"/>
          <w:sz w:val="17"/>
          <w:szCs w:val="17"/>
          <w:color w:val="auto"/>
        </w:rPr>
        <w:t>If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 w:name="page14"/>
    <w:bookmarkEnd w:id="13"/>
    <w:p>
      <w:pPr>
        <w:ind w:right="240"/>
        <w:spacing w:after="0" w:line="282" w:lineRule="auto"/>
        <w:rPr>
          <w:sz w:val="20"/>
          <w:szCs w:val="20"/>
          <w:color w:val="auto"/>
        </w:rPr>
      </w:pPr>
      <w:r>
        <w:rPr>
          <w:rFonts w:ascii="Times New Roman" w:cs="Times New Roman" w:eastAsia="Times New Roman" w:hAnsi="Times New Roman"/>
          <w:sz w:val="18"/>
          <w:szCs w:val="18"/>
          <w:color w:val="auto"/>
        </w:rPr>
        <w:t>with all changes in fair value after the issuance date recorded in the statements of comprehensive loss as a gain or loss. For equity classified warrants, no changes in fair value are recognized after the issuance date.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arrangements with employees and non-employees for consultancy services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spacing w:after="0" w:line="79" w:lineRule="exact"/>
        <w:rPr>
          <w:sz w:val="20"/>
          <w:szCs w:val="20"/>
          <w:color w:val="auto"/>
        </w:rPr>
      </w:pPr>
    </w:p>
    <w:p>
      <w:pPr>
        <w:ind w:right="480" w:firstLine="510"/>
        <w:spacing w:after="0" w:line="282" w:lineRule="auto"/>
        <w:rPr>
          <w:sz w:val="20"/>
          <w:szCs w:val="20"/>
          <w:color w:val="auto"/>
        </w:rPr>
      </w:pPr>
      <w:r>
        <w:rPr>
          <w:rFonts w:ascii="Times New Roman" w:cs="Times New Roman" w:eastAsia="Times New Roman" w:hAnsi="Times New Roman"/>
          <w:sz w:val="18"/>
          <w:szCs w:val="18"/>
          <w:color w:val="auto"/>
        </w:rPr>
        <w:t>Changes in the variables can materially affect the fair value and ultimately how much stock-based compensation expense is recognized. These inputs are subjective and generally require analysis and judgment to develop.</w:t>
      </w:r>
    </w:p>
    <w:p>
      <w:pPr>
        <w:spacing w:after="0" w:line="54"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spacing w:after="0" w:line="68"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68"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Expected Dividend—The Black-Scholes valuation model calls for a single expected dividend yield as an input. The Company currently has no history or expectation of paying cash dividends on its common stock.</w:t>
      </w:r>
    </w:p>
    <w:p>
      <w:pPr>
        <w:spacing w:after="0" w:line="54"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yield available on U.S. Treasury zero-coupon issues similar in duration to the expected term of the stock-based award.</w:t>
      </w:r>
    </w:p>
    <w:p>
      <w:pPr>
        <w:spacing w:after="0" w:line="54"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the performance conditions are probable. The Company reassesses the probability of achieving the performance conditions at each reporting date. Forfeitures are accounted for as they occur.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spacing w:after="0" w:line="70"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June 30, 2022 and December 31, 2021. The Company does not have any interest or penalties accrued related to tax positions as it does not have any unrecognized tax benefits. In the event the Company determines that accrual of interest or penalties are necessary in the future, the amount will be presented as a component of interest expense.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 xml:space="preserve">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spacing w:after="0" w:line="7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which is updated periodically, based on information available at the commencement date of the lease to determine the present value of the lease payments.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(Loss) per Common Share</w:t>
      </w:r>
    </w:p>
    <w:p>
      <w:pPr>
        <w:spacing w:after="0" w:line="12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spacing w:after="0" w:line="68"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The Company has one reporting segment which is also the Company’s only operating segment. Management uses one measurement of profitability and does not segregate its business for internal reporting. All long-lived assets are maintained in the U.S.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new pronouncements adopted during the six months ended June 30, 2022, which could be expected to materially impact the Company’s Condensed Consolidated Financial Statements.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new pronouncements issued during the six months ended June 30, 2022, which could be expected to materially impact the Company’s Condensed Consolidated Financial Statements.</w:t>
      </w:r>
    </w:p>
    <w:p>
      <w:pPr>
        <w:spacing w:after="0" w:line="50"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700" w:firstLine="510"/>
        <w:spacing w:after="0" w:line="282" w:lineRule="auto"/>
        <w:rPr>
          <w:sz w:val="20"/>
          <w:szCs w:val="20"/>
          <w:color w:val="auto"/>
        </w:rPr>
      </w:pPr>
      <w:r>
        <w:rPr>
          <w:rFonts w:ascii="Times New Roman" w:cs="Times New Roman" w:eastAsia="Times New Roman" w:hAnsi="Times New Roman"/>
          <w:sz w:val="18"/>
          <w:szCs w:val="18"/>
          <w:color w:val="auto"/>
        </w:rPr>
        <w:t>The fair value and amortized cost of available-for-sale marketable securities by major security type as of June 30, 2022 are presented in the following table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center"/>
              <w:ind w:right="50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4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Type of security</w:t>
            </w:r>
          </w:p>
        </w:tc>
        <w:tc>
          <w:tcPr>
            <w:tcW w:w="1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23"/>
        </w:trPr>
        <w:tc>
          <w:tcPr>
            <w:tcW w:w="4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3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100" w:type="dxa"/>
            <w:vAlign w:val="bottom"/>
          </w:tcPr>
          <w:p>
            <w:pPr>
              <w:spacing w:after="0"/>
              <w:rPr>
                <w:sz w:val="19"/>
                <w:szCs w:val="19"/>
                <w:color w:val="auto"/>
              </w:rPr>
            </w:pPr>
          </w:p>
        </w:tc>
      </w:tr>
      <w:tr>
        <w:trPr>
          <w:trHeight w:val="230"/>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54,292</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54,157</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6"/>
        </w:trPr>
        <w:tc>
          <w:tcPr>
            <w:tcW w:w="11240" w:type="dxa"/>
            <w:vAlign w:val="bottom"/>
            <w:gridSpan w:val="17"/>
          </w:tcPr>
          <w:p>
            <w:pPr>
              <w:ind w:left="520"/>
              <w:spacing w:after="0"/>
              <w:rPr>
                <w:sz w:val="20"/>
                <w:szCs w:val="20"/>
                <w:color w:val="auto"/>
              </w:rPr>
            </w:pPr>
            <w:r>
              <w:rPr>
                <w:rFonts w:ascii="Times New Roman" w:cs="Times New Roman" w:eastAsia="Times New Roman" w:hAnsi="Times New Roman"/>
                <w:sz w:val="18"/>
                <w:szCs w:val="18"/>
                <w:color w:val="auto"/>
              </w:rPr>
              <w:t>As of June 30, 2022, the remaining contractual maturities of available-for-sale marketable securities were as follows (in thousands):</w:t>
            </w:r>
          </w:p>
        </w:tc>
      </w:tr>
      <w:tr>
        <w:trPr>
          <w:trHeight w:val="238"/>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r>
      <w:tr>
        <w:trPr>
          <w:trHeight w:val="22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than one year</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53,283</w:t>
            </w:r>
          </w:p>
        </w:tc>
        <w:tc>
          <w:tcPr>
            <w:tcW w:w="2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53,157</w:t>
            </w:r>
          </w:p>
        </w:tc>
        <w:tc>
          <w:tcPr>
            <w:tcW w:w="100" w:type="dxa"/>
            <w:vAlign w:val="bottom"/>
            <w:shd w:val="clear" w:color="auto" w:fill="CFF0FC"/>
          </w:tcPr>
          <w:p>
            <w:pPr>
              <w:spacing w:after="0"/>
              <w:rPr>
                <w:sz w:val="19"/>
                <w:szCs w:val="19"/>
                <w:color w:val="auto"/>
              </w:rPr>
            </w:pPr>
          </w:p>
        </w:tc>
      </w:tr>
      <w:tr>
        <w:trPr>
          <w:trHeight w:val="229"/>
        </w:trPr>
        <w:tc>
          <w:tcPr>
            <w:tcW w:w="454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One year through two years</w:t>
            </w:r>
          </w:p>
        </w:tc>
        <w:tc>
          <w:tcPr>
            <w:tcW w:w="1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54,292</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there have been no realized gains or losses on available-for-sale marketable securities, no marketable securities had been in a continuous unrealized loss position for more than 12 months, and the Company did not recognize any other-than-temporary impairment losses on these marketable securities.</w:t>
      </w:r>
    </w:p>
    <w:p>
      <w:pPr>
        <w:spacing w:after="0" w:line="64"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financial assets and financial liabilities measured at fair value on a recurring basis as of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the basis for that measurement, by level within the fair value hierarchy: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Fair Value Measurement Using:</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0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80" w:type="dxa"/>
            <w:vAlign w:val="bottom"/>
          </w:tcPr>
          <w:p>
            <w:pPr>
              <w:spacing w:after="0"/>
              <w:rPr>
                <w:sz w:val="19"/>
                <w:szCs w:val="19"/>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9"/>
                <w:szCs w:val="19"/>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8"/>
        </w:trPr>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3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3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100" w:type="dxa"/>
            <w:vAlign w:val="bottom"/>
            <w:shd w:val="clear" w:color="auto" w:fill="CFF0FC"/>
          </w:tcPr>
          <w:p>
            <w:pPr>
              <w:spacing w:after="0"/>
              <w:rPr>
                <w:sz w:val="19"/>
                <w:szCs w:val="19"/>
                <w:color w:val="auto"/>
              </w:rPr>
            </w:pPr>
          </w:p>
        </w:tc>
      </w:tr>
      <w:tr>
        <w:trPr>
          <w:trHeight w:val="230"/>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Pr>
          <w:p>
            <w:pPr>
              <w:spacing w:after="0"/>
              <w:rPr>
                <w:sz w:val="19"/>
                <w:szCs w:val="19"/>
                <w:color w:val="auto"/>
              </w:rPr>
            </w:pPr>
          </w:p>
        </w:tc>
      </w:tr>
      <w:tr>
        <w:trPr>
          <w:trHeight w:val="229"/>
        </w:trPr>
        <w:tc>
          <w:tcPr>
            <w:tcW w:w="3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shd w:val="clear" w:color="auto" w:fill="CFF0FC"/>
          </w:tcPr>
          <w:p>
            <w:pPr>
              <w:spacing w:after="0"/>
              <w:rPr>
                <w:sz w:val="19"/>
                <w:szCs w:val="19"/>
                <w:color w:val="auto"/>
              </w:rPr>
            </w:pPr>
          </w:p>
        </w:tc>
      </w:tr>
      <w:tr>
        <w:trPr>
          <w:trHeight w:val="229"/>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100" w:type="dxa"/>
            <w:vAlign w:val="bottom"/>
          </w:tcPr>
          <w:p>
            <w:pPr>
              <w:spacing w:after="0"/>
              <w:rPr>
                <w:sz w:val="19"/>
                <w:szCs w:val="19"/>
                <w:color w:val="auto"/>
              </w:rPr>
            </w:pPr>
          </w:p>
        </w:tc>
      </w:tr>
      <w:tr>
        <w:trPr>
          <w:trHeight w:val="230"/>
        </w:trPr>
        <w:tc>
          <w:tcPr>
            <w:tcW w:w="3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shd w:val="clear" w:color="auto" w:fill="CFF0FC"/>
          </w:tcPr>
          <w:p>
            <w:pPr>
              <w:spacing w:after="0"/>
              <w:rPr>
                <w:sz w:val="19"/>
                <w:szCs w:val="19"/>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41,439</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36,416</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77,855</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11"/>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Fair Value Measurement Using:</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372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120" w:type="dxa"/>
            <w:vAlign w:val="bottom"/>
          </w:tcPr>
          <w:p>
            <w:pPr>
              <w:spacing w:after="0"/>
              <w:rPr>
                <w:sz w:val="19"/>
                <w:szCs w:val="19"/>
                <w:color w:val="auto"/>
              </w:rPr>
            </w:pPr>
          </w:p>
        </w:tc>
        <w:tc>
          <w:tcPr>
            <w:tcW w:w="7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35,835</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35,835</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0" w:type="dxa"/>
            <w:vAlign w:val="bottom"/>
            <w:gridSpan w:val="2"/>
            <w:vMerge w:val="continue"/>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Term loan derivative liability</w:t>
            </w:r>
          </w:p>
        </w:tc>
        <w:tc>
          <w:tcPr>
            <w:tcW w:w="3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160" w:type="dxa"/>
            <w:vAlign w:val="bottom"/>
            <w:gridSpan w:val="12"/>
          </w:tcPr>
          <w:p>
            <w:pPr>
              <w:ind w:left="520"/>
              <w:spacing w:after="0"/>
              <w:rPr>
                <w:sz w:val="20"/>
                <w:szCs w:val="20"/>
                <w:color w:val="auto"/>
              </w:rPr>
            </w:pPr>
            <w:r>
              <w:rPr>
                <w:rFonts w:ascii="Times New Roman" w:cs="Times New Roman" w:eastAsia="Times New Roman" w:hAnsi="Times New Roman"/>
                <w:sz w:val="18"/>
                <w:szCs w:val="18"/>
                <w:color w:val="auto"/>
              </w:rPr>
              <w:t>The following table represents a roll-forward of the fair value of Level 3 instruments (significant unobservable inputs):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5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9"/>
                <w:szCs w:val="19"/>
                <w:color w:val="auto"/>
              </w:rPr>
            </w:pPr>
          </w:p>
        </w:tc>
        <w:tc>
          <w:tcPr>
            <w:tcW w:w="32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3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settlements (see Note 7)</w:t>
            </w: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5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Effective March 1, 2013, the Company entered into a lease for office space in New Haven, CT and commencing March 1, 2018, the Company entered into the First Amendment to the lease (collectively, the “Office Space Lease”). The leased space approximates 5,600 square feet and the Office Space Lease has a term of 60 months. The Office Space Lease requires monthly payments ranging from approximately $10 to $12 through February 1, 2023 and provides for two designated months of free rent. The Company also entered into an immaterial office equipment lease during the three months ended June 30, 2022 that has a term of 36 months.</w:t>
      </w:r>
    </w:p>
    <w:p>
      <w:pPr>
        <w:spacing w:after="0" w:line="75"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incremental borrowing rate used on the Office Space Lease was 13.0%. The right-of-use asset also includes any lease payments related to initial direct costs and prepayments and excludes lease incentives. Lease expense is recognized on a straight-line basis over the lease term. The Company had no significant new leases during the six months ended June 30, 2022.</w:t>
      </w:r>
    </w:p>
    <w:p>
      <w:pPr>
        <w:spacing w:after="0" w:line="68"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Office Space Lease is an operating lease and the remaining term as of June 30, 2022 is approximately 0.8 years. The Company has no financing leases. The following table summarizes the Company’s operating lease as presented on its Condensed Consolidated Balance Sheets: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5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540" w:type="dxa"/>
            <w:vAlign w:val="bottom"/>
            <w:tcBorders>
              <w:bottom w:val="single" w:sz="8" w:color="auto"/>
            </w:tcBorders>
            <w:shd w:val="clear" w:color="auto" w:fill="CFF0FC"/>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5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long term portion</w:t>
            </w:r>
          </w:p>
        </w:tc>
        <w:tc>
          <w:tcPr>
            <w:tcW w:w="15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540" w:type="dxa"/>
            <w:vAlign w:val="bottom"/>
            <w:tcBorders>
              <w:bottom w:val="single" w:sz="8" w:color="auto"/>
            </w:tcBorders>
            <w:shd w:val="clear" w:color="auto" w:fill="CFF0FC"/>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from June 30, 2022 until the expiration of the operating leases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6" w:name="page17"/>
    <w:bookmarkEnd w:id="16"/>
    <w:tbl>
      <w:tblPr>
        <w:tblLayout w:type="fixed"/>
        <w:tblInd w:w="2260" w:type="dxa"/>
        <w:tblCellMar>
          <w:top w:w="0" w:type="dxa"/>
          <w:left w:w="0" w:type="dxa"/>
          <w:bottom w:w="0" w:type="dxa"/>
          <w:right w:w="0" w:type="dxa"/>
        </w:tblCellMar>
      </w:tblP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660" w:type="dxa"/>
            <w:vAlign w:val="bottom"/>
            <w:gridSpan w:val="2"/>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discount rate</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value of operating lease liabilities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Lease expense under operating leases, including leases of office equipment, was $23 and $30 for the three months ended June 30, 2022 and 2021, respectively, and $61 and $61 for the six months ended June 30, 2022 and 2021, respectively. Lease payments made in the three months ended June 30, 2022 and 2021 were $24 and $35, respectively, and $59 and $69 for the six months ended June 30, 2022 and 2021, respectively, with such amounts reflected in the Condensed Consolidated Statements of Cash Flows in operating activities.</w:t>
      </w:r>
    </w:p>
    <w:p>
      <w:pPr>
        <w:spacing w:after="0" w:line="68"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R&amp;D projects</w:t>
            </w: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accrued expenses</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Silicon Valley Bank Term Loan</w:t>
      </w:r>
    </w:p>
    <w:p>
      <w:pPr>
        <w:spacing w:after="0" w:line="121" w:lineRule="exact"/>
        <w:rPr>
          <w:sz w:val="20"/>
          <w:szCs w:val="20"/>
          <w:color w:val="auto"/>
        </w:rPr>
      </w:pPr>
    </w:p>
    <w:p>
      <w:pPr>
        <w:ind w:right="100" w:firstLine="510"/>
        <w:spacing w:after="0" w:line="268" w:lineRule="auto"/>
        <w:rPr>
          <w:sz w:val="20"/>
          <w:szCs w:val="20"/>
          <w:color w:val="auto"/>
        </w:rPr>
      </w:pPr>
      <w:r>
        <w:rPr>
          <w:rFonts w:ascii="Times New Roman" w:cs="Times New Roman" w:eastAsia="Times New Roman" w:hAnsi="Times New Roman"/>
          <w:sz w:val="17"/>
          <w:szCs w:val="17"/>
          <w:color w:val="auto"/>
        </w:rPr>
        <w:t>On August 13, 2020 (the “Effective Date”), the Company entered into a loan and security agreement (the “SVB Loan Agreement”) with Silicon Valley Bank, as lender (“SVB”), pursuant to which SVB provided a term loan to the Company in the original principal amount of $14.0 million (the “SVB Term Loan”). The SVB Term Loan bears interest at a floating rate per annum equal to the greater of (A) the prime rate plus 1.00% and (B) 4.25%. If SVB received evidence satisfactory to it that the Company had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would have been adjusted to a floating rate equal to the greater of</w:t>
      </w:r>
    </w:p>
    <w:p>
      <w:pPr>
        <w:spacing w:after="0" w:line="5" w:lineRule="exact"/>
        <w:rPr>
          <w:sz w:val="20"/>
          <w:szCs w:val="20"/>
          <w:color w:val="auto"/>
        </w:rPr>
      </w:pPr>
    </w:p>
    <w:p>
      <w:pPr>
        <w:ind w:firstLine="8"/>
        <w:spacing w:after="0" w:line="251" w:lineRule="auto"/>
        <w:tabs>
          <w:tab w:leader="none" w:pos="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plus 3.00% and (B) 6.25% (see term loan derivative liability discussion below). Commencing on March 1, 2022 and on the first business day of each month thereafter, the Company is required to make monthly interest payments and the Company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will be required to pay a final payment fee equal to $1.2 million. The SVB Term Loan and related obligations under the SVB Loan Agreement are secured by substantially all of the Company’s properties, rights and assets, except for its intellectual property (which is subject to a negative pledge under the SVB Loan Agreement).</w:t>
      </w:r>
    </w:p>
    <w:p>
      <w:pPr>
        <w:spacing w:after="0" w:line="8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On July 6, 2021, the Company and SVB entered into a First Amendment (the “Loan Amendment”) to the SVB Loan Agreement. The Loan Amendment modified the conditions under which the Company was required to cash collateralize all outstanding amounts owed to SVB under the SVB Loan Agreement. Under the Loan Amendment, if the Company failed to receive positive data in its Phase 2b/3 PRISM trial or to raise by June 30, 2022 sufficient net proceeds from the sale of equity securities to finance its planned second Phase 3 clinical trial of Haduvio for prurigo nodularis and its ongoing operations (each a “Milestone Condition”), the Company would be required to deposit unrestricted and unencumbered cash equal to 100% of all outstanding amounts owed to SVB in a cash collateral account with SVB, which could be used by SVB to prepay the SVB Term Loan at any time. In addition, the Loan Amendment provided that if the Company failed to maintain at least $20.0 million in unrestricted and unencumbered cash in its accounts with SVB at any time prior to the satisfaction of all the Milestone Conditions (the “Minimum Required Cash”), the Company would be required to cash collateralize all outstanding amounts owed to SVB under the SVB Loan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7" w:name="page18"/>
    <w:bookmarkEnd w:id="17"/>
    <w:p>
      <w:pPr>
        <w:ind w:right="120"/>
        <w:spacing w:after="0" w:line="261" w:lineRule="auto"/>
        <w:rPr>
          <w:sz w:val="20"/>
          <w:szCs w:val="20"/>
          <w:color w:val="auto"/>
        </w:rPr>
      </w:pPr>
      <w:r>
        <w:rPr>
          <w:rFonts w:ascii="Times New Roman" w:cs="Times New Roman" w:eastAsia="Times New Roman" w:hAnsi="Times New Roman"/>
          <w:sz w:val="18"/>
          <w:szCs w:val="18"/>
          <w:color w:val="auto"/>
        </w:rPr>
        <w:t>Agreement. The Company would also have been required to cash collateralize all outstanding amounts owed to SVB under the SVB Loan Agreement if it did not raise at least $15.0 million in net proceeds from the sale of equity securities during the period from June 1, 2021 through October 31, 2021. The Company satisfied this equity funding condition through a combination of equity issuances under the Company’s ATM Sales Agreement and two private placements, which took place in October 2021 (see Note 8).</w:t>
      </w:r>
    </w:p>
    <w:p>
      <w:pPr>
        <w:spacing w:after="0" w:line="72" w:lineRule="exact"/>
        <w:rPr>
          <w:sz w:val="20"/>
          <w:szCs w:val="20"/>
          <w:color w:val="auto"/>
        </w:rPr>
      </w:pPr>
    </w:p>
    <w:p>
      <w:pPr>
        <w:ind w:right="40" w:firstLine="510"/>
        <w:spacing w:after="0" w:line="267" w:lineRule="auto"/>
        <w:rPr>
          <w:sz w:val="20"/>
          <w:szCs w:val="20"/>
          <w:color w:val="auto"/>
        </w:rPr>
      </w:pPr>
      <w:r>
        <w:rPr>
          <w:rFonts w:ascii="Times New Roman" w:cs="Times New Roman" w:eastAsia="Times New Roman" w:hAnsi="Times New Roman"/>
          <w:sz w:val="17"/>
          <w:szCs w:val="17"/>
          <w:color w:val="auto"/>
        </w:rPr>
        <w:t>On April 6, 2022, the Company and SVB entered into a Third Amendment (the “Third Amendment”) to the SVB Loan Agreement. The Third Amendment principally modified the conditions under which the Company would be required to cash collateralize all outstanding amounts owed to SVB under the SVB Loan Agreement. Under the terms of the Third Amendment, if the Company raised $45.0 million in net proceeds from the sale of equity securities (the “2022 Equity Event”), the Company’s obligations to achieve the Milestone Conditions and maintain the Minimum Required Cash would terminate and the sole remaining trigger for cash collateralization would be if the Company did not receive positive final data by December 31, 2022 from either its Phase 2b/3 PRISM trial of Haduvio for prurigo nodularis or its Phase 2 CANAL trial of Haduvio for the treatment of chronic cough in adults with IPF. In addition, the Third Amendment modified the interest rate on the principal amount outstanding under the Loan Agreement. As a result of the Third Amendment, amounts outstanding under the Loan Agreement accrue interest at a floating per annum rate equal to (i) prior to the occurrence of the 2022 Equity Event, the greater of (A) the prime rate plus 1.00% and (B) 4.25%, and (ii) upon and after the occurrence of the 2022 Equity Event, the greater of</w:t>
      </w:r>
    </w:p>
    <w:p>
      <w:pPr>
        <w:spacing w:after="0" w:line="5" w:lineRule="exact"/>
        <w:rPr>
          <w:sz w:val="20"/>
          <w:szCs w:val="20"/>
          <w:color w:val="auto"/>
        </w:rPr>
      </w:pPr>
    </w:p>
    <w:p>
      <w:pPr>
        <w:ind w:right="160" w:firstLine="8"/>
        <w:spacing w:after="0" w:line="253" w:lineRule="auto"/>
        <w:tabs>
          <w:tab w:leader="none" w:pos="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plus 3.00% and (B) 6.25%. The closing of the April 2022 Private Placement, as discussed in Note 8 below, constituted the 2022 Equity Event and thereby terminated the Company’s obligations to achieve the Milestone Conditions and maintain the Minimum Required Cash. On August 3, 2022, SVB confirmed that the reported data from the Phase 2b/3 PRISM trial satisfied the requirement for positive final data and that the cash collateralization requirements of the SVB Loan Agreement were no longer in effect.</w:t>
      </w:r>
    </w:p>
    <w:p>
      <w:pPr>
        <w:spacing w:after="0" w:line="8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 The SVB Loan Agreement also restricts the payment of dividends on the Company’s common stock.</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August 2020, in connection with the SVB Term Loan, the Company paid $57 in financing costs to a third party, which were recorded as deferred charges and will be amortized over the life of the SVB Term Loan using the effective interest method. In connection with the Loan Amendment, the Company paid $68 in financing costs to a third party, which were recorded as deferred charges and will be amortized over the remaining life of the SVB Term Loan using the effective interest method. In connection with the Third Amendment, the Company paid $21 in financing costs to a third party, which were recorded as deferred charges and will be amortized over the remaining life of the SVB Term Loan using the effective interest method. Amortization of these deferred financing charges totaled $20 and $5 for the three months ended June 30, 2022 and 2021, respectively, and $37 and $11 for the six months ended June 30, 2022 and 2021, respectively, and is included in interest expense in the Company’s Condensed Consolidated Statements of Comprehensive Loss. The unamortized deferred charges totaled $60 and $76 at June 30, 2022 and December 31, 2021, respectively, and are included as a direct reduction of the carrying value of the term loan payable on the Company’s Condensed Consolidated Balance Sheets.</w:t>
      </w:r>
    </w:p>
    <w:p>
      <w:pPr>
        <w:spacing w:after="0" w:line="80"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August 2020, in connection with the execution of the SVB Loan Agreement, the Company paid $27 in financing costs to SVB, which were recorded as loan discounts. These loan discounts are included as a reduction in the balance of the term loan payable on the Company’s Condensed Consolidated Balance Sheets and will be accreted over the life of the SVB Term Loan using the effective interest method. Accretion of these loan discounts totaled $2 and $2 for the three months ended June 30, 2022 and 2021, respectively, and $5 and $5 for the six months ended June 30, 2022 and 2021, respectively, and is included in interest expense in the Company’s Condensed Consolidated Statements of Comprehensive Loss. At June 30, 2022 and December 31, 2021, the loan discount-financing costs balance was $7 and $12, respectively.</w:t>
      </w:r>
    </w:p>
    <w:p>
      <w:pPr>
        <w:spacing w:after="0" w:line="79"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connection with the SVB Loan Agreement, the Company is obligated to pay a final payment fee of $1.2 million upon repayment in full of the SVB Term Loan. The final payment fee is being accrued over the life of the SVB Term Loan using the effective interest method and is included as an increase in the balance of the term loan payable on the Company’s Condensed Consolidated Balance Sheets. Accrual of this final payment fee totaled $104 and $119 for the three months ended June 30, 2022 and 2021, respectively, and $220 and $237 for the six months ended June 30, 2022 and 2021, respectively, and is included in interest expense in the Company’s Condensed Consolidated Statements of Comprehensive Loss. At June 30, 2022 and December 31, 2021, $877 and $657 was accrued for the final payment fee, respectively.</w:t>
      </w:r>
    </w:p>
    <w:p>
      <w:pPr>
        <w:spacing w:after="0" w:line="79"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Prior to the Third Amendment, the SVB Loan Agreement provided that upon SVB receiving evidence satisfactory to it that the Company had (i) received positive data for the Phase 2b/3 PRISM trial sufficient to advance Haduvio into a second Phase 3 clinical trial for prurigo nodularis and (ii) raised sufficient financing to fund such Phase 3 clinical trial and the Company’s operations, the interest rate on the SVB Term Loan would increase by 2.00% (the “Contingent Interest Rate Increase”) as described above.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8" w:name="page19"/>
    <w:bookmarkEnd w:id="18"/>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Contingent Interest Rate Increase represented a free-standing financial instrument. Accordingly, the Company accounted for the Contingent Interest Rate Increase as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therefore, recorded a term loan derivative liability for the Contingent Interest Rate Increase at its fair value of $187 on the Effective Date of the SVB Loan Agreement. The Company adjusted this liability to fair value at each reporting date it remained outstanding, with such adjustments recorded as non-cash charges in other expense, net in the Company’s Condensed Consolidated Statements of Comprehensive Loss. The term loan derivative liability was presented as a current liability on the Company’s Condensed Consolidated Balance Sheets as of December 31, 2021. Upon recording such term loan derivative liability, the Company also recorded an offsetting term loan discount – interest, to be amortized to interest expense in the Company’s Condensed Consolidated Statements of Comprehensive Loss through the SVB Term Loan’s maturity date using the effective interest method. Such amortization was $16 and $19 for the three months ended June 30, 2022 and 2021, respectively, and $35 and $37 for the six months ended June 30, 2022 and 2021, respectively. At June 30, 2022 and December 31, 2021, the balance of the term loan discount – interest was $49 and $84, respectively, and is included as a reduction in the balance of the term loan payable on the Company’s Condensed Consolidated Balance Sheets. Upon entering into the Third Amendment, the Contingent Interest Rate Increase became effective and the Company recorded an increase to the total fair value of the term loan derivative liability of $136 for the three months ended June 30, 2022. The term loan derivative liability was then settled and reclassed to both current and non-current interest payable, which are presented as accrued liabilities and other non-current liabilities on the Company’s Condensed Consolidated Balance Sheet as of June 30, 2022.</w:t>
      </w:r>
    </w:p>
    <w:p>
      <w:pPr>
        <w:spacing w:after="0" w:line="89"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Fair values of the term loan derivative liability were estimated utilizing a probability-weighted cash flow approach, including variables for the timing of the Phase 3 Event and other probability estimates. For the fair value calculations of the term loan derivative liability at June 30, 2022 and December 31, 2021, significant inputs included the Contingent Interest Rate Increase of 2.00%, a discount rate of 12.0% and the SVB Term Loan maturity date of February 1, 2024.</w:t>
      </w:r>
    </w:p>
    <w:p>
      <w:pPr>
        <w:spacing w:after="0" w:line="72" w:lineRule="exact"/>
        <w:rPr>
          <w:sz w:val="20"/>
          <w:szCs w:val="20"/>
          <w:color w:val="auto"/>
        </w:rPr>
      </w:pPr>
    </w:p>
    <w:p>
      <w:pPr>
        <w:ind w:right="180" w:firstLine="510"/>
        <w:spacing w:after="0" w:line="281" w:lineRule="auto"/>
        <w:rPr>
          <w:sz w:val="20"/>
          <w:szCs w:val="20"/>
          <w:color w:val="auto"/>
        </w:rPr>
      </w:pPr>
      <w:r>
        <w:rPr>
          <w:rFonts w:ascii="Times New Roman" w:cs="Times New Roman" w:eastAsia="Times New Roman" w:hAnsi="Times New Roman"/>
          <w:sz w:val="18"/>
          <w:szCs w:val="18"/>
          <w:color w:val="auto"/>
        </w:rPr>
        <w:t>As of June 30, 2022 and December 31, 2021, the Company had outstanding borrowings of $11.7 million and $14.0 million, respectively, under the SVB Term Loan and the term loan payable balance as presented on the Company’s Condensed Consolidated Balance Sheets as of June 30, 2022 and December 31, 2021 was comprised as shown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outstanding under term loan</w:t>
            </w: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discount-interest</w:t>
            </w: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Term loan discount-unamortized deferred charges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discount-financing costs, net of accretion</w:t>
            </w: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 loan-final payment fee</w:t>
            </w:r>
          </w:p>
        </w:tc>
        <w:tc>
          <w:tcPr>
            <w:tcW w:w="1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payable, non-current</w:t>
            </w:r>
          </w:p>
        </w:tc>
        <w:tc>
          <w:tcPr>
            <w:tcW w:w="17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Interest expense on the SVB Term Loan, which is comprised of interest payments, accretion and amortization of term loan discounts and the accrual of the final payment fee, is shown below for the three and six months ended June 30, 2022 and 2021, respectively. For the three and six months ended June 30, 2022, the weighted average interest rate applicable to borrowings under the SVB Term Loan was 4.92% and 4.59%, respectively. For the three and six months ended June 30, 2021, the weighted average interest rate applicable to borrowings under the SVB Term Loan was 4.25%.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0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5060" w:type="dxa"/>
            <w:vAlign w:val="bottom"/>
          </w:tcPr>
          <w:p>
            <w:pPr>
              <w:spacing w:after="0"/>
              <w:rPr>
                <w:sz w:val="13"/>
                <w:szCs w:val="13"/>
                <w:color w:val="auto"/>
              </w:rPr>
            </w:pPr>
          </w:p>
        </w:tc>
        <w:tc>
          <w:tcPr>
            <w:tcW w:w="760" w:type="dxa"/>
            <w:vAlign w:val="bottom"/>
          </w:tcPr>
          <w:p>
            <w:pPr>
              <w:ind w:left="4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80" w:type="dxa"/>
            <w:vAlign w:val="bottom"/>
          </w:tcPr>
          <w:p>
            <w:pPr>
              <w:spacing w:after="0"/>
              <w:rPr>
                <w:sz w:val="13"/>
                <w:szCs w:val="13"/>
                <w:color w:val="auto"/>
              </w:rPr>
            </w:pPr>
          </w:p>
        </w:tc>
        <w:tc>
          <w:tcPr>
            <w:tcW w:w="1180" w:type="dxa"/>
            <w:vAlign w:val="bottom"/>
            <w:gridSpan w:val="2"/>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760" w:type="dxa"/>
            <w:vAlign w:val="bottom"/>
            <w:tcBorders>
              <w:top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Accrual of the final payment fee</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and amortization of term loan discounts</w:t>
            </w:r>
          </w:p>
        </w:tc>
        <w:tc>
          <w:tcPr>
            <w:tcW w:w="7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9"/>
                <w:szCs w:val="19"/>
                <w:color w:val="auto"/>
              </w:rPr>
            </w:pPr>
          </w:p>
        </w:tc>
      </w:tr>
      <w:tr>
        <w:trPr>
          <w:trHeight w:val="223"/>
        </w:trPr>
        <w:tc>
          <w:tcPr>
            <w:tcW w:w="5060" w:type="dxa"/>
            <w:vAlign w:val="bottom"/>
          </w:tcPr>
          <w:p>
            <w:pPr>
              <w:spacing w:after="0"/>
              <w:rPr>
                <w:sz w:val="19"/>
                <w:szCs w:val="19"/>
                <w:color w:val="auto"/>
              </w:rPr>
            </w:pPr>
          </w:p>
        </w:tc>
        <w:tc>
          <w:tcPr>
            <w:tcW w:w="76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5060" w:type="dxa"/>
            <w:vAlign w:val="bottom"/>
          </w:tcPr>
          <w:p>
            <w:pPr>
              <w:spacing w:after="0"/>
              <w:rPr>
                <w:sz w:val="24"/>
                <w:szCs w:val="24"/>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4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2022 and December 31, 2021, the Company had reserved shares of common stock for future issuance as shown in the table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60" w:type="dxa"/>
            <w:vAlign w:val="bottom"/>
            <w:tcBorders>
              <w:bottom w:val="single" w:sz="8" w:color="CFF0FC"/>
            </w:tcBorders>
          </w:tcPr>
          <w:p>
            <w:pPr>
              <w:spacing w:after="0"/>
              <w:rPr>
                <w:sz w:val="15"/>
                <w:szCs w:val="15"/>
                <w:color w:val="auto"/>
              </w:rPr>
            </w:pPr>
          </w:p>
        </w:tc>
        <w:tc>
          <w:tcPr>
            <w:tcW w:w="306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2012</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663,089</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665,720</w:t>
            </w:r>
          </w:p>
        </w:tc>
        <w:tc>
          <w:tcPr>
            <w:tcW w:w="120" w:type="dxa"/>
            <w:vAlign w:val="bottom"/>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4,543,352</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3,400,489</w:t>
            </w:r>
          </w:p>
        </w:tc>
        <w:tc>
          <w:tcPr>
            <w:tcW w:w="12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721,717</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470,631</w:t>
            </w:r>
          </w:p>
        </w:tc>
        <w:tc>
          <w:tcPr>
            <w:tcW w:w="120" w:type="dxa"/>
            <w:vAlign w:val="bottom"/>
            <w:shd w:val="clear" w:color="auto" w:fill="CFF0FC"/>
          </w:tcPr>
          <w:p>
            <w:pPr>
              <w:spacing w:after="0"/>
              <w:rPr>
                <w:sz w:val="19"/>
                <w:szCs w:val="19"/>
                <w:color w:val="auto"/>
              </w:rPr>
            </w:pPr>
          </w:p>
        </w:tc>
      </w:tr>
      <w:tr>
        <w:trPr>
          <w:trHeight w:val="22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to be issued upon exercise of common stock warrants and pre-funded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38,382,647</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20,602,244</w:t>
            </w:r>
          </w:p>
        </w:tc>
        <w:tc>
          <w:tcPr>
            <w:tcW w:w="12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to be issued upon sales under the LPC Purchase Agreement</w:t>
            </w:r>
          </w:p>
        </w:tc>
        <w:tc>
          <w:tcPr>
            <w:tcW w:w="30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2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20" w:type="dxa"/>
            <w:vAlign w:val="bottom"/>
            <w:shd w:val="clear" w:color="auto" w:fill="CFF0FC"/>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74,310,805</w:t>
            </w:r>
          </w:p>
        </w:tc>
        <w:tc>
          <w:tcPr>
            <w:tcW w:w="2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55,139,084</w:t>
            </w:r>
          </w:p>
        </w:tc>
        <w:tc>
          <w:tcPr>
            <w:tcW w:w="1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June 2020, the Company entered into the ATM Sales Agreement with SVB Leerink LLC, under which the Company may issue and sell shares of its common stock, from time to time, having an aggregate offering price of up to $12.0 million. Sales of common stock under the ATM Sales Agreement may be made by any method that is deemed an “at-the-market” offering as defined in Rule 415(a)(4) under the Securities Act of 1933, as amended. The Company is not obligated to make any sales of its common stock under the ATM Sales Agreement. The Company began making sales pursuant to the ATM Sales Agreement in July 2020. During the three and six months ended June 30, 2021, the Company issued and sold an aggregate of 1,365,871 and 2,733,492 shares of common stock, respectively, for gross proceeds of $3.0 million and $7.4 million, respectively, before deducting estimated commissions and allocated fees of $0.3 million and $0.6 million, respectively. No sales were made during the three and six months ended June 30, 2022. As of June 30, 2022, the Company had issued and sold an aggregate of 3,583,394 shares of common stock for gross proceeds of $11.0 million, before deducting estimated commissions and allocated fees of $0.8 million.</w:t>
      </w:r>
    </w:p>
    <w:p>
      <w:pPr>
        <w:spacing w:after="0" w:line="80" w:lineRule="exact"/>
        <w:rPr>
          <w:sz w:val="20"/>
          <w:szCs w:val="20"/>
          <w:color w:val="auto"/>
        </w:rPr>
      </w:pPr>
    </w:p>
    <w:p>
      <w:pPr>
        <w:ind w:right="280" w:firstLine="510"/>
        <w:spacing w:after="0" w:line="312" w:lineRule="auto"/>
        <w:rPr>
          <w:sz w:val="20"/>
          <w:szCs w:val="20"/>
          <w:color w:val="auto"/>
        </w:rPr>
      </w:pPr>
      <w:r>
        <w:rPr>
          <w:rFonts w:ascii="Times New Roman" w:cs="Times New Roman" w:eastAsia="Times New Roman" w:hAnsi="Times New Roman"/>
          <w:sz w:val="17"/>
          <w:szCs w:val="17"/>
          <w:color w:val="auto"/>
        </w:rPr>
        <w:t>In May 2022, the Company amended the ATM Sales Agreement with SVB Leerink LLC to increase the maximum aggregate offering price of common stock that it may issue and sell from time to time under the ATM Sales Agreement by $50.0 million, from $12.0 million to up to $62.0 million.</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On June 18, 2021, the Company entered into a common stock purchase agreement (“LPC Purchase Agreement”) with Lincoln Park Capital Fund, LLC (“Lincoln Park”). The LPC Purchase Agreement provides that, subject to the terms and conditions therein, the Company has the right, but not the obligation, to sell, at its discretion, to Lincoln Park up to $15.0 million of shares of common stock over a 24-month period commencing on July 23, 2021. In addition, under the LPC Purchase Agreement, the Company issued 170,088 shares of common stock to Lincoln Park as consideration for Lincoln Park’s commitment to purchase shares of the Company’s common stock under the LPC Purchase Agreement. The purchase price per share of the shares sold will be based on the market prices prevailing immediately preceding the time of sale as computed under the LPC Purchase Agreement. Lincoln Park has covenanted not to cause or engage in any manner whatsoever, any direct or indirect short selling or hedging of the Company’s common stock. The agreement may be terminated by the Company at any time, at its sole discretion, without any additional cost or penalty. Under the terms of the October 2021 private placements described below, the Company agreed to not issue or sell additional shares under the LPC Purchase Agreement on or prior to April 6, 2023.</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 million. Each pre-funded warrant had an exercise price of $0.001 per share, became exercisable immediately upon issuance and was exercisable until exercised in full. Of the accompanying common stock warrants, warrants to purchase an aggregate of 7,299,270 shares will expire on April 5, 2025, and warrants to purchase an aggregate of 7,299,270 shares will expire on October 5, 2028. The accompanying common stock warrants have an exercise price of $1.37 per share and became exercisable immediately upon issuance.</w:t>
      </w:r>
    </w:p>
    <w:p>
      <w:pPr>
        <w:spacing w:after="0" w:line="80"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On October 18, 2021, the Company issued and sold to New Enterprise Associates 16, L.P., an existing stockholder of the Company (“NEA”) and related party, in a private placement, 1,851,852 shares of the Company’s common stock and accompanying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ind w:right="160"/>
        <w:spacing w:after="0" w:line="258" w:lineRule="auto"/>
        <w:rPr>
          <w:sz w:val="20"/>
          <w:szCs w:val="20"/>
          <w:color w:val="auto"/>
        </w:rPr>
      </w:pPr>
      <w:r>
        <w:rPr>
          <w:rFonts w:ascii="Times New Roman" w:cs="Times New Roman" w:eastAsia="Times New Roman" w:hAnsi="Times New Roman"/>
          <w:sz w:val="18"/>
          <w:szCs w:val="18"/>
          <w:color w:val="auto"/>
        </w:rPr>
        <w:t>warrants to purchase an aggregate of 3,703,704 shares of the Company’s common stock. Each share of the Company’s common stock and accompanying common stock warrants were sold together at a combined price of $1.62 for gross proceeds of approximately $3.0 million. Of the accompanying common stock warrants, warrants to purchase an aggregate of 1,851,852 shares of the Company’s common stock will expire on April 18, 2025, and warrants to purchase an aggregate of 1,851,852 shares of the Company’s common stock will expire on October 18, 2028. The accompanying common stock warrants have an exercise price of $1.37 per share and became exercisable immediately upon issuance.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net proceeds from the two October private placements were $13.7 million, after deducting issuance costs of $1.1 million</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On April 6, 2022, the Company entered into a securities purchase agreement (the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is exercisable immediately and will be exercisable until the pre-funded warrant is exercised in full. The April 2022 Private Placement, which closed on April 11, 2022, resulted in gross proceeds to the Company of approximately $55.0 million. NEA, an existing stockholder of the Company and a related party, as well as an affiliate of NEA, participated in the offering.</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Warrant activity, including activity related to the pre-funded warrants, for the six months ended June 30, 2022 is shown in the table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3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18,302,244</w:t>
            </w:r>
          </w:p>
        </w:tc>
        <w:tc>
          <w:tcPr>
            <w:tcW w:w="3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20,602,244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24,379,673</w:t>
            </w: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24,379,673</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(2,300,000)</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(4,299,270)</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(6,599,270)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24,379,673</w:t>
            </w:r>
          </w:p>
        </w:tc>
        <w:tc>
          <w:tcPr>
            <w:tcW w:w="3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14,002,974</w:t>
            </w:r>
          </w:p>
        </w:tc>
        <w:tc>
          <w:tcPr>
            <w:tcW w:w="3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38,382,647</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As of June 30, 2022, all of the pre-funded warrants from the October 2021 private placements had been exercised at the exercise price of $0.001 per share. The pre-funded and common stock warrants are classified as equity in accordance with ASC 815 given that the pre-funded and common stock warrants are indexed to the Company’s own shares of common stock and meet the requirements to be classified in permanent equity.</w:t>
      </w:r>
    </w:p>
    <w:p>
      <w:pPr>
        <w:spacing w:after="0" w:line="68" w:lineRule="exact"/>
        <w:rPr>
          <w:sz w:val="20"/>
          <w:szCs w:val="20"/>
          <w:color w:val="auto"/>
        </w:rPr>
      </w:pPr>
    </w:p>
    <w:p>
      <w:pPr>
        <w:ind w:right="620" w:firstLine="510"/>
        <w:spacing w:after="0" w:line="282" w:lineRule="auto"/>
        <w:rPr>
          <w:sz w:val="20"/>
          <w:szCs w:val="20"/>
          <w:color w:val="auto"/>
        </w:rPr>
      </w:pPr>
      <w:r>
        <w:rPr>
          <w:rFonts w:ascii="Times New Roman" w:cs="Times New Roman" w:eastAsia="Times New Roman" w:hAnsi="Times New Roman"/>
          <w:sz w:val="18"/>
          <w:szCs w:val="18"/>
          <w:color w:val="auto"/>
        </w:rPr>
        <w:t>In July 2022, the remaining common stock warrants from the October 2021 private placements that were set to expire on April 5, 2025 were exercised to purchase 3.0 million shares of common stock, which provided approximately $4.1 million in cash proceeds to the Company.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72"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2019 Plan and the 2012 Stock Incentive Plan (the “2012 Plan”) was 5,206,441 as of June 30, 2022, of which 1,062,074 shares remained available for grant under the 2019 Plan. Awards may be made under the 2019 Plan for up to such number of shares of the Company’s common stock as is equal to the sum of: i) 1,578,947 shares; plus ii) the number of shares (up to 1,157,894 shares) equal to the number of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Effective January 1, 2022 and January 1, 2021, respectively, the number of shares reserved for issuance under the 2019 Plan increased, pursuant to the terms of the 2019 Plan, by an additional 1,140,232 shares and 741,871 shares, equal to 4% of the Company’s then-outstanding common stock</w:t>
      </w:r>
      <w:r>
        <w:rPr>
          <w:rFonts w:ascii="Times New Roman" w:cs="Times New Roman" w:eastAsia="Times New Roman" w:hAnsi="Times New Roman"/>
          <w:sz w:val="18"/>
          <w:szCs w:val="18"/>
          <w:color w:val="FF0000"/>
        </w:rPr>
        <w:t>.</w:t>
      </w:r>
    </w:p>
    <w:p>
      <w:pPr>
        <w:spacing w:after="0" w:line="86"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on May 7, 2019, that no further equity-based awards may be granted under the 2012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As of June 30, 2022 and December 31, 2021, respectively, options to purchase 3,481,278 shares and 2,263,752 shares of common stock were granted and outstanding, net of cancellations, under the 2019 Plan. As of June 30, 2022 and December 31, 2021, respectively, options to purchase 663,089 and 665,720 shares of common stock, were granted and outstanding, net of cancellations, under the 2012 Plan.</w:t>
      </w:r>
    </w:p>
    <w:p>
      <w:pPr>
        <w:spacing w:after="0" w:line="79"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In February 2021, the compensation committee of the Company’s board of directors approved the grant of stock options to purchase 450,875 shares of common stock with performance-based vesting (“PSOs”) to employees of the Company. The PSOs granted in February 2021, vest based on the timing and successful results of the Company’s PRISM or CANAL clinical trials.</w:t>
      </w:r>
    </w:p>
    <w:p>
      <w:pPr>
        <w:spacing w:after="0" w:line="68" w:lineRule="exact"/>
        <w:rPr>
          <w:sz w:val="20"/>
          <w:szCs w:val="20"/>
          <w:color w:val="auto"/>
        </w:rPr>
      </w:pPr>
    </w:p>
    <w:p>
      <w:pPr>
        <w:ind w:right="420" w:firstLine="510"/>
        <w:spacing w:after="0" w:line="261" w:lineRule="auto"/>
        <w:rPr>
          <w:sz w:val="20"/>
          <w:szCs w:val="20"/>
          <w:color w:val="auto"/>
        </w:rPr>
      </w:pPr>
      <w:r>
        <w:rPr>
          <w:rFonts w:ascii="Times New Roman" w:cs="Times New Roman" w:eastAsia="Times New Roman" w:hAnsi="Times New Roman"/>
          <w:sz w:val="18"/>
          <w:szCs w:val="18"/>
          <w:color w:val="auto"/>
        </w:rPr>
        <w:t>A summary of the Company’s combined stock option activity for the 2019 Plan and the 2012 Plan for the six months ended June 30, 2022 is as follows:</w:t>
      </w:r>
    </w:p>
    <w:tbl>
      <w:tblPr>
        <w:tblLayout w:type="fixed"/>
        <w:tblInd w:w="0" w:type="dxa"/>
        <w:tblCellMar>
          <w:top w:w="0" w:type="dxa"/>
          <w:left w:w="0" w:type="dxa"/>
          <w:bottom w:w="0" w:type="dxa"/>
          <w:right w:w="0" w:type="dxa"/>
        </w:tblCellMar>
      </w:tblPr>
      <w:tr>
        <w:trPr>
          <w:trHeight w:val="137"/>
        </w:trPr>
        <w:tc>
          <w:tcPr>
            <w:tcW w:w="7740" w:type="dxa"/>
            <w:vAlign w:val="bottom"/>
          </w:tcPr>
          <w:p>
            <w:pPr>
              <w:spacing w:after="0"/>
              <w:rPr>
                <w:sz w:val="11"/>
                <w:szCs w:val="11"/>
                <w:color w:val="auto"/>
              </w:rPr>
            </w:pPr>
          </w:p>
        </w:tc>
        <w:tc>
          <w:tcPr>
            <w:tcW w:w="1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2,929,472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1,258,750</w:t>
            </w:r>
          </w:p>
        </w:tc>
        <w:tc>
          <w:tcPr>
            <w:tcW w:w="220" w:type="dxa"/>
            <w:vAlign w:val="bottom"/>
          </w:tcPr>
          <w:p>
            <w:pPr>
              <w:spacing w:after="0"/>
              <w:rPr>
                <w:sz w:val="19"/>
                <w:szCs w:val="19"/>
                <w:color w:val="auto"/>
              </w:rPr>
            </w:pP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(41,224)</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Expired</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(2,631)</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June 30, 2022</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4,144,367</w:t>
            </w:r>
          </w:p>
        </w:tc>
        <w:tc>
          <w:tcPr>
            <w:tcW w:w="22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as of June 30, 2022</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2,005,863</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Options unvested as of June 30,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2,138,504</w:t>
            </w:r>
          </w:p>
        </w:tc>
        <w:tc>
          <w:tcPr>
            <w:tcW w:w="220" w:type="dxa"/>
            <w:vAlign w:val="bottom"/>
          </w:tcPr>
          <w:p>
            <w:pPr>
              <w:spacing w:after="0"/>
              <w:rPr>
                <w:sz w:val="20"/>
                <w:szCs w:val="20"/>
                <w:color w:val="auto"/>
              </w:rPr>
            </w:pP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54"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2019 ESPP was 803,976 as of June 30, 2022, of which 721,717 shares remain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2022 and January 1, 2021, respectively, the aggregate number of shares of the Company’s common stock that may be issued under the 2019 ESPP increased, pursuant to the terms of the 2019 ESPP, by an additional 285,058 shares and 185,467 shares, in each case equal to 1% of the Company’s then-outstanding common stock.</w:t>
      </w:r>
    </w:p>
    <w:p>
      <w:pPr>
        <w:spacing w:after="0" w:line="84"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classifications of stock-based compensation expenses for the 2012 Plan, the 2019 Plan and the 2019 ESPP recognized in the Condensed Consolidated Statements of Comprehensive Loss: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96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3"/>
                <w:szCs w:val="13"/>
                <w:color w:val="auto"/>
              </w:rPr>
            </w:pPr>
          </w:p>
        </w:tc>
        <w:tc>
          <w:tcPr>
            <w:tcW w:w="1380" w:type="dxa"/>
            <w:vAlign w:val="bottom"/>
            <w:gridSpan w:val="2"/>
          </w:tcPr>
          <w:p>
            <w:pPr>
              <w:jc w:val="right"/>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7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7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FF0FC"/>
            </w:tcBorders>
          </w:tcPr>
          <w:p>
            <w:pPr>
              <w:spacing w:after="0"/>
              <w:rPr>
                <w:sz w:val="19"/>
                <w:szCs w:val="19"/>
                <w:color w:val="auto"/>
              </w:rPr>
            </w:pPr>
          </w:p>
        </w:tc>
      </w:tr>
      <w:tr>
        <w:trPr>
          <w:trHeight w:val="223"/>
        </w:trPr>
        <w:tc>
          <w:tcPr>
            <w:tcW w:w="33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the Company maintained a full valuation allowance on deferred tax assets. The income tax benefit recorded during the three and six months ended June 30, 2022 and 2021 were to align the Company’s estimates for its state research and development credits in each given year.</w:t>
      </w:r>
    </w:p>
    <w:p>
      <w:pPr>
        <w:spacing w:after="0" w:line="64"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50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120" w:type="dxa"/>
            <w:vAlign w:val="bottom"/>
            <w:shd w:val="clear" w:color="auto" w:fill="CFF0FC"/>
          </w:tcPr>
          <w:p>
            <w:pPr>
              <w:spacing w:after="0"/>
              <w:rPr>
                <w:sz w:val="19"/>
                <w:szCs w:val="19"/>
                <w:color w:val="auto"/>
              </w:rPr>
            </w:pPr>
          </w:p>
        </w:tc>
      </w:tr>
      <w:tr>
        <w:trPr>
          <w:trHeight w:val="211"/>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59,542,628</w:t>
            </w:r>
          </w:p>
        </w:tc>
        <w:tc>
          <w:tcPr>
            <w:tcW w:w="2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20,123,461</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45,253,599</w:t>
            </w:r>
          </w:p>
        </w:tc>
        <w:tc>
          <w:tcPr>
            <w:tcW w:w="24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19,772,201</w:t>
            </w:r>
          </w:p>
        </w:tc>
        <w:tc>
          <w:tcPr>
            <w:tcW w:w="120" w:type="dxa"/>
            <w:vAlign w:val="bottom"/>
            <w:tcBorders>
              <w:bottom w:val="single" w:sz="8" w:color="CFF0FC"/>
            </w:tcBorders>
          </w:tcPr>
          <w:p>
            <w:pPr>
              <w:spacing w:after="0"/>
              <w:rPr>
                <w:sz w:val="20"/>
                <w:szCs w:val="20"/>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Basic shares outstanding includes the weighted average effect of the Company’s pre-funded warrants from the date of issuance, the exercise of which requires little or no consideration for the delivery of shares of common stock. As of June 30, 2022, the Company had pre-funded warrants to purchase 24,379,673 share of common stock outstanding, which were issued in the April 2022 Private Placement. Such pre-funded warrants are included in the weighted average common shares used in net loss per share attributable to common stockholders, basic and diluted in both the three and six months ended June 30 2022.</w:t>
      </w:r>
    </w:p>
    <w:p>
      <w:pPr>
        <w:spacing w:after="0" w:line="75"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and warrants,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June 30, 2022 and 2021, respectively, were excluded from the calculation of diluted net loss per share attributable to common stockholders for the periods indicated because including them would have had an anti-dilutive effect: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3500" w:type="dxa"/>
            <w:vAlign w:val="bottom"/>
            <w:tcBorders>
              <w:bottom w:val="single" w:sz="8" w:color="auto"/>
            </w:tcBorders>
            <w:gridSpan w:val="3"/>
          </w:tcPr>
          <w:p>
            <w:pPr>
              <w:ind w:left="1920"/>
              <w:spacing w:after="0"/>
              <w:rPr>
                <w:sz w:val="20"/>
                <w:szCs w:val="20"/>
                <w:color w:val="auto"/>
              </w:rPr>
            </w:pPr>
            <w:r>
              <w:rPr>
                <w:rFonts w:ascii="Times New Roman" w:cs="Times New Roman" w:eastAsia="Times New Roman" w:hAnsi="Times New Roman"/>
                <w:sz w:val="14"/>
                <w:szCs w:val="14"/>
                <w:b w:val="1"/>
                <w:bCs w:val="1"/>
                <w:color w:val="auto"/>
              </w:rPr>
              <w:t>Shares as of June 30,</w:t>
            </w:r>
          </w:p>
        </w:tc>
        <w:tc>
          <w:tcPr>
            <w:tcW w:w="1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2380" w:type="dxa"/>
            <w:vAlign w:val="bottom"/>
            <w:tcBorders>
              <w:bottom w:val="single" w:sz="8" w:color="auto"/>
            </w:tcBorders>
          </w:tcPr>
          <w:p>
            <w:pPr>
              <w:jc w:val="right"/>
              <w:ind w:right="97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9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4,144,367</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3,202,377</w:t>
            </w:r>
          </w:p>
        </w:tc>
        <w:tc>
          <w:tcPr>
            <w:tcW w:w="120" w:type="dxa"/>
            <w:vAlign w:val="bottom"/>
            <w:shd w:val="clear" w:color="auto" w:fill="CFF0FC"/>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14,002,974</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FF0FC"/>
              <w:bottom w:val="single" w:sz="8" w:color="CFF0FC"/>
            </w:tcBorders>
            <w:shd w:val="clear" w:color="auto" w:fill="CFF0FC"/>
          </w:tcPr>
          <w:p>
            <w:pPr>
              <w:spacing w:after="0"/>
              <w:rPr>
                <w:sz w:val="19"/>
                <w:szCs w:val="19"/>
                <w:color w:val="auto"/>
              </w:rPr>
            </w:pP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18,147,341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3,202,377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Collaborative and Licensing Agreements</w:t>
      </w:r>
    </w:p>
    <w:p>
      <w:pPr>
        <w:spacing w:after="0" w:line="121"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Company enters into collaborative and licensing agreements with pharmaceutical companies to in-license, develop, manufacture and/or market products that fit within its business strategy.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Endo Pharmaceuticals Inc.</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p>
    <w:p>
      <w:pPr>
        <w:spacing w:after="0" w:line="72" w:lineRule="exact"/>
        <w:rPr>
          <w:sz w:val="20"/>
          <w:szCs w:val="20"/>
          <w:color w:val="auto"/>
        </w:rPr>
      </w:pPr>
    </w:p>
    <w:p>
      <w:pPr>
        <w:ind w:right="80" w:firstLine="510"/>
        <w:spacing w:after="0" w:line="263" w:lineRule="auto"/>
        <w:rPr>
          <w:sz w:val="20"/>
          <w:szCs w:val="20"/>
          <w:color w:val="auto"/>
        </w:rPr>
      </w:pPr>
      <w:r>
        <w:rPr>
          <w:rFonts w:ascii="Times New Roman" w:cs="Times New Roman" w:eastAsia="Times New Roman" w:hAnsi="Times New Roman"/>
          <w:sz w:val="18"/>
          <w:szCs w:val="18"/>
          <w:color w:val="auto"/>
        </w:rPr>
        <w:t>Under the license agreement, the Company paid Endo a non-creditable, non-refundable upfront license fee. The Company may also become obligated to make milestone payments to Endo of $0.3 million, which would become due upon the successful completion of the first Phase 3 clinical trial of a licensed product candidate, such as the Phase 2b/3 PRISM trial, and $0.8 million, which would become due upon the marketing approval of a licensed product in the U.S.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70"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75"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68"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3" w:name="page24"/>
    <w:bookmarkEnd w:id="23"/>
    <w:p>
      <w:pPr>
        <w:ind w:right="120"/>
        <w:spacing w:after="0" w:line="266" w:lineRule="auto"/>
        <w:rPr>
          <w:sz w:val="20"/>
          <w:szCs w:val="20"/>
          <w:color w:val="auto"/>
        </w:rPr>
      </w:pPr>
      <w:r>
        <w:rPr>
          <w:rFonts w:ascii="Times New Roman" w:cs="Times New Roman" w:eastAsia="Times New Roman" w:hAnsi="Times New Roman"/>
          <w:sz w:val="18"/>
          <w:szCs w:val="18"/>
          <w:color w:val="auto"/>
        </w:rPr>
        <w:t>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68"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71"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also has commitments under lease and licensing agreements (Note 5 and Note 11).</w:t>
      </w:r>
    </w:p>
    <w:p>
      <w:pPr>
        <w:spacing w:after="0" w:line="113"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w:t>
      </w:r>
    </w:p>
    <w:p>
      <w:pPr>
        <w:spacing w:after="0" w:line="121" w:lineRule="exact"/>
        <w:rPr>
          <w:sz w:val="20"/>
          <w:szCs w:val="20"/>
          <w:color w:val="auto"/>
        </w:rPr>
      </w:pPr>
    </w:p>
    <w:p>
      <w:pPr>
        <w:ind w:left="20" w:right="20" w:firstLine="487"/>
        <w:spacing w:after="0" w:line="266" w:lineRule="auto"/>
        <w:rPr>
          <w:sz w:val="20"/>
          <w:szCs w:val="20"/>
          <w:color w:val="auto"/>
        </w:rPr>
      </w:pPr>
      <w:r>
        <w:rPr>
          <w:rFonts w:ascii="Times New Roman" w:cs="Times New Roman" w:eastAsia="Times New Roman" w:hAnsi="Times New Roman"/>
          <w:sz w:val="18"/>
          <w:szCs w:val="18"/>
          <w:color w:val="auto"/>
        </w:rPr>
        <w:t>In July 2022, the remaining common stock warrants from the October 2021 private placements that were set to expire on April 5, 2025 were exercised to purchase 3.0 million shares of common stock, which provided approximately $4.1 million in cash proceeds to the Company. See Note 8 above for further discussion of the October 2021 private placements.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2021 included in our Annual Report on Form 10-K, filed with the Securities and Exchange Commission, or SEC, on March 17, 2022.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84"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80" w:lineRule="exact"/>
        <w:rPr>
          <w:sz w:val="20"/>
          <w:szCs w:val="20"/>
          <w:color w:val="auto"/>
        </w:rPr>
      </w:pPr>
    </w:p>
    <w:p>
      <w:pPr>
        <w:ind w:right="460" w:firstLine="510"/>
        <w:spacing w:after="0" w:line="376" w:lineRule="auto"/>
        <w:rPr>
          <w:sz w:val="20"/>
          <w:szCs w:val="20"/>
          <w:color w:val="auto"/>
        </w:rPr>
      </w:pPr>
      <w:r>
        <w:rPr>
          <w:rFonts w:ascii="Times New Roman" w:cs="Times New Roman" w:eastAsia="Times New Roman" w:hAnsi="Times New Roman"/>
          <w:sz w:val="18"/>
          <w:szCs w:val="18"/>
          <w:i w:val="1"/>
          <w:iCs w:val="1"/>
          <w:color w:val="auto"/>
        </w:rPr>
        <w:t xml:space="preserve">We caution readers not to place undue reliance on any forward-looking statements made by us, which speak only as of the date they are made.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the investigational therapy Haduvio (oral nalbuphine ER) to treat serious neurologically mediated conditions. We are developing Haduvio for the treatment of prurigo nodularis and chronic cough in adults with idiopathic pulmonary fibrosis, or IPF.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4" w:name="page25"/>
    <w:bookmarkEnd w:id="24"/>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In June 2022, we reported positive results in our Phase 2b/3 clinical trial of Haduvio in prurigo nodularis, which we refer to as the Phase 2b/3 PRISM trial. The Phase 2b/3 PRISM trial was a randomized, double-blind, placebo controlled, two-arm treatment study that was designed to evaluate the safety and efficacy of Haduvio in patients in the United States and Europe. In the Phase 2b/3 PRISM trial, Haduvio demonstrated statistically significant results on the primary and all three key secondary endpoints. The trial results comparing subjects randomized to Haduvio (n=168) or placebo (n=176) showed that:</w:t>
      </w:r>
    </w:p>
    <w:p>
      <w:pPr>
        <w:spacing w:after="0" w:line="75" w:lineRule="exact"/>
        <w:rPr>
          <w:sz w:val="20"/>
          <w:szCs w:val="20"/>
          <w:color w:val="auto"/>
        </w:rPr>
      </w:pPr>
    </w:p>
    <w:p>
      <w:pPr>
        <w:ind w:left="1260" w:right="80" w:hanging="375"/>
        <w:spacing w:after="0" w:line="261"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Haduvio subjects evaluated at week 14 met the primary endpoint of a 4-point reduction in the Worst Itch Numerical Rating Scale, or WI-NRS, from baseline compared to 14% of placebo subjects (p=0.0157);</w:t>
      </w:r>
    </w:p>
    <w:p>
      <w:pPr>
        <w:jc w:val="both"/>
        <w:ind w:left="1260" w:right="100" w:hanging="375"/>
        <w:spacing w:after="0" w:line="250"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Haduvio subjects experienced significantly greater improvements in ItchyQoL vs. placebo (p=0.0002) at week 14, which was statistically significant across each of the three domains (symptoms, functional limitations, and emotions). ItchyQoL is used to measure how pruritus impacts a subject’s quality of life;</w:t>
      </w:r>
    </w:p>
    <w:p>
      <w:pPr>
        <w:spacing w:after="0" w:line="1" w:lineRule="exact"/>
        <w:rPr>
          <w:rFonts w:ascii="Times New Roman" w:cs="Times New Roman" w:eastAsia="Times New Roman" w:hAnsi="Times New Roman"/>
          <w:sz w:val="18"/>
          <w:szCs w:val="18"/>
          <w:color w:val="auto"/>
        </w:rPr>
      </w:pPr>
    </w:p>
    <w:p>
      <w:pPr>
        <w:ind w:left="1260" w:right="340" w:hanging="375"/>
        <w:spacing w:after="0" w:line="250"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of Haduvio subjects had at least a 1-category improvement in the 5-point scale in their Prurigo Activity Scale (PAS) (pruriginous lesions with excoriations), vs. 38% on placebo (p=0.006) as evaluated at week 14;</w:t>
      </w:r>
    </w:p>
    <w:p>
      <w:pPr>
        <w:ind w:left="1260" w:right="180" w:hanging="375"/>
        <w:spacing w:after="0" w:line="260"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Haduvio subjects experienced significantly greater improvements in PROMIS sleep disturbance short form 8a vs. placebo (p=0.0002) at week 14, which was statistically significant as early as week 6.</w:t>
      </w:r>
    </w:p>
    <w:p>
      <w:pPr>
        <w:spacing w:after="0" w:line="73"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The safety results of the trial were generally consistent with the known safety profile of Haduvio from previous trials. During the double-blind titration period (weeks 1-2), treatment-emergent adverse events, or TEAE, were more common in the Haduvio-treated subjects (66.1%) vs. placebo-treated subjects (31.3%). During the 12-week fixed-dose period, the occurrence of TEAEs were generally similar between Haduvio and placebo groups (48% Haduvio, 45% placebo). Discontinuations during the 14 weeks of the trial were 36.9% in Haduvio-treated subjects vs. 19.3% in placebo-treated subjects. During the 14-week double-blind portion of the Phase 2b/3 PRISM trial, eight subjects on Haduvio and six subjects on placebo experienced at least one treatment emergent Serious Adverse Event, or SAE. None of the SAEs were considered by the investigator to be treatment-related. Adverse events most commonly observed with Haduvio were nausea, dizziness, headache, and constipation.</w:t>
      </w:r>
    </w:p>
    <w:p>
      <w:pPr>
        <w:spacing w:after="0" w:line="8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are continuing to conduct the open-label extension portion of the Phase 2b/3 PRISM trial, which we expect to complete in the first quarter of 2023. We expect that we will need to conduct an additional Phase 3 clinical trial to support the submission of a new drug application, or NDA, to the U.S. Food and Drug Administration, or the FDA, a marketing authorization application, or MAA, to the European Medicines Agency, or EMA, and an MAA to the Medicines and Healthcare Products Regulatory Agency in the United Kingdom, or MHRA, for Haduvio for the treatment of prurigo nodularis and plan to request an end of Phase 2 meeting with the FDA.</w:t>
      </w:r>
    </w:p>
    <w:p>
      <w:pPr>
        <w:spacing w:after="0" w:line="75"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color w:val="auto"/>
        </w:rPr>
        <w:t>We are also conducting a Phase 2 clinical trial of Haduvio for chronic cough in adults with IPF, which we refer to as the Phase 2 CANAL trial. The Phase 2 CANAL trial is a randomized, double-blind, placebo controlled, two-treatment, two-period, crossover study that is designed to evaluate the efficacy, safety, tolerability and dosing of Haduvio for chronic cough in adults with IPF. This trial was originally designed to enroll approximately 60 subjects with a goal to have 44 study completers. We are conducting the trial at multiple sites in the United Kingdom. In February 2022, we conducted an interim statistical analysis for this trial. The interim analysis (N=26) was statistically significant on the primary efficacy endpoint demonstrating a 52% placebo-adjusted reduction in the geometric mean percent change in daytime cough events (p&lt;0.0001, conditional power 100%) for Haduvio. P-value is a conventional statistical method for measuring the statistical significance of clinical results. A p-value of less than 0.05 is generally considered to represent statistical significance, meaning that there is a less than five percent likelihood that the observed results occurred by chance. The interim analysis was conducted by an independent statistical team according to the pre-specified endpoint in the protocol. In March 2022, in light of the statistically significant efficacy results from the interim analysis, we concluded enrollment early for our Phase 2 CANAL trial. In total, we enrolled approximately 40 subjects in the study. We expect to report efficacy and safety data for the full set of subjects for this trial in the third quarter of 2022. We are actively preparing for the next trial in chronic cough in adults with IPF and are planning to discuss the program and trial plan with the FDA at a meeting scheduled for the third quarter of 2022.</w:t>
      </w:r>
    </w:p>
    <w:p>
      <w:pPr>
        <w:spacing w:after="0" w:line="79" w:lineRule="exact"/>
        <w:rPr>
          <w:sz w:val="20"/>
          <w:szCs w:val="20"/>
          <w:color w:val="auto"/>
        </w:rPr>
      </w:pPr>
    </w:p>
    <w:p>
      <w:pPr>
        <w:ind w:firstLine="514"/>
        <w:spacing w:after="0" w:line="266" w:lineRule="auto"/>
        <w:rPr>
          <w:sz w:val="20"/>
          <w:szCs w:val="20"/>
          <w:color w:val="auto"/>
        </w:rPr>
      </w:pPr>
      <w:r>
        <w:rPr>
          <w:rFonts w:ascii="Times New Roman" w:cs="Times New Roman" w:eastAsia="Times New Roman" w:hAnsi="Times New Roman"/>
          <w:sz w:val="18"/>
          <w:szCs w:val="18"/>
          <w:color w:val="auto"/>
        </w:rPr>
        <w:t>We are currently focusing our financial and operational resources on completing the open-label extension portion of the Phase 2b/3 PRISM and the Phase 2 CANAL trials, preparing for meetings with the FDA on the results of both of these trials and preparing for the initiation of the next trial of Haduvio for the treatment of chronic cough in adults with IPF.</w:t>
      </w:r>
    </w:p>
    <w:p>
      <w:pPr>
        <w:spacing w:after="0" w:line="68"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June 30, 2022, we had an accumulated deficit of $196.3 million, primarily as a result of research and development and general and administrative expenses. We do not expect to generate product revenue unless and until we obtain marketing approval for and commercialize Haduvio for the treatment of prurigo nodularis or chronic cough in adults with IPF and we can provide no assurance that we will ever generate significant revenue or profits.</w:t>
      </w:r>
    </w:p>
    <w:p>
      <w:pPr>
        <w:spacing w:after="0" w:line="79"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In June 2020, we entered into a sales agreement with SVB Leerink LLC, or SVB Leerink, which we refer to as the ATM Sales Agreement, under which we may issue and sell shares of common stock, from time to time, having an aggregate offering price of up to $12.0 million. Sales of common stock under the ATM Sales Agreement may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as of June 30, 2022, we had issued and sold an aggregate of 3,583,394 shares of common stock for gross proceeds of $11.0 million, before deducting estimated commissions and allocated fees of $0.8 million. Under the terms of the October 2021 Private Placements, as described below, we agreed to not issue and sell additional shares under the ATM Sales Agreement on or prior to January 4, 2022. In May 2022, we amended the ATM Sales Agreement with SVB Leerink to increase the maximum aggregate offering price of common stock that we may issue and sell from time to time under the ATM Sales Agreement by $50.0 million, from $12.0 million to up to $62.0 million.</w:t>
      </w:r>
    </w:p>
    <w:p>
      <w:pPr>
        <w:spacing w:after="0" w:line="80"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August 2020, we entered into a loan and security agreement, or the SVB Loan Agreement, with Silicon Valley Bank, or SVB, pursuant to which SVB provided a term loan, or the SVB Term Loan, to us in the original principal amount of $14.0 million. On the first business day of each month commencing on March 1, 2022,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In July 2021 and April 2022, we entered into amendments to the SVB Loan Agreement with SVB, which we refer to as the Loan Amendments, that modified the conditions under which we would be required to cash collateralize the outstanding amounts owed to them under the SVB Loan Agreement. For further discussion of the SVB Term Loan and the Loan Amendments, see “—Liquidity and Capital Resources”.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5, 2021 and October 18, 2021, we issued and sold in two private placements, or the October 2021 Private Placements, in the aggregate</w:t>
      </w:r>
    </w:p>
    <w:p>
      <w:pPr>
        <w:spacing w:after="0" w:line="27" w:lineRule="exact"/>
        <w:rPr>
          <w:sz w:val="20"/>
          <w:szCs w:val="20"/>
          <w:color w:val="auto"/>
        </w:rPr>
      </w:pPr>
    </w:p>
    <w:p>
      <w:pPr>
        <w:ind w:right="20" w:firstLine="8"/>
        <w:spacing w:after="0" w:line="251"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continued to be exercisable until exercised in full. Of the accompanying common stock warrants, we issued warrants to purchase an aggregate of 9,151,122 shares that are to expire in April 2025 and warrants to purchase an aggregate of 9,151,122 shares that are to expire in October 2028. The accompanying common stock warrants have an exercise price of $1.37 per share and became exercisable immediately upon issuance. As of August 11, 2022, all of the pre-funded warrants and all of the warrants to purchase shares of common stock that were to expire on April 5, 2025 had been exercised.</w:t>
      </w:r>
    </w:p>
    <w:p>
      <w:pPr>
        <w:spacing w:after="0" w:line="85"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On April 11, 2022, we issued and sold in a private placement, or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is exercisable immediately and will be exercisable until the pre-funded warrant is exercised in full.</w:t>
      </w:r>
    </w:p>
    <w:p>
      <w:pPr>
        <w:spacing w:after="0" w:line="75"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As of June 30, 2022, we had cash, cash equivalents and marketable securities of $78.9 million. In July 2022, we received approximately $4.1 million in proceeds from the exercise of common stock warrants that were issued in the October 2021 Private Placements. We believe that our existing cash, cash equivalents and marketable securities, including the proceeds from the exercise of common stock warrants that were issued in the October 2021 Private Placements that we received in July 2022, will enable us to fund our operating expenses and capital expenditure requirements for at least 12 months from the date of issuance of the Condensed Consolidated Financial Statements included in this Quarterly Report on Form 10-Q.</w:t>
      </w:r>
    </w:p>
    <w:p>
      <w:pPr>
        <w:spacing w:after="0" w:line="68"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ongoing open-label extension portion of our Phase 2b/3 PRISM trial for prurigo nodularis, our Phase 2 CANAL trial and the next trial we plan to conduct for Haduvio for the treatment of chronic cough in adults with IPF, which we expect will be designed as a Phase 2b/3 trial, subject to discussions with the FDA. In addition, we may continue to incur additional expenses if we determine to conduct an additional clinical trial for the treatment of prurigo nodularis, or as a result of the COVID-19 pandemic and related clinical trial delays and interruptions.</w:t>
      </w:r>
    </w:p>
    <w:p>
      <w:pPr>
        <w:spacing w:after="0" w:line="79"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for one or more indications or delay our efforts to expand our product pipeline.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the COVID-19 Pandemic</w:t>
      </w:r>
    </w:p>
    <w:p>
      <w:pPr>
        <w:spacing w:after="0" w:line="121"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The COVID-19 pandemic and government measures taken in response thereto have had a significant impact, both direct and indirect, on segments of the global economy and have interrupted our clinical trial activities, disrupted our business operations and have the potential to interrupt our supply chain. We experienced restrictions and delays at our clinical sites for both our Phase 2b/3 PRISM and Phase 2 CANAL trials. The COVID-19 pandemic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potential unwillingness of patients to enroll in trials at this time or the inability of patients to comply with clinical trial protocols if quarantines or travel restrictions impede patient movement or interrupt healthcare services. The response to the COVID-19 pandemic may also redirect resources of regulators in a way that could adversely impact our ability to progress towards regulatory approvals and we may face impediments to regulatory meetings and approvals relating to our clinical trials due to measures intended to limit in-person interactions.</w:t>
      </w:r>
    </w:p>
    <w:p>
      <w:pPr>
        <w:spacing w:after="0" w:line="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For the periods presented, all of our research and development expenses consist of expenses incurred in connection with the development of Haduvio. These expenses include personnel-related costs, including stock-based compensation, consulting costs, contract manufacturing costs and fees paid to clinical research organizations, or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75"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whether as a result of the COVID-19 pandemic or otherwise, we could be required to expend significant additional financial resources and time on our development program. Furthermore, we are unable to predict when or if Haduvio will receive regulatory approval in the U.S. or elsewhere with any certainty.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68" w:lineRule="exact"/>
        <w:rPr>
          <w:sz w:val="20"/>
          <w:szCs w:val="20"/>
          <w:color w:val="auto"/>
        </w:rPr>
      </w:pPr>
    </w:p>
    <w:p>
      <w:pPr>
        <w:ind w:right="1040" w:firstLine="510"/>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a result of increased personnel costs, including stock-based compensation and expanded infrastructure.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 in Fair Value of Term Loan Derivative Liability</w:t>
      </w:r>
    </w:p>
    <w:p>
      <w:pPr>
        <w:spacing w:after="0" w:line="119"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SVB Term Loan, prior to the Third Amendment (as defined below) to the SVB Loan Agreement upon the occurrence of the Phase 3 Event, as described below, the interest rate on the SVB Term Loan would increase by 2.00%. This contingent interest rate increase represented a free-standing financial instrument. Accordingly, we accounted for the contingent interest rate increase as a derivative under Accounting Standards Codification or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therefore, we recorded a term loan derivative liability for the contingent interest rate increase at its fair value. We adjusted this liability to fair value at each reporting date it remained outstanding. We recognized changes in the fair value of this term loan derivative in our statements of comprehensive loss as a component of other expense, net. See below as discussed under “—Results of Operations— Operating Expenses—Other Expense, Net.”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ind w:right="1320" w:firstLine="510"/>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primarily on our cash, cash equivalents and marketable securities as well as accretion of discounts/amortization of premiums on purchases of marketable securities.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In August 2020, we entered into the SVB Loan Agreement under which we borrowed $14.0 million under the SVB Term Loan. In connection with the SVB Term Loan, we recognize interest expense which includes amortization of deferred financing charges, accretion of loan discount-financing costs, accrual of the final payment fee, amortization of the term loan discount-interest and the stated interest on the SVB Term Loan. Prior to the Third Amendment to the SVB Loan Agreement, the SVB Term Loan bore interest at a floating rate per annum equal to the greater of (A) the prime rate plus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which we refer to together as the Phase 3 Event, the interest rate under the SVB Term Loan would be adjusted to a floating rate equal to the greater of (A) the prime rate plus 3.00% and (B) 6.25%.</w:t>
      </w:r>
    </w:p>
    <w:p>
      <w:pPr>
        <w:spacing w:after="0" w:line="81" w:lineRule="exact"/>
        <w:rPr>
          <w:sz w:val="20"/>
          <w:szCs w:val="20"/>
          <w:color w:val="auto"/>
        </w:rPr>
      </w:pPr>
    </w:p>
    <w:p>
      <w:pPr>
        <w:jc w:val="both"/>
        <w:ind w:right="40" w:firstLine="510"/>
        <w:spacing w:after="0" w:line="258" w:lineRule="auto"/>
        <w:rPr>
          <w:sz w:val="20"/>
          <w:szCs w:val="20"/>
          <w:color w:val="auto"/>
        </w:rPr>
      </w:pPr>
      <w:r>
        <w:rPr>
          <w:rFonts w:ascii="Times New Roman" w:cs="Times New Roman" w:eastAsia="Times New Roman" w:hAnsi="Times New Roman"/>
          <w:sz w:val="18"/>
          <w:szCs w:val="18"/>
          <w:color w:val="auto"/>
        </w:rPr>
        <w:t>On April 6, 2022, we entered into the Third Amendment to the SVB Loan Agreement, or the Third Amendment. Under the Third Amendment, SVB agreed that amounts outstanding under the SVB Loan Agreement would accrue interest at a floating per annum rate equal to (i) the greater of (A) the prime rate plus 1.00% and (B) 4.25%, prior to raising $45.0 million in net proceeds from the sale of equity securities, which we refer to as the 2022 Equity Event, and (ii) upon and after the occurrence of the 2022 Equity Event, the greater of (A) the prime rate plus 3.00% and (B) 6.25%. The closing of the April 2022 Private Placement constituted the 2022 Equity Event.</w:t>
      </w:r>
    </w:p>
    <w:p>
      <w:pPr>
        <w:spacing w:after="0" w:line="75" w:lineRule="exact"/>
        <w:rPr>
          <w:sz w:val="20"/>
          <w:szCs w:val="20"/>
          <w:color w:val="auto"/>
        </w:rPr>
      </w:pPr>
    </w:p>
    <w:p>
      <w:pPr>
        <w:ind w:right="280" w:firstLine="510"/>
        <w:spacing w:after="0" w:line="289" w:lineRule="auto"/>
        <w:rPr>
          <w:sz w:val="20"/>
          <w:szCs w:val="20"/>
          <w:color w:val="auto"/>
        </w:rPr>
      </w:pPr>
      <w:r>
        <w:rPr>
          <w:rFonts w:ascii="Times New Roman" w:cs="Times New Roman" w:eastAsia="Times New Roman" w:hAnsi="Times New Roman"/>
          <w:sz w:val="17"/>
          <w:szCs w:val="17"/>
          <w:color w:val="auto"/>
        </w:rPr>
        <w:t>The SVB Term Loan required interest-only payments until March 2022. Commencing on March 1, 2022,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91"/>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gridSpan w:val="2"/>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19"/>
                <w:szCs w:val="19"/>
                <w:color w:val="auto"/>
              </w:rPr>
            </w:pPr>
          </w:p>
        </w:tc>
        <w:tc>
          <w:tcPr>
            <w:tcW w:w="5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28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9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benefit</w:t>
            </w:r>
          </w:p>
        </w:tc>
        <w:tc>
          <w:tcPr>
            <w:tcW w:w="9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spacing w:after="0"/>
              <w:rPr>
                <w:sz w:val="19"/>
                <w:szCs w:val="19"/>
                <w:color w:val="auto"/>
              </w:rPr>
            </w:pPr>
          </w:p>
        </w:tc>
        <w:tc>
          <w:tcPr>
            <w:tcW w:w="104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development expenses</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Personnel and related expenses</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Consulting expenses and professional fees</w:t>
            </w: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2022 decreased to $5.1 million from $6.5 million for the corresponding period in 2021, primarily due to reduced purchases of clinical trial supplies and clinical trial subject recruitment costs, decreased consulting expenses and professional fees due to a reduction in our use of consulting services and the non-recurrence of professional recruiting fees related to hirings in the prior year period.</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2022 increased slightly as compared to the corresponding period in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higher market research costs.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Other expense, net for the three months ended June 30, 2022 was $0.2 million compared to $0.6 million for the corresponding period in 2021. The decrease was due to the non-recurrence of a $0.4 million expense from the prior year period related to the value of the shares of our common stock that we issued to Lincoln Park Capital Fund, LLC, or Lincoln Park, as consideration for Lincoln Park’s commitment to purchase shares of our common stock under a common stock purchase agreement, or the LPC Purchase Agreement, as described below. Also contributing to the decrease is an increase of interest income of $0.2 million due to higher available cash balances and higher interest rates as we have deployed a large portion of our funds into marketable securities. Offsetting these decreases was an increase in expense of $0.2 million related to the change in fair value and settlement of the term loan derivative liability.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8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6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200" w:type="dxa"/>
            <w:vAlign w:val="bottom"/>
          </w:tcPr>
          <w:p>
            <w:pPr>
              <w:spacing w:after="0"/>
              <w:rPr>
                <w:sz w:val="19"/>
                <w:szCs w:val="19"/>
                <w:color w:val="auto"/>
              </w:rPr>
            </w:pPr>
          </w:p>
        </w:tc>
        <w:tc>
          <w:tcPr>
            <w:tcW w:w="2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14,845</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17,256</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9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benefit</w:t>
            </w:r>
          </w:p>
        </w:tc>
        <w:tc>
          <w:tcPr>
            <w:tcW w:w="1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90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9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development expenses</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Personnel and related expenses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expenses and professional fees</w:t>
            </w: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2022 decreased to $9.7 million from $12.1 million for the corresponding period in 2021, primarily due to decreased purchases of clinical trial supplies, decreased clinical trial subject recruitment costs, decreased consulting expenses and professional fees due to a reduction in our use of consulting services and the non-recurrence of professional recruiting fees related to hirings in the prior year period and decreased personnel-related expenses primarily due to severance in the prior year period that did not recur.</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2022 decreased to $5.1 million from $5.2 million for the corresponding period in 2021. The decrease was primarily due to lower legal fees as a result of the timing of certain intellectual property filings partially offset by higher market research costs.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Other expense, net for the six months ended June 30, 2022 was $0.5 million compared to $0.9 million for the corresponding period in 2021. The decrease was due to the non-recurrence of a $0.4 million expense from the prior year period related to the value of the shares of our common stock that we issued to Lincoln Park as consideration for Lincoln Park’s commitment to purchase shares of our common stock under the LPC Purchase Agreement. The decrease was also attributed to a decrease of $0.2 million attributable to expense being recognized for the change in fair value and settlement of the term loan derivative liability. These decreases were offset by an increase in interest income of $0.2 million due to higher interest rates and higher average cash balances as well as the receipt of higher interest rate yields as we have deployed a large portion of our available cash into marketable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and negative cash flows from our operations. Prior to the completion of our initial public offering, or the IPO, and concurrent private placement in May 2019, we financed our operations primarily through private placements of our preferred stock and convertible notes as well as borrowings under our prior term loan. From inception to our IPO, we raised an aggregate of $102.2 million in gross proceeds from sales of our preferred stock and convertible notes and borrowed $15.0 million under our prior term loan.</w:t>
      </w:r>
    </w:p>
    <w:p>
      <w:pPr>
        <w:spacing w:after="0" w:line="75" w:lineRule="exact"/>
        <w:rPr>
          <w:sz w:val="20"/>
          <w:szCs w:val="20"/>
          <w:color w:val="auto"/>
        </w:rPr>
      </w:pPr>
    </w:p>
    <w:p>
      <w:pPr>
        <w:ind w:right="460" w:firstLine="510"/>
        <w:spacing w:after="0" w:line="266" w:lineRule="auto"/>
        <w:rPr>
          <w:sz w:val="20"/>
          <w:szCs w:val="20"/>
          <w:color w:val="auto"/>
        </w:rPr>
      </w:pPr>
      <w:r>
        <w:rPr>
          <w:rFonts w:ascii="Times New Roman" w:cs="Times New Roman" w:eastAsia="Times New Roman" w:hAnsi="Times New Roman"/>
          <w:sz w:val="18"/>
          <w:szCs w:val="18"/>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68"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June 2020, we entered into the ATM Sales Agreement, under which we may issue and sell shares of common stock, from time to time, having an aggregate offering price of up to $12.0 million. Sales of common stock under the ATM Sales Agreement may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as of June 30, 2022 we had issued and sold an aggregate of 3,583,394 shares of common stock for gross proceeds of $11.0 million, before deducting estimated commissions and allocated fees of $0.8 million. Under the terms of the October 2021 Private Placements, we agreed to not issue or sell additional shares under the ATM Sales Agreement on or prior to January 4, 2022. In May 2022, the Company amended the ATM Sales Agreement with SVB Leerink LLC to increase the maximum aggregate offering price of common stock that it may issue and sell from time to time under the ATM Sales Agreement by $50.0 million, from $12.0 million to up to $62.0 million. During the three and six months ended June 30, 2022, the Company had no sales of shares of common stock under the ATM Sales Agreement.</w:t>
      </w:r>
    </w:p>
    <w:p>
      <w:pPr>
        <w:spacing w:after="0" w:line="86" w:lineRule="exact"/>
        <w:rPr>
          <w:sz w:val="20"/>
          <w:szCs w:val="20"/>
          <w:color w:val="auto"/>
        </w:rPr>
      </w:pPr>
    </w:p>
    <w:p>
      <w:pPr>
        <w:jc w:val="both"/>
        <w:ind w:right="420" w:firstLine="510"/>
        <w:spacing w:after="0" w:line="266" w:lineRule="auto"/>
        <w:rPr>
          <w:sz w:val="20"/>
          <w:szCs w:val="20"/>
          <w:color w:val="auto"/>
        </w:rPr>
      </w:pPr>
      <w:r>
        <w:rPr>
          <w:rFonts w:ascii="Times New Roman" w:cs="Times New Roman" w:eastAsia="Times New Roman" w:hAnsi="Times New Roman"/>
          <w:sz w:val="18"/>
          <w:szCs w:val="18"/>
          <w:color w:val="auto"/>
        </w:rPr>
        <w:t>On June 18, 2021, we entered into the LPC Purchase Agreement with Lincoln Park for an equity line financing. The LPC Purchase Agreement provides that, subject to the terms and conditions set forth therein, we have the right, but not the obligation, to sell to Lincoln Park and Lincoln Park is obligated to purchase up to $15.0 million of shares of common stock at our sole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spacing w:after="0" w:line="258" w:lineRule="auto"/>
        <w:rPr>
          <w:sz w:val="20"/>
          <w:szCs w:val="20"/>
          <w:color w:val="auto"/>
        </w:rPr>
      </w:pPr>
      <w:r>
        <w:rPr>
          <w:rFonts w:ascii="Times New Roman" w:cs="Times New Roman" w:eastAsia="Times New Roman" w:hAnsi="Times New Roman"/>
          <w:sz w:val="18"/>
          <w:szCs w:val="18"/>
          <w:color w:val="auto"/>
        </w:rPr>
        <w:t>over a 24-month period commencing on July 23, 2021. We filed a registration statement on Form S-1 covering the resale of shares of common stock that are issued to Lincoln Park under the LPC Purchase Agreement, which was declared effective on July 14, 2021. As part of the LPC Purchase Agreement, we issued 170,088 shares of our common stock to Lincoln Park as consideration for its commitment to purchase shares of our common stock under the LPC Purchase Agreement. Under the terms of the October 2021 Private Placements, we agreed to not issue or sell additional shares under the LPC Purchase Agreement on or prior to April 6, 2023.</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SVB Loan Agreement</w:t>
      </w:r>
    </w:p>
    <w:p>
      <w:pPr>
        <w:spacing w:after="0" w:line="121" w:lineRule="exact"/>
        <w:rPr>
          <w:sz w:val="20"/>
          <w:szCs w:val="20"/>
          <w:color w:val="auto"/>
        </w:rPr>
      </w:pPr>
    </w:p>
    <w:p>
      <w:pPr>
        <w:ind w:right="40" w:firstLine="510"/>
        <w:spacing w:after="0" w:line="269" w:lineRule="auto"/>
        <w:rPr>
          <w:sz w:val="20"/>
          <w:szCs w:val="20"/>
          <w:color w:val="auto"/>
        </w:rPr>
      </w:pPr>
      <w:r>
        <w:rPr>
          <w:rFonts w:ascii="Times New Roman" w:cs="Times New Roman" w:eastAsia="Times New Roman" w:hAnsi="Times New Roman"/>
          <w:sz w:val="17"/>
          <w:szCs w:val="17"/>
          <w:color w:val="auto"/>
        </w:rPr>
        <w:t>In August 2020, we entered into the SVB Loan Agreement with SVB, pursuant to which SVB provided the SVB Term Loan in the original principal amount of $14.0 million. Prior to the Third Amendment, the SVB Term Loan bore interest at a floating rate per annum equal to the greater of (A) the prime rate plus 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the interest rate under the SVB Term Loan would have been adjusted to a floating rate equal to the greater of (A) the prime rate plus 3.00% and</w:t>
      </w:r>
    </w:p>
    <w:p>
      <w:pPr>
        <w:spacing w:after="0" w:line="3" w:lineRule="exact"/>
        <w:rPr>
          <w:sz w:val="20"/>
          <w:szCs w:val="20"/>
          <w:color w:val="auto"/>
        </w:rPr>
      </w:pPr>
    </w:p>
    <w:p>
      <w:pPr>
        <w:ind w:right="40" w:firstLine="8"/>
        <w:spacing w:after="0" w:line="251" w:lineRule="auto"/>
        <w:tabs>
          <w:tab w:leader="none" w:pos="2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Commencing on March 1, 2022 and on the first business day of each month thereafter,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date on which we entered into the SVB Term Loan or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will be required to pay a final payment fee equal to $1.2 million. The SVB Term Loan and related obligations under the SVB Loan Agreement are secured by substantially all of our properties, rights and assets, except for our intellectual property (which is subject to a negative pledge under the SVB Loan Agreement).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w:t>
      </w:r>
    </w:p>
    <w:p>
      <w:pPr>
        <w:spacing w:after="0" w:line="83"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On July 6, 2021, we and SVB entered into the First Amendment to the SVB Loan Agreement, or the First Amendment. The First Amendment modified the conditions under which we are required to cash collateralize outstanding amounts owed to SVB under the SVB Loan Agreement. Under the First Amendment, if we failed to receive positive data in our Phase 2b/3 PRISM trial or, prior to June 30, 2022, failed to raise sufficient net proceeds from the sale of equity securities to finance our planned second Phase 3 clinical trial of Haduvio for prurigo nodularis and our ongoing operations, each of which we refer to as a Milestone Condition, we would be required to deposit unrestricted and unencumbered cash equal to 100% of all outstanding amounts owed to SVB in a cash collateral account with SVB, which could be used by SVB to prepay the SVB Term Loan at any time. In addition, the First Amendment provided that if we failed to maintain at least $20.0 million in unrestricted and unencumbered cash in our accounts with SVB, or the Minimum Required Cash, at any time prior to the satisfaction of all the Milestone Conditions, we would also have been required to cash collateralize all outstanding amounts owed to SVB under the SVB Loan Agreement. We would also have been required to cash collateralize all outstanding amounts owed to SVB under the SVB Loan Agreement if we did not raise at least $15.0 million in net proceeds from the sale of equity securities during the period from June 1, 2021 through October 31, 2021. We satisfied this equity funding condition through a combination of equity issuances under our ATM Sales Agreement and the proceeds from the October 2021 Private Placements.</w:t>
      </w:r>
    </w:p>
    <w:p>
      <w:pPr>
        <w:spacing w:after="0" w:line="82"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On April 6, 2022, we entered into the Third Amendment to the SVB Loan Agreement. The Third Amendment principally modified the conditions under which we are required to cash collateralize all outstanding amounts owed to SVB under the SVB Loan Agreement. Under the terms of the Third Amendment, upon the closing of the April 2022 Private Placement, our obligations to achieve the Milestone Conditions and maintain the Minimum Required Cash terminated and the sole remaining cash collateralization requirement under the SVB Loan Agreement was the requirement that we receive positive final data by December 31, 2022 from either our Phase 2b/3 PRISM trial of Haduvio for prurigo nodularis or our Phase 2 CANAL trial of Haduvio for the treatment of chronic cough in adults with IPF. On August 3, 2022, SVB confirmed that the reported data from the Phase 2b/3 PRISM trial satisfied the requirement for positive data and that the cash collateralization requirements of the SVB Loan Agreement were no longer in effect.</w:t>
      </w:r>
    </w:p>
    <w:p>
      <w:pPr>
        <w:spacing w:after="0" w:line="81"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In addition, the Third Amendment modified the interest rate on the principal amount outstanding under the SVB Loan Agreement, as discussed above under “—Components of Operating Results—Operating Expenses—Interest Expense.”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2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On October 5, 2021 and October 18, 2021, we issued and sold in two private placements (i) an aggregate of 4,225,053 shares of our common stock and accompanying warrants to purchase an aggregate of 8,450,106 shares of our common stock, and (ii) pre-funded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ind w:right="20"/>
        <w:spacing w:after="0" w:line="254" w:lineRule="auto"/>
        <w:rPr>
          <w:sz w:val="20"/>
          <w:szCs w:val="20"/>
          <w:color w:val="auto"/>
        </w:rPr>
      </w:pPr>
      <w:r>
        <w:rPr>
          <w:rFonts w:ascii="Times New Roman" w:cs="Times New Roman" w:eastAsia="Times New Roman" w:hAnsi="Times New Roman"/>
          <w:sz w:val="18"/>
          <w:szCs w:val="18"/>
          <w:color w:val="auto"/>
        </w:rPr>
        <w:t>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was exercisable until exercised in full. Of the accompanying common stock warrants, warrants to purchase an aggregate of 9,151,122 shares will expire in April 2025 and warrants to purchase an aggregate of 9,151,122 shares will expire in October 2028. The accompanying common stock warrants have an exercise price of $1.37 per share and became exercisable immediately upon issuance. As of August 11, 2022, all of the pre-funded warrants and all of the common stock warrants to purchase shares of common stock that were to expire on April 5, 2025 had been exercised.</w:t>
      </w:r>
    </w:p>
    <w:p>
      <w:pPr>
        <w:spacing w:after="0" w:line="84" w:lineRule="exact"/>
        <w:rPr>
          <w:sz w:val="20"/>
          <w:szCs w:val="20"/>
          <w:color w:val="auto"/>
        </w:rPr>
      </w:pPr>
    </w:p>
    <w:p>
      <w:pPr>
        <w:jc w:val="both"/>
        <w:ind w:right="140" w:firstLine="510"/>
        <w:spacing w:after="0" w:line="261" w:lineRule="auto"/>
        <w:rPr>
          <w:sz w:val="20"/>
          <w:szCs w:val="20"/>
          <w:color w:val="auto"/>
        </w:rPr>
      </w:pPr>
      <w:r>
        <w:rPr>
          <w:rFonts w:ascii="Times New Roman" w:cs="Times New Roman" w:eastAsia="Times New Roman" w:hAnsi="Times New Roman"/>
          <w:sz w:val="18"/>
          <w:szCs w:val="18"/>
          <w:color w:val="auto"/>
        </w:rPr>
        <w:t>On April 11, 2022, we issued and sold in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is exercisable immediately and will be exercisable until the pre-funded warrant is exercised in full.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 below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4440" w:type="dxa"/>
            <w:vAlign w:val="bottom"/>
          </w:tcPr>
          <w:p>
            <w:pPr>
              <w:spacing w:after="0"/>
              <w:rPr>
                <w:sz w:val="19"/>
                <w:szCs w:val="19"/>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(15,476)</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(54,217)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(54,217)</w:t>
            </w:r>
          </w:p>
        </w:tc>
      </w:tr>
      <w:tr>
        <w:trPr>
          <w:trHeight w:val="22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48,453</w:t>
            </w:r>
          </w:p>
        </w:tc>
        <w:tc>
          <w:tcPr>
            <w:tcW w:w="120" w:type="dxa"/>
            <w:vAlign w:val="bottom"/>
            <w:shd w:val="clear" w:color="auto" w:fill="CFF0FC"/>
          </w:tcPr>
          <w:p>
            <w:pPr>
              <w:spacing w:after="0"/>
              <w:rPr>
                <w:sz w:val="19"/>
                <w:szCs w:val="19"/>
                <w:color w:val="auto"/>
              </w:rPr>
            </w:pPr>
          </w:p>
        </w:tc>
      </w:tr>
      <w:tr>
        <w:trPr>
          <w:trHeight w:val="223"/>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80" w:type="dxa"/>
            <w:vAlign w:val="bottom"/>
          </w:tcPr>
          <w:p>
            <w:pPr>
              <w:spacing w:after="0"/>
              <w:rPr>
                <w:sz w:val="19"/>
                <w:szCs w:val="19"/>
                <w:color w:val="auto"/>
              </w:rPr>
            </w:pPr>
          </w:p>
        </w:tc>
        <w:tc>
          <w:tcPr>
            <w:tcW w:w="106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2022, operating activities used $13.3 million of net cash, resulting from our net loss of $15.4 million offset by net changes in our operating assets and liabilities of $0.5 million and by non-cash charges of $1.6 million. The non-cash charges consisted primarily of stock-based compensation expense of $1.3 million and $0.3 million of accretion/accrual of term loan discounts and debt issuance costs. Changes in our operating assets and liabilities consisted of a $0.9 million increase in accounts payable and a $0.4 million increase in accrued expenses and other liabilities partially offset by a $0.9 million increase in prepaid expenses and other current assets. The increase in accounts payable was primarily due to the timing of vendor invoices. The increase in accrued expenses and other liabilities was primarily due to increased accruals for research, development and clinical trial work performed by our CROs, partially offset by a decrease in accrued compensation and benefits. The increase in prepaid expenses and other current assets was primarily due to an increase in prepayments of our corporate insurance policies.</w:t>
      </w:r>
    </w:p>
    <w:p>
      <w:pPr>
        <w:spacing w:after="0" w:line="8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2021, operating activities used $15.5 million of net cash, resulting from our net loss of $18.2 million and partially offset by net changes in our operating assets and liabilities of $0.6 million and by non-cash charges of $2.1 million. The non-cash charges consisted primarily of stock-based compensation expense of $1.5 million, $0.4 million of other expense associated with the value of the shares of our common stock that we issued to Lincoln Park as consideration for Lincoln Park’s commitment to purchase shares of our common stock under the LPC Purchase Agreement and $0.3 million of accretion/accrual of term loan discounts and debt issuance costs. Changes in our operating assets and liabilities consisted of a $1.5 million increase in accounts payable, a $0.6 million increase in prepaid expenses and other current assets and a $0.3 million decrease in accrued expenses and other liabilities. The increase in accounts payable was primarily due to the timing of vendor invoices. The increase in prepaid expenses and other current assets was primarily due to an increase in prepayments of our corporate insurance policies. The decrease in accrued expenses and other liabilities was primarily due to decreased accruals for research, development and clinical trial work performed by our CROs, partially offset by an increase in accrued compensation and benefits.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net cash used in investing activities was $54.2 million, primarily related to purchases of marketable securities. During the six months ended June 30, 2021, no cash was provided by or used in investing activities.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510"/>
        <w:spacing w:after="0" w:line="271" w:lineRule="auto"/>
        <w:rPr>
          <w:sz w:val="20"/>
          <w:szCs w:val="20"/>
          <w:color w:val="auto"/>
        </w:rPr>
      </w:pPr>
      <w:r>
        <w:rPr>
          <w:rFonts w:ascii="Times New Roman" w:cs="Times New Roman" w:eastAsia="Times New Roman" w:hAnsi="Times New Roman"/>
          <w:sz w:val="18"/>
          <w:szCs w:val="18"/>
          <w:color w:val="auto"/>
        </w:rPr>
        <w:t>During the six months ended June 30, 2022, net cash provided by financing activities was $55.4 million, primarily consisting of net cash proceeds from our April 2022 Private Placement of $51.8 million and cash proceeds of $5.9 million from the exercise of warrants as well as cash proceeds from purchases under our 2019 Employee Stock Purchase Plan partially offset by repayments of $2.3 million on the SVB Term Loan, payments of offering costs of less than $0.1 million and payments of financing costs of less than $0.1 million associated with the Third Amendment to the SVB Loan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jc w:val="both"/>
        <w:ind w:right="180" w:firstLine="51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2021, net cash provided by financing activities was $6.9 million, consisting of gross cash proceeds of $7.4 million from sales of our common stock under the ATM Sales Agreement, before deducting estimated commissions and allocated fees of $0.6 million, as well as cash proceeds from purchases under our 2019 Employee Stock Purchase Plan offset by payments of offering costs.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spacing w:after="0" w:line="54" w:lineRule="exact"/>
        <w:rPr>
          <w:sz w:val="20"/>
          <w:szCs w:val="20"/>
          <w:color w:val="auto"/>
        </w:rPr>
      </w:pPr>
    </w:p>
    <w:p>
      <w:pPr>
        <w:ind w:left="880" w:hanging="373"/>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open-label extension portion of our Phase 2b/3 PRISM trial in patients with prurigo nodularis,</w:t>
      </w:r>
    </w:p>
    <w:p>
      <w:pPr>
        <w:spacing w:after="0" w:line="144" w:lineRule="exact"/>
        <w:rPr>
          <w:rFonts w:ascii="Times New Roman" w:cs="Times New Roman" w:eastAsia="Times New Roman" w:hAnsi="Times New Roman"/>
          <w:sz w:val="18"/>
          <w:szCs w:val="18"/>
          <w:color w:val="auto"/>
        </w:rPr>
      </w:pPr>
    </w:p>
    <w:p>
      <w:pPr>
        <w:ind w:left="880" w:right="420" w:hanging="373"/>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2 CANAL trial and, if the CANAL trial is successful, the next trial we plan to conduct for Haduvio for the treatment of chronic cough in adults with IPF, which we expect will be designed as a Phase 2b/3 trial, subject to discussions with the FDA.</w:t>
      </w:r>
    </w:p>
    <w:p>
      <w:pPr>
        <w:spacing w:after="0" w:line="54"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Generally, regulatory authorities require two adequate and well-controlled studies for approval. In addition, we have incurred and may continue to incur additional expenses as a result of the COVID-19 pandemic and resulting clinical trial delays and interruptions. Furthermore, we expect to continue to incur additional costs associated with operating as a public company, including significant legal, accounting, investor relations and other expenses.</w:t>
      </w:r>
    </w:p>
    <w:p>
      <w:pPr>
        <w:spacing w:after="0" w:line="68"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growth strategy.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72" w:lineRule="exact"/>
        <w:rPr>
          <w:sz w:val="20"/>
          <w:szCs w:val="20"/>
          <w:color w:val="auto"/>
        </w:rPr>
      </w:pPr>
    </w:p>
    <w:p>
      <w:pPr>
        <w:ind w:left="880" w:hanging="373"/>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Haduvio, including the ongoing open-label extension portion of our Phase 2b/3 PRISM trial and our Phase 2 CANAL trial, as well as any future product candidates;</w:t>
      </w:r>
    </w:p>
    <w:p>
      <w:pPr>
        <w:spacing w:after="0" w:line="53" w:lineRule="exact"/>
        <w:rPr>
          <w:rFonts w:ascii="Times New Roman" w:cs="Times New Roman" w:eastAsia="Times New Roman" w:hAnsi="Times New Roman"/>
          <w:sz w:val="18"/>
          <w:szCs w:val="18"/>
          <w:color w:val="auto"/>
        </w:rPr>
      </w:pPr>
    </w:p>
    <w:p>
      <w:pPr>
        <w:ind w:left="880" w:right="440" w:hanging="373"/>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Haduvio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880" w:right="200" w:hanging="373"/>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 such as our planned human abuse liability, or HAL, study and a potential Thorough QT, or TQT, study;</w:t>
      </w:r>
    </w:p>
    <w:p>
      <w:pPr>
        <w:spacing w:after="0" w:line="53" w:lineRule="exact"/>
        <w:rPr>
          <w:rFonts w:ascii="Times New Roman" w:cs="Times New Roman" w:eastAsia="Times New Roman" w:hAnsi="Times New Roman"/>
          <w:sz w:val="18"/>
          <w:szCs w:val="18"/>
          <w:color w:val="auto"/>
        </w:rPr>
      </w:pPr>
    </w:p>
    <w:p>
      <w:pPr>
        <w:ind w:left="880" w:right="500" w:hanging="373"/>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manufacture of necessary quantities of Haduvio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ind w:left="880" w:right="40" w:hanging="373"/>
        <w:spacing w:after="0" w:line="266"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Haduvio for the treatment of prurigo nodularis or for the treatment of chronic cough in adults with IPF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880" w:right="60" w:hanging="373"/>
        <w:spacing w:after="0" w:line="266"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approvals, revenue, if any, received from commercial sales of Haduvio for the treatment of prurigo nodularis or for the treatment of chronic cough in adults with IPF or for any other serious neurologically mediated conditions or from any future product candidates;</w:t>
      </w:r>
    </w:p>
    <w:p>
      <w:pPr>
        <w:spacing w:after="0" w:line="67" w:lineRule="exact"/>
        <w:rPr>
          <w:rFonts w:ascii="Times New Roman" w:cs="Times New Roman" w:eastAsia="Times New Roman" w:hAnsi="Times New Roman"/>
          <w:sz w:val="18"/>
          <w:szCs w:val="18"/>
          <w:color w:val="auto"/>
        </w:rPr>
      </w:pPr>
    </w:p>
    <w:p>
      <w:pPr>
        <w:ind w:left="880" w:right="120" w:hanging="373"/>
        <w:spacing w:after="0" w:line="266"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Haduvio for the treatment of prurigo nodularis or for the treatment of chronic cough in adults with IPF or for any future product candidates and the terms and timing of any collaboration agreement that we may establish for the development and any commercialization of such product candidates;</w:t>
      </w:r>
    </w:p>
    <w:p>
      <w:pPr>
        <w:spacing w:after="0" w:line="67" w:lineRule="exact"/>
        <w:rPr>
          <w:rFonts w:ascii="Times New Roman" w:cs="Times New Roman" w:eastAsia="Times New Roman" w:hAnsi="Times New Roman"/>
          <w:sz w:val="18"/>
          <w:szCs w:val="18"/>
          <w:color w:val="auto"/>
        </w:rPr>
      </w:pPr>
    </w:p>
    <w:p>
      <w:pPr>
        <w:ind w:left="880" w:right="180" w:hanging="373"/>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ind w:left="880" w:right="280" w:hanging="373"/>
        <w:spacing w:after="0" w:line="266"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obligation to make milestone payments to Endo, which would become due upon the successful completion of the first Phase 3 clinical trial of a licensed product candidate and the marketing approval of a licensed product in the United States, as well as our potential obligations to pay Endo mid-single digit royalties on the net sales of the product;</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establish a commercial infrastructure;</w:t>
      </w:r>
    </w:p>
    <w:p>
      <w:pPr>
        <w:spacing w:after="0" w:line="144" w:lineRule="exact"/>
        <w:rPr>
          <w:rFonts w:ascii="Times New Roman" w:cs="Times New Roman" w:eastAsia="Times New Roman" w:hAnsi="Times New Roman"/>
          <w:sz w:val="18"/>
          <w:szCs w:val="18"/>
          <w:color w:val="auto"/>
        </w:rPr>
      </w:pPr>
    </w:p>
    <w:p>
      <w:pPr>
        <w:ind w:left="880" w:right="280" w:hanging="373"/>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3" w:name="page34"/>
    <w:bookmarkEnd w:id="33"/>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scope, progress, timing, costs and results of our ongoing and planned clinical trials of Haduvio.</w:t>
      </w:r>
    </w:p>
    <w:p>
      <w:pPr>
        <w:spacing w:after="0" w:line="144"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including the proceeds we received in July 2022 from the exercise of common stock warrants that were issued in the October 2021 Private Placements, will enable us to fund our operating expenses and capital expenditure requirements into the fourth quarter of 2023. This does not consider the cost of any additional clinical trial that we may determine to conduct for the treatment of prurigo nodularis.</w:t>
      </w:r>
    </w:p>
    <w:p>
      <w:pPr>
        <w:spacing w:after="0" w:line="72"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spacing w:after="0" w:line="7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do not have any committed external source of funds. Accordingly, we will be required to obtain further funding through public or private equity offerings, debt financings, collaborations, licensing arrangements or other sources to complete the clinical development and commercialization of Haduvio for the treatment of prurigo nodularis or for the treatment of chronic cough in adults with IPF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For example, in connection with the SVB Term Loan, we granted a security interest on all of our assets, excluding our intellectual property, agreed to a negative pledge on our intellectual property, agreed to restrictive covenants including, subject to certain exceptions, covenants that prohibit us from transferring all or any part of our business or property, changing our business, liquidating or dissolving, merging with or acquiring another entity, entering into a transaction that will result in a change in control, incurring additional indebtedness, creating any lien on our property, paying dividends or redeeming stock, making payments on subordinated debt or entering into material transactions with affiliates and agreed to cash collateralize the SVB Term Loan in certain circumstances. Future debt securities or other financing arrangements could contain similar or more restrictive negative covenants. We are also bound by certain contractual terms and obligations that may limit or otherwise impact our ability to raise additional funding in the near-term including, but not limited to, provisions in the October 2021 Private Placements prohibiting us from obtaining additional financing through a variable rate transaction such as an equity line of credit.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spacing w:after="0" w:line="84"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we believe that the critical accounting policies described under the heading “Management’s Discussion and Analysis of Financial Condition and Results of Operations—Critical Accounting Policies and Use of Estimates” in our Annual Report on Form 10-K for the year ended December 31, 2021 are the most important to understanding and evaluating our reported financial results. During the six months ended June 30, 2022, there were no material changes to our critical accounting policies.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4" w:name="page35"/>
    <w:bookmarkEnd w:id="34"/>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new pronouncements adopted during the six months ended June 30, 2022, which could be expected to materially impact the Company’s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new pronouncements during the six months ended June 30, 2022 which could be expected to materially impact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80" w:firstLine="51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June 30, 2022.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June 30, 2022 that has materially affected or is reasonably likely to materially affect, our internal control over financial reporting.</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subject to any material legal proceedings.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have incurred significant annual net losses every year since our inception. We expect to continue to incur significant and increasing net losses for at least the next several years. Our net losses were $15.4 million and $33.9 million for the six months ended June 30, 2022 and for the year ended December 31, 2021, respectively. As of June 30, 2022, we had an accumulated deficit of $196.3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borrowings under our prior term loan facility, proceeds from our IPO and concurrent private placement completed in May 2019, sales of our common stock pursuant to the ATM Sales Agreement we entered into in June 2020, which we refer to as the ATM Sales Agreement, the term loan facility with Silicon Valley Bank that we entered into in August 2020, which we refer to as the SVB Term Loan, proceeds from the two private placements we completed in October 2021, or the October 2021 Private Placements, proceeds from the private placement we completed in April 2022, or the April 2022 Private Placement, and proceeds from the exercise of common stock warrants that were issued in the October 2021 Private Placements. We have devoted substantially all of our financial resources and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5" w:name="page36"/>
    <w:bookmarkEnd w:id="35"/>
    <w:p>
      <w:pPr>
        <w:ind w:right="60"/>
        <w:spacing w:after="0" w:line="266" w:lineRule="auto"/>
        <w:rPr>
          <w:sz w:val="20"/>
          <w:szCs w:val="20"/>
          <w:color w:val="auto"/>
        </w:rPr>
      </w:pPr>
      <w:r>
        <w:rPr>
          <w:rFonts w:ascii="Times New Roman" w:cs="Times New Roman" w:eastAsia="Times New Roman" w:hAnsi="Times New Roman"/>
          <w:sz w:val="18"/>
          <w:szCs w:val="18"/>
          <w:color w:val="auto"/>
        </w:rPr>
        <w:t>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68"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anticipate that our expenses will increase substantially if and as we:</w:t>
      </w:r>
    </w:p>
    <w:p>
      <w:pPr>
        <w:spacing w:after="0" w:line="54" w:lineRule="exact"/>
        <w:rPr>
          <w:sz w:val="20"/>
          <w:szCs w:val="20"/>
          <w:color w:val="auto"/>
        </w:rPr>
      </w:pPr>
    </w:p>
    <w:p>
      <w:pPr>
        <w:ind w:left="880" w:right="140" w:hanging="373"/>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clinical trials of Haduvio, including the ongoing open-label extension portion of our Phase 2b/3 PRISM trial, our Phase 2 CANAL trial and subsequent trials;</w:t>
      </w:r>
    </w:p>
    <w:p>
      <w:pPr>
        <w:spacing w:after="0" w:line="53" w:lineRule="exact"/>
        <w:rPr>
          <w:rFonts w:ascii="Times New Roman" w:cs="Times New Roman" w:eastAsia="Times New Roman" w:hAnsi="Times New Roman"/>
          <w:sz w:val="18"/>
          <w:szCs w:val="18"/>
          <w:color w:val="auto"/>
        </w:rPr>
      </w:pPr>
    </w:p>
    <w:p>
      <w:pPr>
        <w:ind w:left="880" w:hanging="373"/>
        <w:spacing w:after="0" w:line="261"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other development work required for the filing of a NDA with the FDA, and the filing of marketing authorization applications, or MAAs, with the EMA and the MHRA, for Haduvio for the treatment of prurigo nodularis, including completing the open-label extension portion of our Phase 2b/3 PRISM trial and at least one additional Phase 3 clinical trial in this indication and our continued development work in chronic cough in adults with IPF;</w:t>
      </w:r>
    </w:p>
    <w:p>
      <w:pPr>
        <w:spacing w:after="0" w:line="71" w:lineRule="exact"/>
        <w:rPr>
          <w:rFonts w:ascii="Times New Roman" w:cs="Times New Roman" w:eastAsia="Times New Roman" w:hAnsi="Times New Roman"/>
          <w:sz w:val="18"/>
          <w:szCs w:val="18"/>
          <w:color w:val="auto"/>
        </w:rPr>
      </w:pPr>
    </w:p>
    <w:p>
      <w:pPr>
        <w:ind w:left="880" w:right="20" w:hanging="373"/>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Haduvio for the treatment of prurigo nodularis and/or chronic cough in adults with IPF or for other serious neurologically mediated conditions or for any future product candidate that successfully completes clinical trials, if any;</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and execute pediatric development plans and complete any post-approval commitments;</w:t>
      </w:r>
    </w:p>
    <w:p>
      <w:pPr>
        <w:spacing w:after="0" w:line="117" w:lineRule="exact"/>
        <w:rPr>
          <w:rFonts w:ascii="Times New Roman" w:cs="Times New Roman" w:eastAsia="Times New Roman" w:hAnsi="Times New Roman"/>
          <w:sz w:val="18"/>
          <w:szCs w:val="18"/>
          <w:color w:val="auto"/>
        </w:rPr>
      </w:pPr>
    </w:p>
    <w:p>
      <w:pPr>
        <w:ind w:left="880" w:right="80" w:hanging="373"/>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880" w:right="1080" w:hanging="373"/>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Haduvio or any future product candidate for clinical development and, potentially, commercialization;</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rights to other potential product candidates or technologies;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research, preclinical and clinical development efforts for any future product candidates;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regulatory and scientific personnel;</w:t>
      </w:r>
    </w:p>
    <w:p>
      <w:pPr>
        <w:spacing w:after="0" w:line="144" w:lineRule="exact"/>
        <w:rPr>
          <w:rFonts w:ascii="Times New Roman" w:cs="Times New Roman" w:eastAsia="Times New Roman" w:hAnsi="Times New Roman"/>
          <w:sz w:val="18"/>
          <w:szCs w:val="18"/>
          <w:color w:val="auto"/>
        </w:rPr>
      </w:pPr>
    </w:p>
    <w:p>
      <w:pPr>
        <w:ind w:left="880" w:right="260" w:hanging="373"/>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development program for Haduvio and for any future product candidates.</w:t>
      </w:r>
    </w:p>
    <w:p>
      <w:pPr>
        <w:spacing w:after="0" w:line="144" w:lineRule="exact"/>
        <w:rPr>
          <w:sz w:val="20"/>
          <w:szCs w:val="20"/>
          <w:color w:val="auto"/>
        </w:rPr>
      </w:pPr>
    </w:p>
    <w:p>
      <w:pPr>
        <w:ind w:right="60" w:firstLine="510"/>
        <w:spacing w:after="0" w:line="269" w:lineRule="auto"/>
        <w:rPr>
          <w:sz w:val="20"/>
          <w:szCs w:val="20"/>
          <w:color w:val="auto"/>
        </w:rPr>
      </w:pPr>
      <w:r>
        <w:rPr>
          <w:rFonts w:ascii="Times New Roman" w:cs="Times New Roman" w:eastAsia="Times New Roman" w:hAnsi="Times New Roman"/>
          <w:sz w:val="17"/>
          <w:szCs w:val="17"/>
          <w:color w:val="auto"/>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prurigo nodularis, we will be required, at a minimum, to successfully complete the ongoing open-label extension portion of our Phase 2b/3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6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5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 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ind w:right="720"/>
        <w:spacing w:after="0" w:line="282" w:lineRule="auto"/>
        <w:rPr>
          <w:sz w:val="20"/>
          <w:szCs w:val="20"/>
          <w:color w:val="auto"/>
        </w:rPr>
      </w:pPr>
      <w:r>
        <w:rPr>
          <w:rFonts w:ascii="Times New Roman" w:cs="Times New Roman" w:eastAsia="Times New Roman" w:hAnsi="Times New Roman"/>
          <w:sz w:val="18"/>
          <w:szCs w:val="18"/>
          <w:color w:val="auto"/>
        </w:rPr>
        <w:t>viability may not be as accurate as they could be if we had a longer operating history or a history of successfully developing and commercializing pharmaceutical products.</w:t>
      </w:r>
    </w:p>
    <w:p>
      <w:pPr>
        <w:spacing w:after="0" w:line="54"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68"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6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six months ended June 30, 2022 and the year ended December 31, 2021, we used net cash of $13.3 million and $28.9 million, respectively, in our operating activities, substantially all of which related to development activities for Haduvio. As of June 30, 2022, our cash, cash equivalents and marketable securities were $78.9 million. In July 2022, we also received $4.1 million in proceeds from the exercise of common stock warrants that were issued in the October 2021 Private Placements. We expect our expenses to increase substantially in connection with our ongoing activities, particularly as we continue to develop Haduvio, including as we:</w:t>
      </w:r>
    </w:p>
    <w:p>
      <w:pPr>
        <w:spacing w:after="0" w:line="81" w:lineRule="exact"/>
        <w:rPr>
          <w:sz w:val="20"/>
          <w:szCs w:val="20"/>
          <w:color w:val="auto"/>
        </w:rPr>
      </w:pPr>
    </w:p>
    <w:p>
      <w:pPr>
        <w:ind w:left="880" w:hanging="373"/>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open-label extension portion of our ongoing Phase 2b/3 PRISM trial;</w:t>
      </w:r>
    </w:p>
    <w:p>
      <w:pPr>
        <w:spacing w:after="0" w:line="144" w:lineRule="exact"/>
        <w:rPr>
          <w:rFonts w:ascii="Times New Roman" w:cs="Times New Roman" w:eastAsia="Times New Roman" w:hAnsi="Times New Roman"/>
          <w:sz w:val="18"/>
          <w:szCs w:val="18"/>
          <w:color w:val="auto"/>
        </w:rPr>
      </w:pPr>
    </w:p>
    <w:p>
      <w:pPr>
        <w:ind w:left="880" w:right="40" w:hanging="373"/>
        <w:spacing w:after="0" w:line="312" w:lineRule="auto"/>
        <w:tabs>
          <w:tab w:leader="none" w:pos="8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our Phase 2 CANAL trial and, if the CANAL trial is successful, conduct the next trial we plan to conduct for Haduvio for the treatment of chronic cough in adults with IPF, which we expect will be designed as a Phase 2b/3 trial, subject to discussions with the FDA; and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may incur additional expenses:</w:t>
      </w:r>
    </w:p>
    <w:p>
      <w:pPr>
        <w:spacing w:after="0" w:line="117" w:lineRule="exact"/>
        <w:rPr>
          <w:sz w:val="20"/>
          <w:szCs w:val="20"/>
          <w:color w:val="auto"/>
        </w:rPr>
      </w:pPr>
    </w:p>
    <w:p>
      <w:pPr>
        <w:ind w:left="880" w:hanging="373"/>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determine to conduct an additional clinical trial for the treatment of prurigo nodularis;</w:t>
      </w:r>
    </w:p>
    <w:p>
      <w:pPr>
        <w:spacing w:after="0" w:line="144"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or in-license rights to other potential product candidates or technologies and seek regulatory and marketing approvals for Haduvio or any future product candidate that successfully completes clinical trials;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COVID-19 pandemic and resulting clinical trial delays and interruptions.</w:t>
      </w:r>
    </w:p>
    <w:p>
      <w:pPr>
        <w:spacing w:after="0" w:line="144"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7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prurigo nodularis and chronic cough in adults with IPF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84"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We indicated that there were a number of factors that raised substantial risks about our ability to continue as a going concern as of the date of our Annual Report on Form 10-K for the year ended December 31, 2021 without additional capital. We believe that our existing cash, cash equivalents and marketable securities, including the proceeds we received in July 2022 from the exercise of common stock warrants that were issued in the October 2021 Private Placements, will enable us to fund our operating expenses and capital expenditure requirements into the fourth quarter of 2023. This does not consider the cost of any additional clinical trial that we may determine to conduct for the treatment of prurigo nodularis.</w:t>
      </w:r>
    </w:p>
    <w:p>
      <w:pPr>
        <w:spacing w:after="0" w:line="75"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7" w:name="page38"/>
    <w:bookmarkEnd w:id="37"/>
    <w:p>
      <w:pPr>
        <w:ind w:right="340"/>
        <w:spacing w:after="0" w:line="261" w:lineRule="auto"/>
        <w:rPr>
          <w:sz w:val="20"/>
          <w:szCs w:val="20"/>
          <w:color w:val="auto"/>
        </w:rPr>
      </w:pPr>
      <w:r>
        <w:rPr>
          <w:rFonts w:ascii="Times New Roman" w:cs="Times New Roman" w:eastAsia="Times New Roman" w:hAnsi="Times New Roman"/>
          <w:sz w:val="18"/>
          <w:szCs w:val="18"/>
          <w:color w:val="auto"/>
        </w:rPr>
        <w:t>obtain additional financing. However, such a financing may not be available to us on acceptable terms, on a timely basis or at all. In addition, under the terms of the Securities Purchase Agreements we entered into with our October 2021 Private Placements, until April 5, 2023, we are prohibited from obtaining additional financing through a variable rate transaction such as an equity line of credit. Our failure to raise capital as and when needed would have a negative impact on our financial condition and our ability to pursue our business strategy.</w:t>
      </w:r>
    </w:p>
    <w:p>
      <w:pPr>
        <w:spacing w:after="0" w:line="72"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68" w:lineRule="exact"/>
        <w:rPr>
          <w:sz w:val="20"/>
          <w:szCs w:val="20"/>
          <w:color w:val="auto"/>
        </w:rPr>
      </w:pPr>
    </w:p>
    <w:p>
      <w:pPr>
        <w:ind w:left="880" w:right="2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Haduvio for the treatment of prurigo nodularis, and for the treatment of chronic cough in adults with IPF and other serious neurologically mediated conditions;</w:t>
      </w:r>
    </w:p>
    <w:p>
      <w:pPr>
        <w:spacing w:after="0" w:line="53" w:lineRule="exact"/>
        <w:rPr>
          <w:rFonts w:ascii="Times New Roman" w:cs="Times New Roman" w:eastAsia="Times New Roman" w:hAnsi="Times New Roman"/>
          <w:sz w:val="18"/>
          <w:szCs w:val="18"/>
          <w:color w:val="auto"/>
        </w:rPr>
      </w:pPr>
    </w:p>
    <w:p>
      <w:pPr>
        <w:ind w:left="880" w:right="48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Haduvio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880" w:right="24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 such as our planned human abuse liability, or HAL, study and a potential Thorough QT, or TQT, study;</w:t>
      </w:r>
    </w:p>
    <w:p>
      <w:pPr>
        <w:spacing w:after="0" w:line="53" w:lineRule="exact"/>
        <w:rPr>
          <w:rFonts w:ascii="Times New Roman" w:cs="Times New Roman" w:eastAsia="Times New Roman" w:hAnsi="Times New Roman"/>
          <w:sz w:val="18"/>
          <w:szCs w:val="18"/>
          <w:color w:val="auto"/>
        </w:rPr>
      </w:pPr>
    </w:p>
    <w:p>
      <w:pPr>
        <w:ind w:left="880" w:right="54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manufacture of necessary quantities of Haduvio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rising inflation increases the expenses related to our clinical trials;</w:t>
      </w:r>
    </w:p>
    <w:p>
      <w:pPr>
        <w:spacing w:after="0" w:line="144" w:lineRule="exact"/>
        <w:rPr>
          <w:rFonts w:ascii="Times New Roman" w:cs="Times New Roman" w:eastAsia="Times New Roman" w:hAnsi="Times New Roman"/>
          <w:sz w:val="18"/>
          <w:szCs w:val="18"/>
          <w:color w:val="auto"/>
        </w:rPr>
      </w:pPr>
    </w:p>
    <w:p>
      <w:pPr>
        <w:ind w:left="880" w:right="60" w:hanging="373"/>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Haduvio for the treatment of prurigo nodularis, chronic cough in adults with IPF, or for any other serious neurologically mediated conditions or for any future product candidates that receive marketing approval, if any,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880" w:right="10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approvals, revenue, if any, received from commercial sales of Haduvio for the treatment of prurigo nodularis or chronic cough in adults with IPF or for any other serious neurologically mediated conditions or from any future product candidates;</w:t>
      </w:r>
    </w:p>
    <w:p>
      <w:pPr>
        <w:spacing w:after="0" w:line="53" w:lineRule="exact"/>
        <w:rPr>
          <w:rFonts w:ascii="Times New Roman" w:cs="Times New Roman" w:eastAsia="Times New Roman" w:hAnsi="Times New Roman"/>
          <w:sz w:val="18"/>
          <w:szCs w:val="18"/>
          <w:color w:val="auto"/>
        </w:rPr>
      </w:pPr>
    </w:p>
    <w:p>
      <w:pPr>
        <w:ind w:left="880" w:right="160" w:hanging="373"/>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Haduvio for the treatment of prurigo nodularis or chronic cough in adults with IPF or for any future product candidates and the terms and timing of any collaboration agreement that we may establish for the development and any commercialization of such product candidates;</w:t>
      </w:r>
    </w:p>
    <w:p>
      <w:pPr>
        <w:spacing w:after="0" w:line="67" w:lineRule="exact"/>
        <w:rPr>
          <w:rFonts w:ascii="Times New Roman" w:cs="Times New Roman" w:eastAsia="Times New Roman" w:hAnsi="Times New Roman"/>
          <w:sz w:val="18"/>
          <w:szCs w:val="18"/>
          <w:color w:val="auto"/>
        </w:rPr>
      </w:pPr>
    </w:p>
    <w:p>
      <w:pPr>
        <w:ind w:left="880" w:right="22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establish a commercial infrastructure;</w:t>
      </w:r>
    </w:p>
    <w:p>
      <w:pPr>
        <w:spacing w:after="0" w:line="144" w:lineRule="exact"/>
        <w:rPr>
          <w:rFonts w:ascii="Times New Roman" w:cs="Times New Roman" w:eastAsia="Times New Roman" w:hAnsi="Times New Roman"/>
          <w:sz w:val="18"/>
          <w:szCs w:val="18"/>
          <w:color w:val="auto"/>
        </w:rPr>
      </w:pPr>
    </w:p>
    <w:p>
      <w:pPr>
        <w:ind w:left="880" w:right="32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on the scope, progress, timing, costs and results of our ongoing and planned clinical trials of Haduvio.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or restrict our future operations.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On August 13, 2020, we entered into a Loan and Security Agreement, or the SVB Loan Agreement with Silicon Valley Bank, or SVB, pursuant to which SVB provided a term loan to us in the original principal amount of $14.0 million, or the SVB Term Loan. In April 2022, we entered into a Third Amendment to the SVB Loan Agreement. Pursuant to the Third Amendment and after we received positive data in our Phase 2b/3 PRISM trial, the SVB Term Loan bears interest at a floating rate per annum equal to the greater of (A) the prime rate plus 3.00% and (B) 6.25%. The Federal Reserve has recently raised interest rates to combat the effects of recent high inflation, and may raise interest rates further in the future. The increase in interest rates by the Federal Reserve has caused, and could in the future continue to cause, the prime rate to increase, which has increased and could in the future further increase our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debt service obligations. Significant increases in such obligations could have a negative impact on our financial position or operating results, including cash available for servicing our indebtedness.</w:t>
      </w:r>
    </w:p>
    <w:p>
      <w:pPr>
        <w:spacing w:after="0" w:line="54"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On the first business day of each month, we are required to make monthly interest payments and commencing on March 1, 2022,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Our obligations under the Loan Agreement are secured by substantially all of our assets, excluding our intellectual property (which is subject to a negative pledge under the Loan Agreement). The SVB Loan Agreement also includes customary affirmative and negative covenants, including a requirement to maintain our bank accounts with SVB or bank accounts that are subject to SVB’s control and limitations on transferring all or any part of our business or property, changing our business, liquidating or dissolving, permitting a change in control, adding new offices or business locations, changing jurisdiction of organization, organizational structure or legal name, merging with or acquiring another entity, incurring additional indebtedness, creating any lien on our property, paying dividends or redeeming stock, entering into material transactions with an affiliate or making payments on subordinated debt.</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Our debt combined with our other financial obligations and contractual commitments could have significant adverse consequences, including:</w:t>
      </w:r>
    </w:p>
    <w:p>
      <w:pPr>
        <w:spacing w:after="0" w:line="117" w:lineRule="exact"/>
        <w:rPr>
          <w:sz w:val="20"/>
          <w:szCs w:val="20"/>
          <w:color w:val="auto"/>
        </w:rPr>
      </w:pPr>
    </w:p>
    <w:p>
      <w:pPr>
        <w:ind w:left="880" w:hanging="373"/>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and cash equivalents to the payment of interest on and principal of our debt, which will reduce the amounts available to fund working capital, capital expenditures, product development efforts and other general corporate purposes;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interest rate volatility as the SVB Term Loan is subject to a floating interest rate;</w:t>
      </w:r>
    </w:p>
    <w:p>
      <w:pPr>
        <w:spacing w:after="0" w:line="144" w:lineRule="exact"/>
        <w:rPr>
          <w:rFonts w:ascii="Times New Roman" w:cs="Times New Roman" w:eastAsia="Times New Roman" w:hAnsi="Times New Roman"/>
          <w:sz w:val="18"/>
          <w:szCs w:val="18"/>
          <w:color w:val="auto"/>
        </w:rPr>
      </w:pPr>
    </w:p>
    <w:p>
      <w:pPr>
        <w:ind w:left="880" w:right="320" w:hanging="373"/>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obligating us to negative covenants restricting our activities, including the negative covenants to which we are subject under the SVB Loan Agreement;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w:t>
      </w:r>
    </w:p>
    <w:p>
      <w:pPr>
        <w:spacing w:after="0" w:line="14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intend to satisfy our debt service obligations with our existing cash, cash equivalents and marketable securities, proceeds from the exercise of any warrants from the October 2021 Private Placements, and any additional amounts we may raise through future debt and equity financings. However, we may not have sufficient funds or may be unable to arrange for additional financing to pay the amounts due under our existing debt. Funds from external sources may not be available on acceptable terms, if at all. Failure to pay any amount due under the SVB Loan Agreement, to comply with covenants under the SVB Loan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 In addition, the covenants under the SVB Loan Agreement and the pledge of substantially all our assets, excluding our intellectual property (which is subject to a negative pledge under the SVB Loan Agreement), as collateral on the SVB Term Loan may limit our ability to obtain additional debt financing.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in connection with our planned operations, particularly as we:</w:t>
      </w:r>
    </w:p>
    <w:p>
      <w:pPr>
        <w:spacing w:after="0" w:line="117" w:lineRule="exact"/>
        <w:rPr>
          <w:sz w:val="20"/>
          <w:szCs w:val="20"/>
          <w:color w:val="auto"/>
        </w:rPr>
      </w:pPr>
    </w:p>
    <w:p>
      <w:pPr>
        <w:ind w:left="880" w:hanging="373"/>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open-label extension portion of our Phase 2b/3 PRISM trial;</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Phase 2 CANAL trial;</w:t>
      </w:r>
    </w:p>
    <w:p>
      <w:pPr>
        <w:spacing w:after="0" w:line="144" w:lineRule="exact"/>
        <w:rPr>
          <w:rFonts w:ascii="Times New Roman" w:cs="Times New Roman" w:eastAsia="Times New Roman" w:hAnsi="Times New Roman"/>
          <w:sz w:val="18"/>
          <w:szCs w:val="18"/>
          <w:color w:val="auto"/>
        </w:rPr>
      </w:pPr>
    </w:p>
    <w:p>
      <w:pPr>
        <w:ind w:left="880" w:right="40" w:hanging="373"/>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next study we plan to conduct for Haduvio for the treatment of chronic cough in adults with IPF, which we expect will be designed as a Phase 2b/3 trial, subject to discussions with the FDA;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any additional Phase 3 clinical trial that we may determine to conduct for the treatment of prurigo nodularis.</w:t>
      </w:r>
    </w:p>
    <w:p>
      <w:pPr>
        <w:spacing w:after="0" w:line="14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72"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Our ability to obtain further debt financing may be limited by the covenants under the SVB Loan Agreement, which include a covenant not to incur additional indebtedness as well as the pledge of substantially all our assets, excluding our intellectual property (which is subject to a negative pledge under the SVB Loan Agreement), as collateral on the SVB Term Loan. In addition, further debt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9" w:name="page40"/>
    <w:bookmarkEnd w:id="39"/>
    <w:p>
      <w:pPr>
        <w:ind w:right="20"/>
        <w:spacing w:after="0" w:line="261" w:lineRule="auto"/>
        <w:rPr>
          <w:sz w:val="20"/>
          <w:szCs w:val="20"/>
          <w:color w:val="auto"/>
        </w:rPr>
      </w:pPr>
      <w:r>
        <w:rPr>
          <w:rFonts w:ascii="Times New Roman" w:cs="Times New Roman" w:eastAsia="Times New Roman" w:hAnsi="Times New Roman"/>
          <w:sz w:val="18"/>
          <w:szCs w:val="18"/>
          <w:color w:val="auto"/>
        </w:rPr>
        <w:t>financing, if available, would result in additional fixed payment obligations and may involve agreements that include grants of additional security interests on our assets and additional restrictive covenants that limit our ability to take specific actions, such as incurring additional debt, making capital expenditures, granting liens over our assets, redeeming stock or declaring dividends, that could adversely impact our ability to conduct our business, which covenants may be more restrictive than the covenants to which we are subject under the SVB Loan Agreement.</w:t>
      </w:r>
    </w:p>
    <w:p>
      <w:pPr>
        <w:spacing w:after="0" w:line="7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Haduvio and Any Future Product Candidates</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have no products approved for sale and are investing substantially all our efforts and financial resources to fund the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Haduvio for multiple serious neurologically mediated conditions. Our prospects are dependent on our ability to develop, obtain marketing approval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successfully commercialize Haduvio in one or more indications as we currently have no other product candidates under development. We may acquire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in-license rights to other potential product candidates or technologies in the future, but we are currently not developing any other product candidates.</w:t>
      </w:r>
    </w:p>
    <w:p>
      <w:pPr>
        <w:spacing w:after="0" w:line="99"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Our most advanced programs are the development of Haduvio for the treatment of prurigo nodularis and chronic cough in adults with IPF, as our efforts to develop Haduvio for other serious neurologically mediated conditions are only at an early stage. As a result, if our efforts to develop and commercialize Haduvio for the treatment of prurigo nodularis or chronic cough in adults with IPF are unsuccessful or we experience significant delays in doing so, our business could also be substantially harmed.</w:t>
      </w:r>
    </w:p>
    <w:p>
      <w:pPr>
        <w:spacing w:after="0" w:line="72"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The success of Haduvio for the treatment of prurigo nodularis and chronic cough in adults with IPF, as well as for other serious neurologically mediated conditions, will depend on several factors, including the following:</w:t>
      </w:r>
    </w:p>
    <w:p>
      <w:pPr>
        <w:spacing w:after="0" w:line="54" w:lineRule="exact"/>
        <w:rPr>
          <w:sz w:val="20"/>
          <w:szCs w:val="20"/>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open-label extension portion of our Phase 2b/3 PRISM trial;</w:t>
      </w:r>
    </w:p>
    <w:p>
      <w:pPr>
        <w:spacing w:after="0" w:line="144" w:lineRule="exact"/>
        <w:rPr>
          <w:rFonts w:ascii="Times New Roman" w:cs="Times New Roman" w:eastAsia="Times New Roman" w:hAnsi="Times New Roman"/>
          <w:sz w:val="18"/>
          <w:szCs w:val="18"/>
          <w:color w:val="auto"/>
        </w:rPr>
      </w:pPr>
    </w:p>
    <w:p>
      <w:pPr>
        <w:ind w:left="880" w:right="200" w:hanging="373"/>
        <w:spacing w:after="0" w:line="266"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and successfully recruiting, enrolling and retaining subjects in and completing additional clinical and nonclinical trials of Haduvio, including the additional Phase 3 clinical trial we believe we would need to conduct to get FDA approval for Haduvio for the treatment of prurigo nodularis and the additional clinical trial we plan to conduct for the treatment of chronic cough in adults with IPF;</w:t>
      </w:r>
    </w:p>
    <w:p>
      <w:pPr>
        <w:spacing w:after="0" w:line="67" w:lineRule="exact"/>
        <w:rPr>
          <w:rFonts w:ascii="Times New Roman" w:cs="Times New Roman" w:eastAsia="Times New Roman" w:hAnsi="Times New Roman"/>
          <w:sz w:val="18"/>
          <w:szCs w:val="18"/>
          <w:color w:val="auto"/>
        </w:rPr>
      </w:pPr>
    </w:p>
    <w:p>
      <w:pPr>
        <w:ind w:left="880" w:right="340" w:hanging="373"/>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other supportive clinical studies such as our planned HAL study, a potential physical dependence study and a potential TQT study;</w:t>
      </w:r>
    </w:p>
    <w:p>
      <w:pPr>
        <w:spacing w:after="0" w:line="53" w:lineRule="exact"/>
        <w:rPr>
          <w:rFonts w:ascii="Times New Roman" w:cs="Times New Roman" w:eastAsia="Times New Roman" w:hAnsi="Times New Roman"/>
          <w:sz w:val="18"/>
          <w:szCs w:val="18"/>
          <w:color w:val="auto"/>
        </w:rPr>
      </w:pPr>
    </w:p>
    <w:p>
      <w:pPr>
        <w:ind w:left="880" w:right="600" w:hanging="373"/>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tolerability and efficacy profiles that are satisfactory to the FDA, EMA, MHRA and other comparable regulatory authorities for marketing approval;</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timely marketing approvals from applicable regulatory authorities;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extent and cost of any required post-marketing approval commitments to applicable regulatory authorities;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our third-party supplier of drug substance for Haduvio;</w:t>
      </w:r>
    </w:p>
    <w:p>
      <w:pPr>
        <w:spacing w:after="0" w:line="144" w:lineRule="exact"/>
        <w:rPr>
          <w:rFonts w:ascii="Times New Roman" w:cs="Times New Roman" w:eastAsia="Times New Roman" w:hAnsi="Times New Roman"/>
          <w:sz w:val="18"/>
          <w:szCs w:val="18"/>
          <w:color w:val="auto"/>
        </w:rPr>
      </w:pPr>
    </w:p>
    <w:p>
      <w:pPr>
        <w:ind w:left="880" w:right="360" w:hanging="373"/>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protecting our patents, trade secrets and regulatory exclusivity in the U.S. and other countries;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focused, specialty sales organization in the U.S. and successfully launching commercial sales following any marketing approval;</w:t>
      </w:r>
    </w:p>
    <w:p>
      <w:pPr>
        <w:spacing w:after="0" w:line="144" w:lineRule="exact"/>
        <w:rPr>
          <w:rFonts w:ascii="Times New Roman" w:cs="Times New Roman" w:eastAsia="Times New Roman" w:hAnsi="Times New Roman"/>
          <w:sz w:val="18"/>
          <w:szCs w:val="18"/>
          <w:color w:val="auto"/>
        </w:rPr>
      </w:pPr>
    </w:p>
    <w:p>
      <w:pPr>
        <w:ind w:left="880" w:right="200" w:hanging="373"/>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commercial acceptance of our products, if approved, by patients, the medical community and third-party payors and obtaining and maintaining healthcare coverage and adequate reimbursement;</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0" w:name="page41"/>
    <w:bookmarkEnd w:id="40"/>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development and commercialization of Haduvio to treat serious neurologically mediated conditions is unproven.</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are currently focused on the development and commercialization of Haduvio to treat serious neurologically mediated conditions. Haduvio is an oral extended-release formulation of nalbuphine, the active drug ingredient in Haduvio, which is a mixed κ-opioid receptor agonist and μ-opioid receptor antagonist that has been approved and marketed as an injectable for pain indications for more than 20 years in the U.S.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pruritus, chronic cough, and other serious neurologically mediated conditions and that Haduvio has the potential to be safe and well-tolerated, nalbuphine has not been approved in any indications other than pain. Additionally, Haduvio has not been approved in any indication. No therapies have been approved in the U.S. or Europe for the treatment of severe pruritus in prurigo nodularis or chronic cough in adults with IPF and we can provide no assurance that either Haduvio or any other future product candidate that we may seek to develop for this indication or for any other serious neurologically mediated condition will be effective or safe, obtain regulatory approval or be commercially successful.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72"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72" w:lineRule="exact"/>
        <w:rPr>
          <w:sz w:val="20"/>
          <w:szCs w:val="20"/>
          <w:color w:val="auto"/>
        </w:rPr>
      </w:pPr>
    </w:p>
    <w:p>
      <w:pPr>
        <w:ind w:left="880" w:hanging="373"/>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unfavorable or inconclusive results;</w:t>
      </w:r>
    </w:p>
    <w:p>
      <w:pPr>
        <w:spacing w:after="0" w:line="144" w:lineRule="exact"/>
        <w:rPr>
          <w:rFonts w:ascii="Times New Roman" w:cs="Times New Roman" w:eastAsia="Times New Roman" w:hAnsi="Times New Roman"/>
          <w:sz w:val="18"/>
          <w:szCs w:val="18"/>
          <w:color w:val="auto"/>
        </w:rPr>
      </w:pPr>
    </w:p>
    <w:p>
      <w:pPr>
        <w:ind w:left="880" w:right="140" w:hanging="373"/>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restructure clinical trials, conduct additional clinical and nonclinical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880" w:right="240" w:hanging="373"/>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may be larger than we anticipate, such as with the increase of the target number of enrolled subjects for our Phase 2b/3 PRISM trial from 240 to 360 subjects as a result of the sample size re-estimation, or SSRE, analysis;</w:t>
      </w:r>
    </w:p>
    <w:p>
      <w:pPr>
        <w:spacing w:after="0" w:line="53" w:lineRule="exact"/>
        <w:rPr>
          <w:rFonts w:ascii="Times New Roman" w:cs="Times New Roman" w:eastAsia="Times New Roman" w:hAnsi="Times New Roman"/>
          <w:sz w:val="18"/>
          <w:szCs w:val="18"/>
          <w:color w:val="auto"/>
        </w:rPr>
      </w:pPr>
    </w:p>
    <w:p>
      <w:pPr>
        <w:ind w:left="880" w:right="220" w:hanging="373"/>
        <w:spacing w:after="0" w:line="266"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enrollment in clinical trials may be slower than we anticipate, whether as a result of the COVID-19 pandemic or otherwise, or participants may discontinue their participation in these clinical trials at a higher rate than we anticipate, as we experienced in our Phase 2b/3 PRISM trial of Haduvio for the treatment of prurigo nodularis;</w:t>
      </w:r>
    </w:p>
    <w:p>
      <w:pPr>
        <w:spacing w:after="0" w:line="67" w:lineRule="exact"/>
        <w:rPr>
          <w:rFonts w:ascii="Times New Roman" w:cs="Times New Roman" w:eastAsia="Times New Roman" w:hAnsi="Times New Roman"/>
          <w:sz w:val="18"/>
          <w:szCs w:val="18"/>
          <w:color w:val="auto"/>
        </w:rPr>
      </w:pPr>
    </w:p>
    <w:p>
      <w:pPr>
        <w:ind w:left="880" w:right="40" w:hanging="373"/>
        <w:spacing w:after="0" w:line="266"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planned clinical trials may be greater than we anticipate, such as with our Phase 2b/3 PRISM trial where we added additional sites, increased the target number of enrolled subjects, experienced enrollment that took longer than expected and used additional incentive strategies to address site activation and enrollment;</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sites may not have adequate staff and resources to support our trials on a timely basis;</w:t>
      </w:r>
    </w:p>
    <w:p>
      <w:pPr>
        <w:spacing w:after="0" w:line="144" w:lineRule="exact"/>
        <w:rPr>
          <w:rFonts w:ascii="Times New Roman" w:cs="Times New Roman" w:eastAsia="Times New Roman" w:hAnsi="Times New Roman"/>
          <w:sz w:val="18"/>
          <w:szCs w:val="18"/>
          <w:color w:val="auto"/>
        </w:rPr>
      </w:pPr>
    </w:p>
    <w:p>
      <w:pPr>
        <w:ind w:left="880" w:right="100" w:hanging="373"/>
        <w:spacing w:after="0" w:line="266"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880" w:right="300" w:hanging="373"/>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880" w:right="40" w:hanging="373"/>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880" w:right="60" w:hanging="373"/>
        <w:spacing w:after="0" w:line="266"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who enroll in a clinical trial may misrepresent their eligibility to do so or may otherwise not comply with applicable clinical trial protocols, resulting in the need to drop the subjects from the clinical trial, increase the needed enrollment size for the clinical trial or extend the clinical trial’s duration;</w:t>
      </w:r>
    </w:p>
    <w:p>
      <w:pPr>
        <w:spacing w:after="0" w:line="67" w:lineRule="exact"/>
        <w:rPr>
          <w:rFonts w:ascii="Times New Roman" w:cs="Times New Roman" w:eastAsia="Times New Roman" w:hAnsi="Times New Roman"/>
          <w:sz w:val="18"/>
          <w:szCs w:val="18"/>
          <w:color w:val="auto"/>
        </w:rPr>
      </w:pPr>
    </w:p>
    <w:p>
      <w:pPr>
        <w:ind w:left="880" w:right="380" w:hanging="373"/>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ind w:left="880" w:right="20" w:hanging="373"/>
        <w:spacing w:after="0" w:line="261"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71" w:lineRule="exact"/>
        <w:rPr>
          <w:rFonts w:ascii="Times New Roman" w:cs="Times New Roman" w:eastAsia="Times New Roman" w:hAnsi="Times New Roman"/>
          <w:sz w:val="18"/>
          <w:szCs w:val="18"/>
          <w:color w:val="auto"/>
        </w:rPr>
      </w:pPr>
    </w:p>
    <w:p>
      <w:pPr>
        <w:ind w:left="880" w:right="140" w:hanging="373"/>
        <w:spacing w:after="0" w:line="282"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clinical trial designs or our interpretation of data from preclinical studies and clinical trials;</w:t>
      </w:r>
    </w:p>
    <w:p>
      <w:pPr>
        <w:spacing w:after="0" w:line="53" w:lineRule="exact"/>
        <w:rPr>
          <w:rFonts w:ascii="Times New Roman" w:cs="Times New Roman" w:eastAsia="Times New Roman" w:hAnsi="Times New Roman"/>
          <w:sz w:val="18"/>
          <w:szCs w:val="18"/>
          <w:color w:val="auto"/>
        </w:rPr>
      </w:pPr>
    </w:p>
    <w:p>
      <w:pPr>
        <w:ind w:left="880" w:right="520" w:hanging="373"/>
        <w:spacing w:after="0" w:line="282"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880" w:right="400" w:hanging="373"/>
        <w:spacing w:after="0" w:line="266"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67" w:lineRule="exact"/>
        <w:rPr>
          <w:rFonts w:ascii="Times New Roman" w:cs="Times New Roman" w:eastAsia="Times New Roman" w:hAnsi="Times New Roman"/>
          <w:sz w:val="18"/>
          <w:szCs w:val="18"/>
          <w:color w:val="auto"/>
        </w:rPr>
      </w:pPr>
    </w:p>
    <w:p>
      <w:pPr>
        <w:ind w:left="880" w:right="480" w:hanging="373"/>
        <w:spacing w:after="0" w:line="282"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53" w:lineRule="exact"/>
        <w:rPr>
          <w:rFonts w:ascii="Times New Roman" w:cs="Times New Roman" w:eastAsia="Times New Roman" w:hAnsi="Times New Roman"/>
          <w:sz w:val="18"/>
          <w:szCs w:val="18"/>
          <w:color w:val="auto"/>
        </w:rPr>
      </w:pPr>
    </w:p>
    <w:p>
      <w:pPr>
        <w:ind w:left="880" w:right="20" w:hanging="373"/>
        <w:spacing w:after="0" w:line="266"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176"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In addition to the above, the continued spread of COVID-19 globally could adversely affect our clinical trial operations worldwide, including our ability to recruit and retain principal investigators and site staff who, as healthcare providers, may have heightened exposure to COVID-19 if an outbreak occurs in their geography. The COVID-19 pandemic could also result in further delays in our clinical trials due to prioritization of hospital and medical resources toward the outbreak, restrictions in travel, potential unwillingness of patients to enroll in trials or the inability of patients to comply with clinical trial protocols if quarantines or travel restrictions impede patient movement or interrupt healthcare services. Furthermore, the response to the COVID-19 pandemic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w:t>
      </w:r>
    </w:p>
    <w:p>
      <w:pPr>
        <w:spacing w:after="0" w:line="18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2" w:lineRule="exact"/>
        <w:rPr>
          <w:sz w:val="20"/>
          <w:szCs w:val="20"/>
          <w:color w:val="auto"/>
        </w:rPr>
      </w:pPr>
    </w:p>
    <w:p>
      <w:pPr>
        <w:ind w:left="880" w:hanging="373"/>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 which may exceed the resources that we have available or are able to obtain on reasonable terms;</w:t>
      </w:r>
    </w:p>
    <w:p>
      <w:pPr>
        <w:spacing w:after="0" w:line="144" w:lineRule="exact"/>
        <w:rPr>
          <w:rFonts w:ascii="Times New Roman" w:cs="Times New Roman" w:eastAsia="Times New Roman" w:hAnsi="Times New Roman"/>
          <w:sz w:val="18"/>
          <w:szCs w:val="18"/>
          <w:color w:val="auto"/>
        </w:rPr>
      </w:pPr>
    </w:p>
    <w:p>
      <w:pPr>
        <w:ind w:left="880" w:right="60" w:hanging="373"/>
        <w:spacing w:after="0" w:line="266"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obtain marketing approval at all;</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we originally intended or desired;</w:t>
      </w:r>
    </w:p>
    <w:p>
      <w:pPr>
        <w:spacing w:after="0" w:line="144" w:lineRule="exact"/>
        <w:rPr>
          <w:rFonts w:ascii="Times New Roman" w:cs="Times New Roman" w:eastAsia="Times New Roman" w:hAnsi="Times New Roman"/>
          <w:sz w:val="18"/>
          <w:szCs w:val="18"/>
          <w:color w:val="auto"/>
        </w:rPr>
      </w:pPr>
    </w:p>
    <w:p>
      <w:pPr>
        <w:ind w:left="880" w:right="80" w:hanging="373"/>
        <w:spacing w:after="0" w:line="282"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significant safety warnings, including boxed warnings;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14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failure to successfully and timely complete clinical trials of Haduvio for the treatment of prurigo nodularis, chronic cough in adults with IPF or for any other serious neurologically mediated condition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prurigo nodularis failed to meet its primary endpoint and the number of subjects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79" w:lineRule="exact"/>
        <w:rPr>
          <w:sz w:val="20"/>
          <w:szCs w:val="20"/>
          <w:color w:val="auto"/>
        </w:rPr>
      </w:pPr>
    </w:p>
    <w:p>
      <w:pPr>
        <w:ind w:right="100" w:firstLine="510"/>
        <w:spacing w:after="0" w:line="252" w:lineRule="auto"/>
        <w:rPr>
          <w:sz w:val="20"/>
          <w:szCs w:val="20"/>
          <w:color w:val="auto"/>
        </w:rPr>
      </w:pPr>
      <w:r>
        <w:rPr>
          <w:rFonts w:ascii="Times New Roman" w:cs="Times New Roman" w:eastAsia="Times New Roman" w:hAnsi="Times New Roman"/>
          <w:sz w:val="18"/>
          <w:szCs w:val="18"/>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prurigo nodularis, the FDA raised the need to adequately isolate a patient population with pruritus associated with prurigo nodularis for our planned Phase 3 clinical trials. While the inclusion criteria in our Phase 2b/3 PRISM trial require that enrolled subjects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the FDA does not believe that the results of the Phase 2b/3 PRISM trial are sufficiently supportive of an application for marketing approval, the FDA may require us to conduct another Phase 3 clinical trial in addition to the Phase 2b/3 PRISM trial and the additional Phase 3 clinical trial we believe we need to conduct, which would cause us to incur substantial additional costs and significantly delay our development of Haduvio for the treatment of prurigo nodularis.</w:t>
      </w:r>
    </w:p>
    <w:p>
      <w:pPr>
        <w:spacing w:after="0" w:line="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Due to the difficulty of objectively measuring pruritus, the assessment of pruritus in clinical trials typically involves the use of PROs. Our clinical trials evaluating the efficacy of Haduvio in pruritus indications have used PROs as primary endpoints. For example, the primary endpoint of our Phase 2b/3 PRISM trial was the proportion of patients achieving at least a 4-point improvement from baseline with respect to their worst itch at week 14 as measured by the Worst Itch Numerical Rating Scale, or WI-NRS, scores, which is a patient-reported assessment on an 11-point scale from 0 to 10 of the severity of the worst itch experienced in the last 24 hours.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84"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addition, PROs for the assessment of pruritus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7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variability of PRO measures and related high placebo response rates have adversely impacted clinical results of other therapies being tested for pruritus and could adversely impact our clinical development of Haduvio. The FDA could also require changes in the PROs we are currently using or indicate that the PROs we are using are insufficient for demonstrating efficacy in pruritus, potentially delaying clinical development of Haduvio, increasing our costs and making additional clinical trials necessary.</w:t>
      </w:r>
    </w:p>
    <w:p>
      <w:pPr>
        <w:spacing w:after="0" w:line="6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5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Haduvio or any future product candidate if we are unable to locate and enroll a sufficient number of eligible subjects to participate in clinical trials as required by the FDA or comparable foreign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regulatory authorities. Patient enrollment is a significant factor in the timing of our clinical trials and is affected by many factors, including:</w:t>
      </w:r>
    </w:p>
    <w:p>
      <w:pPr>
        <w:spacing w:after="0" w:line="117" w:lineRule="exact"/>
        <w:rPr>
          <w:sz w:val="20"/>
          <w:szCs w:val="20"/>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eligible patient population;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eligible patients to clinical sites;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w:t>
      </w:r>
    </w:p>
    <w:p>
      <w:pPr>
        <w:spacing w:after="0" w:line="144" w:lineRule="exact"/>
        <w:rPr>
          <w:rFonts w:ascii="Times New Roman" w:cs="Times New Roman" w:eastAsia="Times New Roman" w:hAnsi="Times New Roman"/>
          <w:sz w:val="18"/>
          <w:szCs w:val="18"/>
          <w:color w:val="auto"/>
        </w:rPr>
      </w:pPr>
    </w:p>
    <w:p>
      <w:pPr>
        <w:ind w:left="880" w:right="40" w:hanging="373"/>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44" w:lineRule="exact"/>
        <w:rPr>
          <w:sz w:val="20"/>
          <w:szCs w:val="20"/>
          <w:color w:val="auto"/>
        </w:rPr>
      </w:pPr>
    </w:p>
    <w:p>
      <w:pPr>
        <w:jc w:val="both"/>
        <w:ind w:right="200" w:firstLine="514"/>
        <w:spacing w:after="0" w:line="266" w:lineRule="auto"/>
        <w:rPr>
          <w:sz w:val="20"/>
          <w:szCs w:val="20"/>
          <w:color w:val="auto"/>
        </w:rPr>
      </w:pPr>
      <w:r>
        <w:rPr>
          <w:rFonts w:ascii="Times New Roman" w:cs="Times New Roman" w:eastAsia="Times New Roman" w:hAnsi="Times New Roman"/>
          <w:sz w:val="18"/>
          <w:szCs w:val="18"/>
          <w:color w:val="auto"/>
        </w:rPr>
        <w:t>In particular, the successful completion of our clinical development program for Haduvio for the treatment of prurigo nodularis is dependent upon our ability to enroll a sufficient number of subjects with this severe condition. We experienced delays and difficulties in the enrollment of subjects in our clinical trials, including our Phase 2b/3 PRISM trial and our Phase 2 CANAL trial, which delayed the completion of our trials.</w:t>
      </w:r>
    </w:p>
    <w:p>
      <w:pPr>
        <w:spacing w:after="0" w:line="68" w:lineRule="exact"/>
        <w:rPr>
          <w:sz w:val="20"/>
          <w:szCs w:val="20"/>
          <w:color w:val="auto"/>
        </w:rPr>
      </w:pPr>
    </w:p>
    <w:p>
      <w:pPr>
        <w:ind w:firstLine="514"/>
        <w:spacing w:after="0" w:line="255" w:lineRule="auto"/>
        <w:rPr>
          <w:sz w:val="20"/>
          <w:szCs w:val="20"/>
          <w:color w:val="auto"/>
        </w:rPr>
      </w:pPr>
      <w:r>
        <w:rPr>
          <w:rFonts w:ascii="Times New Roman" w:cs="Times New Roman" w:eastAsia="Times New Roman" w:hAnsi="Times New Roman"/>
          <w:sz w:val="18"/>
          <w:szCs w:val="18"/>
          <w:color w:val="auto"/>
        </w:rPr>
        <w:t>Other companies are conducting clinical trials or have announced plans for future clinical trials that are seeking or are likely to seek to enroll patients with prurigo nodularis or chronic cough in adults with IPF, which are the same conditions for which we are or will be conducting clinical trials, and patients are generally only able to enroll in a single trial at a time. In addition, although there are no drugs approved in the U.S. or Europe for the treatment of prurigo nodularis, many patients use various treatments off-label, such as antihistamines or gabapentin, and these patients and their physicians may be reluctant to forgo, discontinue or otherwise alter their use of such off-label therapeutic approaches to participate in our clinical trials. Similarly, many patients use various treatments off-label to treat chronic cough in adults with IPF and these patients and their physicians may also be reluctant to forgo, discontinue or otherwise alter their use of such off-label therapeutic approaches to participate in our clinical trials.</w:t>
      </w:r>
    </w:p>
    <w:p>
      <w:pPr>
        <w:spacing w:after="0" w:line="81" w:lineRule="exact"/>
        <w:rPr>
          <w:sz w:val="20"/>
          <w:szCs w:val="20"/>
          <w:color w:val="auto"/>
        </w:rPr>
      </w:pPr>
    </w:p>
    <w:p>
      <w:pPr>
        <w:ind w:firstLine="514"/>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the FDA issued guidance on March 18, 2020, and updated it on July 2, 2020, January 27, 2021 and August 30, 2021, to address the conduct of clinical trials during the pandemic. The guidance sets out a number of considerations for sponsors of clinical trials impacted by the pandemic, including the requirement to include in a clinical study report (or as a separate document) contingency measures implemented to manage the study, and any disruption of the study, as a result of the COVID-19 pandemic; a list of all study participants affected by COVID-19 pandemic related study disruptions by a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study. In its most recent update to this guidance, the FDA addressed questions received during the past year from clinical practitioners who are adapting their operations in a pandemic environment. These questions focused on, among other things, when to suspend, continue or initiate a trial and how to submit changes to protocols for investigational NDAs and handle remote site monitoring visits. There is no assurance that this guidance governing clinical studies during the pandemic will remain in effect or, even if it does, that it will help address the risks and challenges enumerated above.</w:t>
      </w:r>
    </w:p>
    <w:p>
      <w:pPr>
        <w:spacing w:after="0" w:line="84" w:lineRule="exact"/>
        <w:rPr>
          <w:sz w:val="20"/>
          <w:szCs w:val="20"/>
          <w:color w:val="auto"/>
        </w:rPr>
      </w:pPr>
    </w:p>
    <w:p>
      <w:pPr>
        <w:ind w:firstLine="514"/>
        <w:spacing w:after="0" w:line="258" w:lineRule="auto"/>
        <w:rPr>
          <w:sz w:val="20"/>
          <w:szCs w:val="20"/>
          <w:color w:val="auto"/>
        </w:rPr>
      </w:pPr>
      <w:r>
        <w:rPr>
          <w:rFonts w:ascii="Times New Roman" w:cs="Times New Roman" w:eastAsia="Times New Roman" w:hAnsi="Times New Roman"/>
          <w:sz w:val="18"/>
          <w:szCs w:val="18"/>
          <w:color w:val="auto"/>
        </w:rPr>
        <w:t>Any inability to enroll a sufficient number of subjects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5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ind w:firstLine="510"/>
        <w:spacing w:after="0" w:line="253" w:lineRule="auto"/>
        <w:rPr>
          <w:sz w:val="20"/>
          <w:szCs w:val="20"/>
          <w:color w:val="auto"/>
        </w:rPr>
      </w:pPr>
      <w:r>
        <w:rPr>
          <w:rFonts w:ascii="Times New Roman" w:cs="Times New Roman" w:eastAsia="Times New Roman" w:hAnsi="Times New Roman"/>
          <w:sz w:val="18"/>
          <w:szCs w:val="18"/>
          <w:color w:val="auto"/>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and are associated with respiratory depression and potential cardiac risk. The drug label for nalbuphine, the active ingredient in Haduvio, carries an opioid class label warning for serious, life-threatening or fatal respiratory depression and Haduvio, if approved for marketing in any indication, will likely carry a similar opioid class label. To support our planned submission of an NDA to the FDA for Haduvio, we may be required to conduct a clinical trial of Haduvio to assess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subjects to complete a trial or result in potential product liability claims.</w:t>
      </w:r>
    </w:p>
    <w:p>
      <w:pPr>
        <w:spacing w:after="0" w:line="79"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In our clinical trials of Haduvio for the treatment of prurigo nodularis, the most frequently reported adverse events associated with Haduvio were nausea, dizziness, headache, constipation and somnolence.</w:t>
      </w:r>
    </w:p>
    <w:p>
      <w:pPr>
        <w:spacing w:after="0" w:line="54"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7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currently approved µ-opioid products are subject to restrictive marketing and distribution regulations which, if applied to Haduvio, could potentially restrict its use and harm our ability to generate profits.</w:t>
      </w:r>
    </w:p>
    <w:p>
      <w:pPr>
        <w:spacing w:after="0" w:line="5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plan to conduct a HAL study to further characterize the abuse potential of oral nalbuphine. If the results of the HAL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8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addition, the parenteral formulation of nalbuphine is currently not scheduled as a controlled substance under the federal Controlled Substances Act of 1970 or the regulations of the U.S. Drug Enforcement Agency, or the DEA, in the U.S. It is possible that, based on the results of our HAL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w:t>
      </w:r>
    </w:p>
    <w:p>
      <w:pPr>
        <w:spacing w:after="0" w:line="84"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5" w:name="page46"/>
    <w:bookmarkEnd w:id="45"/>
    <w:p>
      <w:pPr>
        <w:ind w:right="40"/>
        <w:spacing w:after="0" w:line="282" w:lineRule="auto"/>
        <w:rPr>
          <w:sz w:val="20"/>
          <w:szCs w:val="20"/>
          <w:color w:val="auto"/>
        </w:rPr>
      </w:pPr>
      <w:r>
        <w:rPr>
          <w:rFonts w:ascii="Times New Roman" w:cs="Times New Roman" w:eastAsia="Times New Roman" w:hAnsi="Times New Roman"/>
          <w:sz w:val="18"/>
          <w:szCs w:val="18"/>
          <w:color w:val="auto"/>
        </w:rPr>
        <w:t>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spacing w:after="0" w:line="54"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clinical trials may not be predictive of results of later clinical trials.</w:t>
      </w:r>
    </w:p>
    <w:p>
      <w:pPr>
        <w:spacing w:after="0" w:line="121" w:lineRule="exact"/>
        <w:rPr>
          <w:sz w:val="20"/>
          <w:szCs w:val="20"/>
          <w:color w:val="auto"/>
        </w:rPr>
      </w:pPr>
    </w:p>
    <w:p>
      <w:pPr>
        <w:jc w:val="both"/>
        <w:ind w:right="60" w:firstLine="510"/>
        <w:spacing w:after="0" w:line="272" w:lineRule="auto"/>
        <w:rPr>
          <w:sz w:val="20"/>
          <w:szCs w:val="20"/>
          <w:color w:val="auto"/>
        </w:rPr>
      </w:pPr>
      <w:r>
        <w:rPr>
          <w:rFonts w:ascii="Times New Roman" w:cs="Times New Roman" w:eastAsia="Times New Roman" w:hAnsi="Times New Roman"/>
          <w:sz w:val="17"/>
          <w:szCs w:val="17"/>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clinical development despite demonstrating positive results in preclinical studies or successfully advancing through Phase 1 and Phase 2 clinical trials.</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results of our Phase 2b/3 PRISM trial of Haduvio for the treatment of prurigo nodularis may not be predictive of the results of the next trial we believe we would need to conduct to attain regulatory approval, and the interim results of our Phase 2 CANAL trial may not be predictive of the full trial results for the Phase 2 CANAL trial or of future trials of Haduvio for the treatment of chronic cough in adults with IPF.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8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At a meeting with the FDA following the completion of our Phase 2 clinical trial of Haduvio for the treatment of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subjects in each arm of the Phase 2 clinical trial and the large differential discontinuation rate among the three treatment arms, as well as our plan to increase the fixed-dose treatment duration from eight weeks in the Phase 2 clinical trial to 12 weeks in our Phase 2b/3 PRISM trial.</w:t>
      </w:r>
    </w:p>
    <w:p>
      <w:pPr>
        <w:spacing w:after="0" w:line="7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77"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 xml:space="preserve">In addition, some of our data for Haduvio for the treatment of pruritus is drawn from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of data subsets from our Phase 2 clinical trials of Haduvio in subjects with prurigo nodularis and uremic pruritus. While we believe these data may be useful in informing the design of future Phase 3 clinical trials for Haduvio,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performed after unmasking trial results can result in the introduction of bias and may not be predictive of success in Phase 3 clinical trials.</w:t>
      </w:r>
    </w:p>
    <w:p>
      <w:pPr>
        <w:spacing w:after="0" w:line="74"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7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67"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change the way the product is administered or conduct additional clinical trials;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previously unidentified side effects for distribution to patients;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harm our business and operations and could negatively impact our stock price.</w:t>
      </w:r>
    </w:p>
    <w:p>
      <w:pPr>
        <w:spacing w:after="0" w:line="11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6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79"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72" w:lineRule="exact"/>
        <w:rPr>
          <w:sz w:val="20"/>
          <w:szCs w:val="20"/>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compared to other therapies;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DEA could determine that Haduvio should be classified as a controlled substance;</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 for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as well as competitive products;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7" w:name="page48"/>
    <w:bookmarkEnd w:id="47"/>
    <w:p>
      <w:pPr>
        <w:ind w:left="880" w:hanging="373"/>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w:t>
      </w:r>
    </w:p>
    <w:p>
      <w:pPr>
        <w:spacing w:after="0" w:line="14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certain indications. However, the development of Haduvio for these indications may ultimately prove to be unsuccessful or less successful than another product candidate or other indications that we might have chosen to pursue with our limited resources.</w:t>
      </w:r>
    </w:p>
    <w:p>
      <w:pPr>
        <w:spacing w:after="0" w:line="7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in any of our target indications, we believe we will have the opportunity to commercialize it in the U.S. directly through our own focused, specialty sales organization. If Haduvio receives marketing approval outside the U.S., we may develop a variety of collaboration, distribution and other marketing arrangements with one or more third parties to commercialize the product in those markets.</w:t>
      </w:r>
    </w:p>
    <w:p>
      <w:pPr>
        <w:spacing w:after="0" w:line="7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86"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84"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developing or commercializing products before or more successfully than we do.</w:t>
      </w:r>
    </w:p>
    <w:p>
      <w:pPr>
        <w:spacing w:after="0" w:line="121" w:lineRule="exact"/>
        <w:rPr>
          <w:sz w:val="20"/>
          <w:szCs w:val="20"/>
          <w:color w:val="auto"/>
        </w:rPr>
      </w:pPr>
    </w:p>
    <w:p>
      <w:pPr>
        <w:jc w:val="both"/>
        <w:ind w:right="280" w:firstLine="510"/>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ind w:right="100"/>
        <w:spacing w:after="0" w:line="282" w:lineRule="auto"/>
        <w:rPr>
          <w:sz w:val="20"/>
          <w:szCs w:val="20"/>
          <w:color w:val="auto"/>
        </w:rPr>
      </w:pPr>
      <w:r>
        <w:rPr>
          <w:rFonts w:ascii="Times New Roman" w:cs="Times New Roman" w:eastAsia="Times New Roman" w:hAnsi="Times New Roman"/>
          <w:sz w:val="18"/>
          <w:szCs w:val="18"/>
          <w:color w:val="auto"/>
        </w:rPr>
        <w:t>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54" w:lineRule="exact"/>
        <w:rPr>
          <w:sz w:val="20"/>
          <w:szCs w:val="20"/>
          <w:color w:val="auto"/>
        </w:rPr>
      </w:pPr>
    </w:p>
    <w:p>
      <w:pPr>
        <w:ind w:right="60" w:firstLine="510"/>
        <w:spacing w:after="0" w:line="252" w:lineRule="auto"/>
        <w:rPr>
          <w:sz w:val="20"/>
          <w:szCs w:val="20"/>
          <w:color w:val="auto"/>
        </w:rPr>
      </w:pPr>
      <w:r>
        <w:rPr>
          <w:rFonts w:ascii="Times New Roman" w:cs="Times New Roman" w:eastAsia="Times New Roman" w:hAnsi="Times New Roman"/>
          <w:sz w:val="18"/>
          <w:szCs w:val="18"/>
          <w:color w:val="auto"/>
        </w:rPr>
        <w:t>If Haduvio is approved for the treatment of prurigo nodularis, we expect that it would compete with a number of therapeutics that are used off-label to treat prurigo nodularis, including anti-itch creams and emollients, oral or injectable antihistamines, Dupixent (dupilumab), which is an injectable prescription medicine approved for atopic dermatitis that is in clinical development for the treatment of prurigo nodularis. Sanofi has reported positive data from two Phase 3 trials of Dupixent for the treatment of prurigo nodularis and that it plans regulatory submissions around the world for this indication in 2022. Patients may also try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vixarelimab, a monoclonal antibody targeting oncostatin M receptor beta being developed by Kiniksa Pharmaceuticals; abrocitinib, an oral small molecule targeting the janus kinase 1, or JAK1, receptor being developed by Pfizer Inc.; INCB054707, an oral small molecule targeting the JAK 1 receptor being developed by Incyte; M1880C, a topical non-steroidal anti-inflammatory drug, or NSAID, being developed by Maruho;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prurigo nodularis, could face competition from these product candidates, including difelikefalin, an oral kappa opioid receptor agonist being developed by Cara Therapeutics that is initiating Phase 3 clinical trials for chronic pruritus in patients with atopic dermatitis, and in Phase 2 clinical trials for chronic kidney disease, chronic liver disease and notalgia paresthetica.</w:t>
      </w:r>
    </w:p>
    <w:p>
      <w:pPr>
        <w:spacing w:after="0" w:line="89"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If Haduvio is approved for the treatment of chronic cough in adults with IPF, we expect that it may compete with product candidates currently in clinical development for the treatment of chronic cough in adults with IPF, such as orvepitant, which is being developed by Nerre Therapeutics, and ifenprodil which is being developed by Algernon Pharmaceuticals. We expect that it might also compete with other product candidates currently in development or submitted for approval to the FDA for the treatment of chronic refractory cough and unexplained chronic cough by companies including Merck, Shionogi, and Bellus Health. In addition, it is possible that product candidates currently in development for the treatment of IPF could, if approved, reduce the need for therapies to treat chronic cough in adults with IPF.</w:t>
      </w:r>
    </w:p>
    <w:p>
      <w:pPr>
        <w:spacing w:after="0" w:line="7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7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84"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8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9" w:name="page50"/>
    <w:bookmarkEnd w:id="49"/>
    <w:p>
      <w:pPr>
        <w:ind w:right="20"/>
        <w:spacing w:after="0" w:line="254" w:lineRule="auto"/>
        <w:rPr>
          <w:sz w:val="20"/>
          <w:szCs w:val="20"/>
          <w:color w:val="auto"/>
        </w:rPr>
      </w:pPr>
      <w:r>
        <w:rPr>
          <w:rFonts w:ascii="Times New Roman" w:cs="Times New Roman" w:eastAsia="Times New Roman" w:hAnsi="Times New Roman"/>
          <w:sz w:val="18"/>
          <w:szCs w:val="18"/>
          <w:color w:val="auto"/>
        </w:rPr>
        <w:t>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84"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75" w:lineRule="exact"/>
        <w:rPr>
          <w:sz w:val="20"/>
          <w:szCs w:val="20"/>
          <w:color w:val="auto"/>
        </w:rPr>
      </w:pPr>
    </w:p>
    <w:p>
      <w:pPr>
        <w:ind w:right="320" w:firstLine="510"/>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75"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1" w:lineRule="exact"/>
        <w:rPr>
          <w:sz w:val="20"/>
          <w:szCs w:val="20"/>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develop or in-license;</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44"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0" w:name="page51"/>
    <w:bookmarkEnd w:id="50"/>
    <w:p>
      <w:pPr>
        <w:ind w:right="180"/>
        <w:spacing w:after="0" w:line="282" w:lineRule="auto"/>
        <w:rPr>
          <w:sz w:val="20"/>
          <w:szCs w:val="20"/>
          <w:color w:val="auto"/>
        </w:rPr>
      </w:pPr>
      <w:r>
        <w:rPr>
          <w:rFonts w:ascii="Times New Roman" w:cs="Times New Roman" w:eastAsia="Times New Roman" w:hAnsi="Times New Roman"/>
          <w:sz w:val="18"/>
          <w:szCs w:val="18"/>
          <w:color w:val="auto"/>
        </w:rPr>
        <w:t>sale of Haduvio or any future product candidate could be prevented or inhibited, which could harm our business, financial condition, results of operations and prospects.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they do not perform satisfactorily, our business could be harmed.</w:t>
      </w:r>
    </w:p>
    <w:p>
      <w:pPr>
        <w:spacing w:after="0" w:line="121"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We do not independently conduct clinical trials of our product candidate. We rely and expect to continue to rely, on third parties, such as clinical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79"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82" w:lineRule="exact"/>
        <w:rPr>
          <w:sz w:val="20"/>
          <w:szCs w:val="20"/>
          <w:color w:val="auto"/>
        </w:rPr>
      </w:pPr>
    </w:p>
    <w:p>
      <w:pPr>
        <w:ind w:right="160" w:firstLine="510"/>
        <w:spacing w:after="0" w:line="253"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also be impacted by developments in the COVID-19 pandemic or government measures taken in response to the pandemic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7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storage, packaging and distribution of Haduvio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spacing w:after="0" w:line="6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79" w:lineRule="exact"/>
        <w:rPr>
          <w:sz w:val="20"/>
          <w:szCs w:val="20"/>
          <w:color w:val="auto"/>
        </w:rPr>
      </w:pPr>
    </w:p>
    <w:p>
      <w:pPr>
        <w:ind w:left="880" w:right="40" w:hanging="373"/>
        <w:spacing w:after="0" w:line="266"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contractors prioritize the supply of other companies’ products over Haduvio or any future product candidates, experience supply chain-related delays, or otherwise fail to satisfactorily perform according to the terms of the agreements between us and them or if unforeseen events in the manufacturing process arise;</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agreements by our third-party contractors at a time that is costly or inconvenient for us;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third-party contractors of our agreements with them;</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ind w:left="880" w:hanging="373"/>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44" w:lineRule="exact"/>
        <w:rPr>
          <w:rFonts w:ascii="Times New Roman" w:cs="Times New Roman" w:eastAsia="Times New Roman" w:hAnsi="Times New Roman"/>
          <w:sz w:val="18"/>
          <w:szCs w:val="18"/>
          <w:color w:val="auto"/>
        </w:rPr>
      </w:pPr>
    </w:p>
    <w:p>
      <w:pPr>
        <w:ind w:left="880" w:right="40" w:hanging="373"/>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44"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do not have long-term supply agreements with any of our contract manufacturers. If any of our existing manufacturers should become unavailable to us for any reason or fail to supply us with the ordered quantities, including as a result of the COVID-19 pandemic or government measures taken in response to the pandemic,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7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or the Bankruptcy Court. In February 2022, the Bankruptcy Court approved a settlement of Mallinckrodt’s opioid litigation and broader chapter 11 reorganization plan, which was also subject to approval by Irish authorities. On April 27, 2022, the High Court of Ireland confirmed the scheme of arrangement between Mallinckrodt, its creditors and its members under Irish law and ordered that the scheme of arrangement would become effective on the same date that the chapter 11 reorganization plan becomes effective. On June 16, 2022, Mallinckrodt announced that it had completed its reorganization process, emerged from chapter 11 bankruptcy proceedings and completed the Irish examinership proceedings. It is currently uncertain what impact, if any, Mallinckrodt’s reorganization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7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p>
    <w:p>
      <w:pPr>
        <w:spacing w:after="0" w:line="7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80"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79"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Haduvio or any future product candidate may harm our future profit margins and our ability to commercialize any products that receive marketing approval on a timely and competitive basis.</w:t>
      </w:r>
    </w:p>
    <w:p>
      <w:pPr>
        <w:spacing w:after="0" w:line="50"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U.S.</w:t>
      </w:r>
    </w:p>
    <w:p>
      <w:pPr>
        <w:spacing w:after="0" w:line="75"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7"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the risks relating to product development, regulatory approval and commercialization described in this Quarterly Report on Form 10-Q would also apply to the activities of any such future collaborators.</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a product candidate would pose a number of risks, including the following:</w:t>
      </w:r>
    </w:p>
    <w:p>
      <w:pPr>
        <w:spacing w:after="0" w:line="117" w:lineRule="exact"/>
        <w:rPr>
          <w:sz w:val="20"/>
          <w:szCs w:val="20"/>
          <w:color w:val="auto"/>
        </w:rPr>
      </w:pPr>
    </w:p>
    <w:p>
      <w:pPr>
        <w:ind w:left="880" w:hanging="373"/>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44" w:lineRule="exact"/>
        <w:rPr>
          <w:rFonts w:ascii="Times New Roman" w:cs="Times New Roman" w:eastAsia="Times New Roman" w:hAnsi="Times New Roman"/>
          <w:sz w:val="18"/>
          <w:szCs w:val="18"/>
          <w:color w:val="auto"/>
        </w:rPr>
      </w:pPr>
    </w:p>
    <w:p>
      <w:pPr>
        <w:ind w:left="880" w:right="180" w:hanging="373"/>
        <w:spacing w:after="0" w:line="266"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880" w:right="1320" w:hanging="373"/>
        <w:spacing w:after="0" w:line="282"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involved in a business combination and could decide to delay, diminish or terminate the development or commercialization of any product candidate licensed by us;</w:t>
      </w:r>
    </w:p>
    <w:p>
      <w:pPr>
        <w:spacing w:after="0" w:line="53" w:lineRule="exact"/>
        <w:rPr>
          <w:rFonts w:ascii="Times New Roman" w:cs="Times New Roman" w:eastAsia="Times New Roman" w:hAnsi="Times New Roman"/>
          <w:sz w:val="18"/>
          <w:szCs w:val="18"/>
          <w:color w:val="auto"/>
        </w:rPr>
      </w:pPr>
    </w:p>
    <w:p>
      <w:pPr>
        <w:ind w:left="880" w:right="600" w:hanging="373"/>
        <w:spacing w:after="0" w:line="282"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880" w:right="780" w:hanging="373"/>
        <w:spacing w:after="0" w:line="282"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the product candidates under the collaboration;</w:t>
      </w:r>
    </w:p>
    <w:p>
      <w:pPr>
        <w:spacing w:after="0" w:line="53" w:lineRule="exact"/>
        <w:rPr>
          <w:rFonts w:ascii="Times New Roman" w:cs="Times New Roman" w:eastAsia="Times New Roman" w:hAnsi="Times New Roman"/>
          <w:sz w:val="18"/>
          <w:szCs w:val="18"/>
          <w:color w:val="auto"/>
        </w:rPr>
      </w:pPr>
    </w:p>
    <w:p>
      <w:pPr>
        <w:ind w:left="880" w:right="680" w:hanging="373"/>
        <w:spacing w:after="0" w:line="282"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ind w:left="880" w:right="380" w:hanging="373"/>
        <w:spacing w:after="0" w:line="261"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880" w:right="220" w:hanging="373"/>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880" w:right="820" w:hanging="373"/>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engage in misconduct or other improper activities, including non-compliance with regulatory standards and requirements;</w:t>
      </w:r>
    </w:p>
    <w:p>
      <w:pPr>
        <w:spacing w:after="0" w:line="144" w:lineRule="exact"/>
        <w:rPr>
          <w:rFonts w:ascii="Times New Roman" w:cs="Times New Roman" w:eastAsia="Times New Roman" w:hAnsi="Times New Roman"/>
          <w:sz w:val="18"/>
          <w:szCs w:val="18"/>
          <w:color w:val="auto"/>
        </w:rPr>
      </w:pPr>
    </w:p>
    <w:p>
      <w:pPr>
        <w:ind w:left="880" w:right="180" w:hanging="373"/>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 and</w:t>
      </w:r>
    </w:p>
    <w:p>
      <w:pPr>
        <w:spacing w:after="0" w:line="53" w:lineRule="exact"/>
        <w:rPr>
          <w:rFonts w:ascii="Times New Roman" w:cs="Times New Roman" w:eastAsia="Times New Roman" w:hAnsi="Times New Roman"/>
          <w:sz w:val="18"/>
          <w:szCs w:val="18"/>
          <w:color w:val="auto"/>
        </w:rPr>
      </w:pPr>
    </w:p>
    <w:p>
      <w:pPr>
        <w:ind w:left="880" w:right="1120" w:hanging="373"/>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4" w:lineRule="exact"/>
        <w:rPr>
          <w:sz w:val="20"/>
          <w:szCs w:val="20"/>
          <w:color w:val="auto"/>
        </w:rPr>
      </w:pPr>
    </w:p>
    <w:p>
      <w:pPr>
        <w:ind w:right="840" w:firstLine="510"/>
        <w:spacing w:after="0" w:line="373" w:lineRule="auto"/>
        <w:rPr>
          <w:sz w:val="20"/>
          <w:szCs w:val="20"/>
          <w:color w:val="auto"/>
        </w:rPr>
      </w:pPr>
      <w:r>
        <w:rPr>
          <w:rFonts w:ascii="Times New Roman" w:cs="Times New Roman" w:eastAsia="Times New Roman" w:hAnsi="Times New Roman"/>
          <w:sz w:val="18"/>
          <w:szCs w:val="18"/>
          <w:color w:val="auto"/>
        </w:rPr>
        <w:t xml:space="preserve">Collaboration agreements may not lead to development or commercialization of product candidates in the most efficient manner or at all. </w:t>
      </w:r>
      <w:r>
        <w:rPr>
          <w:rFonts w:ascii="Times New Roman" w:cs="Times New Roman" w:eastAsia="Times New Roman" w:hAnsi="Times New Roman"/>
          <w:sz w:val="18"/>
          <w:szCs w:val="18"/>
          <w:b w:val="1"/>
          <w:bCs w:val="1"/>
          <w:color w:val="auto"/>
        </w:rPr>
        <w:t>Risks Related to Our Intellectual Property</w:t>
      </w:r>
    </w:p>
    <w:p>
      <w:pPr>
        <w:spacing w:after="0" w:line="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7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regarding intellectual property subject to a license agreement, including:</w:t>
      </w:r>
    </w:p>
    <w:p>
      <w:pPr>
        <w:spacing w:after="0" w:line="117" w:lineRule="exact"/>
        <w:rPr>
          <w:sz w:val="20"/>
          <w:szCs w:val="20"/>
          <w:color w:val="auto"/>
        </w:rPr>
      </w:pPr>
    </w:p>
    <w:p>
      <w:pPr>
        <w:ind w:left="880" w:hanging="373"/>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44" w:lineRule="exact"/>
        <w:rPr>
          <w:rFonts w:ascii="Times New Roman" w:cs="Times New Roman" w:eastAsia="Times New Roman" w:hAnsi="Times New Roman"/>
          <w:sz w:val="18"/>
          <w:szCs w:val="18"/>
          <w:color w:val="auto"/>
        </w:rPr>
      </w:pPr>
    </w:p>
    <w:p>
      <w:pPr>
        <w:ind w:left="880" w:right="120" w:hanging="373"/>
        <w:spacing w:after="0" w:line="282" w:lineRule="auto"/>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activities or product candidates may infringe the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collaborative development relationships;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joint creation or use of intellectual property by licensors and us;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w:t>
      </w:r>
    </w:p>
    <w:p>
      <w:pPr>
        <w:spacing w:after="0" w:line="144"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5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54" w:name="page55"/>
    <w:bookmarkEnd w:id="54"/>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81" w:lineRule="exact"/>
        <w:rPr>
          <w:sz w:val="20"/>
          <w:szCs w:val="20"/>
          <w:color w:val="auto"/>
        </w:rPr>
      </w:pPr>
    </w:p>
    <w:p>
      <w:pPr>
        <w:ind w:right="60" w:firstLine="510"/>
        <w:spacing w:after="0" w:line="252"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89"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7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spacing w:after="0" w:line="8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ind w:right="220"/>
        <w:spacing w:after="0" w:line="282" w:lineRule="auto"/>
        <w:rPr>
          <w:sz w:val="20"/>
          <w:szCs w:val="20"/>
          <w:color w:val="auto"/>
        </w:rPr>
      </w:pPr>
      <w:r>
        <w:rPr>
          <w:rFonts w:ascii="Times New Roman" w:cs="Times New Roman" w:eastAsia="Times New Roman" w:hAnsi="Times New Roman"/>
          <w:sz w:val="18"/>
          <w:szCs w:val="18"/>
          <w:color w:val="auto"/>
        </w:rPr>
        <w:t>fact, conceives or develops intellectual property that we regard as our own. As a result, the inventorship or ownership of our intellectual property may be challenged in the future.</w:t>
      </w:r>
    </w:p>
    <w:p>
      <w:pPr>
        <w:spacing w:after="0" w:line="54" w:lineRule="exact"/>
        <w:rPr>
          <w:sz w:val="20"/>
          <w:szCs w:val="20"/>
          <w:color w:val="auto"/>
        </w:rPr>
      </w:pPr>
    </w:p>
    <w:p>
      <w:pPr>
        <w:jc w:val="both"/>
        <w:ind w:right="40" w:firstLine="510"/>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spacing w:after="0" w:line="72"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8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Our 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8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ind w:right="100"/>
        <w:spacing w:after="0" w:line="261" w:lineRule="auto"/>
        <w:rPr>
          <w:sz w:val="20"/>
          <w:szCs w:val="20"/>
          <w:color w:val="auto"/>
        </w:rPr>
      </w:pPr>
      <w:r>
        <w:rPr>
          <w:rFonts w:ascii="Times New Roman" w:cs="Times New Roman" w:eastAsia="Times New Roman" w:hAnsi="Times New Roman"/>
          <w:sz w:val="18"/>
          <w:szCs w:val="18"/>
          <w:color w:val="auto"/>
        </w:rPr>
        <w:t>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6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 consuming, its outcome would be uncertain and it could prevent or delay us from developing or commercializing Haduvio or any future product candidate.</w:t>
      </w:r>
    </w:p>
    <w:p>
      <w:pPr>
        <w:spacing w:after="0" w:line="51" w:lineRule="exact"/>
        <w:rPr>
          <w:sz w:val="20"/>
          <w:szCs w:val="20"/>
          <w:color w:val="auto"/>
        </w:rPr>
      </w:pPr>
    </w:p>
    <w:p>
      <w:pPr>
        <w:ind w:right="220" w:firstLine="510"/>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79" w:lineRule="exact"/>
        <w:rPr>
          <w:sz w:val="20"/>
          <w:szCs w:val="20"/>
          <w:color w:val="auto"/>
        </w:rPr>
      </w:pPr>
    </w:p>
    <w:p>
      <w:pPr>
        <w:ind w:right="120" w:firstLine="514"/>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89" w:lineRule="exact"/>
        <w:rPr>
          <w:sz w:val="20"/>
          <w:szCs w:val="20"/>
          <w:color w:val="auto"/>
        </w:rPr>
      </w:pPr>
    </w:p>
    <w:p>
      <w:pPr>
        <w:ind w:right="80" w:firstLine="514"/>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products.</w:t>
      </w:r>
    </w:p>
    <w:p>
      <w:pPr>
        <w:spacing w:after="0" w:line="5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spacing w:after="0" w:line="8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spacing w:after="0" w:line="256" w:lineRule="auto"/>
        <w:rPr>
          <w:sz w:val="20"/>
          <w:szCs w:val="20"/>
          <w:color w:val="auto"/>
        </w:rPr>
      </w:pPr>
      <w:r>
        <w:rPr>
          <w:rFonts w:ascii="Times New Roman" w:cs="Times New Roman" w:eastAsia="Times New Roman" w:hAnsi="Times New Roman"/>
          <w:sz w:val="18"/>
          <w:szCs w:val="18"/>
          <w:color w:val="auto"/>
        </w:rPr>
        <w:t>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7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21"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spacing w:after="0" w:line="79"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spacing w:after="0" w:line="8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and the maintenance, enforcement or defense of our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80"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68"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8" w:name="page59"/>
    <w:bookmarkEnd w:id="5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86"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75"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our business could be harmed.</w:t>
      </w:r>
    </w:p>
    <w:p>
      <w:pPr>
        <w:spacing w:after="0" w:line="12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Haduvio for the treatment of prurigo nodularis, chronic cough in adults with IPF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72" w:lineRule="exact"/>
        <w:rPr>
          <w:sz w:val="20"/>
          <w:szCs w:val="20"/>
          <w:color w:val="auto"/>
        </w:rPr>
      </w:pPr>
    </w:p>
    <w:p>
      <w:pPr>
        <w:ind w:firstLine="514"/>
        <w:spacing w:after="0" w:line="255" w:lineRule="auto"/>
        <w:rPr>
          <w:sz w:val="20"/>
          <w:szCs w:val="20"/>
          <w:color w:val="auto"/>
        </w:rPr>
      </w:pPr>
      <w:r>
        <w:rPr>
          <w:rFonts w:ascii="Times New Roman" w:cs="Times New Roman" w:eastAsia="Times New Roman" w:hAnsi="Times New Roman"/>
          <w:sz w:val="18"/>
          <w:szCs w:val="18"/>
          <w:color w:val="auto"/>
        </w:rPr>
        <w:t>We have completed our Phase 2b/3 PRISM trial of Haduvio for the treatment of prurigo nodularis (other than the open-label extension portion of the trial, which we expect to complete in the first quarter of 2023) and we believe we will need to conduct an additional Phase 3 clinical trial of Haduvio for the treatment of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9" w:name="page60"/>
    <w:bookmarkEnd w:id="59"/>
    <w:p>
      <w:pPr>
        <w:ind w:right="20"/>
        <w:spacing w:after="0" w:line="266" w:lineRule="auto"/>
        <w:rPr>
          <w:sz w:val="20"/>
          <w:szCs w:val="20"/>
          <w:color w:val="auto"/>
        </w:rPr>
      </w:pPr>
      <w:r>
        <w:rPr>
          <w:rFonts w:ascii="Times New Roman" w:cs="Times New Roman" w:eastAsia="Times New Roman" w:hAnsi="Times New Roman"/>
          <w:sz w:val="18"/>
          <w:szCs w:val="18"/>
          <w:color w:val="auto"/>
        </w:rPr>
        <w:t>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spacing w:after="0" w:line="68" w:lineRule="exact"/>
        <w:rPr>
          <w:sz w:val="20"/>
          <w:szCs w:val="20"/>
          <w:color w:val="auto"/>
        </w:rPr>
      </w:pPr>
    </w:p>
    <w:p>
      <w:pPr>
        <w:ind w:firstLine="514"/>
        <w:spacing w:after="0" w:line="255" w:lineRule="auto"/>
        <w:rPr>
          <w:sz w:val="20"/>
          <w:szCs w:val="20"/>
          <w:color w:val="auto"/>
        </w:rPr>
      </w:pPr>
      <w:r>
        <w:rPr>
          <w:rFonts w:ascii="Times New Roman" w:cs="Times New Roman" w:eastAsia="Times New Roman" w:hAnsi="Times New Roman"/>
          <w:sz w:val="18"/>
          <w:szCs w:val="18"/>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81" w:lineRule="exact"/>
        <w:rPr>
          <w:sz w:val="20"/>
          <w:szCs w:val="20"/>
          <w:color w:val="auto"/>
        </w:rPr>
      </w:pPr>
    </w:p>
    <w:p>
      <w:pPr>
        <w:ind w:right="80" w:firstLine="514"/>
        <w:spacing w:after="0" w:line="253" w:lineRule="auto"/>
        <w:rPr>
          <w:sz w:val="20"/>
          <w:szCs w:val="20"/>
          <w:color w:val="auto"/>
        </w:rPr>
      </w:pPr>
      <w:r>
        <w:rPr>
          <w:rFonts w:ascii="Times New Roman" w:cs="Times New Roman" w:eastAsia="Times New Roman" w:hAnsi="Times New Roman"/>
          <w:sz w:val="18"/>
          <w:szCs w:val="18"/>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84"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64"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spacing w:after="0" w:line="67" w:lineRule="exact"/>
        <w:rPr>
          <w:sz w:val="20"/>
          <w:szCs w:val="20"/>
          <w:color w:val="auto"/>
        </w:rPr>
      </w:pPr>
    </w:p>
    <w:p>
      <w:pPr>
        <w:ind w:right="80" w:firstLine="510"/>
        <w:spacing w:after="0" w:line="277" w:lineRule="auto"/>
        <w:rPr>
          <w:sz w:val="20"/>
          <w:szCs w:val="20"/>
          <w:color w:val="auto"/>
        </w:rPr>
      </w:pPr>
      <w:r>
        <w:rPr>
          <w:rFonts w:ascii="Times New Roman" w:cs="Times New Roman" w:eastAsia="Times New Roman" w:hAnsi="Times New Roman"/>
          <w:sz w:val="17"/>
          <w:szCs w:val="17"/>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spacing w:after="0" w:line="6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80"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9"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spacing w:after="0" w:line="6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spacing w:after="0" w:line="86"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U.S. could have a significant adverse impact on us. Risks inherent in conducting international clinical trials include:</w:t>
      </w:r>
    </w:p>
    <w:p>
      <w:pPr>
        <w:spacing w:after="0" w:line="54" w:lineRule="exact"/>
        <w:rPr>
          <w:sz w:val="20"/>
          <w:szCs w:val="20"/>
          <w:color w:val="auto"/>
        </w:rPr>
      </w:pPr>
    </w:p>
    <w:p>
      <w:pPr>
        <w:ind w:left="880" w:hanging="373"/>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4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8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seeking marketing approval in the United Kingdom as a result of the withdrawal of the United Kingdom from the EU, commonly referred to as Brexit. The United Kingdom is no longer part of the European Single Market and European Union Customs Union. As of January 1, 2021, the MHRA became responsible for supervising medicines and medical devices in Great Britain, comprising England, Scotland and Wales under domestic law, whereas Northern Ireland will continue to be subject to European Union rules under the Northern Ireland Protocol. The MHRA will rely on the Human Medicines Regulations 2012 (SI 2012/1916) (as amended), or the HMR, as the basis for regulating medicines. The HMR has incorporated into the domestic law of the body of European Union law instruments governing medicinal products that pre-existed prior to the United Kingdom’s withdrawal from the European Union.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80"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61" w:name="page62"/>
    <w:bookmarkEnd w:id="61"/>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6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spacing w:after="0" w:line="7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Haduvio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8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7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5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75"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72"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5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p>
    <w:p>
      <w:pPr>
        <w:spacing w:after="0" w:line="9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If our clinical trials are successful, we intend to seek approval to market Haduvio for the treatment of prurigo nodularis and chronic cough in adults with IPF. If we obtain regulatory approval to market Haduvio with an indication statement for the treatment of prurigo nodularis, we expect to be prohibited from marketing Haduvio using any promotional claims relating to treatment of pruritus generally. If we obtain regulatory approval to market Haduvio with an indication statement for the treatment of chronic cough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2" w:name="page63"/>
    <w:bookmarkEnd w:id="62"/>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adults with IPF, we expect to be prohibited from marketing Haduvio using any promotional claims relating to treatment of cough generally. Marketing of Haduvio may also be limited by regulatory authorities based on use as a monotherapy or adjuvant, concomitant medications, severity of pruritus and other factors.</w:t>
      </w:r>
    </w:p>
    <w:p>
      <w:pPr>
        <w:spacing w:after="0" w:line="6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and may in the future conduct, clinical trials to evaluate the use of Haduvio to treat pruritic conditions other than prurigo nodularis and cough conditions other than chronic cough in adults with IPF,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76"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8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7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67"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8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8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3" w:name="page64"/>
    <w:bookmarkEnd w:id="63"/>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manufacturers or manufacturing processes;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44"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7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Separately, in response to the COVID-19 pandemic, a number of companies announced receipt of complete response letters due to the FDA’s inability to complete required inspections for their applications. As of May 26,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review timelines could be extended, including where a pre-approval inspection or an inspection of clinical sites is required and due to the ongoing COVID-19 pandemic and travel restrictions,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4" w:name="page65"/>
    <w:bookmarkEnd w:id="64"/>
    <w:p>
      <w:pPr>
        <w:ind w:right="80"/>
        <w:spacing w:after="0" w:line="266" w:lineRule="auto"/>
        <w:rPr>
          <w:sz w:val="20"/>
          <w:szCs w:val="20"/>
          <w:color w:val="auto"/>
        </w:rPr>
      </w:pPr>
      <w:r>
        <w:rPr>
          <w:rFonts w:ascii="Times New Roman" w:cs="Times New Roman" w:eastAsia="Times New Roman" w:hAnsi="Times New Roman"/>
          <w:sz w:val="18"/>
          <w:szCs w:val="18"/>
          <w:color w:val="auto"/>
        </w:rPr>
        <w:t>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6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5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7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 These Medicare sequester reductions have been suspended through the end of March 2022. From April 2022 through June 2022 a 1% sequester cut will be in effect,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8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U.S. Supreme Court heard this case on November 10, 2020 and on June 17, 2021, dismissed this action after finding that the plaintiffs do not have standing to challenge the constitutionality of the ACA. Litigation and legislation over the ACA are likely to continue, with unpredictable and uncertain results.</w:t>
      </w:r>
    </w:p>
    <w:p>
      <w:pPr>
        <w:spacing w:after="0" w:line="81" w:lineRule="exact"/>
        <w:rPr>
          <w:sz w:val="20"/>
          <w:szCs w:val="20"/>
          <w:color w:val="auto"/>
        </w:rPr>
      </w:pPr>
    </w:p>
    <w:p>
      <w:pPr>
        <w:jc w:val="both"/>
        <w:ind w:right="40" w:firstLine="510"/>
        <w:spacing w:after="0" w:line="272" w:lineRule="auto"/>
        <w:rPr>
          <w:sz w:val="20"/>
          <w:szCs w:val="20"/>
          <w:color w:val="auto"/>
        </w:rPr>
      </w:pPr>
      <w:r>
        <w:rPr>
          <w:rFonts w:ascii="Times New Roman" w:cs="Times New Roman" w:eastAsia="Times New Roman" w:hAnsi="Times New Roman"/>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82"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5" w:name="page66"/>
    <w:bookmarkEnd w:id="65"/>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80"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w:t>
      </w:r>
    </w:p>
    <w:p>
      <w:pPr>
        <w:spacing w:after="0" w:line="80"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More recently, on July 9, 2021, President Biden signed Executive Order 14063, which focuses on, among other things, the price of pharmaceuticals. To address these costs, the Order directs the Department of Health and Human Services, or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80" w:lineRule="exact"/>
        <w:rPr>
          <w:sz w:val="20"/>
          <w:szCs w:val="20"/>
          <w:color w:val="auto"/>
        </w:rPr>
      </w:pPr>
    </w:p>
    <w:p>
      <w:pPr>
        <w:ind w:right="200" w:firstLine="510"/>
        <w:spacing w:after="0" w:line="254"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4"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6" w:name="page67"/>
    <w:bookmarkEnd w:id="66"/>
    <w:p>
      <w:pPr>
        <w:ind w:firstLine="51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73"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among other things, persons and entities from knowingly and willfully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7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False Claims Laws. </w:t>
      </w:r>
      <w:r>
        <w:rPr>
          <w:rFonts w:ascii="Times New Roman" w:cs="Times New Roman" w:eastAsia="Times New Roman" w:hAnsi="Times New Roman"/>
          <w:sz w:val="18"/>
          <w:szCs w:val="18"/>
          <w:color w:val="auto"/>
        </w:rPr>
        <w:t>The federal false claims and civil monetary penalties laws, including the federal civil False Claims Act, impose criminal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75" w:lineRule="exact"/>
        <w:rPr>
          <w:sz w:val="20"/>
          <w:szCs w:val="20"/>
          <w:color w:val="auto"/>
        </w:rPr>
      </w:pPr>
    </w:p>
    <w:p>
      <w:pPr>
        <w:ind w:right="14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74"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Transparency Requirements. </w:t>
      </w:r>
      <w:r>
        <w:rPr>
          <w:rFonts w:ascii="Times New Roman" w:cs="Times New Roman" w:eastAsia="Times New Roman" w:hAnsi="Times New Roman"/>
          <w:sz w:val="18"/>
          <w:szCs w:val="18"/>
          <w:color w:val="auto"/>
        </w:rPr>
        <w:t>The federal Physician Payments Sunshine Act requires certain manufacturers of drugs, devices, biologics and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other healthcare providers and their immediate family members.</w:t>
      </w:r>
    </w:p>
    <w:p>
      <w:pPr>
        <w:spacing w:after="0" w:line="7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Analogous State and Foreign Laws. </w:t>
      </w:r>
      <w:r>
        <w:rPr>
          <w:rFonts w:ascii="Times New Roman" w:cs="Times New Roman" w:eastAsia="Times New Roman" w:hAnsi="Times New Roman"/>
          <w:sz w:val="18"/>
          <w:szCs w:val="18"/>
          <w:color w:val="auto"/>
        </w:rPr>
        <w:t>Analogous state and foreign fraud and abuse laws and regulations, such as state anti-kickback and false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7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84" w:lineRule="exact"/>
        <w:rPr>
          <w:sz w:val="20"/>
          <w:szCs w:val="20"/>
          <w:color w:val="auto"/>
        </w:rPr>
      </w:pPr>
    </w:p>
    <w:p>
      <w:pPr>
        <w:jc w:val="both"/>
        <w:ind w:right="360" w:firstLine="510"/>
        <w:spacing w:after="0" w:line="266"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spacing w:after="0" w:line="68"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7" w:name="page68"/>
    <w:bookmarkEnd w:id="67"/>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8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 1, 2020, created similar risks and obligations as those created by GDPR, though the CCPA does exempt certain information collected as part of a clinical trial subject to the Federal Policy for the Protection of Human Subjects (the Common Rule). Additionally, effective starting on January 1, 2023, the California Privacy Rights Act, or the CPRA, will significantly modify the CCPA, including by expanding consumers’ rights with respect to certain sensitive personal information. The CPRA also creates a new state agency that will be vested with authority to implement and enforce the CCPA and the CPRA.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U.S. and require us to develop and implement costly compliance programs.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8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8" w:name="page69"/>
    <w:bookmarkEnd w:id="68"/>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68" w:lineRule="exact"/>
        <w:rPr>
          <w:sz w:val="20"/>
          <w:szCs w:val="20"/>
          <w:color w:val="auto"/>
        </w:rPr>
      </w:pPr>
    </w:p>
    <w:p>
      <w:pPr>
        <w:jc w:val="both"/>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68" w:lineRule="exact"/>
        <w:rPr>
          <w:sz w:val="20"/>
          <w:szCs w:val="20"/>
          <w:color w:val="auto"/>
        </w:rPr>
      </w:pPr>
    </w:p>
    <w:p>
      <w:pPr>
        <w:jc w:val="both"/>
        <w:ind w:right="120" w:firstLine="51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12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w:t>
      </w:r>
    </w:p>
    <w:p>
      <w:pPr>
        <w:spacing w:after="0" w:line="81"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82"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EMA, MHRA or other comparable foreign regulatory authorities approve generic versions of any of our small molecule investigational products that receive marketing approval, or such authorities do not grant our products appropriate periods of exclusivity before approving generic versions of those products, the sales of our products, if approved, could be adversely affected.</w:t>
      </w:r>
    </w:p>
    <w:p>
      <w:pPr>
        <w:spacing w:after="0" w:line="67" w:lineRule="exact"/>
        <w:rPr>
          <w:sz w:val="20"/>
          <w:szCs w:val="20"/>
          <w:color w:val="auto"/>
        </w:rPr>
      </w:pPr>
    </w:p>
    <w:p>
      <w:pPr>
        <w:ind w:right="60" w:firstLine="510"/>
        <w:spacing w:after="0" w:line="272" w:lineRule="auto"/>
        <w:rPr>
          <w:sz w:val="20"/>
          <w:szCs w:val="20"/>
          <w:color w:val="auto"/>
        </w:rPr>
      </w:pPr>
      <w:r>
        <w:rPr>
          <w:rFonts w:ascii="Times New Roman" w:cs="Times New Roman" w:eastAsia="Times New Roman" w:hAnsi="Times New Roman"/>
          <w:sz w:val="17"/>
          <w:szCs w:val="17"/>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abbreviated new drug applications, or ANDAs, in the United States. In support of an ANDA, a generic manufacturer need not conduct clinical trials to assess safety and efficacy. Rather, the sponsor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9" w:name="page70"/>
    <w:bookmarkEnd w:id="69"/>
    <w:p>
      <w:pPr>
        <w:ind w:firstLine="510"/>
        <w:spacing w:after="0" w:line="258"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sponsor may submit its application four years following approval of the reference listed drug.</w:t>
      </w:r>
    </w:p>
    <w:p>
      <w:pPr>
        <w:spacing w:after="0" w:line="75"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 candidates.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team and to attract, retain and motivate qualified personnel.</w:t>
      </w:r>
    </w:p>
    <w:p>
      <w:pPr>
        <w:spacing w:after="0" w:line="12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are highly dependent on Jennifer Good, our President and Chief Executive Officer, and Thomas Sciascia, M.D., our Chief Medical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For instance, on August 8, 2022, Dr. Forbes notified the Company that he would be stepping down as Chief Development Officer, effective September 1, 2022. The loss of the services of any of these persons could impede the achievement of our research, development and commercialization objectives.</w:t>
      </w:r>
    </w:p>
    <w:p>
      <w:pPr>
        <w:spacing w:after="0" w:line="8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8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As of June 30, 2022, we had 23 employees. We expect to experience significant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Haduvio for additional indications or the development of additional product candidates. If we are unable to effectively manage our expected growth, our expenses may increase more than expected, our ability to generate revenues could be reduced and we may be unable to implement our business strategy, including the successful commercialization of any product candidate.</w:t>
      </w:r>
    </w:p>
    <w:p>
      <w:pPr>
        <w:spacing w:after="0" w:line="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5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70" w:name="page71"/>
    <w:bookmarkEnd w:id="70"/>
    <w:p>
      <w:pPr>
        <w:ind w:right="40"/>
        <w:spacing w:after="0" w:line="254" w:lineRule="auto"/>
        <w:rPr>
          <w:sz w:val="20"/>
          <w:szCs w:val="20"/>
          <w:color w:val="auto"/>
        </w:rPr>
      </w:pPr>
      <w:r>
        <w:rPr>
          <w:rFonts w:ascii="Times New Roman" w:cs="Times New Roman" w:eastAsia="Times New Roman" w:hAnsi="Times New Roman"/>
          <w:sz w:val="18"/>
          <w:szCs w:val="18"/>
          <w:color w:val="auto"/>
        </w:rPr>
        <w:t>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sustainable.</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5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for trading on Nasdaq. We must satisfy Nasdaq’s continued listing requirements, including, among other things, a minimum closing bid price of $1.00 per share,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75"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On January 10, 2022, we received a deficiency letter from the Listing Qualifications Department, or the Staff, of Nasdaq notifying us that, for the prior 30 consecutive business days, the bid price for our common stock had closed below the $1.00 per share minimum bid price requirement for continued inclusion on Nasdaq pursuant to Nasdaq Listing Rule 5450(a)(1), or the Bid Price Requirement.</w:t>
      </w:r>
    </w:p>
    <w:p>
      <w:pPr>
        <w:spacing w:after="0" w:line="68"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5810(c)(3)(A), or the Compliance Period Rule, we were provided a period of 180 calendar days, or until July 11, 2022, or the Compliance Date, to regain compliance with the Bid Price Requirement. If, at any time before the Compliance Date, the bid price for our common stock closed at $1.00 or more for a minimum of 10 consecutive business days as required under the Compliance Period Rule, the Staff would provide written notification to us that we had regained compliance with the Bid Price Requirement, unless the Staff chose to exercise its discretion to extend this ten-day period pursuant to Nasdaq Listing Rule 5810(c)(3)(H).</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16, 2022, we received a letter from the Staff indicating that we had regained compliance with the Bid Price Requirement as of such date.</w:t>
      </w:r>
    </w:p>
    <w:p>
      <w:pPr>
        <w:spacing w:after="0" w:line="11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Although we were able to regain compliance with the Bid Price Requirement within the manner and time period prescribed by Nasdaq, 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highly volatile, which could result in substantial losses for purchasers of our common stock.</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1" w:name="page72"/>
    <w:bookmarkEnd w:id="71"/>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Haduvio or any future product candidates;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Haduvio or any future product candidates or competitors’ products and product candidates;</w:t>
      </w:r>
    </w:p>
    <w:p>
      <w:pPr>
        <w:spacing w:after="0" w:line="144" w:lineRule="exact"/>
        <w:rPr>
          <w:rFonts w:ascii="Times New Roman" w:cs="Times New Roman" w:eastAsia="Times New Roman" w:hAnsi="Times New Roman"/>
          <w:sz w:val="18"/>
          <w:szCs w:val="18"/>
          <w:color w:val="auto"/>
        </w:rPr>
      </w:pPr>
    </w:p>
    <w:p>
      <w:pPr>
        <w:ind w:left="880" w:right="980" w:hanging="373"/>
        <w:spacing w:after="0" w:line="282"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rights;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any of our development programs;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efforts to discover, develop, acquire or in-license additional product candidates;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estimated financial results or development timelines;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changes in estimates or recommendations by securities analysts, if any, that cover our stock;</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 the U.S. and other countries;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44" w:lineRule="exact"/>
        <w:rPr>
          <w:rFonts w:ascii="Times New Roman" w:cs="Times New Roman" w:eastAsia="Times New Roman" w:hAnsi="Times New Roman"/>
          <w:sz w:val="18"/>
          <w:szCs w:val="18"/>
          <w:color w:val="auto"/>
        </w:rPr>
      </w:pPr>
    </w:p>
    <w:p>
      <w:pPr>
        <w:ind w:left="880" w:right="280" w:hanging="373"/>
        <w:spacing w:after="0" w:line="282"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recent adverse changes in the domestic and international financial markets, the impacts of the COVID-19 pandemic, and the impacts of rising inflation and government action in response thereto;</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in connection with the SVB Term Loan;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Global Market;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considerations described in this “Risk Factors” section.</w:t>
      </w:r>
    </w:p>
    <w:p>
      <w:pPr>
        <w:spacing w:after="0" w:line="25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addition, the COVID-19 pandemic, rising inflation, interest rate increases and other factors have negatively affected the stock market and investor sentiment. The price and volatility of our common stock may be disproportionately affected as investors may favor traditional profit-making industries and companies during such times of market uncertainty and instability.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6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5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including by us, employees and significant stockholders, could negatively affect our stock price.</w:t>
      </w:r>
    </w:p>
    <w:p>
      <w:pPr>
        <w:spacing w:after="0" w:line="121"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54"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68" w:lineRule="exact"/>
        <w:rPr>
          <w:sz w:val="20"/>
          <w:szCs w:val="20"/>
          <w:color w:val="auto"/>
        </w:rPr>
      </w:pPr>
    </w:p>
    <w:p>
      <w:pPr>
        <w:jc w:val="both"/>
        <w:ind w:right="120" w:firstLine="510"/>
        <w:spacing w:after="0" w:line="282" w:lineRule="auto"/>
        <w:rPr>
          <w:sz w:val="20"/>
          <w:szCs w:val="20"/>
          <w:color w:val="auto"/>
        </w:rPr>
      </w:pPr>
      <w:r>
        <w:rPr>
          <w:rFonts w:ascii="Times New Roman" w:cs="Times New Roman" w:eastAsia="Times New Roman" w:hAnsi="Times New Roman"/>
          <w:sz w:val="18"/>
          <w:szCs w:val="18"/>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54"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6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currently have on file with the SEC a universal shelf registration statement on Form S-3, or the Shelf Registration Statement, which allows us to offer and sell registered common stock, preferred stock, debt securities, units and/or warrants from time to time pursuant to one or more offerings at prices and terms to be determined at the time of sale. In June 2020, we entered into the ATM Sales Agreement, pursuant to which, from time to time, we may offer and sell under the ATM Sales Agreement up to $12.0 million of the common stock registered under the Shelf Registration Statement pursuant to one or more “at-the-market” offerings. As of June 30, 2022, we had sold 3,583,394 shares of common stock for an aggregate purchase price of $11.0 million, before deducting estimated commissions and allocated fees of $0.8 million, pursuant to the ATM Sales Agreement. In May 2022, we amended the ATM Sales Agreement with SVB Leerink LLC to increase the maximum aggregate offering price of common stock that we may issue and sell from time to time under the ATM Sales Agreement by $50.0 million, from $12.0 million to up to $62.0 million. The extent to which we utilize the ATM Sales Agreement as a source of funding will depend on a number of factors, including the prevailing market price of our common stock, general market conditions and the extent to which we are able to secure funds from other sources.</w:t>
      </w:r>
    </w:p>
    <w:p>
      <w:pPr>
        <w:spacing w:after="0" w:line="86"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 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August 11, 2022, all of the pre-funded warrants and the common stock warrants that were set to expire on April 5, 2025 have been exercised.</w:t>
      </w:r>
    </w:p>
    <w:p>
      <w:pPr>
        <w:spacing w:after="0" w:line="8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Similarly, on April 11, 2022, we issued to several purchasers in a private placement, (i) an aggregate of 4,580,526 shares of our common stock and</w:t>
      </w:r>
    </w:p>
    <w:p>
      <w:pPr>
        <w:spacing w:after="0" w:line="27" w:lineRule="exact"/>
        <w:rPr>
          <w:sz w:val="20"/>
          <w:szCs w:val="20"/>
          <w:color w:val="auto"/>
        </w:rPr>
      </w:pPr>
    </w:p>
    <w:p>
      <w:pPr>
        <w:ind w:right="140" w:firstLine="8"/>
        <w:spacing w:after="0" w:line="253" w:lineRule="auto"/>
        <w:tabs>
          <w:tab w:leader="none" w:pos="2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3" w:name="page74"/>
    <w:bookmarkEnd w:id="73"/>
    <w:p>
      <w:pPr>
        <w:ind w:right="20"/>
        <w:spacing w:after="0" w:line="253" w:lineRule="auto"/>
        <w:rPr>
          <w:sz w:val="20"/>
          <w:szCs w:val="20"/>
          <w:color w:val="auto"/>
        </w:rPr>
      </w:pPr>
      <w:r>
        <w:rPr>
          <w:rFonts w:ascii="Times New Roman" w:cs="Times New Roman" w:eastAsia="Times New Roman" w:hAnsi="Times New Roman"/>
          <w:sz w:val="18"/>
          <w:szCs w:val="18"/>
          <w:color w:val="auto"/>
        </w:rPr>
        <w:t>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w:t>
      </w:r>
    </w:p>
    <w:p>
      <w:pPr>
        <w:spacing w:after="0" w:line="82"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or other securities by our stockholders, by us under the Shelf Registration Statement, whether pursuant to the ATM Sales Agreement or otherwise, by Lincoln Park pursuant to the Form S-1,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spacing w:after="0" w:line="17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spacing w:after="0" w:line="75"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have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Finally, we issued pre-funded warrants to purchase up to an aggregate of 24,379,673 shares of our common stock to the purchasers in the April 2022 Private Placement at an exercise price of $0.001 per share.</w:t>
      </w:r>
    </w:p>
    <w:p>
      <w:pPr>
        <w:spacing w:after="0" w:line="80" w:lineRule="exact"/>
        <w:rPr>
          <w:sz w:val="20"/>
          <w:szCs w:val="20"/>
          <w:color w:val="auto"/>
        </w:rPr>
      </w:pPr>
    </w:p>
    <w:p>
      <w:pPr>
        <w:ind w:right="60" w:firstLine="510"/>
        <w:spacing w:after="0" w:line="268" w:lineRule="auto"/>
        <w:rPr>
          <w:sz w:val="20"/>
          <w:szCs w:val="20"/>
          <w:color w:val="auto"/>
        </w:rPr>
      </w:pPr>
      <w:r>
        <w:rPr>
          <w:rFonts w:ascii="Times New Roman" w:cs="Times New Roman" w:eastAsia="Times New Roman" w:hAnsi="Times New Roman"/>
          <w:sz w:val="17"/>
          <w:szCs w:val="17"/>
          <w:color w:val="auto"/>
        </w:rPr>
        <w:t>As discussed above, the common stock warrants issued to the Initial Private Placement Investor are subject to the Initial Investor Beneficial Ownership Limitations and the pre-funded warrants issued to the purchasers in the April 2022 Private Placement are subject to the 2022 Private Placement Beneficial Ownership Limitations. As of August 11, 2022, (i) none of the pre-funded warrants issued to the Initial Private Placement Investor were outstanding, (ii) 7,299,270 of the common stock warrants issued to the Initial Private Placement Investor and all of the common stock warrants issued to NEA in the October 2021 Private Placements remained outstanding, and (iii) all of the pre-funded warrants issued to the purchasers in the April 2022 Private Placement remained outstanding. Although the Initial Private Placement Investor’s warrants are subject to the Initial Investor Beneficial Ownership Limitations and the pre-funded warrants issued to the purchasers in the April 2022 Private Placement are subject to the 2022 Private Placement Beneficial Ownership Limitations, upon exercise in full of the warrants, the shares issuable upon exercise would represent a significant portion of our outstanding common stock. As a result, the Initial Private Placement Investor, NEA and the other purchasers in the April 2022 Private Placement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NEA and/or the purchasers in the April 2022 Private Placement on the other hand, concerning potential competitive business activities, business opportunities, the issuance of additional securities and other matters. In addition, sales of these shares could cause the market price of our common stock to decline significantly.</w:t>
      </w:r>
    </w:p>
    <w:p>
      <w:pPr>
        <w:spacing w:after="0" w:line="76" w:lineRule="exact"/>
        <w:rPr>
          <w:sz w:val="20"/>
          <w:szCs w:val="20"/>
          <w:color w:val="auto"/>
        </w:rPr>
      </w:pPr>
    </w:p>
    <w:p>
      <w:pPr>
        <w:ind w:right="160" w:firstLine="510"/>
        <w:spacing w:after="0" w:line="269" w:lineRule="auto"/>
        <w:rPr>
          <w:sz w:val="20"/>
          <w:szCs w:val="20"/>
          <w:color w:val="auto"/>
        </w:rPr>
      </w:pPr>
      <w:r>
        <w:rPr>
          <w:rFonts w:ascii="Times New Roman" w:cs="Times New Roman" w:eastAsia="Times New Roman" w:hAnsi="Times New Roman"/>
          <w:sz w:val="17"/>
          <w:szCs w:val="17"/>
          <w:color w:val="auto"/>
        </w:rPr>
        <w:t>Furthermore, in the event of a sale of our company, whether by merger, sale of all or substantially all of our assets or otherwise, the Initial Private Placement Investor and NEA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been converted into or exercised for shares of our common stock immediately prior to such sale of our company. Although the Initial Private Placement Investor’s beneficial ownership of our common stock is reported as</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9.99% as a result of the application of the Beneficial Ownership Limitations, in the event of a sale of our company, the Initial Private Placement Investor would receive sale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ind w:right="20"/>
        <w:spacing w:after="0" w:line="254" w:lineRule="auto"/>
        <w:rPr>
          <w:sz w:val="20"/>
          <w:szCs w:val="20"/>
          <w:color w:val="auto"/>
        </w:rPr>
      </w:pPr>
      <w:r>
        <w:rPr>
          <w:rFonts w:ascii="Times New Roman" w:cs="Times New Roman" w:eastAsia="Times New Roman" w:hAnsi="Times New Roman"/>
          <w:sz w:val="18"/>
          <w:szCs w:val="18"/>
          <w:color w:val="auto"/>
        </w:rPr>
        <w:t>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p>
    <w:p>
      <w:pPr>
        <w:spacing w:after="0" w:line="84"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Given the amount and terms of these warrants, we may find it more difficult to raise additional equity capital on favorable terms or at all while these warrants are outstanding.</w:t>
      </w:r>
    </w:p>
    <w:p>
      <w:pPr>
        <w:spacing w:after="0" w:line="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among our executive officers and directors and their affiliates and our significant stockholders, who have significant influence over our business, which may prevent new investors from influencing significant corporate decisions.</w:t>
      </w:r>
    </w:p>
    <w:p>
      <w:pPr>
        <w:spacing w:after="0" w:line="51"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Our executive officers and directors, their respective affiliates, and other holders of 10% or more of our common stock beneficially own, in the aggregate, shares representing approximately 36.7% of our common stock as of August 11, 2022. As a result, our executive officers and directors and their affiliates and our significant stockholders acting together would be able to control all matters submitted to our stockholders for approval, as well as our management and affairs. This concentration of ownership control may:</w:t>
      </w:r>
    </w:p>
    <w:p>
      <w:pPr>
        <w:spacing w:after="0" w:line="72" w:lineRule="exact"/>
        <w:rPr>
          <w:sz w:val="20"/>
          <w:szCs w:val="20"/>
          <w:color w:val="auto"/>
        </w:rPr>
      </w:pPr>
    </w:p>
    <w:p>
      <w:pPr>
        <w:ind w:left="880" w:hanging="373"/>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the board of directors; or</w:t>
      </w:r>
    </w:p>
    <w:p>
      <w:pPr>
        <w:spacing w:after="0" w:line="144" w:lineRule="exact"/>
        <w:rPr>
          <w:rFonts w:ascii="Times New Roman" w:cs="Times New Roman" w:eastAsia="Times New Roman" w:hAnsi="Times New Roman"/>
          <w:sz w:val="18"/>
          <w:szCs w:val="18"/>
          <w:color w:val="auto"/>
        </w:rPr>
      </w:pPr>
    </w:p>
    <w:p>
      <w:pPr>
        <w:ind w:left="880" w:right="260" w:hanging="373"/>
        <w:spacing w:after="0" w:line="282"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sale, other business combination or other significant corporate transaction involving us that other stockholders may desire.</w:t>
      </w:r>
    </w:p>
    <w:p>
      <w:pPr>
        <w:spacing w:after="0" w:line="54"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spacing w:after="0" w:line="6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the SVB Term Loan preclude us from paying dividends and any future debt or credit agreements may also preclude us from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7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75" w:name="page76"/>
    <w:bookmarkEnd w:id="75"/>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revenue-generating activities to compliance activities. If, notwithstanding our efforts to comply with new laws, rules and regulations, we fail to comply, regulatory authorities may initiate legal proceedings against us and our business may be harmed.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As of December 31, 2021, we had federal and state net operating loss carryforwards of $169.7 million and federal research and development tax credit carryforwards of $4.6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Due to our Series A convertible preferred stock financing in December 2012 and the shares issued in connection with our IPO in May 2019, an “ownership change” under Section 382 of the IRC occurred. As a result, our ability to use approximately $91.3 million of our net operating loss carryforwards and approximately $3.0 million of our research and development tax credits is limited. We may experience further ownership changes in the future as a result of subsequent shifts in our stock ownership, some of which may be outside of our control. If a further ownership change occurs, our ability to use our net operating loss carryforwards might be further limited. We have not conducted a detailed study to document whether our historical activities qualify to support our research and development credit carryforwards. A detailed study could result in adjustment to our research and development credit carryforwards. If we determine that an ownership change occurs and our ability to use our historical net operating loss and tax credit carryforwards is materially limited or if our research and development tax credit carryforwards are adjusted, it would harm our future operating results by effectively increasing our future tax obligations.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6" w:name="page77"/>
    <w:bookmarkEnd w:id="76"/>
    <w:p>
      <w:pPr>
        <w:ind w:firstLine="510"/>
        <w:spacing w:after="0" w:line="255"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auto"/>
        </w:rPr>
        <w:t>Recent changes in tax law may adversely affect our business or financial condition. On December 22, 2017, the U.S. government enacted the Tax Act, which significantly reformed the IRC.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80"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7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us. In addition, it is uncertain if and to what extent various states will conform to the Tax Act, the FFCR Act or the CARES Act.</w:t>
      </w:r>
    </w:p>
    <w:p>
      <w:pPr>
        <w:spacing w:after="0" w:line="6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5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880" w:hanging="373"/>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44" w:lineRule="exact"/>
        <w:rPr>
          <w:rFonts w:ascii="Times New Roman" w:cs="Times New Roman" w:eastAsia="Times New Roman" w:hAnsi="Times New Roman"/>
          <w:sz w:val="18"/>
          <w:szCs w:val="18"/>
          <w:color w:val="auto"/>
        </w:rPr>
      </w:pPr>
    </w:p>
    <w:p>
      <w:pPr>
        <w:ind w:left="880" w:right="360" w:hanging="373"/>
        <w:spacing w:after="0" w:line="282"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880" w:right="500" w:hanging="373"/>
        <w:spacing w:after="0" w:line="282"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44" w:lineRule="exact"/>
        <w:rPr>
          <w:rFonts w:ascii="Times New Roman" w:cs="Times New Roman" w:eastAsia="Times New Roman" w:hAnsi="Times New Roman"/>
          <w:sz w:val="18"/>
          <w:szCs w:val="18"/>
          <w:color w:val="auto"/>
        </w:rPr>
      </w:pPr>
    </w:p>
    <w:p>
      <w:pPr>
        <w:ind w:left="880" w:right="60" w:hanging="373"/>
        <w:spacing w:after="0" w:line="266"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7" w:name="page78"/>
    <w:bookmarkEnd w:id="77"/>
    <w:p>
      <w:pPr>
        <w:ind w:left="880" w:right="360" w:hanging="373"/>
        <w:spacing w:after="0" w:line="282"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54"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7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w:t>
      </w:r>
    </w:p>
    <w:p>
      <w:pPr>
        <w:spacing w:after="0" w:line="3" w:lineRule="exact"/>
        <w:rPr>
          <w:sz w:val="20"/>
          <w:szCs w:val="20"/>
          <w:color w:val="auto"/>
        </w:rPr>
      </w:pPr>
    </w:p>
    <w:p>
      <w:pPr>
        <w:ind w:right="120" w:firstLine="8"/>
        <w:spacing w:after="0" w:line="252"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spacing w:after="0" w:line="82"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other widespread outbreaks of contagious disease, including the COVID-19 pandemic, which has delayed our ability to complete our ongoing clinical trials, disrupted our business operations and may further delay our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w:t>
      </w:r>
    </w:p>
    <w:p>
      <w:pPr>
        <w:spacing w:after="0" w:line="72"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Significant outbreaks of contagious diseases, such as COVID-19, and other adverse public health developments, could have a material impact on our business operations and operating results.</w:t>
      </w:r>
    </w:p>
    <w:p>
      <w:pPr>
        <w:spacing w:after="0" w:line="54"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COVID-19 pandemic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in our Phase 2b/3 PRISM trial, new subject screening and most enrollment was temporarily halted in March 2020 due to the COVID-19 pandemic. After resuming screening and enrollment, multiple sites in the Phase 2b/3 PRISM trial required some remote monitoring of subject data. We also experienced slower recruitment activities in the Phase 2b/3 PRISM trial worldwide through the latter part of 2020 and the beginning of 2021 due to the resurgence of COVID-19. In addition, the clinical sites in our Phase 2 CANAL trial for chronic cough in adults with IPF experienced delays in the enrollment and treatment of subjects in the trial due to the vulnerability of IPF patients to COVID-19 and as a result, we amended the protocol for the trial to reduce the number of in-person subject visits and procedures. Although both the Phase 2 CANAL and Phase 2b/3 PRISM trials have now ended enrollment, the COVID-19 pandemic could still adversely affect our ability to retain subjects, principal investigators and site staff who, as healthcare providers, may have heightened exposure to COVID-19 and may result in further disruptions to our clinical trials due to prioritization of hospital and medical resources toward the outbreak, restrictions on travel of patients and healthcare providers, or potential inability of subjects to comply with clinical trial protocols if quarantines or travel restrictions impede subject movement or interrupt healthcare services. The response to the COVID-19 pandemic may also redirect resources of regulators in a way that could adversely impact our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8" w:name="page79"/>
    <w:bookmarkEnd w:id="78"/>
    <w:p>
      <w:pPr>
        <w:ind w:right="200"/>
        <w:spacing w:after="0" w:line="282" w:lineRule="auto"/>
        <w:rPr>
          <w:sz w:val="20"/>
          <w:szCs w:val="20"/>
          <w:color w:val="auto"/>
        </w:rPr>
      </w:pPr>
      <w:r>
        <w:rPr>
          <w:rFonts w:ascii="Times New Roman" w:cs="Times New Roman" w:eastAsia="Times New Roman" w:hAnsi="Times New Roman"/>
          <w:sz w:val="18"/>
          <w:szCs w:val="18"/>
          <w:color w:val="auto"/>
        </w:rPr>
        <w:t>ability to progress regulatory approvals and we may face impediments to regulatory meetings and approvals relating to our clinical trials due to measures intended to limit in-person interactions.</w:t>
      </w:r>
    </w:p>
    <w:p>
      <w:pPr>
        <w:spacing w:after="0" w:line="54"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 In addition, we have taken temporary precautionary measures intended to help minimize the risk of the virus to our employees, including allowing employees to work remotely part of the week, which could negatively affect our business.</w:t>
      </w:r>
    </w:p>
    <w:p>
      <w:pPr>
        <w:spacing w:after="0" w:line="75"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cannot presently predict the scope and severity of the disruptions we may experience or continue to experience as a result of the COVID-19 pandemic. If we or any of the third parties with whom we engage experience business disruptions,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 ability to raise additional funds and has also impacted, and may continue to impact, the volatility of our stock price and trading in our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Except as previously disclosed on a Current Report on Form 8-K (File No. 001-38886) that we filed with the SEC on April 7, 2022, we did not sell or issue any equity securities during the three months ended June 30, 2022 that were not registered under the Securities Act of 1933, as amended.</w:t>
      </w:r>
    </w:p>
    <w:p>
      <w:pPr>
        <w:spacing w:after="0" w:line="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5. Other Informaton.</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August 8, 2022, William Forbes, our Chief Development Officer, notified us that he would be stepping down, effective September 1, 2022.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Forbes has agreed to continue to serve as a consultant to us following the termination of his employment with us.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460" w:type="dxa"/>
            <w:vAlign w:val="bottom"/>
            <w:gridSpan w:val="14"/>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460" w:type="dxa"/>
            <w:vAlign w:val="bottom"/>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00" w:type="dxa"/>
            <w:vAlign w:val="bottom"/>
            <w:tcBorders>
              <w:top w:val="single" w:sz="8" w:color="auto"/>
            </w:tcBorders>
            <w:gridSpan w:val="18"/>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Form of Pre-Funded Warrant (incorporated by reference to Exhibit 4.1 to the Registrant’s Current Report on Form 8-K (File no. 001-38886)</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filed with the SEC on April 7, 2022)</w:t>
              </w:r>
            </w:hyperlink>
          </w:p>
        </w:tc>
        <w:tc>
          <w:tcPr>
            <w:tcW w:w="744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9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Amendment No. 1 to the Sales Agreement, dated May 13, 2022, by and between the Registrant and SVB Securities LLC (incorporated by</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reference to Exhibit 10.1 to the Registrant’s Current Report on Form 8-K (File No. 001-38886) filed with the SEC on May 16, 2022)</w:t>
              </w:r>
            </w:hyperlink>
          </w:p>
        </w:tc>
        <w:tc>
          <w:tcPr>
            <w:tcW w:w="5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Securities Purchase Agreement, dated April 6, 2022, by and among the Registrant and the Purchasers named therein (incorporated by</w:t>
              </w:r>
            </w:hyperlink>
          </w:p>
        </w:tc>
        <w:tc>
          <w:tcPr>
            <w:tcW w:w="4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reference to Exhibit 99.1 to the Registrant’s Current Report on Form 8-K (File no. 001-38886) filed with the SEC on April 7, 2022)</w:t>
              </w:r>
            </w:hyperlink>
          </w:p>
        </w:tc>
        <w:tc>
          <w:tcPr>
            <w:tcW w:w="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Registration Rights Agreement, dated April 6, 2022, by and among the Registrant and the Purchasers named therein (incorporated by</w:t>
              </w:r>
            </w:hyperlink>
          </w:p>
        </w:tc>
        <w:tc>
          <w:tcPr>
            <w:tcW w:w="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reference to Exhibit 99.2 to the Registrant’s Current Report on Form 8-K (File no. 001-38886) filed with the SEC on April 7, 2022)</w:t>
              </w:r>
            </w:hyperlink>
          </w:p>
        </w:tc>
        <w:tc>
          <w:tcPr>
            <w:tcW w:w="6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2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Third Amendment to Loan and Security Agreement, dated April 6, 2022, by and between Silicon Valley Bank and the Registrant</w:t>
              </w:r>
            </w:hyperlink>
          </w:p>
        </w:tc>
        <w:tc>
          <w:tcPr>
            <w:tcW w:w="8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(incorporated by reference to Exhibit 99.3 to the Registrant’s Current Report on Form 8-K (File no. 001-38886) filed with the SEC on April</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02">
              <w:r>
                <w:rPr>
                  <w:rFonts w:ascii="Times New Roman" w:cs="Times New Roman" w:eastAsia="Times New Roman" w:hAnsi="Times New Roman"/>
                  <w:sz w:val="18"/>
                  <w:szCs w:val="18"/>
                  <w:color w:val="0000EE"/>
                  <w:w w:val="96"/>
                </w:rPr>
                <w:t>7, 2022)</w:t>
              </w:r>
            </w:hyperlink>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43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or 15d-14(a) under the Securities Exchange Act of 1934, as</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560" w:type="dxa"/>
            <w:vAlign w:val="bottom"/>
            <w:tcBorders>
              <w:top w:val="single" w:sz="8" w:color="0000EE"/>
            </w:tcBorders>
            <w:gridSpan w:val="4"/>
          </w:tcPr>
          <w:p>
            <w:pPr>
              <w:spacing w:after="0"/>
              <w:rPr>
                <w:sz w:val="17"/>
                <w:szCs w:val="17"/>
                <w:color w:val="auto"/>
              </w:rPr>
            </w:pPr>
          </w:p>
        </w:tc>
        <w:tc>
          <w:tcPr>
            <w:tcW w:w="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4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or 15d-14(a) under the Securities Exchange Act of 1934, as</w:t>
            </w:r>
          </w:p>
        </w:tc>
        <w:tc>
          <w:tcPr>
            <w:tcW w:w="6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1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w:t>
            </w:r>
          </w:p>
        </w:tc>
        <w:tc>
          <w:tcPr>
            <w:tcW w:w="9160" w:type="dxa"/>
            <w:vAlign w:val="bottom"/>
            <w:tcBorders>
              <w:top w:val="single" w:sz="8" w:color="0000EE"/>
            </w:tcBorders>
            <w:gridSpan w:val="12"/>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w:t>
            </w:r>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0" w:type="dxa"/>
            <w:vAlign w:val="bottom"/>
          </w:tcPr>
          <w:p>
            <w:pPr>
              <w:spacing w:after="0"/>
              <w:rPr>
                <w:sz w:val="1"/>
                <w:szCs w:val="1"/>
                <w:color w:val="auto"/>
              </w:rPr>
            </w:pPr>
          </w:p>
        </w:tc>
      </w:tr>
      <w:tr>
        <w:trPr>
          <w:trHeight w:val="574"/>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0000EE"/>
            </w:tcBorders>
            <w:gridSpan w:val="2"/>
          </w:tcPr>
          <w:p>
            <w:pPr>
              <w:spacing w:after="0"/>
              <w:rPr>
                <w:sz w:val="24"/>
                <w:szCs w:val="24"/>
                <w:color w:val="auto"/>
              </w:rPr>
            </w:pPr>
          </w:p>
        </w:tc>
        <w:tc>
          <w:tcPr>
            <w:tcW w:w="408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74</w:t>
            </w:r>
          </w:p>
        </w:tc>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101.INS*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Inline XBRL document.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31" w:lineRule="exact"/>
        <w:rPr>
          <w:sz w:val="20"/>
          <w:szCs w:val="20"/>
          <w:color w:val="auto"/>
        </w:rPr>
      </w:pPr>
    </w:p>
    <w:p>
      <w:pPr>
        <w:sectPr>
          <w:pgSz w:w="11900" w:h="16838" w:orient="portrait"/>
          <w:cols w:equalWidth="0" w:num="2">
            <w:col w:w="780" w:space="360"/>
            <w:col w:w="10060"/>
          </w:cols>
          <w:pgMar w:left="320" w:top="337" w:right="379" w:bottom="1440" w:gutter="0" w:footer="0" w:header="0"/>
        </w:sectPr>
      </w:pPr>
    </w:p>
    <w:p>
      <w:pPr>
        <w:ind w:left="1140" w:hanging="1132"/>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TREVI THERAPEUTICS, INC.</w:t>
            </w:r>
          </w:p>
        </w:tc>
      </w:tr>
      <w:tr>
        <w:trPr>
          <w:trHeight w:val="45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2022</w:t>
            </w:r>
          </w:p>
        </w:tc>
        <w:tc>
          <w:tcPr>
            <w:tcW w:w="25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L. Good</w:t>
            </w:r>
          </w:p>
        </w:tc>
      </w:tr>
      <w:tr>
        <w:trPr>
          <w:trHeight w:val="201"/>
        </w:trPr>
        <w:tc>
          <w:tcPr>
            <w:tcW w:w="38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8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Jennifer L. Good</w:t>
            </w:r>
          </w:p>
        </w:tc>
      </w:tr>
      <w:tr>
        <w:trPr>
          <w:trHeight w:val="216"/>
        </w:trPr>
        <w:tc>
          <w:tcPr>
            <w:tcW w:w="3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59"/>
        </w:trPr>
        <w:tc>
          <w:tcPr>
            <w:tcW w:w="3880" w:type="dxa"/>
            <w:vAlign w:val="bottom"/>
          </w:tcPr>
          <w:p>
            <w:pPr>
              <w:spacing w:after="0"/>
              <w:rPr>
                <w:sz w:val="24"/>
                <w:szCs w:val="24"/>
                <w:color w:val="auto"/>
              </w:rPr>
            </w:pPr>
          </w:p>
        </w:tc>
        <w:tc>
          <w:tcPr>
            <w:tcW w:w="25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Lisa Delfini</w:t>
            </w:r>
          </w:p>
        </w:tc>
      </w:tr>
      <w:tr>
        <w:trPr>
          <w:trHeight w:val="201"/>
        </w:trPr>
        <w:tc>
          <w:tcPr>
            <w:tcW w:w="38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8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Lisa Delfini</w:t>
            </w:r>
          </w:p>
        </w:tc>
      </w:tr>
      <w:tr>
        <w:trPr>
          <w:trHeight w:val="216"/>
        </w:trPr>
        <w:tc>
          <w:tcPr>
            <w:tcW w:w="38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8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549" w:right="339" w:bottom="1440" w:gutter="0" w:footer="0" w:header="0"/>
        </w:sectPr>
      </w:pPr>
    </w:p>
    <w:bookmarkStart w:id="81" w:name="page82"/>
    <w:bookmarkEnd w:id="81"/>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OR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L. Good, certify that:</w:t>
      </w:r>
    </w:p>
    <w:p>
      <w:pPr>
        <w:spacing w:after="0" w:line="225" w:lineRule="exact"/>
        <w:rPr>
          <w:sz w:val="20"/>
          <w:szCs w:val="20"/>
          <w:color w:val="auto"/>
        </w:rPr>
      </w:pPr>
    </w:p>
    <w:p>
      <w:pPr>
        <w:ind w:left="700" w:hanging="182"/>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Trevi Therapeutics, Inc.;</w:t>
      </w:r>
    </w:p>
    <w:p>
      <w:pPr>
        <w:spacing w:after="0" w:line="225"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518"/>
        <w:spacing w:after="0" w:line="266" w:lineRule="auto"/>
        <w:tabs>
          <w:tab w:leader="none" w:pos="6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0" w:firstLine="483"/>
        <w:spacing w:after="0" w:line="266" w:lineRule="auto"/>
        <w:tabs>
          <w:tab w:leader="none" w:pos="119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483"/>
        <w:spacing w:after="0" w:line="266" w:lineRule="auto"/>
        <w:tabs>
          <w:tab w:leader="none" w:pos="120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60" w:firstLine="483"/>
        <w:spacing w:after="0" w:line="282" w:lineRule="auto"/>
        <w:tabs>
          <w:tab w:leader="none" w:pos="119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20" w:firstLine="483"/>
        <w:spacing w:after="0" w:line="266" w:lineRule="auto"/>
        <w:tabs>
          <w:tab w:leader="none" w:pos="120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518"/>
        <w:spacing w:after="0" w:line="282" w:lineRule="auto"/>
        <w:tabs>
          <w:tab w:leader="none" w:pos="6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60" w:firstLine="483"/>
        <w:spacing w:after="0" w:line="282" w:lineRule="auto"/>
        <w:tabs>
          <w:tab w:leader="none" w:pos="119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firstLine="483"/>
        <w:spacing w:after="0" w:line="282" w:lineRule="auto"/>
        <w:tabs>
          <w:tab w:leader="none" w:pos="120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tabs>
          <w:tab w:leader="none" w:pos="5580" w:val="left"/>
          <w:tab w:leader="none" w:pos="598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Jennifer L. Good</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82" w:name="page83"/>
    <w:bookmarkEnd w:id="82"/>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OR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Lisa Delfini, certify that:</w:t>
      </w:r>
    </w:p>
    <w:p>
      <w:pPr>
        <w:spacing w:after="0" w:line="225" w:lineRule="exact"/>
        <w:rPr>
          <w:sz w:val="20"/>
          <w:szCs w:val="20"/>
          <w:color w:val="auto"/>
        </w:rPr>
      </w:pPr>
    </w:p>
    <w:p>
      <w:pPr>
        <w:ind w:left="700" w:hanging="182"/>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Trevi Therapeutics, Inc.;</w:t>
      </w:r>
    </w:p>
    <w:p>
      <w:pPr>
        <w:spacing w:after="0" w:line="225"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518"/>
        <w:spacing w:after="0" w:line="266" w:lineRule="auto"/>
        <w:tabs>
          <w:tab w:leader="none" w:pos="69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0" w:firstLine="483"/>
        <w:spacing w:after="0" w:line="266" w:lineRule="auto"/>
        <w:tabs>
          <w:tab w:leader="none" w:pos="11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483"/>
        <w:spacing w:after="0" w:line="266" w:lineRule="auto"/>
        <w:tabs>
          <w:tab w:leader="none" w:pos="120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60" w:firstLine="483"/>
        <w:spacing w:after="0" w:line="282" w:lineRule="auto"/>
        <w:tabs>
          <w:tab w:leader="none" w:pos="11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20" w:firstLine="483"/>
        <w:spacing w:after="0" w:line="266" w:lineRule="auto"/>
        <w:tabs>
          <w:tab w:leader="none" w:pos="120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518"/>
        <w:spacing w:after="0" w:line="282" w:lineRule="auto"/>
        <w:tabs>
          <w:tab w:leader="none" w:pos="69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60" w:firstLine="483"/>
        <w:spacing w:after="0" w:line="282" w:lineRule="auto"/>
        <w:tabs>
          <w:tab w:leader="none" w:pos="11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firstLine="483"/>
        <w:spacing w:after="0" w:line="282" w:lineRule="auto"/>
        <w:tabs>
          <w:tab w:leader="none" w:pos="120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tabs>
          <w:tab w:leader="none" w:pos="5580" w:val="left"/>
          <w:tab w:leader="none" w:pos="598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Lisa Delfini</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6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Trevi Therapeutics, Inc. (the “Company”) for the period ended June 30, 2022,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0" w:lineRule="exact"/>
        <w:rPr>
          <w:sz w:val="20"/>
          <w:szCs w:val="20"/>
          <w:color w:val="auto"/>
        </w:rPr>
      </w:pPr>
    </w:p>
    <w:p>
      <w:pPr>
        <w:ind w:left="1000" w:hanging="493"/>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right="620" w:hanging="493"/>
        <w:spacing w:after="0" w:line="282"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spacing w:after="0"/>
        <w:tabs>
          <w:tab w:leader="none" w:pos="5500" w:val="left"/>
          <w:tab w:leader="none" w:pos="594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Jennifer L. Good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firstLine="51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Trevi Therapeutics, Inc. (the “Company”) for the period ended June 30, 2022,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spacing w:after="0" w:line="158" w:lineRule="exact"/>
        <w:rPr>
          <w:sz w:val="20"/>
          <w:szCs w:val="20"/>
          <w:color w:val="auto"/>
        </w:rPr>
      </w:pPr>
    </w:p>
    <w:p>
      <w:pPr>
        <w:ind w:left="1000" w:hanging="493"/>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right="620" w:hanging="493"/>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spacing w:after="0"/>
        <w:tabs>
          <w:tab w:leader="none" w:pos="5500" w:val="left"/>
          <w:tab w:leader="none" w:pos="594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Lisa Delfini</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2"/>
    </w:lvl>
  </w:abstractNum>
  <w:abstractNum w:abstractNumId="7">
    <w:nsid w:val="3006C83E"/>
    <w:multiLevelType w:val="hybridMultilevel"/>
    <w:lvl w:ilvl="0">
      <w:lvlJc w:val="left"/>
      <w:lvlText w:val="%1."/>
      <w:numFmt w:val="decimal"/>
      <w:start w:val="3"/>
    </w:lvl>
  </w:abstractNum>
  <w:abstractNum w:abstractNumId="8">
    <w:nsid w:val="614FD4A1"/>
    <w:multiLevelType w:val="hybridMultilevel"/>
    <w:lvl w:ilvl="0">
      <w:lvlJc w:val="left"/>
      <w:lvlText w:val="%1."/>
      <w:numFmt w:val="decimal"/>
      <w:start w:val="4"/>
    </w:lvl>
  </w:abstractNum>
  <w:abstractNum w:abstractNumId="9">
    <w:nsid w:val="419AC241"/>
    <w:multiLevelType w:val="hybridMultilevel"/>
    <w:lvl w:ilvl="0">
      <w:lvlJc w:val="left"/>
      <w:lvlText w:val="%1."/>
      <w:numFmt w:val="decimal"/>
      <w:start w:val="5"/>
    </w:lvl>
  </w:abstractNum>
  <w:abstractNum w:abstractNumId="10">
    <w:nsid w:val="5577F8E1"/>
    <w:multiLevelType w:val="hybridMultilevel"/>
    <w:lvl w:ilvl="0">
      <w:lvlJc w:val="left"/>
      <w:lvlText w:val="%1."/>
      <w:numFmt w:val="decimal"/>
      <w:start w:val="6"/>
    </w:lvl>
  </w:abstractNum>
  <w:abstractNum w:abstractNumId="11">
    <w:nsid w:val="440BADFC"/>
    <w:multiLevelType w:val="hybridMultilevel"/>
    <w:lvl w:ilvl="0">
      <w:lvlJc w:val="left"/>
      <w:lvlText w:val="%1."/>
      <w:numFmt w:val="decimal"/>
      <w:start w:val="7"/>
    </w:lvl>
  </w:abstractNum>
  <w:abstractNum w:abstractNumId="12">
    <w:nsid w:val="5072367"/>
    <w:multiLevelType w:val="hybridMultilevel"/>
    <w:lvl w:ilvl="0">
      <w:lvlJc w:val="left"/>
      <w:lvlText w:val="(%1)"/>
      <w:numFmt w:val="upperLetter"/>
      <w:start w:val="1"/>
    </w:lvl>
  </w:abstractNum>
  <w:abstractNum w:abstractNumId="13">
    <w:nsid w:val="3804823E"/>
    <w:multiLevelType w:val="hybridMultilevel"/>
    <w:lvl w:ilvl="0">
      <w:lvlJc w:val="left"/>
      <w:lvlText w:val="(%1)"/>
      <w:numFmt w:val="upperLetter"/>
      <w:start w:val="1"/>
    </w:lvl>
  </w:abstractNum>
  <w:abstractNum w:abstractNumId="14">
    <w:nsid w:val="77465F01"/>
    <w:multiLevelType w:val="hybridMultilevel"/>
    <w:lvl w:ilvl="0">
      <w:lvlJc w:val="left"/>
      <w:lvlText w:val="%1."/>
      <w:numFmt w:val="decimal"/>
      <w:start w:val="8"/>
    </w:lvl>
  </w:abstractNum>
  <w:abstractNum w:abstractNumId="15">
    <w:nsid w:val="7724C67E"/>
    <w:multiLevelType w:val="hybridMultilevel"/>
    <w:lvl w:ilvl="0">
      <w:lvlJc w:val="left"/>
      <w:lvlText w:val="%1."/>
      <w:numFmt w:val="decimal"/>
      <w:start w:val="9"/>
    </w:lvl>
  </w:abstractNum>
  <w:abstractNum w:abstractNumId="16">
    <w:nsid w:val="5C482A97"/>
    <w:multiLevelType w:val="hybridMultilevel"/>
    <w:lvl w:ilvl="0">
      <w:lvlJc w:val="left"/>
      <w:lvlText w:val="%1."/>
      <w:numFmt w:val="decimal"/>
      <w:start w:val="10"/>
    </w:lvl>
  </w:abstractNum>
  <w:abstractNum w:abstractNumId="17">
    <w:nsid w:val="2463B9EA"/>
    <w:multiLevelType w:val="hybridMultilevel"/>
    <w:lvl w:ilvl="0">
      <w:lvlJc w:val="left"/>
      <w:lvlText w:val="%1."/>
      <w:numFmt w:val="decimal"/>
      <w:start w:val="11"/>
    </w:lvl>
  </w:abstractNum>
  <w:abstractNum w:abstractNumId="18">
    <w:nsid w:val="5E884ADC"/>
    <w:multiLevelType w:val="hybridMultilevel"/>
    <w:lvl w:ilvl="0">
      <w:lvlJc w:val="left"/>
      <w:lvlText w:val="%1."/>
      <w:numFmt w:val="decimal"/>
      <w:start w:val="12"/>
    </w:lvl>
  </w:abstractNum>
  <w:abstractNum w:abstractNumId="19">
    <w:nsid w:val="51EAD36B"/>
    <w:multiLevelType w:val="hybridMultilevel"/>
    <w:lvl w:ilvl="0">
      <w:lvlJc w:val="left"/>
      <w:lvlText w:val="%1."/>
      <w:numFmt w:val="decimal"/>
      <w:start w:val="13"/>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1)"/>
      <w:numFmt w:val="lowerRoman"/>
      <w:start w:val="1"/>
    </w:lvl>
  </w:abstractNum>
  <w:abstractNum w:abstractNumId="22">
    <w:nsid w:val="153EA438"/>
    <w:multiLevelType w:val="hybridMultilevel"/>
    <w:lvl w:ilvl="0">
      <w:lvlJc w:val="left"/>
      <w:lvlText w:val="(%1)"/>
      <w:numFmt w:val="upperLetter"/>
      <w:start w:val="2"/>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lowerRoman"/>
      <w:start w:val="2"/>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decimal"/>
      <w:start w:val="4"/>
    </w:lvl>
  </w:abstractNum>
  <w:abstractNum w:abstractNumId="54">
    <w:nsid w:val="1CF10FD8"/>
    <w:multiLevelType w:val="hybridMultilevel"/>
    <w:lvl w:ilvl="0">
      <w:lvlJc w:val="left"/>
      <w:lvlText w:val="%1"/>
      <w:numFmt w:val="decimal"/>
      <w:start w:val="104"/>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98" Type="http://schemas.openxmlformats.org/officeDocument/2006/relationships/hyperlink" Target="http://www.sec.gov/Archives/edgar/data/0001563880/000119312522098229/d324144dex41.htm" TargetMode="External"/><Relationship Id="rId99" Type="http://schemas.openxmlformats.org/officeDocument/2006/relationships/hyperlink" Target="http://www.sec.gov/Archives/edgar/data/0001563880/000156459022020177/trvi-ex101_42.htm" TargetMode="External"/><Relationship Id="rId100" Type="http://schemas.openxmlformats.org/officeDocument/2006/relationships/hyperlink" Target="http://www.sec.gov/Archives/edgar/data/0001563880/000119312522098229/d324144dex991.htm" TargetMode="External"/><Relationship Id="rId101" Type="http://schemas.openxmlformats.org/officeDocument/2006/relationships/hyperlink" Target="http://www.sec.gov/Archives/edgar/data/0001563880/000119312522098229/d324144dex992.htm" TargetMode="External"/><Relationship Id="rId102" Type="http://schemas.openxmlformats.org/officeDocument/2006/relationships/hyperlink" Target="http://www.sec.gov/Archives/edgar/data/0001563880/000119312522098229/d324144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2022-08-11T19:04:40Z</dcterms:created>
  <dcterms:modified xsi:type="dcterms:W3CDTF">2022-08-11T19:04:40Z</dcterms:modified>
</cp:coreProperties>
</file>