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64770</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83185</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4260" w:right="3660" w:hanging="4252"/>
        <w:spacing w:after="0" w:line="310" w:lineRule="auto"/>
        <w:tabs>
          <w:tab w:leader="none" w:pos="554"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ind w:left="552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OR</w:t>
      </w:r>
    </w:p>
    <w:p>
      <w:pPr>
        <w:spacing w:after="0" w:line="42"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3" w:lineRule="exact"/>
        <w:rPr>
          <w:rFonts w:ascii="MS PGothic" w:cs="MS PGothic" w:eastAsia="MS PGothic" w:hAnsi="MS PGothic"/>
          <w:sz w:val="14"/>
          <w:szCs w:val="14"/>
          <w:color w:val="auto"/>
          <w:highlight w:val="black"/>
        </w:rPr>
      </w:pPr>
    </w:p>
    <w:p>
      <w:pPr>
        <w:ind w:left="56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FROMTO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68580</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TREVI THERAPEUTICS,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64770</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49" w:lineRule="exact"/>
        <w:rPr>
          <w:sz w:val="24"/>
          <w:szCs w:val="24"/>
          <w:color w:val="auto"/>
        </w:rPr>
      </w:pPr>
    </w:p>
    <w:tbl>
      <w:tblPr>
        <w:tblLayout w:type="fixed"/>
        <w:tblInd w:w="1780" w:type="dxa"/>
        <w:tblCellMar>
          <w:top w:w="0" w:type="dxa"/>
          <w:left w:w="0" w:type="dxa"/>
          <w:bottom w:w="0" w:type="dxa"/>
          <w:right w:w="0" w:type="dxa"/>
        </w:tblCellMar>
      </w:tblPr>
      <w:tr>
        <w:trPr>
          <w:trHeight w:val="198"/>
        </w:trPr>
        <w:tc>
          <w:tcPr>
            <w:tcW w:w="4120" w:type="dxa"/>
            <w:vAlign w:val="bottom"/>
          </w:tcPr>
          <w:p>
            <w:pPr>
              <w:jc w:val="center"/>
              <w:ind w:right="1988"/>
              <w:spacing w:after="0"/>
              <w:rPr>
                <w:sz w:val="20"/>
                <w:szCs w:val="20"/>
                <w:color w:val="auto"/>
              </w:rPr>
            </w:pPr>
            <w:r>
              <w:rPr>
                <w:rFonts w:ascii="Arial" w:cs="Arial" w:eastAsia="Arial" w:hAnsi="Arial"/>
                <w:sz w:val="16"/>
                <w:szCs w:val="16"/>
                <w:b w:val="1"/>
                <w:bCs w:val="1"/>
                <w:color w:val="auto"/>
                <w:w w:val="93"/>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45-0834299</w:t>
            </w:r>
          </w:p>
        </w:tc>
      </w:tr>
      <w:tr>
        <w:trPr>
          <w:trHeight w:val="135"/>
        </w:trPr>
        <w:tc>
          <w:tcPr>
            <w:tcW w:w="4120" w:type="dxa"/>
            <w:vAlign w:val="bottom"/>
          </w:tcPr>
          <w:p>
            <w:pPr>
              <w:jc w:val="center"/>
              <w:ind w:right="1968"/>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3020" w:type="dxa"/>
            <w:vAlign w:val="bottom"/>
          </w:tcPr>
          <w:p>
            <w:pPr>
              <w:jc w:val="center"/>
              <w:ind w:left="197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89"/>
              </w:rPr>
              <w:t>Identification No.)</w:t>
            </w:r>
          </w:p>
        </w:tc>
      </w:tr>
      <w:tr>
        <w:trPr>
          <w:trHeight w:val="286"/>
        </w:trPr>
        <w:tc>
          <w:tcPr>
            <w:tcW w:w="4120" w:type="dxa"/>
            <w:vAlign w:val="bottom"/>
          </w:tcPr>
          <w:p>
            <w:pPr>
              <w:jc w:val="center"/>
              <w:ind w:right="1968"/>
              <w:spacing w:after="0" w:line="285" w:lineRule="exact"/>
              <w:rPr>
                <w:sz w:val="20"/>
                <w:szCs w:val="20"/>
                <w:color w:val="auto"/>
              </w:rPr>
            </w:pPr>
            <w:r>
              <w:rPr>
                <w:rFonts w:ascii="Arial" w:cs="Arial" w:eastAsia="Arial" w:hAnsi="Arial"/>
                <w:sz w:val="16"/>
                <w:szCs w:val="16"/>
                <w:b w:val="1"/>
                <w:bCs w:val="1"/>
                <w:color w:val="auto"/>
                <w:w w:val="90"/>
              </w:rPr>
              <w:t>195 Church Street, 14</w:t>
            </w:r>
            <w:r>
              <w:rPr>
                <w:rFonts w:ascii="Arial" w:cs="Arial" w:eastAsia="Arial" w:hAnsi="Arial"/>
                <w:sz w:val="27"/>
                <w:szCs w:val="27"/>
                <w:b w:val="1"/>
                <w:bCs w:val="1"/>
                <w:color w:val="auto"/>
                <w:w w:val="90"/>
                <w:vertAlign w:val="superscript"/>
              </w:rPr>
              <w:t>th</w:t>
            </w:r>
            <w:r>
              <w:rPr>
                <w:rFonts w:ascii="Arial" w:cs="Arial" w:eastAsia="Arial" w:hAnsi="Arial"/>
                <w:sz w:val="16"/>
                <w:szCs w:val="16"/>
                <w:b w:val="1"/>
                <w:bCs w:val="1"/>
                <w:color w:val="auto"/>
                <w:w w:val="90"/>
              </w:rPr>
              <w:t xml:space="preserve"> Floor</w:t>
            </w:r>
          </w:p>
        </w:tc>
        <w:tc>
          <w:tcPr>
            <w:tcW w:w="3020" w:type="dxa"/>
            <w:vAlign w:val="bottom"/>
          </w:tcPr>
          <w:p>
            <w:pPr>
              <w:spacing w:after="0"/>
              <w:rPr>
                <w:sz w:val="24"/>
                <w:szCs w:val="24"/>
                <w:color w:val="auto"/>
              </w:rPr>
            </w:pPr>
          </w:p>
        </w:tc>
      </w:tr>
      <w:tr>
        <w:trPr>
          <w:trHeight w:val="198"/>
        </w:trPr>
        <w:tc>
          <w:tcPr>
            <w:tcW w:w="4120" w:type="dxa"/>
            <w:vAlign w:val="bottom"/>
          </w:tcPr>
          <w:p>
            <w:pPr>
              <w:jc w:val="center"/>
              <w:ind w:right="1968"/>
              <w:spacing w:after="0"/>
              <w:rPr>
                <w:sz w:val="20"/>
                <w:szCs w:val="20"/>
                <w:color w:val="auto"/>
              </w:rPr>
            </w:pPr>
            <w:r>
              <w:rPr>
                <w:rFonts w:ascii="Arial" w:cs="Arial" w:eastAsia="Arial" w:hAnsi="Arial"/>
                <w:sz w:val="16"/>
                <w:szCs w:val="16"/>
                <w:b w:val="1"/>
                <w:bCs w:val="1"/>
                <w:color w:val="auto"/>
                <w:w w:val="92"/>
              </w:rPr>
              <w:t>New Haven, Connecticut</w:t>
            </w:r>
          </w:p>
        </w:tc>
        <w:tc>
          <w:tcPr>
            <w:tcW w:w="3020" w:type="dxa"/>
            <w:vAlign w:val="bottom"/>
          </w:tcPr>
          <w:p>
            <w:pPr>
              <w:jc w:val="right"/>
              <w:ind w:right="210"/>
              <w:spacing w:after="0"/>
              <w:rPr>
                <w:sz w:val="20"/>
                <w:szCs w:val="20"/>
                <w:color w:val="auto"/>
              </w:rPr>
            </w:pPr>
            <w:r>
              <w:rPr>
                <w:rFonts w:ascii="Arial" w:cs="Arial" w:eastAsia="Arial" w:hAnsi="Arial"/>
                <w:sz w:val="16"/>
                <w:szCs w:val="16"/>
                <w:b w:val="1"/>
                <w:bCs w:val="1"/>
                <w:color w:val="auto"/>
              </w:rPr>
              <w:t>06510</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90"/>
              </w:rPr>
              <w:t>(Zip Code)</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(203) 304-2499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5"/>
          <w:szCs w:val="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22225</wp:posOffset>
            </wp:positionV>
            <wp:extent cx="925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6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vMerge w:val="restart"/>
          </w:tcPr>
          <w:p>
            <w:pPr>
              <w:spacing w:after="0"/>
              <w:rPr>
                <w:sz w:val="14"/>
                <w:szCs w:val="14"/>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4"/>
                <w:szCs w:val="14"/>
                <w:color w:val="auto"/>
              </w:rPr>
            </w:pPr>
          </w:p>
        </w:tc>
        <w:tc>
          <w:tcPr>
            <w:tcW w:w="4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Common Stock, $0.001 par value per share</w:t>
            </w:r>
          </w:p>
        </w:tc>
        <w:tc>
          <w:tcPr>
            <w:tcW w:w="2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TRVI</w:t>
            </w:r>
          </w:p>
        </w:tc>
        <w:tc>
          <w:tcPr>
            <w:tcW w:w="426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6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6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3020"/>
              <w:spacing w:after="0"/>
              <w:rPr>
                <w:sz w:val="20"/>
                <w:szCs w:val="20"/>
                <w:color w:val="auto"/>
              </w:rPr>
            </w:pPr>
            <w:r>
              <w:rPr>
                <w:rFonts w:ascii="Arial" w:cs="Arial" w:eastAsia="Arial" w:hAnsi="Arial"/>
                <w:sz w:val="15"/>
                <w:szCs w:val="15"/>
                <w:color w:val="auto"/>
              </w:rPr>
              <w:t>Smaller reporting compan</w:t>
            </w:r>
            <w:r>
              <w:rPr>
                <w:rFonts w:ascii="Arial" w:cs="Arial" w:eastAsia="Arial" w:hAnsi="Arial"/>
                <w:sz w:val="16"/>
                <w:szCs w:val="16"/>
                <w:color w:val="auto"/>
              </w:rPr>
              <w:t>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0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41"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was $22.3 million.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17, 2022 was 30,805,804.</w:t>
      </w:r>
    </w:p>
    <w:p>
      <w:pPr>
        <w:spacing w:after="0" w:line="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rPr>
          <w:sz w:val="20"/>
          <w:szCs w:val="20"/>
          <w:color w:val="auto"/>
        </w:rPr>
      </w:pPr>
      <w:r>
        <w:rPr>
          <w:rFonts w:ascii="Arial" w:cs="Arial" w:eastAsia="Arial" w:hAnsi="Arial"/>
          <w:sz w:val="14"/>
          <w:szCs w:val="14"/>
          <w:color w:val="auto"/>
        </w:rPr>
        <w:t>Portions of the Proxy Statement for the registrant’s 2022 Annual Meeting of Stockholders are incorporated by reference into Part III of this Annual Report on Form 10-K.</w:t>
      </w:r>
    </w:p>
    <w:p>
      <w:pPr>
        <w:spacing w:after="0" w:line="124" w:lineRule="exact"/>
        <w:rPr>
          <w:sz w:val="24"/>
          <w:szCs w:val="24"/>
          <w:color w:val="auto"/>
        </w:rPr>
      </w:pPr>
    </w:p>
    <w:p>
      <w:pPr>
        <w:ind w:left="120"/>
        <w:spacing w:after="0"/>
        <w:tabs>
          <w:tab w:leader="none" w:pos="1620" w:val="left"/>
          <w:tab w:leader="none" w:pos="3140" w:val="left"/>
          <w:tab w:leader="none" w:pos="4520" w:val="left"/>
          <w:tab w:leader="none" w:pos="6760" w:val="left"/>
          <w:tab w:leader="none" w:pos="83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00042</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Ernst &amp; Young,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Hartford, Connecticut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121" w:lineRule="exact"/>
        <w:rPr>
          <w:sz w:val="20"/>
          <w:szCs w:val="20"/>
          <w:color w:val="auto"/>
        </w:rPr>
      </w:pPr>
    </w:p>
    <w:p>
      <w:pPr>
        <w:ind w:right="60" w:firstLine="554"/>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 contained in this Annual Report on Form 10-K, including statements regarding our strategy, future operations, future financial position, future revenues and profitability, projected costs, prospects, plans and objectives of management, are forward-looking statements. The words “anticipate,” “believe,”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17" w:lineRule="exact"/>
        <w:rPr>
          <w:sz w:val="20"/>
          <w:szCs w:val="20"/>
          <w:color w:val="auto"/>
        </w:rPr>
      </w:pPr>
    </w:p>
    <w:p>
      <w:pPr>
        <w:ind w:left="960" w:right="300" w:hanging="399"/>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ongoing clinical trials, including our Phase 2b/3 PRISM trial of Haduvio (nalbuphine ER) for the treatment of pruritus associated with prurigo nodularis and our Phase 2 CANAL trial for the treatment of chronic cough in patients with idiopathic pulmonary fibrosis;</w:t>
      </w:r>
    </w:p>
    <w:p>
      <w:pPr>
        <w:spacing w:after="0" w:line="38" w:lineRule="exact"/>
        <w:rPr>
          <w:rFonts w:ascii="Arial" w:cs="Arial" w:eastAsia="Arial" w:hAnsi="Arial"/>
          <w:sz w:val="17"/>
          <w:szCs w:val="17"/>
          <w:color w:val="auto"/>
        </w:rPr>
      </w:pPr>
    </w:p>
    <w:p>
      <w:pPr>
        <w:ind w:left="960" w:hanging="399"/>
        <w:spacing w:after="0" w:line="342"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develop and, if approved, subsequently commercialize Haduvio for the treatment of pruritus associated with prurigo nodularis, for the treatment of chronic cough in patients with idiopathic pulmonary fibrosis, or for other serious neurologically mediated conditions;</w:t>
      </w:r>
    </w:p>
    <w:p>
      <w:pPr>
        <w:spacing w:after="0" w:line="15" w:lineRule="exact"/>
        <w:rPr>
          <w:rFonts w:ascii="Arial" w:cs="Arial" w:eastAsia="Arial" w:hAnsi="Arial"/>
          <w:sz w:val="16"/>
          <w:szCs w:val="16"/>
          <w:color w:val="auto"/>
        </w:rPr>
      </w:pPr>
    </w:p>
    <w:p>
      <w:pPr>
        <w:ind w:left="960" w:hanging="399"/>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for the initiation of clinical trials and the reporting of data from such trials;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to obtain and maintain regulatory approvals for Haduvio;</w:t>
      </w:r>
    </w:p>
    <w:p>
      <w:pPr>
        <w:spacing w:after="0" w:line="144" w:lineRule="exact"/>
        <w:rPr>
          <w:rFonts w:ascii="Arial" w:cs="Arial" w:eastAsia="Arial" w:hAnsi="Arial"/>
          <w:sz w:val="18"/>
          <w:szCs w:val="18"/>
          <w:color w:val="auto"/>
        </w:rPr>
      </w:pPr>
    </w:p>
    <w:p>
      <w:pPr>
        <w:ind w:left="960" w:right="20" w:hanging="399"/>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and cash equivalents and to continue as a going concern;</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55" w:lineRule="exact"/>
        <w:rPr>
          <w:rFonts w:ascii="Arial" w:cs="Arial" w:eastAsia="Arial" w:hAnsi="Arial"/>
          <w:sz w:val="17"/>
          <w:szCs w:val="17"/>
          <w:color w:val="auto"/>
        </w:rPr>
      </w:pPr>
    </w:p>
    <w:p>
      <w:pPr>
        <w:ind w:left="960" w:hanging="399"/>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w:t>
      </w:r>
    </w:p>
    <w:p>
      <w:pPr>
        <w:spacing w:after="0" w:line="144" w:lineRule="exact"/>
        <w:rPr>
          <w:rFonts w:ascii="Arial" w:cs="Arial" w:eastAsia="Arial" w:hAnsi="Arial"/>
          <w:sz w:val="18"/>
          <w:szCs w:val="18"/>
          <w:color w:val="auto"/>
        </w:rPr>
      </w:pPr>
    </w:p>
    <w:p>
      <w:pPr>
        <w:ind w:left="960" w:right="120" w:hanging="399"/>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pandemic caused by the novel coronavirus, or COVID-19, which pandemic we refer to as the COVID-19 pandemic, on our clinical trials, business and operations and our response to the COVID-19 pandemic.</w:t>
      </w:r>
    </w:p>
    <w:p>
      <w:pPr>
        <w:spacing w:after="0" w:line="62"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84" w:lineRule="exact"/>
        <w:rPr>
          <w:sz w:val="20"/>
          <w:szCs w:val="20"/>
          <w:color w:val="auto"/>
        </w:rPr>
      </w:pPr>
    </w:p>
    <w:p>
      <w:pPr>
        <w:ind w:right="80" w:firstLine="554"/>
        <w:spacing w:after="0" w:line="259" w:lineRule="auto"/>
        <w:rPr>
          <w:sz w:val="20"/>
          <w:szCs w:val="20"/>
          <w:color w:val="auto"/>
        </w:rPr>
      </w:pPr>
      <w:r>
        <w:rPr>
          <w:rFonts w:ascii="Arial" w:cs="Arial" w:eastAsia="Arial" w:hAnsi="Arial"/>
          <w:sz w:val="18"/>
          <w:szCs w:val="18"/>
          <w:color w:val="auto"/>
        </w:rPr>
        <w:t>You should read this Annual Report on Form 10-K and the documents that we have filed as exhibits to this Annual Report on Form 10-K completely and with the understanding that our actual future results may differ materially from what we expect. The forward-looking statements contained in this Annual Report on Form 10-K are made as of the date of this Annual Report on Form 10-K, and we do not assume any obligation to update any forward-looking statements except as required by applicable law.</w:t>
      </w:r>
    </w:p>
    <w:p>
      <w:pPr>
        <w:spacing w:after="0" w:line="79" w:lineRule="exact"/>
        <w:rPr>
          <w:sz w:val="20"/>
          <w:szCs w:val="20"/>
          <w:color w:val="auto"/>
        </w:rPr>
      </w:pPr>
    </w:p>
    <w:p>
      <w:pPr>
        <w:ind w:firstLine="554"/>
        <w:spacing w:after="0" w:line="291" w:lineRule="auto"/>
        <w:rPr>
          <w:sz w:val="20"/>
          <w:szCs w:val="20"/>
          <w:color w:val="auto"/>
        </w:rPr>
      </w:pPr>
      <w:r>
        <w:rPr>
          <w:rFonts w:ascii="Arial" w:cs="Arial" w:eastAsia="Arial" w:hAnsi="Arial"/>
          <w:sz w:val="16"/>
          <w:szCs w:val="16"/>
          <w:color w:val="auto"/>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firstLine="554"/>
        <w:spacing w:after="0" w:line="255" w:lineRule="auto"/>
        <w:rPr>
          <w:sz w:val="20"/>
          <w:szCs w:val="20"/>
          <w:color w:val="auto"/>
        </w:rPr>
      </w:pPr>
      <w:r>
        <w:rPr>
          <w:rFonts w:ascii="Arial" w:cs="Arial" w:eastAsia="Arial" w:hAnsi="Arial"/>
          <w:sz w:val="18"/>
          <w:szCs w:val="18"/>
          <w:color w:val="auto"/>
        </w:rPr>
        <w:t>We own or have rights to trademarks, service marks and trade names that we use in connection with the operation of our business, including our corporate name, logos and website names. We own the trademarks Trevi® and Haduvio™.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 and ™ symbols, but we will assert, to the fullest extent under applicable law, our rights to our trademarks, service marks and trade names. We intend to propose Haduvio as the trade name for our nalbuphine ER investigational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3" w:name="page4"/>
    <w:bookmarkEnd w:id="3"/>
    <w:p>
      <w:pPr>
        <w:jc w:val="center"/>
        <w:ind w:left="54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80" w:firstLine="554"/>
        <w:spacing w:after="0" w:line="272" w:lineRule="auto"/>
        <w:rPr>
          <w:sz w:val="20"/>
          <w:szCs w:val="20"/>
          <w:color w:val="auto"/>
        </w:rPr>
      </w:pPr>
      <w:r>
        <w:rPr>
          <w:rFonts w:ascii="Arial" w:cs="Arial" w:eastAsia="Arial" w:hAnsi="Arial"/>
          <w:sz w:val="17"/>
          <w:szCs w:val="17"/>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Annual Report on Form 10-K, and should be carefully considered, together with other information in this Annual Report on Form 10-K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69" w:lineRule="exact"/>
        <w:rPr>
          <w:sz w:val="20"/>
          <w:szCs w:val="20"/>
          <w:color w:val="auto"/>
        </w:rPr>
      </w:pPr>
    </w:p>
    <w:p>
      <w:pPr>
        <w:ind w:left="820" w:right="200" w:hanging="407"/>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and expect to continue to incur significant and increasing losses for the foreseeable future. We may never achieve or maintain profitability.</w:t>
      </w:r>
    </w:p>
    <w:p>
      <w:pPr>
        <w:spacing w:after="0" w:line="75" w:lineRule="exact"/>
        <w:rPr>
          <w:rFonts w:ascii="Arial" w:cs="Arial" w:eastAsia="Arial" w:hAnsi="Arial"/>
          <w:sz w:val="18"/>
          <w:szCs w:val="18"/>
          <w:color w:val="auto"/>
        </w:rPr>
      </w:pPr>
    </w:p>
    <w:p>
      <w:pPr>
        <w:ind w:left="820" w:right="200" w:hanging="407"/>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75"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conditions and events that raise substantial doubt about our ability to continue as a going concern.</w:t>
      </w:r>
    </w:p>
    <w:p>
      <w:pPr>
        <w:spacing w:after="0" w:line="130" w:lineRule="exact"/>
        <w:rPr>
          <w:rFonts w:ascii="Arial" w:cs="Arial" w:eastAsia="Arial" w:hAnsi="Arial"/>
          <w:sz w:val="18"/>
          <w:szCs w:val="18"/>
          <w:color w:val="auto"/>
        </w:rPr>
      </w:pPr>
    </w:p>
    <w:p>
      <w:pPr>
        <w:ind w:left="820" w:right="40" w:hanging="407"/>
        <w:spacing w:after="0" w:line="286"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6"/>
          <w:szCs w:val="16"/>
          <w:color w:val="auto"/>
        </w:rPr>
        <w:t>Our existing indebtedness, together with our other financial obligations and contractual commitments, could adversely affect our financial condition and restrict our future operations. For instance, if we fail to receive positive data in our Phase 2b/3 PRISM trial or fail to meet certain minimum cash or equity raise requirements under our loan facility with Silicon Valley Bank, or SVB, which loan facility we refer to as the SVB Term Loan, we will be required to deposit unrestricted and unencumbered cash equal to 100% of the principal amount of the indebtedness then outstanding in a cash collateral account controlled by SVB, which can be used by SVB to prepay the SVB Term Loan at any time and would reduce the amounts available to fund working capital, capital expenditures, product development efforts and general corporate purposes.</w:t>
      </w:r>
    </w:p>
    <w:p>
      <w:pPr>
        <w:spacing w:after="0" w:line="74" w:lineRule="exact"/>
        <w:rPr>
          <w:rFonts w:ascii="Arial" w:cs="Arial" w:eastAsia="Arial" w:hAnsi="Arial"/>
          <w:sz w:val="18"/>
          <w:szCs w:val="18"/>
          <w:color w:val="auto"/>
        </w:rPr>
      </w:pPr>
    </w:p>
    <w:p>
      <w:pPr>
        <w:ind w:left="820" w:right="200" w:hanging="407"/>
        <w:spacing w:after="0" w:line="263"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89" w:lineRule="exact"/>
        <w:rPr>
          <w:rFonts w:ascii="Arial" w:cs="Arial" w:eastAsia="Arial" w:hAnsi="Arial"/>
          <w:sz w:val="18"/>
          <w:szCs w:val="18"/>
          <w:color w:val="auto"/>
        </w:rPr>
      </w:pPr>
    </w:p>
    <w:p>
      <w:pPr>
        <w:ind w:left="820" w:hanging="407"/>
        <w:spacing w:after="0" w:line="25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delays and difficulties in the enrollment of subjects in our clinical trials, including our Phase 2b/3 PRISM trial and our Phase 2 CANAL trial. If we experience delays or difficulties in the enrollment of subjects in future clinical trials, our receipt of necessary regulatory approvals could be delayed or prevented. Other companies are conducting clinical trials or have announced plans for future clinical trials that are seeking or are likely to seek to enroll subjects with pruritus associated with prurigo nodularis or chronic cough associated with idiopathic pulmonary fibrosis and subjects are generally only able to enroll in a single trial at a time. In addition, many patients use various treatments off-label to treat pruritus associated with prurigo nodularis and chronic cough associated with idiopathic pulmonary fibrosis and these patients and their physicians may be reluctant to forgo, discontinue or otherwise alter their use of such off-label therapeutic approaches to participate in our clinical trials.</w:t>
      </w:r>
    </w:p>
    <w:p>
      <w:pPr>
        <w:spacing w:after="0" w:line="97"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approach to the development and commercialization of Haduvio to treat serious neurologically mediated conditions is unproven.</w:t>
      </w:r>
    </w:p>
    <w:p>
      <w:pPr>
        <w:spacing w:after="0" w:line="142" w:lineRule="exact"/>
        <w:rPr>
          <w:rFonts w:ascii="Arial" w:cs="Arial" w:eastAsia="Arial" w:hAnsi="Arial"/>
          <w:sz w:val="17"/>
          <w:szCs w:val="17"/>
          <w:color w:val="auto"/>
        </w:rPr>
      </w:pPr>
    </w:p>
    <w:p>
      <w:pPr>
        <w:ind w:left="820" w:right="140" w:hanging="407"/>
        <w:spacing w:after="0" w:line="263"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Even if we complete the necessary preclinical studies and clinical trials, the regulatory approval process is expensive, time consuming and uncertain, which may prevent us from obtaining approvals for the commercialization of Haduvio or any future product candidate.</w:t>
      </w:r>
    </w:p>
    <w:p>
      <w:pPr>
        <w:spacing w:after="0" w:line="89" w:lineRule="exact"/>
        <w:rPr>
          <w:rFonts w:ascii="Arial" w:cs="Arial" w:eastAsia="Arial" w:hAnsi="Arial"/>
          <w:sz w:val="18"/>
          <w:szCs w:val="18"/>
          <w:color w:val="auto"/>
        </w:rPr>
      </w:pPr>
    </w:p>
    <w:p>
      <w:pPr>
        <w:ind w:left="820" w:right="60" w:hanging="407"/>
        <w:spacing w:after="0" w:line="279"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Phase 2 clinical trial of Haduvio for the treatment of pruritus associated with prurigo nodularis may not be predictive of the results of our Phase 2b/3 PRISM trial, including due to the small subject size of the Phase 2 clinical trial, the discontinuation rate among subjects in the Phase 2 clinical trial, the limited number of subjects who completed treatment in the Phase 2 clinical trial and differences in the design of the Phase 2 clinical trial and the PRISM trial, including the longer treatment period for Haduvio being used in the PRISM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07" w:right="240" w:hanging="407"/>
        <w:spacing w:after="0" w:line="263" w:lineRule="auto"/>
        <w:tabs>
          <w:tab w:leader="none" w:pos="4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interim results of our Phase 2 CANAL trial of Haduvio for the treatment of chronic cough associated with idiopathic pulmonary fibrosis may not be predictive of the full trial results for the Phase 2 CANAL trial or any future trials of Haduvio for the treatment of chronic cough associated with idiopathic pulmonary fibrosis.</w:t>
      </w:r>
    </w:p>
    <w:p>
      <w:pPr>
        <w:spacing w:after="0" w:line="89" w:lineRule="exact"/>
        <w:rPr>
          <w:rFonts w:ascii="Arial" w:cs="Arial" w:eastAsia="Arial" w:hAnsi="Arial"/>
          <w:sz w:val="18"/>
          <w:szCs w:val="18"/>
          <w:color w:val="auto"/>
        </w:rPr>
      </w:pPr>
    </w:p>
    <w:p>
      <w:pPr>
        <w:ind w:left="407" w:hanging="407"/>
        <w:spacing w:after="0" w:line="254" w:lineRule="auto"/>
        <w:tabs>
          <w:tab w:leader="none" w:pos="407"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 The drug label for nalbuphine, the active ingredient in Haduvio, carries a warning for serious, life-threatening or fatal respiratory depression and Haduvio, if approved for marketing in any indication, will likely carry a similar label.</w:t>
      </w:r>
    </w:p>
    <w:p>
      <w:pPr>
        <w:spacing w:after="0" w:line="100" w:lineRule="exact"/>
        <w:rPr>
          <w:rFonts w:ascii="Arial" w:cs="Arial" w:eastAsia="Arial" w:hAnsi="Arial"/>
          <w:sz w:val="18"/>
          <w:szCs w:val="18"/>
          <w:color w:val="auto"/>
        </w:rPr>
      </w:pPr>
    </w:p>
    <w:p>
      <w:pPr>
        <w:ind w:left="407" w:right="40" w:hanging="407"/>
        <w:spacing w:after="0" w:line="273" w:lineRule="auto"/>
        <w:tabs>
          <w:tab w:leader="none" w:pos="407"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Many currently approved μ-opioid products are subject to restrictive marketing and distribution regulations which, if applied to Haduvio, could potentially restrict its use and harm our ability to generate profits. We plan to conduct a human abuse liability, or HAL, study to further characterize the abuse potential of oral nalbuphine. If the results of the HAL study suggest that Haduvio may carry risks of misuse, abuse or addiction or even if the trial indicates that Haduvio does not carry such risks, the U.S. Food and Drug Administration, or FDA, may require us to implement a Risk Evaluation and Mitigation Strategy in connection with any commercialization of Haduvio and the U.S. Drug Enforcement Agency could determine that Haduvio should be classified as a controlled substance.</w:t>
      </w:r>
    </w:p>
    <w:p>
      <w:pPr>
        <w:spacing w:after="0" w:line="83" w:lineRule="exact"/>
        <w:rPr>
          <w:rFonts w:ascii="Arial" w:cs="Arial" w:eastAsia="Arial" w:hAnsi="Arial"/>
          <w:sz w:val="17"/>
          <w:szCs w:val="17"/>
          <w:color w:val="auto"/>
        </w:rPr>
      </w:pPr>
    </w:p>
    <w:p>
      <w:pPr>
        <w:ind w:left="407" w:hanging="407"/>
        <w:spacing w:after="0" w:line="308" w:lineRule="auto"/>
        <w:tabs>
          <w:tab w:leader="none" w:pos="407"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51" w:lineRule="exact"/>
        <w:rPr>
          <w:rFonts w:ascii="Arial" w:cs="Arial" w:eastAsia="Arial" w:hAnsi="Arial"/>
          <w:sz w:val="17"/>
          <w:szCs w:val="17"/>
          <w:color w:val="auto"/>
        </w:rPr>
      </w:pPr>
    </w:p>
    <w:p>
      <w:pPr>
        <w:ind w:left="407" w:hanging="407"/>
        <w:spacing w:after="0"/>
        <w:tabs>
          <w:tab w:leader="none" w:pos="407"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products before or more successfully than we do.</w:t>
      </w:r>
    </w:p>
    <w:p>
      <w:pPr>
        <w:spacing w:after="0" w:line="153" w:lineRule="exact"/>
        <w:rPr>
          <w:rFonts w:ascii="Arial" w:cs="Arial" w:eastAsia="Arial" w:hAnsi="Arial"/>
          <w:sz w:val="16"/>
          <w:szCs w:val="16"/>
          <w:color w:val="auto"/>
        </w:rPr>
      </w:pPr>
    </w:p>
    <w:p>
      <w:pPr>
        <w:ind w:left="407" w:hanging="407"/>
        <w:spacing w:after="0"/>
        <w:tabs>
          <w:tab w:leader="none" w:pos="40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they do not perform satisfactorily, our business could be harmed.</w:t>
      </w:r>
    </w:p>
    <w:p>
      <w:pPr>
        <w:spacing w:after="0" w:line="130" w:lineRule="exact"/>
        <w:rPr>
          <w:rFonts w:ascii="Arial" w:cs="Arial" w:eastAsia="Arial" w:hAnsi="Arial"/>
          <w:sz w:val="18"/>
          <w:szCs w:val="18"/>
          <w:color w:val="auto"/>
        </w:rPr>
      </w:pPr>
    </w:p>
    <w:p>
      <w:pPr>
        <w:jc w:val="both"/>
        <w:ind w:left="407" w:right="40" w:hanging="407"/>
        <w:spacing w:after="0" w:line="263" w:lineRule="auto"/>
        <w:tabs>
          <w:tab w:leader="none" w:pos="40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and any future product candidates.</w:t>
      </w:r>
    </w:p>
    <w:p>
      <w:pPr>
        <w:spacing w:after="0" w:line="89" w:lineRule="exact"/>
        <w:rPr>
          <w:rFonts w:ascii="Arial" w:cs="Arial" w:eastAsia="Arial" w:hAnsi="Arial"/>
          <w:sz w:val="18"/>
          <w:szCs w:val="18"/>
          <w:color w:val="auto"/>
        </w:rPr>
      </w:pPr>
    </w:p>
    <w:p>
      <w:pPr>
        <w:jc w:val="both"/>
        <w:ind w:left="407" w:right="20" w:hanging="407"/>
        <w:spacing w:after="0" w:line="263" w:lineRule="auto"/>
        <w:tabs>
          <w:tab w:leader="none" w:pos="407"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spacing w:after="0" w:line="89" w:lineRule="exact"/>
        <w:rPr>
          <w:rFonts w:ascii="Arial" w:cs="Arial" w:eastAsia="Arial" w:hAnsi="Arial"/>
          <w:sz w:val="18"/>
          <w:szCs w:val="18"/>
          <w:color w:val="auto"/>
        </w:rPr>
      </w:pPr>
    </w:p>
    <w:p>
      <w:pPr>
        <w:ind w:left="407" w:right="120" w:hanging="407"/>
        <w:spacing w:after="0" w:line="259" w:lineRule="auto"/>
        <w:tabs>
          <w:tab w:leader="none" w:pos="407"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92" w:lineRule="exact"/>
        <w:rPr>
          <w:rFonts w:ascii="Arial" w:cs="Arial" w:eastAsia="Arial" w:hAnsi="Arial"/>
          <w:sz w:val="18"/>
          <w:szCs w:val="18"/>
          <w:color w:val="auto"/>
        </w:rPr>
      </w:pPr>
    </w:p>
    <w:p>
      <w:pPr>
        <w:jc w:val="both"/>
        <w:ind w:left="407" w:right="380" w:hanging="407"/>
        <w:spacing w:after="0" w:line="263" w:lineRule="auto"/>
        <w:tabs>
          <w:tab w:leader="none" w:pos="4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spacing w:after="0" w:line="89" w:lineRule="exact"/>
        <w:rPr>
          <w:rFonts w:ascii="Arial" w:cs="Arial" w:eastAsia="Arial" w:hAnsi="Arial"/>
          <w:sz w:val="18"/>
          <w:szCs w:val="18"/>
          <w:color w:val="auto"/>
        </w:rPr>
      </w:pPr>
    </w:p>
    <w:p>
      <w:pPr>
        <w:ind w:left="407" w:right="60" w:hanging="407"/>
        <w:spacing w:after="0" w:line="301" w:lineRule="auto"/>
        <w:tabs>
          <w:tab w:leader="none" w:pos="407"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risks related to health epidemics and other widespread outbreaks of contagious disease, including the COVID-19 pandemic, which has delayed our ongoing clinical trials, disrupted our business operations and may delay future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438785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7"/>
          </w:cols>
          <w:pgMar w:left="733" w:top="341"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Business</w:t>
              </w:r>
            </w:hyperlink>
          </w:p>
        </w:tc>
        <w:tc>
          <w:tcPr>
            <w:tcW w:w="8660" w:type="dxa"/>
            <w:vAlign w:val="bottom"/>
            <w:gridSpan w:val="2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Properties</w:t>
              </w:r>
            </w:hyperlink>
          </w:p>
        </w:tc>
        <w:tc>
          <w:tcPr>
            <w:tcW w:w="72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line="190" w:lineRule="exact"/>
              <w:rPr>
                <w:rFonts w:ascii="Arial" w:cs="Arial" w:eastAsia="Arial" w:hAnsi="Arial"/>
                <w:sz w:val="18"/>
                <w:szCs w:val="18"/>
                <w:color w:val="0000EE"/>
              </w:rPr>
            </w:pPr>
            <w:hyperlink w:anchor="page88">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[Reserved]</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30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Controls and Procedures</w:t>
              </w:r>
            </w:hyperlink>
          </w:p>
        </w:tc>
        <w:tc>
          <w:tcPr>
            <w:tcW w:w="28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9C.</w:t>
            </w:r>
          </w:p>
        </w:tc>
        <w:tc>
          <w:tcPr>
            <w:tcW w:w="930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Disclosure Regarding Foreign Jurisdictions that Prevent Inspections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1"/>
          </w:tcPr>
          <w:p>
            <w:pPr>
              <w:spacing w:after="0" w:line="190" w:lineRule="exact"/>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Exhibits, Financial Statement Schedules</w:t>
              </w:r>
            </w:hyperlink>
          </w:p>
        </w:tc>
        <w:tc>
          <w:tcPr>
            <w:tcW w:w="6400" w:type="dxa"/>
            <w:vAlign w:val="bottom"/>
            <w:gridSpan w:val="1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300" w:type="dxa"/>
            <w:vAlign w:val="bottom"/>
            <w:gridSpan w:val="21"/>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000"/>
        </w:trPr>
        <w:tc>
          <w:tcPr>
            <w:tcW w:w="116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54"/>
        <w:spacing w:after="0" w:line="257"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the investigational therapy Haduvio (nalbuphine ER) to treat serious neurologically mediated conditions. We are developing Haduvio for the treatment of chronic pruritus associated with prurigo nodularis and chronic cough in patients with idiopathic pulmonary fibrosis, or IPF. These conditions share a common pathophysiology that is mediated through opioid receptors in the central and peripheral nervous systems. Due to nalbuphine’s mechanism of action as a mixed agonist/antagonist of opioid receptors, we believe it has the potential to be effective in treating each of these conditions.</w:t>
      </w:r>
    </w:p>
    <w:p>
      <w:pPr>
        <w:spacing w:after="0" w:line="80" w:lineRule="exact"/>
        <w:rPr>
          <w:sz w:val="20"/>
          <w:szCs w:val="20"/>
          <w:color w:val="auto"/>
        </w:rPr>
      </w:pPr>
    </w:p>
    <w:p>
      <w:pPr>
        <w:ind w:right="80" w:firstLine="554"/>
        <w:spacing w:after="0" w:line="269" w:lineRule="auto"/>
        <w:rPr>
          <w:sz w:val="20"/>
          <w:szCs w:val="20"/>
          <w:color w:val="auto"/>
        </w:rPr>
      </w:pPr>
      <w:r>
        <w:rPr>
          <w:rFonts w:ascii="Arial" w:cs="Arial" w:eastAsia="Arial" w:hAnsi="Arial"/>
          <w:sz w:val="17"/>
          <w:szCs w:val="17"/>
          <w:color w:val="auto"/>
        </w:rPr>
        <w:t>We are conducting a Phase 2b/3 clinical trial of Haduvio, which we refer to as the Phase 2b/3 PRISM trial, in patients with severe pruritus associated with prurigo nodularis. The Phase 2b/3 PRISM trial is a randomized, double-blind, placebo controlled, two-arm treatment study that is designed to evaluate the safety and anti-pruritic efficacy of Haduvio in patients in the United States and Europe. In accordance with the protocol for the Phase 2b/3 PRISM trial, we conducted a sample size re-estimation, or SSRE, analysis in July 2020, following such time as approximately 45% of the initial targeted number of subjects in the trial were evaluable for the primary endpoint. Based on the analysis, the independent Data Monitoring Committee, or DMC, recommended that the Phase 2b/3 PRISM trial should continue and that the trial size should increase from an initial enrollment target of 240 to 360 subjects. Based on the DMC’s recommendation, we increased the trial size to 360 subjects. We completed enrollment in the trial on January 31, 2022. We expect to report top-line data in the second quarter of 2022. If the Phase 2b/3 PRISM trial is successful, we expect that we will use the Phase 2b/3 PRISM trial and an additional Phase 3 clinical trial that we believe we will need to conduct to support the submission of a new drug application , or NDA, to the U.S. Food and Drug Administration, or FDA, a marketing authorization application, or MAA, to the European Medicines Agency, or EMA, and an MAA to the Medicines and Healthcare products Regulatory Agency in the United Kingdom, or MHRA, for Haduvio for the treatment of pruritus associated with prurigo nodularis.</w:t>
      </w:r>
    </w:p>
    <w:p>
      <w:pPr>
        <w:spacing w:after="0" w:line="71" w:lineRule="exact"/>
        <w:rPr>
          <w:sz w:val="20"/>
          <w:szCs w:val="20"/>
          <w:color w:val="auto"/>
        </w:rPr>
      </w:pPr>
    </w:p>
    <w:p>
      <w:pPr>
        <w:ind w:right="40" w:firstLine="554"/>
        <w:spacing w:after="0" w:line="271" w:lineRule="auto"/>
        <w:rPr>
          <w:sz w:val="20"/>
          <w:szCs w:val="20"/>
          <w:color w:val="auto"/>
        </w:rPr>
      </w:pPr>
      <w:r>
        <w:rPr>
          <w:rFonts w:ascii="Arial" w:cs="Arial" w:eastAsia="Arial" w:hAnsi="Arial"/>
          <w:sz w:val="17"/>
          <w:szCs w:val="17"/>
          <w:color w:val="auto"/>
        </w:rPr>
        <w:t>We are also conducting a Phase 2 clinical trial of Haduvio for chronic cough in patients with IPF, which we refer to as the Phase 2 CANAL trial. The Phase 2 CANAL trial is a randomized, double-blind, placebo controlled, two-treatment, two-period, crossover study that is designed to evaluate the efficacy, safety, tolerability and dosing of Haduvio for chronic cough in patients with IPF. We are conducting this trial at multiple sites in the United Kingdom. The trial was designed to enroll approximately 60 subjects with a goal to have 44 study completers. In February 2022, we conducted an interim statistical analysis for this trial. The interim analysis (N=26) was statistically significant on the primary efficacy endpoint, demonstrating a 52% placebo-adjusted reduction in the geometric mean percent change in daytime cough events (p&lt;0.0001, conditional power 100%) for Haduvio. P-value is a conventional statistical method for measuring the statistical significance of clinical results. A p-value of less than 0.05 is generally considered to represent statistical significance, meaning that there is a less than five percent likelihood that the observed results occurred by chance. The interim analysis was conducted by an independent statistical team according to the pre-specified endpoint in the protocol. In March 2022, we concluded enrollment early for our Phase 2 CANAL trial following the statistically significant efficacy results from the interim analysis. Because the trial achieved statistical significance in the interim analysis, sites were notified that they could enroll eligible subjects already in screening but that no additional recruitment was required. Approximately 40 subjects in total were enrolled in the study. We expect to report efficacy and safety data on the full set of subjects in the third quarter of 2022.</w:t>
      </w:r>
    </w:p>
    <w:p>
      <w:pPr>
        <w:spacing w:after="0" w:line="74" w:lineRule="exact"/>
        <w:rPr>
          <w:sz w:val="20"/>
          <w:szCs w:val="20"/>
          <w:color w:val="auto"/>
        </w:rPr>
      </w:pPr>
    </w:p>
    <w:p>
      <w:pPr>
        <w:ind w:firstLine="554"/>
        <w:spacing w:after="0" w:line="259" w:lineRule="auto"/>
        <w:rPr>
          <w:sz w:val="20"/>
          <w:szCs w:val="20"/>
          <w:color w:val="auto"/>
        </w:rPr>
      </w:pPr>
      <w:r>
        <w:rPr>
          <w:rFonts w:ascii="Arial" w:cs="Arial" w:eastAsia="Arial" w:hAnsi="Arial"/>
          <w:sz w:val="18"/>
          <w:szCs w:val="18"/>
          <w:color w:val="auto"/>
        </w:rPr>
        <w:t>Haduvio is an oral extended-release formulation of nalbuphine. Nalbuphine is a mixed κ-opioid receptor agonist and µ-opioid receptor antagonist that has been approved and marketed as an injectable for pain indications for more than 20 years in the U.S. and Europe. The κ- and µ-opioid receptors are known to be critical mediators of itch, cough and certain movement disorders. Nalbuphine’s mechanism of action also mitigates the risk of abuse associated with µ-opioid agonists because it antagonizes, or blocks, the µ-opioid receptor.</w:t>
      </w:r>
    </w:p>
    <w:p>
      <w:pPr>
        <w:spacing w:after="0" w:line="79" w:lineRule="exact"/>
        <w:rPr>
          <w:sz w:val="20"/>
          <w:szCs w:val="20"/>
          <w:color w:val="auto"/>
        </w:rPr>
      </w:pPr>
    </w:p>
    <w:p>
      <w:pPr>
        <w:ind w:right="140" w:firstLine="554"/>
        <w:spacing w:after="0" w:line="290" w:lineRule="auto"/>
        <w:rPr>
          <w:sz w:val="20"/>
          <w:szCs w:val="20"/>
          <w:color w:val="auto"/>
        </w:rPr>
      </w:pPr>
      <w:r>
        <w:rPr>
          <w:rFonts w:ascii="Arial" w:cs="Arial" w:eastAsia="Arial" w:hAnsi="Arial"/>
          <w:sz w:val="16"/>
          <w:szCs w:val="16"/>
          <w:color w:val="auto"/>
        </w:rPr>
        <w:t>Chronic pruritus, defined as itching lasting longer than six weeks, causes a number of physical and psychological issues that can substantially impact patients’ daily well-being. The urge to scratch can be unbearable and the act of scratching can remove layers of skin and break the skin barrier, leading to bleeding and scarring and increasing the risk of infection. Chronic pruritus can also lead to trouble sleeping, resulting in loss of work productivity and increased anxiety and depression as patients struggle to maintain self-control. Chronic pruritus is a hallmark of many dermatologic and systemic diseases and is the predominant reason that patients with these diseases experience so much discomfort. A recent report published in the Journal of the American Academy of Dermatology estimated that up to 26% of the worldwide population will suffer from chronic pruritus at some point in their lives. According to the Global Pruritus Therapeutic Market Research Report issued in 2020, the market for pruritus therapeutics was $12.9 billion in 2020 and is expected to grow to $19.9 billion in 2026. Haduvio’s dual mechanism of action targets opioid receptors located in both the central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240"/>
        <w:spacing w:after="0" w:line="277" w:lineRule="auto"/>
        <w:rPr>
          <w:sz w:val="20"/>
          <w:szCs w:val="20"/>
          <w:color w:val="auto"/>
        </w:rPr>
      </w:pPr>
      <w:r>
        <w:rPr>
          <w:rFonts w:ascii="Arial" w:cs="Arial" w:eastAsia="Arial" w:hAnsi="Arial"/>
          <w:sz w:val="18"/>
          <w:szCs w:val="18"/>
          <w:color w:val="auto"/>
        </w:rPr>
        <w:t>peripheral nervous systems, each of which plays a role in modulating the sensation of itch. We believe this makes Haduvio a promising potential therapy for the treatment of chronic pruritus.</w:t>
      </w:r>
    </w:p>
    <w:p>
      <w:pPr>
        <w:spacing w:after="0" w:line="62" w:lineRule="exact"/>
        <w:rPr>
          <w:sz w:val="20"/>
          <w:szCs w:val="20"/>
          <w:color w:val="auto"/>
        </w:rPr>
      </w:pPr>
    </w:p>
    <w:p>
      <w:pPr>
        <w:ind w:right="20" w:firstLine="554"/>
        <w:spacing w:after="0" w:line="255" w:lineRule="auto"/>
        <w:rPr>
          <w:sz w:val="20"/>
          <w:szCs w:val="20"/>
          <w:color w:val="auto"/>
        </w:rPr>
      </w:pPr>
      <w:r>
        <w:rPr>
          <w:rFonts w:ascii="Arial" w:cs="Arial" w:eastAsia="Arial" w:hAnsi="Arial"/>
          <w:sz w:val="18"/>
          <w:szCs w:val="18"/>
          <w:color w:val="auto"/>
        </w:rPr>
        <w:t>We have completed clinical trials in two distinct and serious pruritic conditions, uremic pruritus and pruritus associated with prurigo nodularis, with over 400 subjects treated with different doses of Haduvio in these trials. Uremic pruritus is a pruritic condition occurring in patients with chronic kidney disease typically receiving dialysis. Prurigo nodularis is an intensely pruritic dermatologic condition characterized by the presence of pruriginous lesions including nodules, papules or plaques. Among other endpoints, these trials measured the reduction in pruritus as reported on the worst itch numerical rating scale, or WI-NRS, which is a patient-reported assessment on an 11-point scale from 0 to 10 of the severity of the worst itch experienced in the last 24 hours.</w:t>
      </w:r>
    </w:p>
    <w:p>
      <w:pPr>
        <w:spacing w:after="0" w:line="84" w:lineRule="exact"/>
        <w:rPr>
          <w:sz w:val="20"/>
          <w:szCs w:val="20"/>
          <w:color w:val="auto"/>
        </w:rPr>
      </w:pPr>
    </w:p>
    <w:p>
      <w:pPr>
        <w:ind w:right="140" w:firstLine="554"/>
        <w:spacing w:after="0" w:line="263" w:lineRule="auto"/>
        <w:rPr>
          <w:sz w:val="20"/>
          <w:szCs w:val="20"/>
          <w:color w:val="auto"/>
        </w:rPr>
      </w:pPr>
      <w:r>
        <w:rPr>
          <w:rFonts w:ascii="Arial" w:cs="Arial" w:eastAsia="Arial" w:hAnsi="Arial"/>
          <w:sz w:val="18"/>
          <w:szCs w:val="18"/>
          <w:color w:val="auto"/>
        </w:rPr>
        <w:t>Based on the results of our prurigo nodularis and uremic pruritus trials and open label extension trials in both indications, and discussions with the FDA and European regulatory authorities we initiated our Phase 2b/3 Pruritus Relief through Itch Scratch Modulation, or Phase 2b/3 PRISM, trial of Haduvio 162 mg tablets in patients with severe pruritus associated with prurigo nodularis.</w:t>
      </w:r>
    </w:p>
    <w:p>
      <w:pPr>
        <w:spacing w:after="0" w:line="76" w:lineRule="exact"/>
        <w:rPr>
          <w:sz w:val="20"/>
          <w:szCs w:val="20"/>
          <w:color w:val="auto"/>
        </w:rPr>
      </w:pPr>
    </w:p>
    <w:p>
      <w:pPr>
        <w:ind w:right="20" w:firstLine="554"/>
        <w:spacing w:after="0" w:line="290" w:lineRule="auto"/>
        <w:rPr>
          <w:sz w:val="20"/>
          <w:szCs w:val="20"/>
          <w:color w:val="auto"/>
        </w:rPr>
      </w:pPr>
      <w:r>
        <w:rPr>
          <w:rFonts w:ascii="Arial" w:cs="Arial" w:eastAsia="Arial" w:hAnsi="Arial"/>
          <w:sz w:val="16"/>
          <w:szCs w:val="16"/>
          <w:color w:val="auto"/>
        </w:rPr>
        <w:t>The Phase 2b/3 PRISM trial consists of two parts. The first part of the trial is a randomized, double-blind, placebo-controlled, parallel, two-arm, 14-week treatment period that evaluates the safety and anti-pruritic efficacy of Haduvio 162 mg tablets. The second part of the trial is an open label extension to evaluate Haduvio’s long-term safety profile as well as its effects on key prurigo nodularis parameters, including itch and skin healing, over a further 38 weeks, resulting in a 52-week overall treatment period. The primary efficacy endpoint for the trial is the proportion of patients achieving at least a 4-point improvement from baseline with respect to their worst itch at week 14 as measured by WI-NRS. The trial also includes several secondary endpoints, including mean changes from baseline to week 14 in skin healing assessments and quality of life measurements, such as ItchyQoL. In designing the statistical plan for the trial, we considered the rates of patient discontinuations we experienced in our earlier trials. We believe that these discontinuation rates can be reduced through increased patient and physician education prior to the commencement of dosing.</w:t>
      </w:r>
    </w:p>
    <w:p>
      <w:pPr>
        <w:spacing w:after="0" w:line="57" w:lineRule="exact"/>
        <w:rPr>
          <w:sz w:val="20"/>
          <w:szCs w:val="20"/>
          <w:color w:val="auto"/>
        </w:rPr>
      </w:pPr>
    </w:p>
    <w:p>
      <w:pPr>
        <w:ind w:right="40" w:firstLine="554"/>
        <w:spacing w:after="0" w:line="291" w:lineRule="auto"/>
        <w:rPr>
          <w:sz w:val="20"/>
          <w:szCs w:val="20"/>
          <w:color w:val="auto"/>
        </w:rPr>
      </w:pPr>
      <w:r>
        <w:rPr>
          <w:rFonts w:ascii="Arial" w:cs="Arial" w:eastAsia="Arial" w:hAnsi="Arial"/>
          <w:sz w:val="16"/>
          <w:szCs w:val="16"/>
          <w:color w:val="auto"/>
        </w:rPr>
        <w:t>The trial was designed to be conducted in 240 subjects, subject to a SSRE analysis to take place during the trial. In accordance with the protocol for the Phase 2b/3 PRISM trial, we conducted the SSRE analysis in July 2020, following such time as approximately 45% of the subjects in the trial were evaluable for the primary endpoint. Based on the analysis, the DMC recommended that the Phase 2b/3 PRISM trial should continue and that the trial size should increase from an initial enrollment target of 240 to 360 subjects, which maintains the statistical power for the primary endpoint. Based on the DMC’s recommendation, we increased the trial size to 360 subjects. We completed enrollment in the trial on January 31, 2022. We expect to report top-line data from the 14-week blinded treatment period of the Phase 2b/3 PRISM trial in the second quarter of 2022. We believe we will need to conduct an additional Phase 3 clinical trial to support the submission of an NDA to the FDA and MAAs to the EMA and MHRA.</w:t>
      </w:r>
    </w:p>
    <w:p>
      <w:pPr>
        <w:spacing w:after="0" w:line="58" w:lineRule="exact"/>
        <w:rPr>
          <w:sz w:val="20"/>
          <w:szCs w:val="20"/>
          <w:color w:val="auto"/>
        </w:rPr>
      </w:pPr>
    </w:p>
    <w:p>
      <w:pPr>
        <w:ind w:right="40" w:firstLine="554"/>
        <w:spacing w:after="0" w:line="291" w:lineRule="auto"/>
        <w:rPr>
          <w:sz w:val="20"/>
          <w:szCs w:val="20"/>
          <w:color w:val="auto"/>
        </w:rPr>
      </w:pPr>
      <w:r>
        <w:rPr>
          <w:rFonts w:ascii="Arial" w:cs="Arial" w:eastAsia="Arial" w:hAnsi="Arial"/>
          <w:sz w:val="16"/>
          <w:szCs w:val="16"/>
          <w:color w:val="auto"/>
        </w:rPr>
        <w:t>As a result of nalbuphine’s ability to modulate the κ- and µ-opioid receptors, which are known to be involved in the pathophysiology of chronic cough in patients with IPF, we are conducting the Phase 2 CANAL trial of Haduvio for chronic cough in patients with IPF. The Phase 2 CANAL trial is a randomized, double-blind, placebo controlled, two-treatment, two-period, crossover study designed to evaluate the efficacy, safety, tolerability and dosing of Haduvio for chronic cough in patients with IPF. We are conducting this trial at multiple sites in the United Kingdom. The trial was designed to enroll approximately 60 subjects with a goal to have 44 study completers. In February 2022, we conducted an interim statistical analysis for this trial. The interim analysis (N=26) was statistically significant on the primary efficacy endpoint, demonstrating a 52% placebo-adjusted reduction in the geometric mean percent change in daytime cough events (p&lt;0.0001, conditional power 100%) for Haduvio. The interim analysis was conducted by an independent statistical team according to the pre-specified endpoint in the protocol. In March 2022, we concluded enrollment early for our Phase 2 CANAL trial following the statistically significant efficacy results from the interim analysis. Because the trial achieved statistical significance in the interim analysis, sites were notified that they could enroll eligible subjects already in screening but that no additional recruitment was required. Approximately 40 subjects in total were enrolled in the study. We expect to report efficacy and safety data on the full set of subjects in the third quarter of 2022.</w:t>
      </w:r>
    </w:p>
    <w:p>
      <w:pPr>
        <w:spacing w:after="0" w:line="57" w:lineRule="exact"/>
        <w:rPr>
          <w:sz w:val="20"/>
          <w:szCs w:val="20"/>
          <w:color w:val="auto"/>
        </w:rPr>
      </w:pPr>
    </w:p>
    <w:p>
      <w:pPr>
        <w:ind w:firstLine="554"/>
        <w:spacing w:after="0" w:line="308" w:lineRule="auto"/>
        <w:rPr>
          <w:sz w:val="20"/>
          <w:szCs w:val="20"/>
          <w:color w:val="auto"/>
        </w:rPr>
      </w:pPr>
      <w:r>
        <w:rPr>
          <w:rFonts w:ascii="Arial" w:cs="Arial" w:eastAsia="Arial" w:hAnsi="Arial"/>
          <w:sz w:val="17"/>
          <w:szCs w:val="17"/>
          <w:color w:val="auto"/>
        </w:rPr>
        <w:t>We are currently focusing our cash and operational resources on completing the Phase 2b/3 PRISM and the Phase 2 CANAL trials. After we receive top-line data from both of these trials we will evaluate additional indications for which we may choose to pursue development of Haduvio.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0" w:firstLine="554"/>
        <w:spacing w:after="0" w:line="277" w:lineRule="auto"/>
        <w:rPr>
          <w:sz w:val="20"/>
          <w:szCs w:val="20"/>
          <w:color w:val="auto"/>
        </w:rPr>
      </w:pPr>
      <w:r>
        <w:rPr>
          <w:rFonts w:ascii="Arial" w:cs="Arial" w:eastAsia="Arial" w:hAnsi="Arial"/>
          <w:sz w:val="18"/>
          <w:szCs w:val="18"/>
          <w:color w:val="auto"/>
        </w:rPr>
        <w:t>We are focused on the development and commercialization of Haduvio to treat serious neurologically mediated conditions. The key elements of our strategy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jc w:val="both"/>
        <w:ind w:left="960" w:hanging="399"/>
        <w:spacing w:after="0" w:line="30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Complete the clinical development of Haduvio for the treatment of pruritus associated with prurigo nodularis. </w:t>
      </w:r>
      <w:r>
        <w:rPr>
          <w:rFonts w:ascii="Arial" w:cs="Arial" w:eastAsia="Arial" w:hAnsi="Arial"/>
          <w:sz w:val="16"/>
          <w:szCs w:val="16"/>
          <w:color w:val="auto"/>
        </w:rPr>
        <w:t>We are conducting our Phase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2b/3 PRISM trial to evaluate the safety and anti-pruritic efficacy of Haduvio in patients with severe pruritus associated with prurigo nodularis. We completed enrollment in the trial on January 31, 2022. We expect to report top-line data in the second quarter of 2022. We believe we will need to conduct an additional Phase 3 clinical trial to support the submission of an NDA to the FDA and MAAs to the EMA and MHRA.</w:t>
      </w:r>
    </w:p>
    <w:p>
      <w:pPr>
        <w:spacing w:after="0" w:line="49" w:lineRule="exact"/>
        <w:rPr>
          <w:rFonts w:ascii="Arial" w:cs="Arial" w:eastAsia="Arial" w:hAnsi="Arial"/>
          <w:sz w:val="16"/>
          <w:szCs w:val="16"/>
          <w:color w:val="auto"/>
        </w:rPr>
      </w:pPr>
    </w:p>
    <w:p>
      <w:pPr>
        <w:ind w:left="960" w:right="60" w:hanging="399"/>
        <w:spacing w:after="0" w:line="274"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Complete the clinical development of Haduvio for the treatment of chronic cough associated with IPF. </w:t>
      </w:r>
      <w:r>
        <w:rPr>
          <w:rFonts w:ascii="Arial" w:cs="Arial" w:eastAsia="Arial" w:hAnsi="Arial"/>
          <w:sz w:val="17"/>
          <w:szCs w:val="17"/>
          <w:color w:val="auto"/>
        </w:rPr>
        <w:t>The Phase 2 CANAL trial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enroll approximately 60 subjects with a goal to have 44 study completers. In February 2022, we conducted an interim statistical analysis for this trial. The interim analysis (N=26) was statistically significant on the primary efficacy endpoint, demonstrating a 52% placebo-adjusted reduction in the geometric mean percent change in daytime cough events (p&lt;0.0001, conditional power 100%) for Haduvio. The interim analysis was conducted by an independent statistical team according to the pre-specified endpoint in the protocol. In March 2022, we concluded enrollment early for our Phase 2 CANAL trial following the statistically significant efficacy results from the interim analysis. Because the trial achieved statistical significance in the interim analysis, sites were notified that they could enroll eligible subjects already in screening but that no additional recruitment was required. Approximately 40 subjects in total were enrolled in the study. We expect to report efficacy and safety data on the full set of subjects in the third quarter of 2022.</w:t>
      </w:r>
    </w:p>
    <w:p>
      <w:pPr>
        <w:spacing w:after="0" w:line="70" w:lineRule="exact"/>
        <w:rPr>
          <w:rFonts w:ascii="Arial" w:cs="Arial" w:eastAsia="Arial" w:hAnsi="Arial"/>
          <w:sz w:val="17"/>
          <w:szCs w:val="17"/>
          <w:color w:val="auto"/>
        </w:rPr>
      </w:pPr>
    </w:p>
    <w:p>
      <w:pPr>
        <w:ind w:left="960" w:right="580" w:hanging="399"/>
        <w:spacing w:after="0" w:line="308"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continued development of Haduvio for additional pruritic or cough conditions. </w:t>
      </w:r>
      <w:r>
        <w:rPr>
          <w:rFonts w:ascii="Arial" w:cs="Arial" w:eastAsia="Arial" w:hAnsi="Arial"/>
          <w:sz w:val="17"/>
          <w:szCs w:val="17"/>
          <w:color w:val="auto"/>
        </w:rPr>
        <w:t>Based on the data from our on-going trials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pruritus and cough, we plan to continue to develop Haduvio for the treatment of other pruritic or cough conditions.</w:t>
      </w:r>
    </w:p>
    <w:p>
      <w:pPr>
        <w:spacing w:after="0" w:line="38" w:lineRule="exact"/>
        <w:rPr>
          <w:rFonts w:ascii="Arial" w:cs="Arial" w:eastAsia="Arial" w:hAnsi="Arial"/>
          <w:sz w:val="17"/>
          <w:szCs w:val="17"/>
          <w:color w:val="auto"/>
        </w:rPr>
      </w:pPr>
    </w:p>
    <w:p>
      <w:pPr>
        <w:ind w:left="960" w:right="40" w:hanging="399"/>
        <w:spacing w:after="0" w:line="275"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Maximize the commercial potential of Haduvio. </w:t>
      </w:r>
      <w:r>
        <w:rPr>
          <w:rFonts w:ascii="Arial" w:cs="Arial" w:eastAsia="Arial" w:hAnsi="Arial"/>
          <w:sz w:val="17"/>
          <w:szCs w:val="17"/>
          <w:color w:val="auto"/>
        </w:rPr>
        <w:t>We have retained worldwide commercial rights for Haduvio. If Haduvio receives marketing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approval from the FDA for any of the indications we are currently pursuing, we plan to commercialize Haduvio in the U.S. with our own focused, specialty sales organization targeting the physicians specializing in these conditions. If Haduvio receives marketing approval for any of these indications outside the U.S., we expect to utilize a variety of collaboration, distribution and other marketing arrangements with one or more third parties to commercialize Haduvio in such markets.</w:t>
      </w:r>
    </w:p>
    <w:p>
      <w:pPr>
        <w:spacing w:after="0" w:line="68" w:lineRule="exact"/>
        <w:rPr>
          <w:rFonts w:ascii="Arial" w:cs="Arial" w:eastAsia="Arial" w:hAnsi="Arial"/>
          <w:sz w:val="17"/>
          <w:szCs w:val="17"/>
          <w:color w:val="auto"/>
        </w:rPr>
      </w:pPr>
    </w:p>
    <w:p>
      <w:pPr>
        <w:ind w:left="960" w:right="20" w:hanging="399"/>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Evaluate business development opportunities and potential collaborations. </w:t>
      </w:r>
      <w:r>
        <w:rPr>
          <w:rFonts w:ascii="Arial" w:cs="Arial" w:eastAsia="Arial" w:hAnsi="Arial"/>
          <w:sz w:val="18"/>
          <w:szCs w:val="18"/>
          <w:color w:val="auto"/>
        </w:rPr>
        <w:t>We plan to evaluate the merits of entering into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with other pharmaceutical or biotechnology companies that may contribute to our ability to efficiently advance product candidates, build our product pipeline and concurrently advance a range of research and development programs, which may include additional product candidates beyond the development of Haduvio.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Nalbuphine Mechanistic Rationale</w:t>
      </w:r>
    </w:p>
    <w:p>
      <w:pPr>
        <w:spacing w:after="0" w:line="121" w:lineRule="exact"/>
        <w:rPr>
          <w:sz w:val="20"/>
          <w:szCs w:val="20"/>
          <w:color w:val="auto"/>
        </w:rPr>
      </w:pPr>
    </w:p>
    <w:p>
      <w:pPr>
        <w:ind w:right="100" w:firstLine="554"/>
        <w:spacing w:after="0" w:line="259" w:lineRule="auto"/>
        <w:rPr>
          <w:sz w:val="20"/>
          <w:szCs w:val="20"/>
          <w:color w:val="auto"/>
        </w:rPr>
      </w:pPr>
      <w:r>
        <w:rPr>
          <w:rFonts w:ascii="Arial" w:cs="Arial" w:eastAsia="Arial" w:hAnsi="Arial"/>
          <w:sz w:val="18"/>
          <w:szCs w:val="18"/>
          <w:color w:val="auto"/>
        </w:rPr>
        <w:t>Nalbuphine is a mixed κ-opioid receptor agonist and µ-opioid receptor antagonist. Drugs targeting opioid receptors have been studied for decades and the biology and pharmacology of these receptors are well-understood. There are three types of opioid receptors, mu (“µ”), kappa (“κ”) and delta (“δ”), which are expressed in varying concentrations in many different tissues, including the central and peripheral nervous systems, airway and lung tissue, circulating immune and inflammatory cells and the skin.</w:t>
      </w:r>
    </w:p>
    <w:p>
      <w:pPr>
        <w:spacing w:after="0" w:line="79" w:lineRule="exact"/>
        <w:rPr>
          <w:sz w:val="20"/>
          <w:szCs w:val="20"/>
          <w:color w:val="auto"/>
        </w:rPr>
      </w:pPr>
    </w:p>
    <w:p>
      <w:pPr>
        <w:ind w:right="80" w:firstLine="554"/>
        <w:spacing w:after="0" w:line="259" w:lineRule="auto"/>
        <w:rPr>
          <w:sz w:val="20"/>
          <w:szCs w:val="20"/>
          <w:color w:val="auto"/>
        </w:rPr>
      </w:pPr>
      <w:r>
        <w:rPr>
          <w:rFonts w:ascii="Arial" w:cs="Arial" w:eastAsia="Arial" w:hAnsi="Arial"/>
          <w:sz w:val="18"/>
          <w:szCs w:val="18"/>
          <w:color w:val="auto"/>
        </w:rPr>
        <w:t>Modulation of opioid receptors, either naturally or with drugs, results in multiple signaling actions at the cellular level. The receptor dynamics are complex and receptor signaling differs depending on whether the receptor is being exposed to an agonist or antagonist opioid drug. Agonists activate the receptors to which they bind, and antagonists bind to receptors, and can block the activity of agonists. In addition, opioid drugs of the same class may have different effects depending on their pharmacological properties.</w:t>
      </w:r>
    </w:p>
    <w:p>
      <w:pPr>
        <w:spacing w:after="0" w:line="79"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In addition to the individual cellular dynamics, published research also supports the phenomena of network interaction dynamics, where activation of one type of opioid receptor type at one anatomical location can influence the activity of a different type of opiate receptor located at a different anatomical location. For example, published research has shown evidence of signaling between cell groups where κ-receptor activation on specific cells can antagonize µ-opioid receptor activation on other cells. As a result of these apparent network interaction dynamics between the κ- and µ-opioid receptors, we believe that simultaneously modulating both κ- and µ-opioid receptors with a single drug offers significant therapeutic potential in diseases that are mediated through these receptors.</w:t>
      </w:r>
    </w:p>
    <w:p>
      <w:pPr>
        <w:spacing w:after="0" w:line="84" w:lineRule="exact"/>
        <w:rPr>
          <w:sz w:val="20"/>
          <w:szCs w:val="20"/>
          <w:color w:val="auto"/>
        </w:rPr>
      </w:pPr>
    </w:p>
    <w:p>
      <w:pPr>
        <w:ind w:right="100" w:firstLine="554"/>
        <w:spacing w:after="0" w:line="257" w:lineRule="auto"/>
        <w:rPr>
          <w:sz w:val="20"/>
          <w:szCs w:val="20"/>
          <w:color w:val="auto"/>
        </w:rPr>
      </w:pPr>
      <w:r>
        <w:rPr>
          <w:rFonts w:ascii="Arial" w:cs="Arial" w:eastAsia="Arial" w:hAnsi="Arial"/>
          <w:sz w:val="18"/>
          <w:szCs w:val="18"/>
          <w:color w:val="auto"/>
        </w:rPr>
        <w:t>Published research suggests that in certain diseases the concentration and expression of opioid receptors is different for people with the disease as compared to healthy individuals. For example, published research has shown that human skin tissue samples from patients with prurigo nodularis show a down regulation of µ-opioid receptor expression as compared to normal skin. We believe these differences in opioid receptor concentration and expression between healthy individuals and people with disease suggest that opioid drugs targeting these receptors have the potential to offer therapeutic benefit to people suffering from these diseases.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ind w:firstLine="554"/>
        <w:spacing w:after="0" w:line="342" w:lineRule="auto"/>
        <w:rPr>
          <w:sz w:val="20"/>
          <w:szCs w:val="20"/>
          <w:color w:val="auto"/>
        </w:rPr>
      </w:pPr>
      <w:r>
        <w:rPr>
          <w:rFonts w:ascii="Arial" w:cs="Arial" w:eastAsia="Arial" w:hAnsi="Arial"/>
          <w:sz w:val="16"/>
          <w:szCs w:val="16"/>
          <w:color w:val="auto"/>
        </w:rPr>
        <w:t>As shown in the diagram below, κ- and µ-opioid receptors are naturally concentrated in several areas of the body, including in the brain, brain stem, spinal cord, peripheral nerves, lungs and skin, which are the areas of the body involved in the physiology of chronic pruritus and chronic cough.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-48895</wp:posOffset>
            </wp:positionV>
            <wp:extent cx="5674995" cy="4534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4995"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With respect to pruritus, the sensation of itch and the urge to scratch are known to be mediated by κ- and µ-opioid receptor expression in the reward centers of the brain as well as the spinal cord, skin and peripheral nervous system. Published clinical trials of the κ- agonist nalfurafine have demonstrated effectiveness in reducing uremic pruritus and pruritus secondary to chronic hepatic disease. Nalfurafine is approved and marketed in Japan for both conditions. Korsuva, a selective κ- agonist, has also received approval from the FDA in reducing uremic pruritus in hemodialysis patients. In addition, a number of published clinical trials have reported on the effectiveness of the µ-antagonist naltrexone in reducing pruritus related to hepatic disease and pruritus related to prurigo nodularis.</w:t>
      </w:r>
    </w:p>
    <w:p>
      <w:pPr>
        <w:spacing w:after="0" w:line="84" w:lineRule="exact"/>
        <w:rPr>
          <w:sz w:val="20"/>
          <w:szCs w:val="20"/>
          <w:color w:val="auto"/>
        </w:rPr>
      </w:pPr>
    </w:p>
    <w:p>
      <w:pPr>
        <w:ind w:right="200" w:firstLine="554"/>
        <w:spacing w:after="0" w:line="255" w:lineRule="auto"/>
        <w:rPr>
          <w:sz w:val="20"/>
          <w:szCs w:val="20"/>
          <w:color w:val="auto"/>
        </w:rPr>
      </w:pPr>
      <w:r>
        <w:rPr>
          <w:rFonts w:ascii="Arial" w:cs="Arial" w:eastAsia="Arial" w:hAnsi="Arial"/>
          <w:sz w:val="18"/>
          <w:szCs w:val="18"/>
          <w:color w:val="auto"/>
        </w:rPr>
        <w:t>With respect to cough, κ- and µ-opioid receptors in the brain stem, lungs and the peripheral lung nerves are believed to be involved in mediating respiration and the cough reflex. While there are no approved opioid therapeutics for suppression of cough in humans, µ-agonist opioids have been used clinically to suppress cough. In addition, the mixed κ-agonist and µ-partial agonist butorphanol is approved and marketed for animals in a veterinary injection and tablet formulation for the relief of chronic non-productive cough and has been found to be 15 to 20 times more active in suppressing cough than either codeine or dextromethorphan. Further, in clinical trials, nalbuphine has demonstrated suppression of cough in fentanyl-induced cough during anesthetic induction in patients.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Haduvio</w:t>
      </w:r>
    </w:p>
    <w:p>
      <w:pPr>
        <w:spacing w:after="0" w:line="121" w:lineRule="exact"/>
        <w:rPr>
          <w:sz w:val="20"/>
          <w:szCs w:val="20"/>
          <w:color w:val="auto"/>
        </w:rPr>
      </w:pPr>
    </w:p>
    <w:p>
      <w:pPr>
        <w:jc w:val="both"/>
        <w:ind w:right="260" w:firstLine="554"/>
        <w:spacing w:after="0" w:line="259" w:lineRule="auto"/>
        <w:rPr>
          <w:sz w:val="20"/>
          <w:szCs w:val="20"/>
          <w:color w:val="auto"/>
        </w:rPr>
      </w:pPr>
      <w:r>
        <w:rPr>
          <w:rFonts w:ascii="Arial" w:cs="Arial" w:eastAsia="Arial" w:hAnsi="Arial"/>
          <w:sz w:val="18"/>
          <w:szCs w:val="18"/>
          <w:color w:val="auto"/>
        </w:rPr>
        <w:t>Haduvio is an oral extended-release formulation of nalbuphine, a small molecule and a member of the opioid agonist-antagonist class of drugs. Nalbuphine acts as an agonist at the opioid κ-receptor while competitively antagonizing the µ-opioid receptor. Nalbuphine is a marketed drug currently available only as nalbuphine hydrochloride for injection, a generic equivalent to Nubain, which has been approved in the U.S. and Europe for use in the relief of moderate to severe pain for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0" w:name="page11"/>
    <w:bookmarkEnd w:id="10"/>
    <w:p>
      <w:pPr>
        <w:ind w:right="420"/>
        <w:spacing w:after="0" w:line="277" w:lineRule="auto"/>
        <w:rPr>
          <w:sz w:val="20"/>
          <w:szCs w:val="20"/>
          <w:color w:val="auto"/>
        </w:rPr>
      </w:pPr>
      <w:r>
        <w:rPr>
          <w:rFonts w:ascii="Arial" w:cs="Arial" w:eastAsia="Arial" w:hAnsi="Arial"/>
          <w:sz w:val="18"/>
          <w:szCs w:val="18"/>
          <w:color w:val="auto"/>
        </w:rPr>
        <w:t>more than 20 years. Nalbuphine is not currently classified as a controlled substance in the U.S. or Europe and is not commercially available in an oral dosage form.</w:t>
      </w:r>
    </w:p>
    <w:p>
      <w:pPr>
        <w:spacing w:after="0" w:line="62" w:lineRule="exact"/>
        <w:rPr>
          <w:sz w:val="20"/>
          <w:szCs w:val="20"/>
          <w:color w:val="auto"/>
        </w:rPr>
      </w:pPr>
    </w:p>
    <w:p>
      <w:pPr>
        <w:ind w:firstLine="554"/>
        <w:spacing w:after="0" w:line="257" w:lineRule="auto"/>
        <w:rPr>
          <w:sz w:val="20"/>
          <w:szCs w:val="20"/>
          <w:color w:val="auto"/>
        </w:rPr>
      </w:pPr>
      <w:r>
        <w:rPr>
          <w:rFonts w:ascii="Arial" w:cs="Arial" w:eastAsia="Arial" w:hAnsi="Arial"/>
          <w:sz w:val="18"/>
          <w:szCs w:val="18"/>
          <w:color w:val="auto"/>
        </w:rPr>
        <w:t>We have leveraged the known mechanism and proven biological activity of nalbuphine in pain to expedite the clinical development of Haduvio. We have also drawn on the safety and tolerability data from eight prior clinical trials of Haduvio conducted by Penwest, from which we have licensed rights from Endo (which acquired Penwest) to Haduvio, including two Phase 2 clinical trials of Haduvio for the treatment of pain, to support our clinical development efforts. We believe that the established efficacy and safety profile of nalbuphine and the clinical experience with Haduvio provide a strong foundation for advancing Haduvio in late-stage clinical trials.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Haduvio Development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Chronic Pruritus Programs</w:t>
      </w:r>
    </w:p>
    <w:p>
      <w:pPr>
        <w:spacing w:after="0" w:line="117" w:lineRule="exact"/>
        <w:rPr>
          <w:sz w:val="20"/>
          <w:szCs w:val="20"/>
          <w:color w:val="auto"/>
        </w:rPr>
      </w:pPr>
    </w:p>
    <w:p>
      <w:pPr>
        <w:ind w:firstLine="554"/>
        <w:spacing w:after="0" w:line="257" w:lineRule="auto"/>
        <w:rPr>
          <w:sz w:val="20"/>
          <w:szCs w:val="20"/>
          <w:color w:val="auto"/>
        </w:rPr>
      </w:pPr>
      <w:r>
        <w:rPr>
          <w:rFonts w:ascii="Arial" w:cs="Arial" w:eastAsia="Arial" w:hAnsi="Arial"/>
          <w:sz w:val="18"/>
          <w:szCs w:val="18"/>
          <w:color w:val="auto"/>
        </w:rPr>
        <w:t>We are developing Haduvio for the treatment of chronic pruritus associated with various conditions. We have filed an IND with the FDA covering Haduvio in pruritus in prurigo nodularis and uremic pruritus. We have completed two double-blind, placebo-controlled clinical trials in patients with moderate to severe uremic pruritus and moderate to severe pruritus associated with prurigo nodularis that have established proof of concept in these indications. We believe that the pruritus associated with multiple distinct conditions, including prurigo nodularis and uremic pruritus, involves activation of a common neuronal pathway for itch signaling.</w:t>
      </w:r>
    </w:p>
    <w:p>
      <w:pPr>
        <w:spacing w:after="0" w:line="80" w:lineRule="exact"/>
        <w:rPr>
          <w:sz w:val="20"/>
          <w:szCs w:val="20"/>
          <w:color w:val="auto"/>
        </w:rPr>
      </w:pPr>
    </w:p>
    <w:p>
      <w:pPr>
        <w:ind w:right="140" w:firstLine="554"/>
        <w:spacing w:after="0" w:line="254" w:lineRule="auto"/>
        <w:rPr>
          <w:sz w:val="20"/>
          <w:szCs w:val="20"/>
          <w:color w:val="auto"/>
        </w:rPr>
      </w:pPr>
      <w:r>
        <w:rPr>
          <w:rFonts w:ascii="Arial" w:cs="Arial" w:eastAsia="Arial" w:hAnsi="Arial"/>
          <w:sz w:val="18"/>
          <w:szCs w:val="18"/>
          <w:color w:val="auto"/>
        </w:rPr>
        <w:t>Chronic pruritus, defined as itching lasting longer than six weeks, causes a number of physical and psychological issues that can substantially impact patients’ daily well-being. The urge to scratch can be unbearable, and the act of scratching can remove layers of skin and break the skin barrier leading to bleeding, scarring and greatly increasing the risk of infection. Chronic pruritus can also lead to trouble sleeping, resulting in loss of work productivity and increased anxiety and depression as patients struggle to maintain self-control. Chronic pruritus is a hallmark of many dermatologic and systemic diseases and is the predominant reason that patients with these diseases experience so much discomfort. A recent report published in the Journal of the American Academy of Dermatology estimated that up to 26% of the worldwide population will suffer from chronic pruritus at some point in their lives.</w:t>
      </w:r>
    </w:p>
    <w:p>
      <w:pPr>
        <w:spacing w:after="0" w:line="87" w:lineRule="exact"/>
        <w:rPr>
          <w:sz w:val="20"/>
          <w:szCs w:val="20"/>
          <w:color w:val="auto"/>
        </w:rPr>
      </w:pPr>
    </w:p>
    <w:p>
      <w:pPr>
        <w:ind w:firstLine="554"/>
        <w:spacing w:after="0" w:line="270" w:lineRule="auto"/>
        <w:rPr>
          <w:sz w:val="20"/>
          <w:szCs w:val="20"/>
          <w:color w:val="auto"/>
        </w:rPr>
      </w:pPr>
      <w:r>
        <w:rPr>
          <w:rFonts w:ascii="Arial" w:cs="Arial" w:eastAsia="Arial" w:hAnsi="Arial"/>
          <w:sz w:val="17"/>
          <w:szCs w:val="17"/>
          <w:color w:val="auto"/>
        </w:rPr>
        <w:t>Despite its prevalence, chronic pruritus is not well addressed by current treatment options. Pruritic skin diseases are commonly treated with a multi-prong therapeutic approach. Skin barrier restoration and maintenance through application of topical moisturizers and treatment of skin lesions locally through the use of topical corticosteroids or other topical anti-inflammatory agents are the predominant first-line therapies for many pruritic skin diseases. Phototherapy and systemic immunomodulators, including biologics, are frequently used for more severe disease conditions. These treatment options may reduce pruritus to some degree in addition to their effects on skin health and inflammation. Yet many patients with chronic pruritus still report high levels of pruritus despite active topical or systemic therapy. This significant medical need is reflected by the widespread use of therapies intended to address pruritus specifically, such as oral antihistamines, despite evidence demonstrating their relative lack of efficacy, as well as concerns regarding their safety and tolerability. According to the Global Pruritus Therapeutic Market Research Report issued in 2020, the market for pruritus therapeutics was $12.9 billion in 2020 and is expected to grow to $19.9 billion in 2026.</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Prurigo Nodularis Program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80" w:firstLine="554"/>
        <w:spacing w:after="0" w:line="273" w:lineRule="auto"/>
        <w:rPr>
          <w:sz w:val="20"/>
          <w:szCs w:val="20"/>
          <w:color w:val="auto"/>
        </w:rPr>
      </w:pPr>
      <w:r>
        <w:rPr>
          <w:rFonts w:ascii="Arial" w:cs="Arial" w:eastAsia="Arial" w:hAnsi="Arial"/>
          <w:sz w:val="17"/>
          <w:szCs w:val="17"/>
          <w:color w:val="auto"/>
        </w:rPr>
        <w:t>Prurigo nodularis is an intensely pruritic dermatologic condition that constitutes a distinct dermatologic diagnosis. The core symptoms and criteria for diagnosis of prurigo nodularis are chronic pruritus, a history and/or signs of repeated scratching, and the presence of multiple pruriginous lesions. The presence and persistence of these pruriginous lesions are hallmarks of prurigo nodularis and aid in its diagnosis. These lesions are generally symmetrically distributed, intensely itchy papules, nodules or plaques, which may be associated with excoriations and ulcerations. As illustrated below, prurigo nodularis can arise from itch caused by a number of pre-existing conditions, with the initial scratching beginning a vicious itch-scratch cycle that results in the nodules that are characteristic of the distinct and separate disease of prurigo nodularis.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-5715</wp:posOffset>
            </wp:positionV>
            <wp:extent cx="3831590" cy="258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3159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80" w:firstLine="554"/>
        <w:spacing w:after="0" w:line="296" w:lineRule="auto"/>
        <w:rPr>
          <w:sz w:val="20"/>
          <w:szCs w:val="20"/>
          <w:color w:val="auto"/>
        </w:rPr>
      </w:pPr>
      <w:r>
        <w:rPr>
          <w:rFonts w:ascii="Arial" w:cs="Arial" w:eastAsia="Arial" w:hAnsi="Arial"/>
          <w:sz w:val="16"/>
          <w:szCs w:val="16"/>
          <w:color w:val="auto"/>
        </w:rPr>
        <w:t>The pruritus associated with prurigo nodularis is generally considered to be one of the most severe and treatment-resistant forms of pruritus. In a retrospective study of 108 prurigo nodularis patients published in 2013 in the Journal of the European Academy of Dermatology and Venereology, patients rating their most severe itch over the prior 24 hours on the WI-NRS reported a median WI-NRS score of 8 and a mean and median duration of prurigo nodularis of 77.5 and 36 months, respectively. As illustrated in the diagram below, the WI-NRS is a patient-reported assessment on an 11-point scale from 0 to 10 of the severity of the worst itch experienced in the last 24 hours, and scores of 7 or more are considered to indicate severe 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137160</wp:posOffset>
            </wp:positionV>
            <wp:extent cx="4251960" cy="129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196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554"/>
        <w:spacing w:after="0" w:line="257" w:lineRule="auto"/>
        <w:rPr>
          <w:sz w:val="20"/>
          <w:szCs w:val="20"/>
          <w:color w:val="auto"/>
        </w:rPr>
      </w:pPr>
      <w:r>
        <w:rPr>
          <w:rFonts w:ascii="Arial" w:cs="Arial" w:eastAsia="Arial" w:hAnsi="Arial"/>
          <w:sz w:val="18"/>
          <w:szCs w:val="18"/>
          <w:color w:val="auto"/>
        </w:rPr>
        <w:t>Patients with prurigo nodularis also typically experience a significant negative impact on their overall quality of life, including severe negative impacts on their confidence at work and in social activities. In a natural history study in 593 patients with prurigo nodularis at the Itch Center, University of Münster in Germany, it was shown that all of the patients in the study had a severe impairment of quality of life, as measured by the Dermatology Life Quality Index, or DLQI, a specific validated quality-of-life measurement that has been used in many different skin condition trials. With increasing intensity of pruritus, the quality of life worsened and DLQI values increased.</w:t>
      </w:r>
    </w:p>
    <w:p>
      <w:pPr>
        <w:spacing w:after="0" w:line="80" w:lineRule="exact"/>
        <w:rPr>
          <w:sz w:val="20"/>
          <w:szCs w:val="20"/>
          <w:color w:val="auto"/>
        </w:rPr>
      </w:pPr>
    </w:p>
    <w:p>
      <w:pPr>
        <w:ind w:right="80" w:firstLine="554"/>
        <w:spacing w:after="0" w:line="277" w:lineRule="auto"/>
        <w:rPr>
          <w:sz w:val="20"/>
          <w:szCs w:val="20"/>
          <w:color w:val="auto"/>
        </w:rPr>
      </w:pPr>
      <w:r>
        <w:rPr>
          <w:rFonts w:ascii="Arial" w:cs="Arial" w:eastAsia="Arial" w:hAnsi="Arial"/>
          <w:sz w:val="18"/>
          <w:szCs w:val="18"/>
          <w:color w:val="auto"/>
        </w:rPr>
        <w:t>We believe there are approximately 300,000 prurigo nodularis patients in the U.S. and approximately 430,000 additional prurigo nodularis patients outside the U.S. No treatment for chronic pruritus associated with prurigo nodularis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 w:name="page13"/>
    <w:bookmarkEnd w:id="12"/>
    <w:p>
      <w:pPr>
        <w:ind w:right="40"/>
        <w:spacing w:after="0" w:line="259" w:lineRule="auto"/>
        <w:rPr>
          <w:sz w:val="20"/>
          <w:szCs w:val="20"/>
          <w:color w:val="auto"/>
        </w:rPr>
      </w:pPr>
      <w:r>
        <w:rPr>
          <w:rFonts w:ascii="Arial" w:cs="Arial" w:eastAsia="Arial" w:hAnsi="Arial"/>
          <w:sz w:val="18"/>
          <w:szCs w:val="18"/>
          <w:color w:val="auto"/>
        </w:rPr>
        <w:t>has been approved in the U.S. or Europe. Treatment of prurigo nodularis typically involves a multifaceted approach to treat the lesions and reduce pruritus. Therapies may include corticosteroids and other immunosuppressive or anti-inflammatory treatments, phototherapy and drugs such as gabapentin and Lyrica (pregabalin), prescription medicines approved for the treatment of seizures and neuropathic pain. Prurigo nodularis is often treatment-resistant with high recurrence rates.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right="140" w:firstLine="554"/>
        <w:spacing w:after="0" w:line="259" w:lineRule="auto"/>
        <w:rPr>
          <w:sz w:val="20"/>
          <w:szCs w:val="20"/>
          <w:color w:val="auto"/>
        </w:rPr>
      </w:pPr>
      <w:r>
        <w:rPr>
          <w:rFonts w:ascii="Arial" w:cs="Arial" w:eastAsia="Arial" w:hAnsi="Arial"/>
          <w:sz w:val="18"/>
          <w:szCs w:val="18"/>
          <w:color w:val="auto"/>
        </w:rPr>
        <w:t>We have conducted a Phase 2 clinical trial and an open label extension study of Haduvio in pruritus in patients with prurigo nodularis and are currently conducting our Phase 2b/3 PRISM trial for Haduvio for the treatment of pruritus associated with prurigo nodularis. If successful, we expect that we will use the Phase 2b/3 PRISM trial and an additional Phase 3 clinical trial that we believe we will need to conduct to support the submission of an NDA to the FDA and an MAA to the EMA.</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Phase 2 Clinical Trial</w:t>
      </w:r>
    </w:p>
    <w:p>
      <w:pPr>
        <w:spacing w:after="0" w:line="117" w:lineRule="exact"/>
        <w:rPr>
          <w:sz w:val="20"/>
          <w:szCs w:val="20"/>
          <w:color w:val="auto"/>
        </w:rPr>
      </w:pPr>
    </w:p>
    <w:p>
      <w:pPr>
        <w:ind w:firstLine="554"/>
        <w:spacing w:after="0" w:line="285" w:lineRule="auto"/>
        <w:rPr>
          <w:sz w:val="20"/>
          <w:szCs w:val="20"/>
          <w:color w:val="auto"/>
        </w:rPr>
      </w:pPr>
      <w:r>
        <w:rPr>
          <w:rFonts w:ascii="Arial" w:cs="Arial" w:eastAsia="Arial" w:hAnsi="Arial"/>
          <w:sz w:val="16"/>
          <w:szCs w:val="16"/>
          <w:color w:val="auto"/>
        </w:rPr>
        <w:t>We completed a Phase 2 clinical trial in August 2016 evaluating the safety and efficacy of Haduvio as compared to placebo in patients with pruritus associated with prurigo nodularis. The trial was a multicenter, randomized, double-blind trial conducted at eight sites in the U.S. and Europe. The trial enrolled a total of 63 adult patients who had prurigo nodularis for at least six weeks and seven-day mean WI-NRS scores of at least 5, indicating moderate to severe pruritus. The patients were randomized across three treatment arms: either 162 mg or 81 mg of Haduvio or placebo, each administered twice daily. The baseline seven-day mean WI-NRS scores for the three treatment arms were comparable: 8.05 for the 162 mg arm, 8.46 for the 81 mg arm and</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7.96 for the placebo arm. There were three dosing periods in the trial, all of which were blinded: an initial two-week titration period during which patients received gradually increasing doses of Haduvio or placebo, reaching the final assigned dose on day 15; an eight-week fixed dosing period; and a two-week off-treatment safety observation period.</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primary endpoint of the trial was the proportion of patients reporting at least a 30% reduction from baseline to week 10 in seven-day mean WI-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NRS scores. We refer to these patients as 30% responders. Key secondary endpoints included:</w:t>
      </w:r>
    </w:p>
    <w:p>
      <w:pPr>
        <w:spacing w:after="0" w:line="103" w:lineRule="exact"/>
        <w:rPr>
          <w:sz w:val="20"/>
          <w:szCs w:val="20"/>
          <w:color w:val="auto"/>
        </w:rPr>
      </w:pPr>
    </w:p>
    <w:p>
      <w:pPr>
        <w:ind w:left="960" w:hanging="39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mean change in seven-day mean WI-NRS scores from baseline to week 10;</w:t>
      </w:r>
    </w:p>
    <w:p>
      <w:pPr>
        <w:spacing w:after="0" w:line="144" w:lineRule="exact"/>
        <w:rPr>
          <w:rFonts w:ascii="Arial" w:cs="Arial" w:eastAsia="Arial" w:hAnsi="Arial"/>
          <w:sz w:val="18"/>
          <w:szCs w:val="18"/>
          <w:color w:val="auto"/>
        </w:rPr>
      </w:pPr>
    </w:p>
    <w:p>
      <w:pPr>
        <w:ind w:left="960" w:hanging="399"/>
        <w:spacing w:after="0" w:line="286"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proportion of patients reporting at least a 50% reduction in seven-day mean WI-NRS score from baseline to week 10, whom we refer to as 50% responders, which reduction was comparable to a 4-point reduction in WI-NRS score, the primary efficacy endpoint for our Phase 2b/3 PRISM trial, for patients in the 162 mg arm due to such patients having a mean baseline WI-NRS score of 8.05; and</w:t>
      </w:r>
    </w:p>
    <w:p>
      <w:pPr>
        <w:spacing w:after="0" w:line="57" w:lineRule="exact"/>
        <w:rPr>
          <w:rFonts w:ascii="Arial" w:cs="Arial" w:eastAsia="Arial" w:hAnsi="Arial"/>
          <w:sz w:val="17"/>
          <w:szCs w:val="17"/>
          <w:color w:val="auto"/>
        </w:rPr>
      </w:pPr>
    </w:p>
    <w:p>
      <w:pPr>
        <w:ind w:left="960" w:right="180" w:hanging="399"/>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mean change from baseline to week 10 in total ItchyQoL score, a 22-question assessment using a severity scale of 1 to 5 that measures how pruritus affects patients’ quality of life based on symptoms related to the pruritic condition, their functional limitations, their emotions and observations about their skin disease.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3" w:name="page14"/>
    <w:bookmarkEnd w:id="13"/>
    <w:p>
      <w:pPr>
        <w:ind w:left="560"/>
        <w:spacing w:after="0"/>
        <w:rPr>
          <w:sz w:val="20"/>
          <w:szCs w:val="20"/>
          <w:color w:val="auto"/>
        </w:rPr>
      </w:pPr>
      <w:r>
        <w:rPr>
          <w:rFonts w:ascii="Arial" w:cs="Arial" w:eastAsia="Arial" w:hAnsi="Arial"/>
          <w:sz w:val="18"/>
          <w:szCs w:val="18"/>
          <w:i w:val="1"/>
          <w:iCs w:val="1"/>
          <w:color w:val="auto"/>
        </w:rPr>
        <w:t>Efficacy Results</w:t>
      </w:r>
    </w:p>
    <w:p>
      <w:pPr>
        <w:spacing w:after="0" w:line="117" w:lineRule="exact"/>
        <w:rPr>
          <w:sz w:val="20"/>
          <w:szCs w:val="20"/>
          <w:color w:val="auto"/>
        </w:rPr>
      </w:pPr>
    </w:p>
    <w:p>
      <w:pPr>
        <w:ind w:right="40" w:firstLine="554"/>
        <w:spacing w:after="0" w:line="253" w:lineRule="auto"/>
        <w:rPr>
          <w:sz w:val="20"/>
          <w:szCs w:val="20"/>
          <w:color w:val="auto"/>
        </w:rPr>
      </w:pPr>
      <w:r>
        <w:rPr>
          <w:rFonts w:ascii="Arial" w:cs="Arial" w:eastAsia="Arial" w:hAnsi="Arial"/>
          <w:sz w:val="18"/>
          <w:szCs w:val="18"/>
          <w:color w:val="auto"/>
        </w:rPr>
        <w:t xml:space="preserve">The following table summarizes the outcomes of the trial at week 10 for the primary endpoint and key secondary endpoints. The table below also includes results from a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analysis of the 50 patients who completed the 10-week course of treatment, who we refer to as completers. We believe this </w:t>
      </w: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provides informative data as it eliminates the effects of patient discontinuations. With the small number of patients enrolled in the trial,</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patients discontinuing treatment prior to the end of the trial had a substantial impact on the results, even though the number of discontinuations was small in absolute terms. Approximately 75% of the discontinuations in the Haduvio arms occurred in the titration period among patients who had not reached the target dose of Haduvio. During the trial, the discontinuation rate declined as enrollment progressed, which we believe was due to trial sites and investigators gaining experience with Haduvio and the trial. We believe that these discontinuation rates can be reduced in future trials through increased patient and physician education prior to the commencement of dosing as the adverse events leading to these discontinuations were mild in nature and transient.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ind w:left="460"/>
              <w:spacing w:after="0"/>
              <w:rPr>
                <w:sz w:val="20"/>
                <w:szCs w:val="20"/>
                <w:color w:val="auto"/>
              </w:rPr>
            </w:pPr>
            <w:r>
              <w:rPr>
                <w:rFonts w:ascii="Arial" w:cs="Arial" w:eastAsia="Arial" w:hAnsi="Arial"/>
                <w:sz w:val="14"/>
                <w:szCs w:val="14"/>
                <w:b w:val="1"/>
                <w:bCs w:val="1"/>
                <w:color w:val="auto"/>
              </w:rPr>
              <w:t>Haduvio 162 mg</w:t>
            </w:r>
          </w:p>
        </w:tc>
        <w:tc>
          <w:tcPr>
            <w:tcW w:w="2180" w:type="dxa"/>
            <w:vAlign w:val="bottom"/>
            <w:gridSpan w:val="4"/>
          </w:tcPr>
          <w:p>
            <w:pPr>
              <w:ind w:left="500"/>
              <w:spacing w:after="0"/>
              <w:rPr>
                <w:sz w:val="20"/>
                <w:szCs w:val="20"/>
                <w:color w:val="auto"/>
              </w:rPr>
            </w:pPr>
            <w:r>
              <w:rPr>
                <w:rFonts w:ascii="Arial" w:cs="Arial" w:eastAsia="Arial" w:hAnsi="Arial"/>
                <w:sz w:val="14"/>
                <w:szCs w:val="14"/>
                <w:b w:val="1"/>
                <w:bCs w:val="1"/>
                <w:color w:val="auto"/>
              </w:rPr>
              <w:t>Haduvio 81 mg</w:t>
            </w:r>
          </w:p>
        </w:tc>
        <w:tc>
          <w:tcPr>
            <w:tcW w:w="60" w:type="dxa"/>
            <w:vAlign w:val="bottom"/>
          </w:tcPr>
          <w:p>
            <w:pPr>
              <w:spacing w:after="0"/>
              <w:rPr>
                <w:sz w:val="14"/>
                <w:szCs w:val="14"/>
                <w:color w:val="auto"/>
              </w:rPr>
            </w:pPr>
          </w:p>
        </w:tc>
        <w:tc>
          <w:tcPr>
            <w:tcW w:w="1180" w:type="dxa"/>
            <w:vAlign w:val="bottom"/>
          </w:tcPr>
          <w:p>
            <w:pPr>
              <w:ind w:left="620"/>
              <w:spacing w:after="0"/>
              <w:rPr>
                <w:sz w:val="20"/>
                <w:szCs w:val="20"/>
                <w:color w:val="auto"/>
              </w:rPr>
            </w:pPr>
            <w:r>
              <w:rPr>
                <w:rFonts w:ascii="Arial" w:cs="Arial" w:eastAsia="Arial" w:hAnsi="Arial"/>
                <w:sz w:val="14"/>
                <w:szCs w:val="14"/>
                <w:b w:val="1"/>
                <w:bCs w:val="1"/>
                <w:color w:val="auto"/>
              </w:rPr>
              <w:t>Placebo</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Endpoint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n=18</w:t>
            </w:r>
          </w:p>
        </w:tc>
        <w:tc>
          <w:tcPr>
            <w:tcW w:w="1240" w:type="dxa"/>
            <w:vAlign w:val="bottom"/>
          </w:tcPr>
          <w:p>
            <w:pPr>
              <w:ind w:left="340"/>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n=22</w:t>
            </w:r>
          </w:p>
        </w:tc>
        <w:tc>
          <w:tcPr>
            <w:tcW w:w="60" w:type="dxa"/>
            <w:vAlign w:val="bottom"/>
          </w:tcPr>
          <w:p>
            <w:pPr>
              <w:spacing w:after="0"/>
              <w:rPr>
                <w:sz w:val="12"/>
                <w:szCs w:val="12"/>
                <w:color w:val="auto"/>
              </w:rPr>
            </w:pPr>
          </w:p>
        </w:tc>
        <w:tc>
          <w:tcPr>
            <w:tcW w:w="1180" w:type="dxa"/>
            <w:vAlign w:val="bottom"/>
          </w:tcPr>
          <w:p>
            <w:pPr>
              <w:ind w:left="220"/>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8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w w:val="94"/>
              </w:rPr>
              <w:t>n=22</w:t>
            </w:r>
          </w:p>
        </w:tc>
        <w:tc>
          <w:tcPr>
            <w:tcW w:w="0" w:type="dxa"/>
            <w:vAlign w:val="bottom"/>
          </w:tcPr>
          <w:p>
            <w:pPr>
              <w:spacing w:after="0"/>
              <w:rPr>
                <w:sz w:val="1"/>
                <w:szCs w:val="1"/>
                <w:color w:val="auto"/>
              </w:rPr>
            </w:pPr>
          </w:p>
        </w:tc>
      </w:tr>
      <w:tr>
        <w:trPr>
          <w:trHeight w:val="167"/>
        </w:trPr>
        <w:tc>
          <w:tcPr>
            <w:tcW w:w="4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Completers</w:t>
            </w:r>
            <w:r>
              <w:rPr>
                <w:rFonts w:ascii="Arial" w:cs="Arial" w:eastAsia="Arial" w:hAnsi="Arial"/>
                <w:sz w:val="12"/>
                <w:szCs w:val="12"/>
                <w:color w:val="auto"/>
              </w:rPr>
              <w:t>(2)</w:t>
            </w:r>
            <w:r>
              <w:rPr>
                <w:rFonts w:ascii="Arial" w:cs="Arial" w:eastAsia="Arial" w:hAnsi="Arial"/>
                <w:sz w:val="14"/>
                <w:szCs w:val="14"/>
                <w:color w:val="auto"/>
              </w:rPr>
              <w:t xml:space="preserve"> :</w:t>
            </w:r>
          </w:p>
        </w:tc>
        <w:tc>
          <w:tcPr>
            <w:tcW w:w="980" w:type="dxa"/>
            <w:vAlign w:val="bottom"/>
            <w:gridSpan w:val="4"/>
          </w:tcPr>
          <w:p>
            <w:pPr>
              <w:ind w:left="40"/>
              <w:spacing w:after="0"/>
              <w:rPr>
                <w:sz w:val="20"/>
                <w:szCs w:val="20"/>
                <w:color w:val="auto"/>
              </w:rPr>
            </w:pPr>
            <w:r>
              <w:rPr>
                <w:rFonts w:ascii="Arial" w:cs="Arial" w:eastAsia="Arial" w:hAnsi="Arial"/>
                <w:sz w:val="14"/>
                <w:szCs w:val="14"/>
                <w:color w:val="auto"/>
              </w:rPr>
              <w:t>n=12</w:t>
            </w:r>
          </w:p>
        </w:tc>
        <w:tc>
          <w:tcPr>
            <w:tcW w:w="1240" w:type="dxa"/>
            <w:vAlign w:val="bottom"/>
          </w:tcPr>
          <w:p>
            <w:pPr>
              <w:jc w:val="center"/>
              <w:ind w:left="198"/>
              <w:spacing w:after="0"/>
              <w:rPr>
                <w:sz w:val="20"/>
                <w:szCs w:val="20"/>
                <w:color w:val="auto"/>
              </w:rPr>
            </w:pPr>
            <w:r>
              <w:rPr>
                <w:rFonts w:ascii="Arial" w:cs="Arial" w:eastAsia="Arial" w:hAnsi="Arial"/>
                <w:sz w:val="14"/>
                <w:szCs w:val="14"/>
                <w:color w:val="auto"/>
                <w:w w:val="93"/>
              </w:rPr>
              <w:t>Completers</w:t>
            </w:r>
            <w:r>
              <w:rPr>
                <w:rFonts w:ascii="Arial" w:cs="Arial" w:eastAsia="Arial" w:hAnsi="Arial"/>
                <w:sz w:val="12"/>
                <w:szCs w:val="12"/>
                <w:color w:val="auto"/>
                <w:w w:val="93"/>
              </w:rPr>
              <w:t>(2)</w:t>
            </w:r>
            <w:r>
              <w:rPr>
                <w:rFonts w:ascii="Arial" w:cs="Arial" w:eastAsia="Arial" w:hAnsi="Arial"/>
                <w:sz w:val="14"/>
                <w:szCs w:val="14"/>
                <w:color w:val="auto"/>
                <w:w w:val="93"/>
              </w:rPr>
              <w:t xml:space="preserve"> :</w:t>
            </w:r>
          </w:p>
        </w:tc>
        <w:tc>
          <w:tcPr>
            <w:tcW w:w="940" w:type="dxa"/>
            <w:vAlign w:val="bottom"/>
            <w:gridSpan w:val="3"/>
          </w:tcPr>
          <w:p>
            <w:pPr>
              <w:ind w:left="100"/>
              <w:spacing w:after="0"/>
              <w:rPr>
                <w:sz w:val="20"/>
                <w:szCs w:val="20"/>
                <w:color w:val="auto"/>
              </w:rPr>
            </w:pPr>
            <w:r>
              <w:rPr>
                <w:rFonts w:ascii="Arial" w:cs="Arial" w:eastAsia="Arial" w:hAnsi="Arial"/>
                <w:sz w:val="14"/>
                <w:szCs w:val="14"/>
                <w:color w:val="auto"/>
              </w:rPr>
              <w:t>n=18</w:t>
            </w:r>
          </w:p>
        </w:tc>
        <w:tc>
          <w:tcPr>
            <w:tcW w:w="60" w:type="dxa"/>
            <w:vAlign w:val="bottom"/>
          </w:tcPr>
          <w:p>
            <w:pPr>
              <w:spacing w:after="0"/>
              <w:rPr>
                <w:sz w:val="14"/>
                <w:szCs w:val="14"/>
                <w:color w:val="auto"/>
              </w:rPr>
            </w:pPr>
          </w:p>
        </w:tc>
        <w:tc>
          <w:tcPr>
            <w:tcW w:w="1180" w:type="dxa"/>
            <w:vAlign w:val="bottom"/>
          </w:tcPr>
          <w:p>
            <w:pPr>
              <w:ind w:left="200"/>
              <w:spacing w:after="0"/>
              <w:rPr>
                <w:sz w:val="20"/>
                <w:szCs w:val="20"/>
                <w:color w:val="auto"/>
              </w:rPr>
            </w:pPr>
            <w:r>
              <w:rPr>
                <w:rFonts w:ascii="Arial" w:cs="Arial" w:eastAsia="Arial" w:hAnsi="Arial"/>
                <w:sz w:val="14"/>
                <w:szCs w:val="14"/>
                <w:color w:val="auto"/>
              </w:rPr>
              <w:t>Completers</w:t>
            </w:r>
            <w:r>
              <w:rPr>
                <w:rFonts w:ascii="Arial" w:cs="Arial" w:eastAsia="Arial" w:hAnsi="Arial"/>
                <w:sz w:val="12"/>
                <w:szCs w:val="12"/>
                <w:color w:val="auto"/>
              </w:rPr>
              <w:t>(2)</w:t>
            </w:r>
            <w:r>
              <w:rPr>
                <w:rFonts w:ascii="Arial" w:cs="Arial" w:eastAsia="Arial" w:hAnsi="Arial"/>
                <w:sz w:val="14"/>
                <w:szCs w:val="14"/>
                <w:color w:val="auto"/>
              </w:rPr>
              <w:t xml:space="preserve"> :</w:t>
            </w:r>
          </w:p>
        </w:tc>
        <w:tc>
          <w:tcPr>
            <w:tcW w:w="800" w:type="dxa"/>
            <w:vAlign w:val="bottom"/>
            <w:gridSpan w:val="3"/>
          </w:tcPr>
          <w:p>
            <w:pPr>
              <w:jc w:val="right"/>
              <w:ind w:right="460"/>
              <w:spacing w:after="0"/>
              <w:rPr>
                <w:sz w:val="20"/>
                <w:szCs w:val="20"/>
                <w:color w:val="auto"/>
              </w:rPr>
            </w:pPr>
            <w:r>
              <w:rPr>
                <w:rFonts w:ascii="Arial" w:cs="Arial" w:eastAsia="Arial" w:hAnsi="Arial"/>
                <w:sz w:val="14"/>
                <w:szCs w:val="14"/>
                <w:color w:val="auto"/>
              </w:rPr>
              <w:t>n=20</w:t>
            </w:r>
          </w:p>
        </w:tc>
        <w:tc>
          <w:tcPr>
            <w:tcW w:w="0" w:type="dxa"/>
            <w:vAlign w:val="bottom"/>
          </w:tcPr>
          <w:p>
            <w:pPr>
              <w:spacing w:after="0"/>
              <w:rPr>
                <w:sz w:val="1"/>
                <w:szCs w:val="1"/>
                <w:color w:val="auto"/>
              </w:rPr>
            </w:pPr>
          </w:p>
        </w:tc>
      </w:tr>
      <w:tr>
        <w:trPr>
          <w:trHeight w:val="156"/>
        </w:trPr>
        <w:tc>
          <w:tcPr>
            <w:tcW w:w="4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2"/>
          </w:tcPr>
          <w:p>
            <w:pPr>
              <w:ind w:left="1260"/>
              <w:spacing w:after="0" w:line="155"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2"/>
                <w:szCs w:val="12"/>
                <w:i w:val="1"/>
                <w:iCs w:val="1"/>
                <w:color w:val="auto"/>
              </w:rPr>
              <w:t>(3)</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2"/>
                <w:szCs w:val="12"/>
                <w:i w:val="1"/>
                <w:iCs w:val="1"/>
                <w:color w:val="auto"/>
              </w:rPr>
              <w:t>(3)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Responder Analyses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30% responders in mITT population</w:t>
            </w:r>
            <w:r>
              <w:rPr>
                <w:rFonts w:ascii="Arial" w:cs="Arial" w:eastAsia="Arial" w:hAnsi="Arial"/>
                <w:sz w:val="15"/>
                <w:szCs w:val="15"/>
                <w:color w:val="auto"/>
              </w:rPr>
              <w:t>(4)</w:t>
            </w:r>
          </w:p>
        </w:tc>
        <w:tc>
          <w:tcPr>
            <w:tcW w:w="1420" w:type="dxa"/>
            <w:vAlign w:val="bottom"/>
            <w:gridSpan w:val="3"/>
          </w:tcPr>
          <w:p>
            <w:pPr>
              <w:jc w:val="right"/>
              <w:ind w:right="308"/>
              <w:spacing w:after="0"/>
              <w:rPr>
                <w:sz w:val="20"/>
                <w:szCs w:val="20"/>
                <w:color w:val="auto"/>
              </w:rPr>
            </w:pPr>
            <w:r>
              <w:rPr>
                <w:rFonts w:ascii="Arial" w:cs="Arial" w:eastAsia="Arial" w:hAnsi="Arial"/>
                <w:sz w:val="18"/>
                <w:szCs w:val="18"/>
                <w:color w:val="auto"/>
              </w:rPr>
              <w:t>44%</w:t>
            </w:r>
          </w:p>
        </w:tc>
        <w:tc>
          <w:tcPr>
            <w:tcW w:w="980" w:type="dxa"/>
            <w:vAlign w:val="bottom"/>
            <w:gridSpan w:val="4"/>
          </w:tcPr>
          <w:p>
            <w:pPr>
              <w:ind w:left="140"/>
              <w:spacing w:after="0"/>
              <w:rPr>
                <w:sz w:val="20"/>
                <w:szCs w:val="20"/>
                <w:color w:val="auto"/>
              </w:rPr>
            </w:pPr>
            <w:r>
              <w:rPr>
                <w:rFonts w:ascii="Arial" w:cs="Arial" w:eastAsia="Arial" w:hAnsi="Arial"/>
                <w:sz w:val="18"/>
                <w:szCs w:val="18"/>
                <w:color w:val="auto"/>
              </w:rPr>
              <w:t>p=0.323</w:t>
            </w:r>
          </w:p>
        </w:tc>
        <w:tc>
          <w:tcPr>
            <w:tcW w:w="1240" w:type="dxa"/>
            <w:vAlign w:val="bottom"/>
          </w:tcPr>
          <w:p>
            <w:pPr>
              <w:jc w:val="center"/>
              <w:ind w:left="178"/>
              <w:spacing w:after="0"/>
              <w:rPr>
                <w:sz w:val="20"/>
                <w:szCs w:val="20"/>
                <w:color w:val="auto"/>
              </w:rPr>
            </w:pPr>
            <w:r>
              <w:rPr>
                <w:rFonts w:ascii="Arial" w:cs="Arial" w:eastAsia="Arial" w:hAnsi="Arial"/>
                <w:sz w:val="18"/>
                <w:szCs w:val="18"/>
                <w:color w:val="auto"/>
                <w:w w:val="94"/>
              </w:rPr>
              <w:t>27%</w:t>
            </w:r>
          </w:p>
        </w:tc>
        <w:tc>
          <w:tcPr>
            <w:tcW w:w="940" w:type="dxa"/>
            <w:vAlign w:val="bottom"/>
            <w:gridSpan w:val="3"/>
          </w:tcPr>
          <w:p>
            <w:pPr>
              <w:ind w:left="220"/>
              <w:spacing w:after="0"/>
              <w:rPr>
                <w:sz w:val="20"/>
                <w:szCs w:val="20"/>
                <w:color w:val="auto"/>
              </w:rPr>
            </w:pPr>
            <w:r>
              <w:rPr>
                <w:rFonts w:ascii="Arial" w:cs="Arial" w:eastAsia="Arial" w:hAnsi="Arial"/>
                <w:sz w:val="18"/>
                <w:szCs w:val="18"/>
                <w:color w:val="auto"/>
              </w:rPr>
              <w:t>p=0.779</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5"/>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30% responders in</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completer population</w:t>
            </w:r>
          </w:p>
        </w:tc>
        <w:tc>
          <w:tcPr>
            <w:tcW w:w="1420" w:type="dxa"/>
            <w:vAlign w:val="bottom"/>
            <w:gridSpan w:val="3"/>
            <w:shd w:val="clear" w:color="auto" w:fill="CFF0FC"/>
          </w:tcPr>
          <w:p>
            <w:pPr>
              <w:jc w:val="right"/>
              <w:ind w:right="308"/>
              <w:spacing w:after="0"/>
              <w:rPr>
                <w:sz w:val="20"/>
                <w:szCs w:val="20"/>
                <w:color w:val="auto"/>
              </w:rPr>
            </w:pPr>
            <w:r>
              <w:rPr>
                <w:rFonts w:ascii="Arial" w:cs="Arial" w:eastAsia="Arial" w:hAnsi="Arial"/>
                <w:sz w:val="18"/>
                <w:szCs w:val="18"/>
                <w:color w:val="auto"/>
              </w:rPr>
              <w:t>75%</w:t>
            </w:r>
          </w:p>
        </w:tc>
        <w:tc>
          <w:tcPr>
            <w:tcW w:w="98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p=0.026</w:t>
            </w:r>
          </w:p>
        </w:tc>
        <w:tc>
          <w:tcPr>
            <w:tcW w:w="1240" w:type="dxa"/>
            <w:vAlign w:val="bottom"/>
            <w:shd w:val="clear" w:color="auto" w:fill="CFF0FC"/>
          </w:tcPr>
          <w:p>
            <w:pPr>
              <w:jc w:val="center"/>
              <w:ind w:left="178"/>
              <w:spacing w:after="0"/>
              <w:rPr>
                <w:sz w:val="20"/>
                <w:szCs w:val="20"/>
                <w:color w:val="auto"/>
              </w:rPr>
            </w:pPr>
            <w:r>
              <w:rPr>
                <w:rFonts w:ascii="Arial" w:cs="Arial" w:eastAsia="Arial" w:hAnsi="Arial"/>
                <w:sz w:val="18"/>
                <w:szCs w:val="18"/>
                <w:color w:val="auto"/>
                <w:w w:val="94"/>
              </w:rPr>
              <w:t>33%</w:t>
            </w:r>
          </w:p>
        </w:tc>
        <w:tc>
          <w:tcPr>
            <w:tcW w:w="9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p=0.723</w:t>
            </w:r>
          </w:p>
        </w:tc>
        <w:tc>
          <w:tcPr>
            <w:tcW w:w="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50% responders in mITT population</w:t>
            </w:r>
          </w:p>
        </w:tc>
        <w:tc>
          <w:tcPr>
            <w:tcW w:w="1420" w:type="dxa"/>
            <w:vAlign w:val="bottom"/>
            <w:gridSpan w:val="3"/>
          </w:tcPr>
          <w:p>
            <w:pPr>
              <w:jc w:val="right"/>
              <w:ind w:right="308"/>
              <w:spacing w:after="0"/>
              <w:rPr>
                <w:sz w:val="20"/>
                <w:szCs w:val="20"/>
                <w:color w:val="auto"/>
              </w:rPr>
            </w:pPr>
            <w:r>
              <w:rPr>
                <w:rFonts w:ascii="Arial" w:cs="Arial" w:eastAsia="Arial" w:hAnsi="Arial"/>
                <w:sz w:val="18"/>
                <w:szCs w:val="18"/>
                <w:color w:val="auto"/>
              </w:rPr>
              <w:t>33%</w:t>
            </w:r>
          </w:p>
        </w:tc>
        <w:tc>
          <w:tcPr>
            <w:tcW w:w="980" w:type="dxa"/>
            <w:vAlign w:val="bottom"/>
            <w:gridSpan w:val="4"/>
          </w:tcPr>
          <w:p>
            <w:pPr>
              <w:ind w:left="140"/>
              <w:spacing w:after="0"/>
              <w:rPr>
                <w:sz w:val="20"/>
                <w:szCs w:val="20"/>
                <w:color w:val="auto"/>
              </w:rPr>
            </w:pPr>
            <w:r>
              <w:rPr>
                <w:rFonts w:ascii="Arial" w:cs="Arial" w:eastAsia="Arial" w:hAnsi="Arial"/>
                <w:sz w:val="18"/>
                <w:szCs w:val="18"/>
                <w:color w:val="auto"/>
              </w:rPr>
              <w:t>p=0.083</w:t>
            </w:r>
          </w:p>
        </w:tc>
        <w:tc>
          <w:tcPr>
            <w:tcW w:w="1240" w:type="dxa"/>
            <w:vAlign w:val="bottom"/>
          </w:tcPr>
          <w:p>
            <w:pPr>
              <w:jc w:val="center"/>
              <w:ind w:left="178"/>
              <w:spacing w:after="0"/>
              <w:rPr>
                <w:sz w:val="20"/>
                <w:szCs w:val="20"/>
                <w:color w:val="auto"/>
              </w:rPr>
            </w:pPr>
            <w:r>
              <w:rPr>
                <w:rFonts w:ascii="Arial" w:cs="Arial" w:eastAsia="Arial" w:hAnsi="Arial"/>
                <w:sz w:val="18"/>
                <w:szCs w:val="18"/>
                <w:color w:val="auto"/>
                <w:w w:val="94"/>
              </w:rPr>
              <w:t>14%</w:t>
            </w:r>
          </w:p>
        </w:tc>
        <w:tc>
          <w:tcPr>
            <w:tcW w:w="940" w:type="dxa"/>
            <w:vAlign w:val="bottom"/>
            <w:gridSpan w:val="3"/>
          </w:tcPr>
          <w:p>
            <w:pPr>
              <w:ind w:left="220"/>
              <w:spacing w:after="0"/>
              <w:rPr>
                <w:sz w:val="20"/>
                <w:szCs w:val="20"/>
                <w:color w:val="auto"/>
              </w:rPr>
            </w:pPr>
            <w:r>
              <w:rPr>
                <w:rFonts w:ascii="Arial" w:cs="Arial" w:eastAsia="Arial" w:hAnsi="Arial"/>
                <w:sz w:val="18"/>
                <w:szCs w:val="18"/>
                <w:color w:val="auto"/>
              </w:rPr>
              <w:t>p=0.981</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50% responders in</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completer population (comparable in 162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mg arm to a 4-point reduction in WI-NRS</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score)</w:t>
            </w:r>
          </w:p>
        </w:tc>
        <w:tc>
          <w:tcPr>
            <w:tcW w:w="1420" w:type="dxa"/>
            <w:vAlign w:val="bottom"/>
            <w:gridSpan w:val="3"/>
            <w:shd w:val="clear" w:color="auto" w:fill="CFF0FC"/>
          </w:tcPr>
          <w:p>
            <w:pPr>
              <w:jc w:val="right"/>
              <w:ind w:right="308"/>
              <w:spacing w:after="0"/>
              <w:rPr>
                <w:sz w:val="20"/>
                <w:szCs w:val="20"/>
                <w:color w:val="auto"/>
              </w:rPr>
            </w:pPr>
            <w:r>
              <w:rPr>
                <w:rFonts w:ascii="Arial" w:cs="Arial" w:eastAsia="Arial" w:hAnsi="Arial"/>
                <w:sz w:val="18"/>
                <w:szCs w:val="18"/>
                <w:color w:val="auto"/>
              </w:rPr>
              <w:t>50%</w:t>
            </w:r>
          </w:p>
        </w:tc>
        <w:tc>
          <w:tcPr>
            <w:tcW w:w="98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p=0.028</w:t>
            </w:r>
          </w:p>
        </w:tc>
        <w:tc>
          <w:tcPr>
            <w:tcW w:w="1240" w:type="dxa"/>
            <w:vAlign w:val="bottom"/>
            <w:shd w:val="clear" w:color="auto" w:fill="CFF0FC"/>
          </w:tcPr>
          <w:p>
            <w:pPr>
              <w:jc w:val="center"/>
              <w:ind w:left="198"/>
              <w:spacing w:after="0"/>
              <w:rPr>
                <w:sz w:val="20"/>
                <w:szCs w:val="20"/>
                <w:color w:val="auto"/>
              </w:rPr>
            </w:pPr>
            <w:r>
              <w:rPr>
                <w:rFonts w:ascii="Arial" w:cs="Arial" w:eastAsia="Arial" w:hAnsi="Arial"/>
                <w:sz w:val="18"/>
                <w:szCs w:val="18"/>
                <w:color w:val="auto"/>
                <w:w w:val="88"/>
              </w:rPr>
              <w:t>11%</w:t>
            </w:r>
          </w:p>
        </w:tc>
        <w:tc>
          <w:tcPr>
            <w:tcW w:w="9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p=0.649</w:t>
            </w:r>
          </w:p>
        </w:tc>
        <w:tc>
          <w:tcPr>
            <w:tcW w:w="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67"/>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5"/>
          </w:tcPr>
          <w:p>
            <w:pPr>
              <w:ind w:left="580"/>
              <w:spacing w:after="0"/>
              <w:rPr>
                <w:sz w:val="20"/>
                <w:szCs w:val="20"/>
                <w:color w:val="auto"/>
              </w:rPr>
            </w:pPr>
            <w:r>
              <w:rPr>
                <w:rFonts w:ascii="Arial" w:cs="Arial" w:eastAsia="Arial" w:hAnsi="Arial"/>
                <w:sz w:val="14"/>
                <w:szCs w:val="14"/>
                <w:b w:val="1"/>
                <w:bCs w:val="1"/>
                <w:color w:val="auto"/>
              </w:rPr>
              <w:t>Haduvio 162 mg</w:t>
            </w:r>
          </w:p>
        </w:tc>
        <w:tc>
          <w:tcPr>
            <w:tcW w:w="2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Haduvio 81mg</w:t>
            </w:r>
          </w:p>
        </w:tc>
        <w:tc>
          <w:tcPr>
            <w:tcW w:w="60" w:type="dxa"/>
            <w:vAlign w:val="bottom"/>
          </w:tcPr>
          <w:p>
            <w:pPr>
              <w:spacing w:after="0"/>
              <w:rPr>
                <w:sz w:val="24"/>
                <w:szCs w:val="24"/>
                <w:color w:val="auto"/>
              </w:rPr>
            </w:pPr>
          </w:p>
        </w:tc>
        <w:tc>
          <w:tcPr>
            <w:tcW w:w="1180" w:type="dxa"/>
            <w:vAlign w:val="bottom"/>
          </w:tcPr>
          <w:p>
            <w:pPr>
              <w:ind w:left="680"/>
              <w:spacing w:after="0"/>
              <w:rPr>
                <w:sz w:val="20"/>
                <w:szCs w:val="20"/>
                <w:color w:val="auto"/>
              </w:rPr>
            </w:pPr>
            <w:r>
              <w:rPr>
                <w:rFonts w:ascii="Arial" w:cs="Arial" w:eastAsia="Arial" w:hAnsi="Arial"/>
                <w:sz w:val="14"/>
                <w:szCs w:val="14"/>
                <w:b w:val="1"/>
                <w:bCs w:val="1"/>
                <w:color w:val="auto"/>
                <w:w w:val="89"/>
              </w:rPr>
              <w:t>Placebo</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Endpoint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98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n=18</w:t>
            </w:r>
          </w:p>
        </w:tc>
        <w:tc>
          <w:tcPr>
            <w:tcW w:w="1240" w:type="dxa"/>
            <w:vAlign w:val="bottom"/>
          </w:tcPr>
          <w:p>
            <w:pPr>
              <w:ind w:left="420"/>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9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n=22</w:t>
            </w:r>
          </w:p>
        </w:tc>
        <w:tc>
          <w:tcPr>
            <w:tcW w:w="60" w:type="dxa"/>
            <w:vAlign w:val="bottom"/>
          </w:tcPr>
          <w:p>
            <w:pPr>
              <w:spacing w:after="0"/>
              <w:rPr>
                <w:sz w:val="12"/>
                <w:szCs w:val="12"/>
                <w:color w:val="auto"/>
              </w:rPr>
            </w:pPr>
          </w:p>
        </w:tc>
        <w:tc>
          <w:tcPr>
            <w:tcW w:w="1180" w:type="dxa"/>
            <w:vAlign w:val="bottom"/>
          </w:tcPr>
          <w:p>
            <w:pPr>
              <w:ind w:left="280"/>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80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n=22</w:t>
            </w:r>
          </w:p>
        </w:tc>
        <w:tc>
          <w:tcPr>
            <w:tcW w:w="0" w:type="dxa"/>
            <w:vAlign w:val="bottom"/>
          </w:tcPr>
          <w:p>
            <w:pPr>
              <w:spacing w:after="0"/>
              <w:rPr>
                <w:sz w:val="1"/>
                <w:szCs w:val="1"/>
                <w:color w:val="auto"/>
              </w:rPr>
            </w:pPr>
          </w:p>
        </w:tc>
      </w:tr>
      <w:tr>
        <w:trPr>
          <w:trHeight w:val="167"/>
        </w:trPr>
        <w:tc>
          <w:tcPr>
            <w:tcW w:w="4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Completers</w:t>
            </w:r>
            <w:r>
              <w:rPr>
                <w:rFonts w:ascii="Arial" w:cs="Arial" w:eastAsia="Arial" w:hAnsi="Arial"/>
                <w:sz w:val="12"/>
                <w:szCs w:val="12"/>
                <w:color w:val="auto"/>
              </w:rPr>
              <w:t>(2)</w:t>
            </w:r>
            <w:r>
              <w:rPr>
                <w:rFonts w:ascii="Arial" w:cs="Arial" w:eastAsia="Arial" w:hAnsi="Arial"/>
                <w:sz w:val="14"/>
                <w:szCs w:val="14"/>
                <w:color w:val="auto"/>
              </w:rPr>
              <w:t xml:space="preserve"> :</w:t>
            </w:r>
          </w:p>
        </w:tc>
        <w:tc>
          <w:tcPr>
            <w:tcW w:w="980" w:type="dxa"/>
            <w:vAlign w:val="bottom"/>
            <w:gridSpan w:val="4"/>
          </w:tcPr>
          <w:p>
            <w:pPr>
              <w:ind w:left="160"/>
              <w:spacing w:after="0"/>
              <w:rPr>
                <w:sz w:val="20"/>
                <w:szCs w:val="20"/>
                <w:color w:val="auto"/>
              </w:rPr>
            </w:pPr>
            <w:r>
              <w:rPr>
                <w:rFonts w:ascii="Arial" w:cs="Arial" w:eastAsia="Arial" w:hAnsi="Arial"/>
                <w:sz w:val="14"/>
                <w:szCs w:val="14"/>
                <w:color w:val="auto"/>
              </w:rPr>
              <w:t>n=12</w:t>
            </w:r>
          </w:p>
        </w:tc>
        <w:tc>
          <w:tcPr>
            <w:tcW w:w="2180" w:type="dxa"/>
            <w:vAlign w:val="bottom"/>
            <w:gridSpan w:val="4"/>
          </w:tcPr>
          <w:p>
            <w:pPr>
              <w:jc w:val="center"/>
              <w:ind w:right="60"/>
              <w:spacing w:after="0"/>
              <w:rPr>
                <w:sz w:val="20"/>
                <w:szCs w:val="20"/>
                <w:color w:val="auto"/>
              </w:rPr>
            </w:pPr>
            <w:r>
              <w:rPr>
                <w:rFonts w:ascii="Arial" w:cs="Arial" w:eastAsia="Arial" w:hAnsi="Arial"/>
                <w:sz w:val="14"/>
                <w:szCs w:val="14"/>
                <w:color w:val="auto"/>
                <w:w w:val="99"/>
              </w:rPr>
              <w:t>Completers</w:t>
            </w:r>
            <w:r>
              <w:rPr>
                <w:rFonts w:ascii="Arial" w:cs="Arial" w:eastAsia="Arial" w:hAnsi="Arial"/>
                <w:sz w:val="12"/>
                <w:szCs w:val="12"/>
                <w:color w:val="auto"/>
                <w:w w:val="99"/>
              </w:rPr>
              <w:t>(2 )</w:t>
            </w:r>
            <w:r>
              <w:rPr>
                <w:rFonts w:ascii="Arial" w:cs="Arial" w:eastAsia="Arial" w:hAnsi="Arial"/>
                <w:sz w:val="14"/>
                <w:szCs w:val="14"/>
                <w:color w:val="auto"/>
                <w:w w:val="99"/>
              </w:rPr>
              <w:t xml:space="preserve"> :  n=18</w:t>
            </w:r>
          </w:p>
        </w:tc>
        <w:tc>
          <w:tcPr>
            <w:tcW w:w="6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Arial" w:cs="Arial" w:eastAsia="Arial" w:hAnsi="Arial"/>
                <w:sz w:val="14"/>
                <w:szCs w:val="14"/>
                <w:color w:val="auto"/>
                <w:w w:val="95"/>
              </w:rPr>
              <w:t>Completers</w:t>
            </w:r>
            <w:r>
              <w:rPr>
                <w:rFonts w:ascii="Arial" w:cs="Arial" w:eastAsia="Arial" w:hAnsi="Arial"/>
                <w:sz w:val="12"/>
                <w:szCs w:val="12"/>
                <w:color w:val="auto"/>
                <w:w w:val="95"/>
              </w:rPr>
              <w:t>(2)</w:t>
            </w:r>
            <w:r>
              <w:rPr>
                <w:rFonts w:ascii="Arial" w:cs="Arial" w:eastAsia="Arial" w:hAnsi="Arial"/>
                <w:sz w:val="14"/>
                <w:szCs w:val="14"/>
                <w:color w:val="auto"/>
                <w:w w:val="95"/>
              </w:rPr>
              <w:t xml:space="preserve"> :</w:t>
            </w:r>
          </w:p>
        </w:tc>
        <w:tc>
          <w:tcPr>
            <w:tcW w:w="800" w:type="dxa"/>
            <w:vAlign w:val="bottom"/>
            <w:gridSpan w:val="3"/>
          </w:tcPr>
          <w:p>
            <w:pPr>
              <w:jc w:val="right"/>
              <w:ind w:right="400"/>
              <w:spacing w:after="0"/>
              <w:rPr>
                <w:sz w:val="20"/>
                <w:szCs w:val="20"/>
                <w:color w:val="auto"/>
              </w:rPr>
            </w:pPr>
            <w:r>
              <w:rPr>
                <w:rFonts w:ascii="Arial" w:cs="Arial" w:eastAsia="Arial" w:hAnsi="Arial"/>
                <w:sz w:val="14"/>
                <w:szCs w:val="14"/>
                <w:color w:val="auto"/>
              </w:rPr>
              <w:t>n=20</w:t>
            </w:r>
          </w:p>
        </w:tc>
        <w:tc>
          <w:tcPr>
            <w:tcW w:w="0" w:type="dxa"/>
            <w:vAlign w:val="bottom"/>
          </w:tcPr>
          <w:p>
            <w:pPr>
              <w:spacing w:after="0"/>
              <w:rPr>
                <w:sz w:val="1"/>
                <w:szCs w:val="1"/>
                <w:color w:val="auto"/>
              </w:rPr>
            </w:pPr>
          </w:p>
        </w:tc>
      </w:tr>
      <w:tr>
        <w:trPr>
          <w:trHeight w:val="156"/>
        </w:trPr>
        <w:tc>
          <w:tcPr>
            <w:tcW w:w="4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2"/>
                <w:szCs w:val="12"/>
                <w:i w:val="1"/>
                <w:iCs w:val="1"/>
                <w:color w:val="auto"/>
              </w:rPr>
              <w:t>(3)</w:t>
            </w: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i w:val="1"/>
                <w:iCs w:val="1"/>
                <w:color w:val="auto"/>
              </w:rPr>
              <w:t>p-value</w:t>
            </w:r>
            <w:r>
              <w:rPr>
                <w:rFonts w:ascii="Arial" w:cs="Arial" w:eastAsia="Arial" w:hAnsi="Arial"/>
                <w:sz w:val="12"/>
                <w:szCs w:val="12"/>
                <w:i w:val="1"/>
                <w:iCs w:val="1"/>
                <w:color w:val="auto"/>
              </w:rPr>
              <w:t>(3)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Other Key Analyses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20" w:type="dxa"/>
            <w:vAlign w:val="bottom"/>
            <w:gridSpan w:val="2"/>
          </w:tcPr>
          <w:p>
            <w:pPr>
              <w:spacing w:after="0"/>
              <w:rPr>
                <w:sz w:val="20"/>
                <w:szCs w:val="20"/>
                <w:color w:val="auto"/>
              </w:rPr>
            </w:pPr>
            <w:r>
              <w:rPr>
                <w:rFonts w:ascii="Arial" w:cs="Arial" w:eastAsia="Arial" w:hAnsi="Arial"/>
                <w:sz w:val="18"/>
                <w:szCs w:val="18"/>
                <w:color w:val="auto"/>
              </w:rPr>
              <w:t>Mean change in seven-day mean WI-NRS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scores in mITT population</w:t>
            </w:r>
          </w:p>
        </w:tc>
        <w:tc>
          <w:tcPr>
            <w:tcW w:w="1420" w:type="dxa"/>
            <w:vAlign w:val="bottom"/>
            <w:gridSpan w:val="3"/>
          </w:tcPr>
          <w:p>
            <w:pPr>
              <w:jc w:val="right"/>
              <w:ind w:right="248"/>
              <w:spacing w:after="0"/>
              <w:rPr>
                <w:sz w:val="20"/>
                <w:szCs w:val="20"/>
                <w:color w:val="auto"/>
              </w:rPr>
            </w:pPr>
            <w:r>
              <w:rPr>
                <w:rFonts w:ascii="Arial" w:cs="Arial" w:eastAsia="Arial" w:hAnsi="Arial"/>
                <w:sz w:val="18"/>
                <w:szCs w:val="18"/>
                <w:color w:val="auto"/>
              </w:rPr>
              <w:t>(2.51)</w:t>
            </w:r>
          </w:p>
        </w:tc>
        <w:tc>
          <w:tcPr>
            <w:tcW w:w="980" w:type="dxa"/>
            <w:vAlign w:val="bottom"/>
            <w:gridSpan w:val="4"/>
          </w:tcPr>
          <w:p>
            <w:pPr>
              <w:ind w:left="280"/>
              <w:spacing w:after="0"/>
              <w:rPr>
                <w:sz w:val="20"/>
                <w:szCs w:val="20"/>
                <w:color w:val="auto"/>
              </w:rPr>
            </w:pPr>
            <w:r>
              <w:rPr>
                <w:rFonts w:ascii="Arial" w:cs="Arial" w:eastAsia="Arial" w:hAnsi="Arial"/>
                <w:sz w:val="18"/>
                <w:szCs w:val="18"/>
                <w:color w:val="auto"/>
              </w:rPr>
              <w:t>p=0.083</w:t>
            </w:r>
          </w:p>
        </w:tc>
        <w:tc>
          <w:tcPr>
            <w:tcW w:w="1240" w:type="dxa"/>
            <w:vAlign w:val="bottom"/>
          </w:tcPr>
          <w:p>
            <w:pPr>
              <w:jc w:val="center"/>
              <w:ind w:left="158"/>
              <w:spacing w:after="0"/>
              <w:rPr>
                <w:sz w:val="20"/>
                <w:szCs w:val="20"/>
                <w:color w:val="auto"/>
              </w:rPr>
            </w:pPr>
            <w:r>
              <w:rPr>
                <w:rFonts w:ascii="Arial" w:cs="Arial" w:eastAsia="Arial" w:hAnsi="Arial"/>
                <w:sz w:val="18"/>
                <w:szCs w:val="18"/>
                <w:color w:val="auto"/>
                <w:w w:val="93"/>
              </w:rPr>
              <w:t>(2.14)</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w w:val="97"/>
              </w:rPr>
              <w:t>p=0.354</w:t>
            </w: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5"/>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mean change in seven</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-day mean WI-NRS scores in completer</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population</w:t>
            </w:r>
          </w:p>
        </w:tc>
        <w:tc>
          <w:tcPr>
            <w:tcW w:w="1420" w:type="dxa"/>
            <w:vAlign w:val="bottom"/>
            <w:gridSpan w:val="3"/>
            <w:shd w:val="clear" w:color="auto" w:fill="CFF0FC"/>
          </w:tcPr>
          <w:p>
            <w:pPr>
              <w:jc w:val="right"/>
              <w:ind w:right="248"/>
              <w:spacing w:after="0"/>
              <w:rPr>
                <w:sz w:val="20"/>
                <w:szCs w:val="20"/>
                <w:color w:val="auto"/>
              </w:rPr>
            </w:pPr>
            <w:r>
              <w:rPr>
                <w:rFonts w:ascii="Arial" w:cs="Arial" w:eastAsia="Arial" w:hAnsi="Arial"/>
                <w:sz w:val="18"/>
                <w:szCs w:val="18"/>
                <w:color w:val="auto"/>
              </w:rPr>
              <w:t>(3.43)</w:t>
            </w:r>
          </w:p>
        </w:tc>
        <w:tc>
          <w:tcPr>
            <w:tcW w:w="980" w:type="dxa"/>
            <w:vAlign w:val="bottom"/>
            <w:gridSpan w:val="4"/>
            <w:shd w:val="clear" w:color="auto" w:fill="CFF0FC"/>
          </w:tcPr>
          <w:p>
            <w:pPr>
              <w:ind w:left="280"/>
              <w:spacing w:after="0"/>
              <w:rPr>
                <w:sz w:val="20"/>
                <w:szCs w:val="20"/>
                <w:color w:val="auto"/>
              </w:rPr>
            </w:pPr>
            <w:r>
              <w:rPr>
                <w:rFonts w:ascii="Arial" w:cs="Arial" w:eastAsia="Arial" w:hAnsi="Arial"/>
                <w:sz w:val="18"/>
                <w:szCs w:val="18"/>
                <w:color w:val="auto"/>
              </w:rPr>
              <w:t>p=0.025</w:t>
            </w:r>
          </w:p>
        </w:tc>
        <w:tc>
          <w:tcPr>
            <w:tcW w:w="1240" w:type="dxa"/>
            <w:vAlign w:val="bottom"/>
            <w:shd w:val="clear" w:color="auto" w:fill="CFF0FC"/>
          </w:tcPr>
          <w:p>
            <w:pPr>
              <w:jc w:val="center"/>
              <w:ind w:left="158"/>
              <w:spacing w:after="0"/>
              <w:rPr>
                <w:sz w:val="20"/>
                <w:szCs w:val="20"/>
                <w:color w:val="auto"/>
              </w:rPr>
            </w:pPr>
            <w:r>
              <w:rPr>
                <w:rFonts w:ascii="Arial" w:cs="Arial" w:eastAsia="Arial" w:hAnsi="Arial"/>
                <w:sz w:val="18"/>
                <w:szCs w:val="18"/>
                <w:color w:val="auto"/>
                <w:w w:val="93"/>
              </w:rPr>
              <w:t>(2.52)</w:t>
            </w:r>
          </w:p>
        </w:tc>
        <w:tc>
          <w:tcPr>
            <w:tcW w:w="94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w w:val="97"/>
              </w:rPr>
              <w:t>p=0.491</w:t>
            </w:r>
          </w:p>
        </w:tc>
        <w:tc>
          <w:tcPr>
            <w:tcW w:w="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5"/>
        </w:trPr>
        <w:tc>
          <w:tcPr>
            <w:tcW w:w="4620" w:type="dxa"/>
            <w:vAlign w:val="bottom"/>
            <w:gridSpan w:val="2"/>
          </w:tcPr>
          <w:p>
            <w:pPr>
              <w:spacing w:after="0"/>
              <w:rPr>
                <w:sz w:val="20"/>
                <w:szCs w:val="20"/>
                <w:color w:val="auto"/>
              </w:rPr>
            </w:pPr>
            <w:r>
              <w:rPr>
                <w:rFonts w:ascii="Arial" w:cs="Arial" w:eastAsia="Arial" w:hAnsi="Arial"/>
                <w:sz w:val="18"/>
                <w:szCs w:val="18"/>
                <w:color w:val="auto"/>
              </w:rPr>
              <w:t>Mean change in total ItchyQoL score 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mITT population</w:t>
            </w:r>
          </w:p>
        </w:tc>
        <w:tc>
          <w:tcPr>
            <w:tcW w:w="1420" w:type="dxa"/>
            <w:vAlign w:val="bottom"/>
            <w:gridSpan w:val="3"/>
          </w:tcPr>
          <w:p>
            <w:pPr>
              <w:jc w:val="right"/>
              <w:ind w:right="248"/>
              <w:spacing w:after="0"/>
              <w:rPr>
                <w:sz w:val="20"/>
                <w:szCs w:val="20"/>
                <w:color w:val="auto"/>
              </w:rPr>
            </w:pPr>
            <w:r>
              <w:rPr>
                <w:rFonts w:ascii="Arial" w:cs="Arial" w:eastAsia="Arial" w:hAnsi="Arial"/>
                <w:sz w:val="18"/>
                <w:szCs w:val="18"/>
                <w:color w:val="auto"/>
              </w:rPr>
              <w:t>(13.83)</w:t>
            </w:r>
          </w:p>
        </w:tc>
        <w:tc>
          <w:tcPr>
            <w:tcW w:w="980" w:type="dxa"/>
            <w:vAlign w:val="bottom"/>
            <w:gridSpan w:val="4"/>
          </w:tcPr>
          <w:p>
            <w:pPr>
              <w:ind w:left="280"/>
              <w:spacing w:after="0"/>
              <w:rPr>
                <w:sz w:val="20"/>
                <w:szCs w:val="20"/>
                <w:color w:val="auto"/>
              </w:rPr>
            </w:pPr>
            <w:r>
              <w:rPr>
                <w:rFonts w:ascii="Arial" w:cs="Arial" w:eastAsia="Arial" w:hAnsi="Arial"/>
                <w:sz w:val="18"/>
                <w:szCs w:val="18"/>
                <w:color w:val="auto"/>
              </w:rPr>
              <w:t>p=0.022</w:t>
            </w:r>
          </w:p>
        </w:tc>
        <w:tc>
          <w:tcPr>
            <w:tcW w:w="1240" w:type="dxa"/>
            <w:vAlign w:val="bottom"/>
          </w:tcPr>
          <w:p>
            <w:pPr>
              <w:jc w:val="center"/>
              <w:ind w:left="158"/>
              <w:spacing w:after="0"/>
              <w:rPr>
                <w:sz w:val="20"/>
                <w:szCs w:val="20"/>
                <w:color w:val="auto"/>
              </w:rPr>
            </w:pPr>
            <w:r>
              <w:rPr>
                <w:rFonts w:ascii="Arial" w:cs="Arial" w:eastAsia="Arial" w:hAnsi="Arial"/>
                <w:sz w:val="18"/>
                <w:szCs w:val="18"/>
                <w:color w:val="auto"/>
                <w:w w:val="93"/>
              </w:rPr>
              <w:t>(7.79)</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w w:val="97"/>
              </w:rPr>
              <w:t>p=0.373</w:t>
            </w: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8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55"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the modified intention to treat population, which consists of all of the patients who were randomized and commenced dosing.</w:t>
      </w:r>
    </w:p>
    <w:p>
      <w:pPr>
        <w:spacing w:after="0" w:line="34" w:lineRule="exact"/>
        <w:rPr>
          <w:rFonts w:ascii="Arial" w:cs="Arial" w:eastAsia="Arial" w:hAnsi="Arial"/>
          <w:sz w:val="17"/>
          <w:szCs w:val="17"/>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the patients who completed the 10-week course of treatment.</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p-values compare treatment group to placebo. Only the primary endpoint was powered for statistical significance.</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Primary endpoint of the trial.</w:t>
      </w:r>
    </w:p>
    <w:p>
      <w:pPr>
        <w:spacing w:after="0" w:line="100" w:lineRule="exact"/>
        <w:rPr>
          <w:sz w:val="20"/>
          <w:szCs w:val="20"/>
          <w:color w:val="auto"/>
        </w:rPr>
      </w:pPr>
    </w:p>
    <w:p>
      <w:pPr>
        <w:ind w:right="60" w:firstLine="554"/>
        <w:spacing w:after="0" w:line="256" w:lineRule="auto"/>
        <w:rPr>
          <w:sz w:val="20"/>
          <w:szCs w:val="20"/>
          <w:color w:val="auto"/>
        </w:rPr>
      </w:pPr>
      <w:r>
        <w:rPr>
          <w:rFonts w:ascii="Arial" w:cs="Arial" w:eastAsia="Arial" w:hAnsi="Arial"/>
          <w:sz w:val="19"/>
          <w:szCs w:val="19"/>
          <w:color w:val="auto"/>
        </w:rPr>
        <w:t xml:space="preserve">In the trial, a significantly greater number of patients reported improvement in WI-NRS with 50% of the completers in the 162 mg arm reported at least a 50% reduction in WI-NRS score from baseline, as compared to 20% of the completers in the placebo arm (p=0.028), although this analysis was not powered for statistical significance. Importantly, the patients in the 162 mg arm had a mean baseline WI-NRS score of 8.05; therefore a 50% reduction in WI-NRS score from baseline for patients in this arm was comparable to a 4-point reduction in WI-NRS score, the primary efficacy endpoint of our ongoing Phase 2b/3 PRISM trial. While the primary endpoint of the trial demonstrated a numerical but not statistically significant difference in the 162 mg arm, we believe the results for the key secondary endpoint of the proportion of patients reporting at least a 50% reduction in WI-NRS score from baseline, and the </w:t>
      </w:r>
      <w:r>
        <w:rPr>
          <w:rFonts w:ascii="Arial" w:cs="Arial" w:eastAsia="Arial" w:hAnsi="Arial"/>
          <w:sz w:val="19"/>
          <w:szCs w:val="19"/>
          <w:i w:val="1"/>
          <w:iCs w:val="1"/>
          <w:color w:val="auto"/>
        </w:rPr>
        <w:t>post hoc</w:t>
      </w:r>
      <w:r>
        <w:rPr>
          <w:rFonts w:ascii="Arial" w:cs="Arial" w:eastAsia="Arial" w:hAnsi="Arial"/>
          <w:sz w:val="19"/>
          <w:szCs w:val="19"/>
          <w:color w:val="auto"/>
        </w:rPr>
        <w:t xml:space="preserve"> analysis, allow us to better understand the response of patients with prurigo nodularis to Haduvio and indicate that responders to Haduvio took the higher dose (162 mg) for longer (completers) and had a greater reduction in WI-NRS.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ind w:left="560"/>
        <w:spacing w:after="0"/>
        <w:rPr>
          <w:sz w:val="20"/>
          <w:szCs w:val="20"/>
          <w:color w:val="auto"/>
        </w:rPr>
      </w:pPr>
      <w:r>
        <w:rPr>
          <w:rFonts w:ascii="Arial" w:cs="Arial" w:eastAsia="Arial" w:hAnsi="Arial"/>
          <w:sz w:val="18"/>
          <w:szCs w:val="18"/>
          <w:i w:val="1"/>
          <w:iCs w:val="1"/>
          <w:color w:val="auto"/>
        </w:rPr>
        <w:t>Safety Results</w:t>
      </w:r>
    </w:p>
    <w:p>
      <w:pPr>
        <w:spacing w:after="0" w:line="117" w:lineRule="exact"/>
        <w:rPr>
          <w:sz w:val="20"/>
          <w:szCs w:val="20"/>
          <w:color w:val="auto"/>
        </w:rPr>
      </w:pPr>
    </w:p>
    <w:p>
      <w:pPr>
        <w:ind w:right="120" w:firstLine="554"/>
        <w:spacing w:after="0" w:line="275" w:lineRule="auto"/>
        <w:rPr>
          <w:sz w:val="20"/>
          <w:szCs w:val="20"/>
          <w:color w:val="auto"/>
        </w:rPr>
      </w:pPr>
      <w:r>
        <w:rPr>
          <w:rFonts w:ascii="Arial" w:cs="Arial" w:eastAsia="Arial" w:hAnsi="Arial"/>
          <w:sz w:val="17"/>
          <w:szCs w:val="17"/>
          <w:color w:val="auto"/>
        </w:rPr>
        <w:t>Haduvio was well tolerated in the trial. No serious adverse events, or SAEs, were assessed as definitely, probably or possibly related to Haduvio. Two patients experienced SAEs that were assessed as unlikely to be related to Haduvio, including one patient in the Haduvio 81 mg arm of the trial whose SAEs occurred in connection with a car accident and one patient in the placebo arm with acute myeloid leukemia by bone marrow who experienced leukocytosis. The majority of treatment emergent adverse events, or TEAEs, occurred during the titration period. During the titration period, 73% of Haduvio-treated patients experienced one or more adverse events, as compared to 46% of patients receiving placebo.</w:t>
      </w:r>
    </w:p>
    <w:p>
      <w:pPr>
        <w:spacing w:after="0" w:line="68" w:lineRule="exact"/>
        <w:rPr>
          <w:sz w:val="20"/>
          <w:szCs w:val="20"/>
          <w:color w:val="auto"/>
        </w:rPr>
      </w:pPr>
    </w:p>
    <w:p>
      <w:pPr>
        <w:ind w:right="60" w:firstLine="554"/>
        <w:spacing w:after="0" w:line="271" w:lineRule="auto"/>
        <w:rPr>
          <w:sz w:val="20"/>
          <w:szCs w:val="20"/>
          <w:color w:val="auto"/>
        </w:rPr>
      </w:pPr>
      <w:r>
        <w:rPr>
          <w:rFonts w:ascii="Arial" w:cs="Arial" w:eastAsia="Arial" w:hAnsi="Arial"/>
          <w:sz w:val="17"/>
          <w:szCs w:val="17"/>
          <w:color w:val="auto"/>
        </w:rPr>
        <w:t>The following table summarizes the most common TEAEs experienced by patients in the trial, indicating the percentage of the modified intention to treat, or mITT, population of each arm that reported each such TEAE, subdivided by the grade of the reported TEAEs. Grade refers to the severity of the TEAE, with grade 1 TEAEs generally including mild or asymptomatic conditions or clinical or diagnostic observations only, grade 2 TEAEs generally including moderate events or minimal, local or noninvasive intervention events and grade 3 TEAEs generally including severe or medically significant events that are not immediately life-threatening, events requiring hospitalization or prolongation of hospitalization or disabling events. There were no grade 4 or grade 5 TEAEs reported in the trial, which would generally include life-threatening or urgent intervention events and deaths. Patients were able to report multiple TEAEs and, as a result, the percentages specified below for each arm or grade do not necessarily represent the percentage of patients in the arm that experienced any TEAE or any grade of any TEAE.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TEAE</w:t>
            </w:r>
          </w:p>
        </w:tc>
        <w:tc>
          <w:tcPr>
            <w:tcW w:w="216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Haduvio 162 mg</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ind w:right="275"/>
              <w:spacing w:after="0"/>
              <w:rPr>
                <w:sz w:val="20"/>
                <w:szCs w:val="20"/>
                <w:color w:val="auto"/>
              </w:rPr>
            </w:pPr>
            <w:r>
              <w:rPr>
                <w:rFonts w:ascii="Arial" w:cs="Arial" w:eastAsia="Arial" w:hAnsi="Arial"/>
                <w:sz w:val="14"/>
                <w:szCs w:val="14"/>
                <w:b w:val="1"/>
                <w:bCs w:val="1"/>
                <w:color w:val="auto"/>
                <w:w w:val="92"/>
              </w:rPr>
              <w:t>Haduvio 81 mg</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Placebo</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8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(n=18)</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ind w:right="555"/>
              <w:spacing w:after="0"/>
              <w:rPr>
                <w:sz w:val="20"/>
                <w:szCs w:val="20"/>
                <w:color w:val="auto"/>
              </w:rPr>
            </w:pPr>
            <w:r>
              <w:rPr>
                <w:rFonts w:ascii="Arial" w:cs="Arial" w:eastAsia="Arial" w:hAnsi="Arial"/>
                <w:sz w:val="14"/>
                <w:szCs w:val="14"/>
                <w:b w:val="1"/>
                <w:bCs w:val="1"/>
                <w:color w:val="auto"/>
              </w:rPr>
              <w:t>(n=22)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(n=22)</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Grade</w:t>
            </w: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213"/>
              <w:spacing w:after="0"/>
              <w:rPr>
                <w:sz w:val="20"/>
                <w:szCs w:val="20"/>
                <w:color w:val="auto"/>
              </w:rPr>
            </w:pPr>
            <w:r>
              <w:rPr>
                <w:rFonts w:ascii="Arial" w:cs="Arial" w:eastAsia="Arial" w:hAnsi="Arial"/>
                <w:sz w:val="18"/>
                <w:szCs w:val="18"/>
                <w:color w:val="auto"/>
              </w:rPr>
              <w:t>1</w:t>
            </w:r>
          </w:p>
        </w:tc>
        <w:tc>
          <w:tcPr>
            <w:tcW w:w="1160" w:type="dxa"/>
            <w:vAlign w:val="bottom"/>
            <w:tcBorders>
              <w:top w:val="single" w:sz="8" w:color="auto"/>
            </w:tcBorders>
            <w:shd w:val="clear" w:color="auto" w:fill="CFF0FC"/>
          </w:tcPr>
          <w:p>
            <w:pPr>
              <w:jc w:val="right"/>
              <w:ind w:right="393"/>
              <w:spacing w:after="0"/>
              <w:rPr>
                <w:sz w:val="20"/>
                <w:szCs w:val="20"/>
                <w:color w:val="auto"/>
              </w:rPr>
            </w:pPr>
            <w:r>
              <w:rPr>
                <w:rFonts w:ascii="Arial" w:cs="Arial" w:eastAsia="Arial" w:hAnsi="Arial"/>
                <w:sz w:val="18"/>
                <w:szCs w:val="18"/>
                <w:color w:val="auto"/>
              </w:rPr>
              <w:t>2</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1300" w:type="dxa"/>
            <w:vAlign w:val="bottom"/>
            <w:tcBorders>
              <w:top w:val="single" w:sz="8" w:color="auto"/>
            </w:tcBorders>
            <w:shd w:val="clear" w:color="auto" w:fill="CFF0FC"/>
          </w:tcPr>
          <w:p>
            <w:pPr>
              <w:jc w:val="right"/>
              <w:ind w:right="415"/>
              <w:spacing w:after="0"/>
              <w:rPr>
                <w:sz w:val="20"/>
                <w:szCs w:val="20"/>
                <w:color w:val="auto"/>
              </w:rPr>
            </w:pPr>
            <w:r>
              <w:rPr>
                <w:rFonts w:ascii="Arial" w:cs="Arial" w:eastAsia="Arial" w:hAnsi="Arial"/>
                <w:sz w:val="18"/>
                <w:szCs w:val="18"/>
                <w:color w:val="auto"/>
              </w:rPr>
              <w:t>2</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1</w:t>
            </w:r>
          </w:p>
        </w:tc>
        <w:tc>
          <w:tcPr>
            <w:tcW w:w="1200" w:type="dxa"/>
            <w:vAlign w:val="bottom"/>
            <w:tcBorders>
              <w:top w:val="single" w:sz="8" w:color="auto"/>
            </w:tcBorders>
            <w:shd w:val="clear" w:color="auto" w:fill="CFF0FC"/>
          </w:tcPr>
          <w:p>
            <w:pPr>
              <w:jc w:val="right"/>
              <w:ind w:right="375"/>
              <w:spacing w:after="0"/>
              <w:rPr>
                <w:sz w:val="20"/>
                <w:szCs w:val="20"/>
                <w:color w:val="auto"/>
              </w:rPr>
            </w:pPr>
            <w:r>
              <w:rPr>
                <w:rFonts w:ascii="Arial" w:cs="Arial" w:eastAsia="Arial" w:hAnsi="Arial"/>
                <w:sz w:val="18"/>
                <w:szCs w:val="18"/>
                <w:color w:val="auto"/>
              </w:rPr>
              <w:t>2</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Dizziness</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300" w:type="dxa"/>
            <w:vAlign w:val="bottom"/>
          </w:tcPr>
          <w:p>
            <w:pPr>
              <w:jc w:val="right"/>
              <w:ind w:right="255"/>
              <w:spacing w:after="0"/>
              <w:rPr>
                <w:sz w:val="20"/>
                <w:szCs w:val="20"/>
                <w:color w:val="auto"/>
              </w:rPr>
            </w:pPr>
            <w:r>
              <w:rPr>
                <w:rFonts w:ascii="Arial" w:cs="Arial" w:eastAsia="Arial" w:hAnsi="Arial"/>
                <w:sz w:val="18"/>
                <w:szCs w:val="18"/>
                <w:color w:val="auto"/>
              </w:rPr>
              <w:t>9%</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Nausea</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w:t>
            </w:r>
          </w:p>
        </w:tc>
        <w:tc>
          <w:tcPr>
            <w:tcW w:w="1160" w:type="dxa"/>
            <w:vAlign w:val="bottom"/>
            <w:shd w:val="clear" w:color="auto" w:fill="CFF0FC"/>
          </w:tcPr>
          <w:p>
            <w:pPr>
              <w:jc w:val="right"/>
              <w:ind w:right="233"/>
              <w:spacing w:after="0"/>
              <w:rPr>
                <w:sz w:val="20"/>
                <w:szCs w:val="20"/>
                <w:color w:val="auto"/>
              </w:rPr>
            </w:pPr>
            <w:r>
              <w:rPr>
                <w:rFonts w:ascii="Arial" w:cs="Arial" w:eastAsia="Arial" w:hAnsi="Arial"/>
                <w:sz w:val="18"/>
                <w:szCs w:val="18"/>
                <w:color w:val="auto"/>
              </w:rPr>
              <w:t>22%</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30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200" w:type="dxa"/>
            <w:vAlign w:val="bottom"/>
            <w:shd w:val="clear" w:color="auto" w:fill="CFF0FC"/>
          </w:tcPr>
          <w:p>
            <w:pPr>
              <w:jc w:val="right"/>
              <w:ind w:right="37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80" w:type="dxa"/>
            <w:vAlign w:val="bottom"/>
            <w:gridSpan w:val="2"/>
          </w:tcPr>
          <w:p>
            <w:pPr>
              <w:spacing w:after="0"/>
              <w:rPr>
                <w:sz w:val="20"/>
                <w:szCs w:val="20"/>
                <w:color w:val="auto"/>
              </w:rPr>
            </w:pPr>
            <w:r>
              <w:rPr>
                <w:rFonts w:ascii="Arial" w:cs="Arial" w:eastAsia="Arial" w:hAnsi="Arial"/>
                <w:sz w:val="18"/>
                <w:szCs w:val="18"/>
                <w:color w:val="auto"/>
              </w:rPr>
              <w:t>Headache</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255"/>
              <w:spacing w:after="0"/>
              <w:rPr>
                <w:sz w:val="20"/>
                <w:szCs w:val="20"/>
                <w:color w:val="auto"/>
              </w:rPr>
            </w:pPr>
            <w:r>
              <w:rPr>
                <w:rFonts w:ascii="Arial" w:cs="Arial" w:eastAsia="Arial" w:hAnsi="Arial"/>
                <w:sz w:val="18"/>
                <w:szCs w:val="18"/>
                <w:color w:val="auto"/>
              </w:rPr>
              <w:t>18%</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0" w:type="dxa"/>
            <w:vAlign w:val="bottom"/>
          </w:tcPr>
          <w:p>
            <w:pPr>
              <w:jc w:val="right"/>
              <w:ind w:right="215"/>
              <w:spacing w:after="0"/>
              <w:rPr>
                <w:sz w:val="20"/>
                <w:szCs w:val="20"/>
                <w:color w:val="auto"/>
              </w:rPr>
            </w:pPr>
            <w:r>
              <w:rPr>
                <w:rFonts w:ascii="Arial" w:cs="Arial" w:eastAsia="Arial" w:hAnsi="Arial"/>
                <w:sz w:val="18"/>
                <w:szCs w:val="18"/>
                <w:color w:val="auto"/>
              </w:rPr>
              <w:t>5%</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Fatigue</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w:t>
            </w:r>
          </w:p>
        </w:tc>
        <w:tc>
          <w:tcPr>
            <w:tcW w:w="1160" w:type="dxa"/>
            <w:vAlign w:val="bottom"/>
            <w:shd w:val="clear" w:color="auto" w:fill="CFF0FC"/>
          </w:tcPr>
          <w:p>
            <w:pPr>
              <w:jc w:val="right"/>
              <w:ind w:right="39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30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9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7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Open Label Extension Study</w:t>
      </w:r>
    </w:p>
    <w:p>
      <w:pPr>
        <w:spacing w:after="0" w:line="117"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We completed a one-year open label extension study of our Phase 2 clinical trial in patients with prurigo nodularis in July 2017. Patients who completed the Phase 2 clinical trial were able to enroll in the extension study following a safety washout period. Patients who enrolled in the extension study who had WI-NRS scores of at least 5 were immediately admitted to the active treatment period of the study. Patients with WI-NRS scores of less than 5 entered an observation period for up to 12 weeks. Patients in this observation period began to receive active treatment only following their first reported WI-NRS score of at least 5, or if they reached the end of the 12-week observation period and their WI-NRS scores remained below 5, they were required to leave the study.</w:t>
      </w:r>
    </w:p>
    <w:p>
      <w:pPr>
        <w:spacing w:after="0" w:line="84"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Patients in the active treatment period received Haduvio at a dose determined by self-titration (both up and down) to tolerance, ranging from 27 mg, once daily, up to 162 mg, twice daily, for up to 50 weeks. The variable-length observation period resulted in an active treatment period that could range from 38 to 50 weeks, depending on when the patient moved from the observation period to the active treatment period. The open label extension study enrolled 41 patients and of these 36 were admitted to the active treatment period. Of the patients admitted to the active treatment period, 20 patients completed at least 26 weeks of treatment and 16 patients completed 50 weeks of treatment, which are periods that correspond to guidelines of the International Council for Harmonisation of Technical Requirements for the Registration of Pharmaceuticals for Human Use to assess safety over periods of approximately six months and one year.</w:t>
      </w:r>
    </w:p>
    <w:p>
      <w:pPr>
        <w:spacing w:after="0" w:line="87" w:lineRule="exact"/>
        <w:rPr>
          <w:sz w:val="20"/>
          <w:szCs w:val="20"/>
          <w:color w:val="auto"/>
        </w:rPr>
      </w:pPr>
    </w:p>
    <w:p>
      <w:pPr>
        <w:ind w:right="80" w:firstLine="554"/>
        <w:spacing w:after="0" w:line="269" w:lineRule="auto"/>
        <w:rPr>
          <w:sz w:val="20"/>
          <w:szCs w:val="20"/>
          <w:color w:val="auto"/>
        </w:rPr>
      </w:pPr>
      <w:r>
        <w:rPr>
          <w:rFonts w:ascii="Arial" w:cs="Arial" w:eastAsia="Arial" w:hAnsi="Arial"/>
          <w:sz w:val="17"/>
          <w:szCs w:val="17"/>
          <w:color w:val="auto"/>
        </w:rPr>
        <w:t>We observed mean changes in WI-NRS score from commencement of the active treatment period to week 26 and week 50 of -3.9 and -4.2, respectively, and a mean change in total ItchyQoL score from commencement of the active treatment period to week 26 and week 50 of -16.0 and -12.5, respectively. In the Verbal Rating Scale, a patient self-assessment of the presence and intensity of three distinct skin sensations (itching, burning and stinging) on a 5-category numeric assessment scale ranging from 0 to 4, over half of the patients reported at least a 1-category improvement from commencement of the active treatment period to their last observed study visit. In addition, we observed improvement at weeks 26 and 50 with respect to pruriginous lesions observed in Prurigo Activity Score, or PAS, assessments, which include physician assessments of skin lesions on a 0% to 100% scale, divided into five categories of 20% each, with respect to each of two parameters: percentage of excoriations/crusting and percentage of healed lesions. For the subsets of patients who completed 26 or 50 weeks of treatment and who had a PAS exam reported at both baseline and week 26 or 50, 13 of 19 patients at week 26, and 9 of 15 patients at week 50, showed at a least a 1-category improvement in excoriations/crusts; and 11 of 19 patients at week 26, and 7 of 15 patients at week 50, showed at least a 1-category improvement in healed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ind w:right="240"/>
        <w:spacing w:after="0" w:line="277" w:lineRule="auto"/>
        <w:rPr>
          <w:sz w:val="20"/>
          <w:szCs w:val="20"/>
          <w:color w:val="auto"/>
        </w:rPr>
      </w:pPr>
      <w:r>
        <w:rPr>
          <w:rFonts w:ascii="Arial" w:cs="Arial" w:eastAsia="Arial" w:hAnsi="Arial"/>
          <w:sz w:val="18"/>
          <w:szCs w:val="18"/>
          <w:color w:val="auto"/>
        </w:rPr>
        <w:t>lesions. We believe these data suggest that with continued longer-term treatment, both ongoing reduction in pruritus and improvement in the pruriginous lesions themselves may be observed in a meaningful proportion of patients.</w:t>
      </w:r>
    </w:p>
    <w:p>
      <w:pPr>
        <w:spacing w:after="0" w:line="62" w:lineRule="exact"/>
        <w:rPr>
          <w:sz w:val="20"/>
          <w:szCs w:val="20"/>
          <w:color w:val="auto"/>
        </w:rPr>
      </w:pPr>
    </w:p>
    <w:p>
      <w:pPr>
        <w:ind w:right="20" w:firstLine="554"/>
        <w:spacing w:after="0" w:line="259" w:lineRule="auto"/>
        <w:rPr>
          <w:sz w:val="20"/>
          <w:szCs w:val="20"/>
          <w:color w:val="auto"/>
        </w:rPr>
      </w:pPr>
      <w:r>
        <w:rPr>
          <w:rFonts w:ascii="Arial" w:cs="Arial" w:eastAsia="Arial" w:hAnsi="Arial"/>
          <w:sz w:val="18"/>
          <w:szCs w:val="18"/>
          <w:color w:val="auto"/>
        </w:rPr>
        <w:t>Haduvio was well-tolerated in the open label extension study. The most frequent adverse events related to study drug were nausea and dizziness, which were reported in seven patients (19%) each, and fatigue, which was reported in six patients (17%). There were no treatment emergent SAEs reported that were considered related to study drug and the majority of adverse events were grade 1 or grade 2 in severity. There were no deaths reported in the study.</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Ongoing Phase 2b/3 PRISM Clinical Trial</w:t>
      </w:r>
    </w:p>
    <w:p>
      <w:pPr>
        <w:spacing w:after="0" w:line="117" w:lineRule="exact"/>
        <w:rPr>
          <w:sz w:val="20"/>
          <w:szCs w:val="20"/>
          <w:color w:val="auto"/>
        </w:rPr>
      </w:pPr>
    </w:p>
    <w:p>
      <w:pPr>
        <w:ind w:right="120" w:firstLine="554"/>
        <w:spacing w:after="0" w:line="279" w:lineRule="auto"/>
        <w:rPr>
          <w:sz w:val="20"/>
          <w:szCs w:val="20"/>
          <w:color w:val="auto"/>
        </w:rPr>
      </w:pPr>
      <w:r>
        <w:rPr>
          <w:rFonts w:ascii="Arial" w:cs="Arial" w:eastAsia="Arial" w:hAnsi="Arial"/>
          <w:sz w:val="17"/>
          <w:szCs w:val="17"/>
          <w:color w:val="auto"/>
        </w:rPr>
        <w:t>Following completion of the Phase 2 clinical trial described above, we met with the FDA and European regulatory authorities to discuss the registration pathway for Haduvio for pruritus associated with prurigo nodularis and the design of our Phase 2b/3 PRISM trial, including the target population, dose, duration and primary efficacy endpoint. Based on these discussions and the results of our prurigo nodularis and uremic pruritus trials we initiated our Phase 2b/3 PRISM trial of Haduvio 162 mg tablets in subjects with severe pruritus associated with prurigo nodularis.</w:t>
      </w:r>
    </w:p>
    <w:p>
      <w:pPr>
        <w:spacing w:after="0" w:line="63" w:lineRule="exact"/>
        <w:rPr>
          <w:sz w:val="20"/>
          <w:szCs w:val="20"/>
          <w:color w:val="auto"/>
        </w:rPr>
      </w:pPr>
    </w:p>
    <w:p>
      <w:pPr>
        <w:ind w:firstLine="554"/>
        <w:spacing w:after="0" w:line="259" w:lineRule="auto"/>
        <w:rPr>
          <w:sz w:val="20"/>
          <w:szCs w:val="20"/>
          <w:color w:val="auto"/>
        </w:rPr>
      </w:pPr>
      <w:r>
        <w:rPr>
          <w:rFonts w:ascii="Arial" w:cs="Arial" w:eastAsia="Arial" w:hAnsi="Arial"/>
          <w:sz w:val="18"/>
          <w:szCs w:val="18"/>
          <w:color w:val="auto"/>
        </w:rPr>
        <w:t>The Phase 2b/3 PRISM trial consists of two parts. The first part of the trial is a randomized, double-blind, placebo-controlled, parallel, two-arm, 14-week treatment period that is evaluating the safety and anti-pruritic efficacy of Haduvio 162 mg tablets. The second part of the trial is an open label extension to evaluate Haduvio’s long-term safety profile as well as its effects on key prurigo nodularis parameters, including itch and skin healing, over a further 38 weeks, resulting in a 52-week overall treatment period.</w:t>
      </w:r>
    </w:p>
    <w:p>
      <w:pPr>
        <w:spacing w:after="0" w:line="79" w:lineRule="exact"/>
        <w:rPr>
          <w:sz w:val="20"/>
          <w:szCs w:val="20"/>
          <w:color w:val="auto"/>
        </w:rPr>
      </w:pPr>
    </w:p>
    <w:p>
      <w:pPr>
        <w:ind w:right="160" w:firstLine="554"/>
        <w:spacing w:after="0" w:line="293" w:lineRule="auto"/>
        <w:rPr>
          <w:sz w:val="20"/>
          <w:szCs w:val="20"/>
          <w:color w:val="auto"/>
        </w:rPr>
      </w:pPr>
      <w:r>
        <w:rPr>
          <w:rFonts w:ascii="Arial" w:cs="Arial" w:eastAsia="Arial" w:hAnsi="Arial"/>
          <w:sz w:val="16"/>
          <w:szCs w:val="16"/>
          <w:color w:val="auto"/>
        </w:rPr>
        <w:t>Patients will be dosed over two periods in the blinded portion of the trial: an initial two-week titration period during which patients receive gradually increasing doses of Haduvio or placebo, reaching the final assigned dose on day 15, followed by a 12-week fixed-dosing period. Following the initial 14-week treatment period, patients will continue into another two-week blinded titration period during which patients from the placebo arm will cross over to active drug with a standard escalating titration schedule, while patients from the Haduvio arm remain at a stable dose of 162 mg twice daily. This blinded two-week period will be followed by 36 weeks of stable dosing at 162 mg twice daily of open label Haduvio for all participants. The open label extension will conclude with a final two-week off-treatment washout and safety observation period for all patients.</w:t>
      </w:r>
    </w:p>
    <w:p>
      <w:pPr>
        <w:spacing w:after="0" w:line="56" w:lineRule="exact"/>
        <w:rPr>
          <w:sz w:val="20"/>
          <w:szCs w:val="20"/>
          <w:color w:val="auto"/>
        </w:rPr>
      </w:pPr>
    </w:p>
    <w:p>
      <w:pPr>
        <w:ind w:right="80" w:firstLine="554"/>
        <w:spacing w:after="0" w:line="259" w:lineRule="auto"/>
        <w:rPr>
          <w:sz w:val="20"/>
          <w:szCs w:val="20"/>
          <w:color w:val="auto"/>
        </w:rPr>
      </w:pPr>
      <w:r>
        <w:rPr>
          <w:rFonts w:ascii="Arial" w:cs="Arial" w:eastAsia="Arial" w:hAnsi="Arial"/>
          <w:sz w:val="18"/>
          <w:szCs w:val="18"/>
          <w:color w:val="auto"/>
        </w:rPr>
        <w:t>The primary efficacy endpoint for the trial is the proportion of patients achieving at least a 4-point improvement from baseline with respect to their worst itch at week 14 as measured by WI-NRS. Key secondary endpoints include the mean changes from baseline to week 14 in WI-NRS and ItchyQoL scores and the difference in percentage of patients having a 1-category improvement in the percentage of pruriginous lesions with excoriations or crusts on the PAS at week 14.</w:t>
      </w:r>
    </w:p>
    <w:p>
      <w:pPr>
        <w:spacing w:after="0" w:line="79"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Eligible patients for this trial are adults with prurigo nodularis, defined by having at least ten pruriginous nodules, with predominantly nodular lesions overall, over at least two anatomically distinct body areas, with baseline seven-day mean WI-NRS scores of at least 7, indicating severe pruritus. The trial was designed to be conducted in 240 subjects, subject to a sample size re-estimation, or SSRE, analysis to take place during the trial. In accordance with the protocol for the Phase 2b/3 PRISM trial, we conducted the SSRE analysis in July 2020, following such time as approximately 45% of the patients in the trial were evaluable for the primary endpoint. Based on the analysis, the DMC recommended that the Phase 2b/3 PRISM trial should continue and that the trial size should increase from an initial enrollment target of 240 to 360 subjects, which maintains the statistical power for the primary endpoint. Based on the DMC’s recommendation, we increased the planned trial size to 360 subjects. We completed enrollment in the trial on January 31, 2022. We expect to report top-line data in the second quarter of 2022. If the Phase 2b/3 PRISM trial is successful, we expect that we will use the Phase 2b/3 PRISM trial and an additional Phase 3 clinical trial that we believe we will need to conduct to support the submission of an NDA to the FDA and an MAA to the EMA for Haduvio for the treatment of pruritus associated with prurigo nodularis.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Next Steps</w:t>
      </w:r>
    </w:p>
    <w:p>
      <w:pPr>
        <w:spacing w:after="0" w:line="117" w:lineRule="exact"/>
        <w:rPr>
          <w:sz w:val="20"/>
          <w:szCs w:val="20"/>
          <w:color w:val="auto"/>
        </w:rPr>
      </w:pPr>
    </w:p>
    <w:p>
      <w:pPr>
        <w:ind w:right="180" w:firstLine="554"/>
        <w:spacing w:after="0" w:line="259" w:lineRule="auto"/>
        <w:rPr>
          <w:sz w:val="20"/>
          <w:szCs w:val="20"/>
          <w:color w:val="auto"/>
        </w:rPr>
      </w:pPr>
      <w:r>
        <w:rPr>
          <w:rFonts w:ascii="Arial" w:cs="Arial" w:eastAsia="Arial" w:hAnsi="Arial"/>
          <w:sz w:val="18"/>
          <w:szCs w:val="18"/>
          <w:color w:val="auto"/>
        </w:rPr>
        <w:t>If the results of the Phase 2b/3 PRISM trial and the additional Phase 3 clinical trial that we believe we need to conduct are positive, and the data from the other required supportive trials are also favorable, we would plan to seek approval for Haduvio for pruritus associated with prurigo nodularis by submitting to the FDA a Section 505(b)(2) New Drug Application, which would rely on the FDA’s previous findings for the safety and effectiveness of nalbuphine, in addition to the data we generate regarding Haduvio.</w:t>
      </w:r>
    </w:p>
    <w:p>
      <w:pPr>
        <w:spacing w:after="0" w:line="79" w:lineRule="exact"/>
        <w:rPr>
          <w:sz w:val="20"/>
          <w:szCs w:val="20"/>
          <w:color w:val="auto"/>
        </w:rPr>
      </w:pPr>
    </w:p>
    <w:p>
      <w:pPr>
        <w:jc w:val="both"/>
        <w:ind w:right="160" w:firstLine="554"/>
        <w:spacing w:after="0" w:line="263" w:lineRule="auto"/>
        <w:rPr>
          <w:sz w:val="20"/>
          <w:szCs w:val="20"/>
          <w:color w:val="auto"/>
        </w:rPr>
      </w:pPr>
      <w:r>
        <w:rPr>
          <w:rFonts w:ascii="Arial" w:cs="Arial" w:eastAsia="Arial" w:hAnsi="Arial"/>
          <w:sz w:val="18"/>
          <w:szCs w:val="18"/>
          <w:color w:val="auto"/>
        </w:rPr>
        <w:t>We have also obtained scientific guidance from regulatory authorities in two European countries, Sweden and Germany with respect to regulatory paths supporting submission of an MAA for pruritus associated with prurigo nodularis. We have had initial discussions of a Pediatric Investigational Plan with European health authorities.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Cough in Idiopathic Pulmonary Fibrosis Program</w:t>
      </w:r>
    </w:p>
    <w:p>
      <w:pPr>
        <w:spacing w:after="0" w:line="117" w:lineRule="exact"/>
        <w:rPr>
          <w:sz w:val="20"/>
          <w:szCs w:val="20"/>
          <w:color w:val="auto"/>
        </w:rPr>
      </w:pPr>
    </w:p>
    <w:p>
      <w:pPr>
        <w:ind w:right="40" w:firstLine="554"/>
        <w:spacing w:after="0" w:line="259" w:lineRule="auto"/>
        <w:rPr>
          <w:sz w:val="20"/>
          <w:szCs w:val="20"/>
          <w:color w:val="auto"/>
        </w:rPr>
      </w:pPr>
      <w:r>
        <w:rPr>
          <w:rFonts w:ascii="Arial" w:cs="Arial" w:eastAsia="Arial" w:hAnsi="Arial"/>
          <w:sz w:val="18"/>
          <w:szCs w:val="18"/>
          <w:color w:val="auto"/>
        </w:rPr>
        <w:t>Idiopathic pulmonary fibrosis, or IPF, is a rare, chronic, progressive lung disease, characterized by scarring and thickening of lung tissue leading to an irreversible loss of lung function and reduced life expectancy. Most patients diagnosed with IPF suffer from a dry, non-productive chronic cough that interrupts their daily living and significantly contributes to poor quality of life. Chronic coughing can have a debilitating physical and psychosocial burden, exacerbate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6" w:name="page17"/>
    <w:bookmarkEnd w:id="16"/>
    <w:p>
      <w:pPr>
        <w:ind w:right="80"/>
        <w:spacing w:after="0" w:line="277" w:lineRule="auto"/>
        <w:rPr>
          <w:sz w:val="20"/>
          <w:szCs w:val="20"/>
          <w:color w:val="auto"/>
        </w:rPr>
      </w:pPr>
      <w:r>
        <w:rPr>
          <w:rFonts w:ascii="Arial" w:cs="Arial" w:eastAsia="Arial" w:hAnsi="Arial"/>
          <w:sz w:val="18"/>
          <w:szCs w:val="18"/>
          <w:color w:val="auto"/>
        </w:rPr>
        <w:t>concomitant respiratory disease, cause loss of sleep and reduce mobility. Cough is an independent predictor of disease progression in IPF, and therefore we believe cough may contribute to the progression of the underlying disease.</w:t>
      </w:r>
    </w:p>
    <w:p>
      <w:pPr>
        <w:spacing w:after="0" w:line="62" w:lineRule="exact"/>
        <w:rPr>
          <w:sz w:val="20"/>
          <w:szCs w:val="20"/>
          <w:color w:val="auto"/>
        </w:rPr>
      </w:pPr>
    </w:p>
    <w:p>
      <w:pPr>
        <w:jc w:val="both"/>
        <w:ind w:right="460" w:firstLine="554"/>
        <w:spacing w:after="0" w:line="263" w:lineRule="auto"/>
        <w:rPr>
          <w:sz w:val="20"/>
          <w:szCs w:val="20"/>
          <w:color w:val="auto"/>
        </w:rPr>
      </w:pPr>
      <w:r>
        <w:rPr>
          <w:rFonts w:ascii="Arial" w:cs="Arial" w:eastAsia="Arial" w:hAnsi="Arial"/>
          <w:sz w:val="18"/>
          <w:szCs w:val="18"/>
          <w:color w:val="auto"/>
        </w:rPr>
        <w:t>Approximately 130,000 adults in the U.S. and greater than 1 million adults worldwide are believed to have IPF. In addition, up to 85% of IPF patients are reported to suffer from chronic cough. These patients can cough over 50 times per hour, which can lead to other morbidities. There are no approved therapies for the treatment of chronic cough in patients suffering with IPF.</w:t>
      </w:r>
    </w:p>
    <w:p>
      <w:pPr>
        <w:spacing w:after="0" w:line="76" w:lineRule="exact"/>
        <w:rPr>
          <w:sz w:val="20"/>
          <w:szCs w:val="20"/>
          <w:color w:val="auto"/>
        </w:rPr>
      </w:pPr>
    </w:p>
    <w:p>
      <w:pPr>
        <w:ind w:right="140" w:firstLine="554"/>
        <w:spacing w:after="0" w:line="263" w:lineRule="auto"/>
        <w:rPr>
          <w:sz w:val="20"/>
          <w:szCs w:val="20"/>
          <w:color w:val="auto"/>
        </w:rPr>
      </w:pPr>
      <w:r>
        <w:rPr>
          <w:rFonts w:ascii="Arial" w:cs="Arial" w:eastAsia="Arial" w:hAnsi="Arial"/>
          <w:sz w:val="18"/>
          <w:szCs w:val="18"/>
          <w:color w:val="auto"/>
        </w:rPr>
        <w:t>The opioid class of drugs has demonstrated the ability to suppress cough and is used in the clinical management of cough. There is also preclinical and clinical evidence that mixed agonist-antagonist drugs can also be effective in treating cough. We believe Haduvio has the potential to be an effective treatment for chronic cough in patients with IPF.</w:t>
      </w:r>
    </w:p>
    <w:p>
      <w:pPr>
        <w:spacing w:after="0" w:line="76" w:lineRule="exact"/>
        <w:rPr>
          <w:sz w:val="20"/>
          <w:szCs w:val="20"/>
          <w:color w:val="auto"/>
        </w:rPr>
      </w:pPr>
    </w:p>
    <w:p>
      <w:pPr>
        <w:ind w:firstLine="554"/>
        <w:spacing w:after="0" w:line="288" w:lineRule="auto"/>
        <w:rPr>
          <w:sz w:val="20"/>
          <w:szCs w:val="20"/>
          <w:color w:val="auto"/>
        </w:rPr>
      </w:pPr>
      <w:r>
        <w:rPr>
          <w:rFonts w:ascii="Arial" w:cs="Arial" w:eastAsia="Arial" w:hAnsi="Arial"/>
          <w:sz w:val="16"/>
          <w:szCs w:val="16"/>
          <w:color w:val="auto"/>
        </w:rPr>
        <w:t>The Phase 2 CANAL trial is a randomized, double-blind, placebo controlled, two-treatment, two-period, crossover study designed to evaluate the efficacy, safety, tolerability and dosing of Haduvio for chronic cough in patients with IPF. The trial was designed to enroll approximately 60 subjects with a goal to have 44 study completers. We are conducting the trial at multiple sites in the United Kingdom. In February 2022, we conducted an interim statistical analysis for this trial on the 26 subjects who had completed at least one treatment period one as of the January 28, 2022 data cut-off. The interim analysis was statistically significant on the primary efficacy endpoint, demonstrating a 52% placebo-adjusted reduction in the geometric mean percent change in daytime cough events (p&lt;0.0001, conditional power 100%) for Haduvio. The interim analysis was conducted by an independent statistical team according to the pre-specified endpoint in the protocol. In March 2022, we concluded enrollment early for our Phase 2 CANAL trial following the statistically significant efficacy results from the interim analysis. Because the trial achieved statistical significance in the interim analysis, sites were notified that they could enroll eligible subjects already in screening but that no additional recruitment was required. Approximately 40 subjects in total were enrolled in the study. We expect to report efficacy and safety data on the full set of subjects in the third quarter of 2022.</w:t>
      </w:r>
    </w:p>
    <w:p>
      <w:pPr>
        <w:spacing w:after="0" w:line="60" w:lineRule="exact"/>
        <w:rPr>
          <w:sz w:val="20"/>
          <w:szCs w:val="20"/>
          <w:color w:val="auto"/>
        </w:rPr>
      </w:pPr>
    </w:p>
    <w:p>
      <w:pPr>
        <w:ind w:right="60" w:firstLine="554"/>
        <w:spacing w:after="0" w:line="272" w:lineRule="auto"/>
        <w:rPr>
          <w:sz w:val="20"/>
          <w:szCs w:val="20"/>
          <w:color w:val="auto"/>
        </w:rPr>
      </w:pPr>
      <w:r>
        <w:rPr>
          <w:rFonts w:ascii="Arial" w:cs="Arial" w:eastAsia="Arial" w:hAnsi="Arial"/>
          <w:sz w:val="17"/>
          <w:szCs w:val="17"/>
          <w:color w:val="auto"/>
        </w:rPr>
        <w:t>Patients were randomized into one of two treatment arms. The patients in the first treatment arm received Haduvio for three weeks, which period was followed by a two-week washout period and then a three-week treatment period during which they received placebo. The patients in the second treatment arm received placebo during the first three-week treatment period, followed by a two-week washout period, then received Haduvio during the second three-week treatment period. During the active treatment periods, Haduvio was studied over a dosing range starting at 27 mg once daily and titrated in steps to 162 mg twice daily. The primary efficacy endpoint of the trial is mean percent change in daytime cough frequency as measured by a cough monitor as compared in the Haduvio treatment periods and the placebo treatment periods. Secondary endpoints in the trial include assessments of fatigue, dyspnea or shortness of breath and cough severity. The interim trial results were: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CANAL Interim Primary Efficacy Endpoint Analysis: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Daytime-cough frequency at end of</w:t>
            </w:r>
          </w:p>
        </w:tc>
        <w:tc>
          <w:tcPr>
            <w:tcW w:w="2340" w:type="dxa"/>
            <w:vAlign w:val="bottom"/>
          </w:tcPr>
          <w:p>
            <w:pPr>
              <w:spacing w:after="0"/>
              <w:rPr>
                <w:sz w:val="18"/>
                <w:szCs w:val="18"/>
                <w:color w:val="auto"/>
              </w:rPr>
            </w:pPr>
          </w:p>
        </w:tc>
      </w:t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N=26, Full Analysis Set</w:t>
            </w:r>
          </w:p>
        </w:tc>
        <w:tc>
          <w:tcPr>
            <w:tcW w:w="3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treatment period vs. study baseline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8"/>
              </w:rPr>
              <w:t>p-value</w:t>
            </w: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Nalbuphine ER BID</w:t>
            </w:r>
          </w:p>
        </w:tc>
        <w:tc>
          <w:tcPr>
            <w:tcW w:w="240" w:type="dxa"/>
            <w:vAlign w:val="bottom"/>
            <w:tcBorders>
              <w:top w:val="single" w:sz="8" w:color="CFF0FC"/>
            </w:tcBorders>
            <w:shd w:val="clear" w:color="auto" w:fill="CFF0FC"/>
          </w:tcPr>
          <w:p>
            <w:pPr>
              <w:spacing w:after="0"/>
              <w:rPr>
                <w:sz w:val="19"/>
                <w:szCs w:val="19"/>
                <w:color w:val="auto"/>
              </w:rPr>
            </w:pPr>
          </w:p>
        </w:tc>
        <w:tc>
          <w:tcPr>
            <w:tcW w:w="3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-77.3%</w:t>
            </w:r>
          </w:p>
        </w:tc>
        <w:tc>
          <w:tcPr>
            <w:tcW w:w="260" w:type="dxa"/>
            <w:vAlign w:val="bottom"/>
            <w:tcBorders>
              <w:top w:val="single" w:sz="8" w:color="CFF0FC"/>
            </w:tcBorders>
            <w:shd w:val="clear" w:color="auto" w:fill="CFF0FC"/>
          </w:tcPr>
          <w:p>
            <w:pPr>
              <w:spacing w:after="0"/>
              <w:rPr>
                <w:sz w:val="19"/>
                <w:szCs w:val="19"/>
                <w:color w:val="auto"/>
              </w:rPr>
            </w:pPr>
          </w:p>
        </w:tc>
        <w:tc>
          <w:tcPr>
            <w:tcW w:w="23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p&lt;0.0001</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Placebo BID</w:t>
            </w:r>
          </w:p>
        </w:tc>
        <w:tc>
          <w:tcPr>
            <w:tcW w:w="3240" w:type="dxa"/>
            <w:vAlign w:val="bottom"/>
          </w:tcPr>
          <w:p>
            <w:pPr>
              <w:jc w:val="center"/>
              <w:spacing w:after="0"/>
              <w:rPr>
                <w:sz w:val="20"/>
                <w:szCs w:val="20"/>
                <w:color w:val="auto"/>
              </w:rPr>
            </w:pPr>
            <w:r>
              <w:rPr>
                <w:rFonts w:ascii="Arial" w:cs="Arial" w:eastAsia="Arial" w:hAnsi="Arial"/>
                <w:sz w:val="18"/>
                <w:szCs w:val="18"/>
                <w:color w:val="auto"/>
                <w:w w:val="91"/>
              </w:rPr>
              <w:t>-25.7%</w:t>
            </w:r>
          </w:p>
        </w:tc>
        <w:tc>
          <w:tcPr>
            <w:tcW w:w="26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30"/>
        </w:trPr>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Placebo-adjusted change</w:t>
            </w:r>
          </w:p>
        </w:tc>
        <w:tc>
          <w:tcPr>
            <w:tcW w:w="3240" w:type="dxa"/>
            <w:vAlign w:val="bottom"/>
            <w:shd w:val="clear" w:color="auto" w:fill="CFF0FC"/>
          </w:tcPr>
          <w:p>
            <w:pPr>
              <w:jc w:val="center"/>
              <w:spacing w:after="0"/>
              <w:rPr>
                <w:sz w:val="20"/>
                <w:szCs w:val="20"/>
                <w:color w:val="auto"/>
              </w:rPr>
            </w:pPr>
            <w:r>
              <w:rPr>
                <w:rFonts w:ascii="Arial" w:cs="Arial" w:eastAsia="Arial" w:hAnsi="Arial"/>
                <w:sz w:val="18"/>
                <w:szCs w:val="18"/>
                <w:i w:val="1"/>
                <w:iCs w:val="1"/>
                <w:color w:val="auto"/>
                <w:w w:val="91"/>
              </w:rPr>
              <w:t>-51.6%</w:t>
            </w:r>
          </w:p>
        </w:tc>
        <w:tc>
          <w:tcPr>
            <w:tcW w:w="2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i w:val="1"/>
                <w:iCs w:val="1"/>
                <w:color w:val="auto"/>
                <w:w w:val="91"/>
              </w:rPr>
              <w:t>Full Analysis Set includes subjects completing at least 1 treatment period.</w:t>
            </w: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1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Pr>
          <w:p>
            <w:pPr>
              <w:jc w:val="right"/>
              <w:ind w:right="283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CANAL Supplemental Efficacy Analyses:</w:t>
      </w:r>
    </w:p>
    <w:p>
      <w:pPr>
        <w:spacing w:after="0" w:line="117" w:lineRule="exact"/>
        <w:rPr>
          <w:sz w:val="20"/>
          <w:szCs w:val="20"/>
          <w:color w:val="auto"/>
        </w:rPr>
      </w:pPr>
    </w:p>
    <w:p>
      <w:pPr>
        <w:ind w:right="100" w:firstLine="554"/>
        <w:spacing w:after="0" w:line="259" w:lineRule="auto"/>
        <w:rPr>
          <w:sz w:val="20"/>
          <w:szCs w:val="20"/>
          <w:color w:val="auto"/>
        </w:rPr>
      </w:pPr>
      <w:r>
        <w:rPr>
          <w:rFonts w:ascii="Arial" w:cs="Arial" w:eastAsia="Arial" w:hAnsi="Arial"/>
          <w:sz w:val="18"/>
          <w:szCs w:val="18"/>
          <w:color w:val="auto"/>
        </w:rPr>
        <w:t>The supplemental efficacy analyses from the CANAL interim data support the strong results seen in the primary efficacy endpoint. The supplemental analyses showed consistency when analyzed for completers of both treatment periods in the crossover design, against treatment period baseline, and baseline cough counts. Secondary endpoints of patient reported outcome measure changes were consistent with the improvement in daytime-cough frequency results.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Arithmetic mean change in daytime cough frequency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4"/>
          </w:tcPr>
          <w:p>
            <w:pPr>
              <w:ind w:left="1020"/>
              <w:spacing w:after="0"/>
              <w:rPr>
                <w:sz w:val="20"/>
                <w:szCs w:val="20"/>
                <w:color w:val="auto"/>
              </w:rPr>
            </w:pPr>
            <w:r>
              <w:rPr>
                <w:rFonts w:ascii="Arial" w:cs="Arial" w:eastAsia="Arial" w:hAnsi="Arial"/>
                <w:sz w:val="14"/>
                <w:szCs w:val="14"/>
                <w:b w:val="1"/>
                <w:bCs w:val="1"/>
                <w:color w:val="auto"/>
              </w:rPr>
              <w:t>Full Analysis Set</w:t>
            </w:r>
          </w:p>
        </w:tc>
        <w:tc>
          <w:tcPr>
            <w:tcW w:w="3100" w:type="dxa"/>
            <w:vAlign w:val="bottom"/>
            <w:gridSpan w:val="3"/>
          </w:tcPr>
          <w:p>
            <w:pPr>
              <w:ind w:left="1180"/>
              <w:spacing w:after="0"/>
              <w:rPr>
                <w:sz w:val="20"/>
                <w:szCs w:val="20"/>
                <w:color w:val="auto"/>
              </w:rPr>
            </w:pPr>
            <w:r>
              <w:rPr>
                <w:rFonts w:ascii="Arial" w:cs="Arial" w:eastAsia="Arial" w:hAnsi="Arial"/>
                <w:sz w:val="14"/>
                <w:szCs w:val="14"/>
                <w:b w:val="1"/>
                <w:bCs w:val="1"/>
                <w:color w:val="auto"/>
              </w:rPr>
              <w:t>Completers</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vs. Study Baseline</w:t>
            </w:r>
          </w:p>
        </w:tc>
        <w:tc>
          <w:tcPr>
            <w:tcW w:w="14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vs. Treatment Period</w:t>
            </w:r>
          </w:p>
        </w:tc>
        <w:tc>
          <w:tcPr>
            <w:tcW w:w="160" w:type="dxa"/>
            <w:vAlign w:val="bottom"/>
          </w:tcPr>
          <w:p>
            <w:pPr>
              <w:spacing w:after="0"/>
              <w:rPr>
                <w:sz w:val="11"/>
                <w:szCs w:val="11"/>
                <w:color w:val="auto"/>
              </w:rPr>
            </w:pPr>
          </w:p>
        </w:tc>
        <w:tc>
          <w:tcPr>
            <w:tcW w:w="162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vs. Study Baseline</w:t>
            </w:r>
          </w:p>
        </w:tc>
        <w:tc>
          <w:tcPr>
            <w:tcW w:w="14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vs. Treatment Period</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Baseline</w:t>
            </w:r>
          </w:p>
        </w:tc>
        <w:tc>
          <w:tcPr>
            <w:tcW w:w="1620" w:type="dxa"/>
            <w:vAlign w:val="bottom"/>
            <w:gridSpan w:val="2"/>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Baseline</w:t>
            </w:r>
          </w:p>
        </w:tc>
        <w:tc>
          <w:tcPr>
            <w:tcW w:w="0" w:type="dxa"/>
            <w:vAlign w:val="bottom"/>
          </w:tcPr>
          <w:p>
            <w:pPr>
              <w:spacing w:after="0"/>
              <w:rPr>
                <w:sz w:val="1"/>
                <w:szCs w:val="1"/>
                <w:color w:val="auto"/>
              </w:rPr>
            </w:pPr>
          </w:p>
        </w:tc>
      </w:tr>
      <w:tr>
        <w:trPr>
          <w:trHeight w:val="223"/>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All cough counts</w:t>
            </w:r>
          </w:p>
        </w:tc>
        <w:tc>
          <w:tcPr>
            <w:tcW w:w="1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Number of subjects, N</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Mean baseline coughs/hr</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29"/>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Nalbuphine ER</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-67.7%</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-65.9%</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-67.0%</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-65.0%</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Placebo</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-15.9%</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+12.2%</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-11.9%</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+25.6%</w:t>
            </w:r>
          </w:p>
        </w:tc>
        <w:tc>
          <w:tcPr>
            <w:tcW w:w="0" w:type="dxa"/>
            <w:vAlign w:val="bottom"/>
          </w:tcPr>
          <w:p>
            <w:pPr>
              <w:spacing w:after="0"/>
              <w:rPr>
                <w:sz w:val="1"/>
                <w:szCs w:val="1"/>
                <w:color w:val="auto"/>
              </w:rPr>
            </w:pPr>
          </w:p>
        </w:tc>
      </w:tr>
      <w:tr>
        <w:trPr>
          <w:trHeight w:val="223"/>
        </w:trPr>
        <w:tc>
          <w:tcPr>
            <w:tcW w:w="4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Placebo adjusted change</w:t>
            </w:r>
          </w:p>
        </w:tc>
        <w:tc>
          <w:tcPr>
            <w:tcW w:w="140" w:type="dxa"/>
            <w:vAlign w:val="bottom"/>
            <w:tcBorders>
              <w:bottom w:val="single" w:sz="8" w:color="CFF0FC"/>
            </w:tcBorders>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4"/>
              </w:rPr>
              <w:t>-51.8%</w:t>
            </w:r>
          </w:p>
        </w:tc>
        <w:tc>
          <w:tcPr>
            <w:tcW w:w="160" w:type="dxa"/>
            <w:vAlign w:val="bottom"/>
            <w:tcBorders>
              <w:bottom w:val="single" w:sz="8" w:color="CFF0FC"/>
            </w:tcBorders>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1"/>
              </w:rPr>
              <w:t>-78.1%</w:t>
            </w:r>
          </w:p>
        </w:tc>
        <w:tc>
          <w:tcPr>
            <w:tcW w:w="160" w:type="dxa"/>
            <w:vAlign w:val="bottom"/>
            <w:tcBorders>
              <w:bottom w:val="single" w:sz="8" w:color="CFF0FC"/>
            </w:tcBorders>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1"/>
              </w:rPr>
              <w:t>-55.1%</w:t>
            </w:r>
          </w:p>
        </w:tc>
        <w:tc>
          <w:tcPr>
            <w:tcW w:w="160" w:type="dxa"/>
            <w:vAlign w:val="bottom"/>
            <w:tcBorders>
              <w:bottom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4"/>
              </w:rPr>
              <w:t>-90.6%</w:t>
            </w: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Coughs/hr ≥20.5 (50% ITT)</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Number of subjects, N</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Mean baseline coughs/hr</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50</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50</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50</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30"/>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Nalbuphine ER</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-71.7%</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-70.5%</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-71.8%</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-70.5%</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Placebo</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-23.7%</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-0.7%</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-25.1%</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24"/>
        </w:trPr>
        <w:tc>
          <w:tcPr>
            <w:tcW w:w="476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i w:val="1"/>
                <w:iCs w:val="1"/>
                <w:color w:val="auto"/>
              </w:rPr>
              <w:t>Placebo adjusted change</w:t>
            </w:r>
          </w:p>
        </w:tc>
        <w:tc>
          <w:tcPr>
            <w:tcW w:w="14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4"/>
              </w:rPr>
              <w:t>-48.0%</w:t>
            </w:r>
          </w:p>
        </w:tc>
        <w:tc>
          <w:tcPr>
            <w:tcW w:w="16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1"/>
              </w:rPr>
              <w:t>-69.9%</w:t>
            </w:r>
          </w:p>
        </w:tc>
        <w:tc>
          <w:tcPr>
            <w:tcW w:w="16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1"/>
              </w:rPr>
              <w:t>-46.7%</w:t>
            </w:r>
          </w:p>
        </w:tc>
        <w:tc>
          <w:tcPr>
            <w:tcW w:w="16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4"/>
              </w:rPr>
              <w:t>-76.1%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Full Analysis Set includes subjects completing at least 1 treatment period. Completers include subjects completing both treatment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and Tolerability Results:</w:t>
      </w:r>
    </w:p>
    <w:p>
      <w:pPr>
        <w:spacing w:after="0" w:line="117" w:lineRule="exact"/>
        <w:rPr>
          <w:sz w:val="20"/>
          <w:szCs w:val="20"/>
          <w:color w:val="auto"/>
        </w:rPr>
      </w:pPr>
    </w:p>
    <w:p>
      <w:pPr>
        <w:ind w:right="80" w:firstLine="554"/>
        <w:spacing w:after="0" w:line="263" w:lineRule="auto"/>
        <w:rPr>
          <w:sz w:val="20"/>
          <w:szCs w:val="20"/>
          <w:color w:val="auto"/>
        </w:rPr>
      </w:pPr>
      <w:r>
        <w:rPr>
          <w:rFonts w:ascii="Arial" w:cs="Arial" w:eastAsia="Arial" w:hAnsi="Arial"/>
          <w:sz w:val="18"/>
          <w:szCs w:val="18"/>
          <w:color w:val="auto"/>
        </w:rPr>
        <w:t>Nalbuphine ER has been well-tolerated in the CANAL trial and has been studied in more than 1,000 subjects across various indications. The safety profile remains consistent with prior studies with no new safety signals to date. One SAE has been reported in the CANAL trial to date and was not considered to be treatment related.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Next Steps:</w:t>
      </w:r>
    </w:p>
    <w:p>
      <w:pPr>
        <w:spacing w:after="0" w:line="117" w:lineRule="exact"/>
        <w:rPr>
          <w:sz w:val="20"/>
          <w:szCs w:val="20"/>
          <w:color w:val="auto"/>
        </w:rPr>
      </w:pPr>
    </w:p>
    <w:p>
      <w:pPr>
        <w:ind w:right="80" w:firstLine="554"/>
        <w:spacing w:after="0" w:line="257" w:lineRule="auto"/>
        <w:rPr>
          <w:sz w:val="20"/>
          <w:szCs w:val="20"/>
          <w:color w:val="auto"/>
        </w:rPr>
      </w:pPr>
      <w:r>
        <w:rPr>
          <w:rFonts w:ascii="Arial" w:cs="Arial" w:eastAsia="Arial" w:hAnsi="Arial"/>
          <w:sz w:val="18"/>
          <w:szCs w:val="18"/>
          <w:color w:val="auto"/>
        </w:rPr>
        <w:t>In March 2022, we concluded enrollment early for our Phase 2 CANAL trial, following the statistically significant efficacy results from the interim analysis. Because the trial achieved statistical significance in the interim analysis, sites were notified that they could enroll eligible subjects already in screening but that no additional recruitment was required. Approximately 40 subjects in total were enrolled in the study. We expect to report efficacy and safety data on the full set of subjects in the third quarter of 2022. We will also begin planning the next trial for Haduvio for the treatment of chronic cough associated with IPF, which we intend to design as a Phase 2b/3 trial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Uremic Pruritus Program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80" w:firstLine="554"/>
        <w:spacing w:after="0" w:line="254" w:lineRule="auto"/>
        <w:rPr>
          <w:sz w:val="20"/>
          <w:szCs w:val="20"/>
          <w:color w:val="auto"/>
        </w:rPr>
      </w:pPr>
      <w:r>
        <w:rPr>
          <w:rFonts w:ascii="Arial" w:cs="Arial" w:eastAsia="Arial" w:hAnsi="Arial"/>
          <w:sz w:val="18"/>
          <w:szCs w:val="18"/>
          <w:color w:val="auto"/>
        </w:rPr>
        <w:t>Chronic kidney disease-associated pruritus, also known as uremic pruritus, can occur in patients with chronic kidney disease and is most often seen in patients receiving hemodialysis. Uremic pruritus is one of the most common conditions affecting end-stage renal disease, or ESRD, patients undergoing hemodialysis. Studies report that itchy and dry skin, symptoms of pruritus, affect 40% to 90% of ESRD patients. Yet, in clinical practice the condition is often underdiagnosed resulting in inadequate management and an underappreciated impact on patient outcomes. Data from the Dialysis Outcomes and Practice Patterns Study, or DOPPS, in 2017 demonstrated that 70% of hemodialysis patients experienced some pruritus, with 42% reporting moderate to extreme pruritus. The DOPPS started in 1996 and has tracked over 120,000 patients on hemodialysis and peritoneal dialysis and with chronic kidney disease over 20 countries.</w:t>
      </w:r>
    </w:p>
    <w:p>
      <w:pPr>
        <w:spacing w:after="0" w:line="87" w:lineRule="exact"/>
        <w:rPr>
          <w:sz w:val="20"/>
          <w:szCs w:val="20"/>
          <w:color w:val="auto"/>
        </w:rPr>
      </w:pPr>
    </w:p>
    <w:p>
      <w:pPr>
        <w:ind w:right="220" w:firstLine="554"/>
        <w:spacing w:after="0" w:line="277" w:lineRule="auto"/>
        <w:rPr>
          <w:sz w:val="20"/>
          <w:szCs w:val="20"/>
          <w:color w:val="auto"/>
        </w:rPr>
      </w:pPr>
      <w:r>
        <w:rPr>
          <w:rFonts w:ascii="Arial" w:cs="Arial" w:eastAsia="Arial" w:hAnsi="Arial"/>
          <w:sz w:val="18"/>
          <w:szCs w:val="18"/>
          <w:color w:val="auto"/>
        </w:rPr>
        <w:t>We estimate that there are more than 650,000 patients in the U.S. and approximately 2 million patients worldwide who are affected by ESRD and that, among these patients, approximately 260,000 patients in the U.S. and 800,000 patients worldwide suffer from pruritus.</w:t>
      </w:r>
    </w:p>
    <w:p>
      <w:pPr>
        <w:spacing w:after="0" w:line="62" w:lineRule="exact"/>
        <w:rPr>
          <w:sz w:val="20"/>
          <w:szCs w:val="20"/>
          <w:color w:val="auto"/>
        </w:rPr>
      </w:pPr>
    </w:p>
    <w:p>
      <w:pPr>
        <w:ind w:right="60" w:firstLine="554"/>
        <w:spacing w:after="0" w:line="263" w:lineRule="auto"/>
        <w:rPr>
          <w:sz w:val="20"/>
          <w:szCs w:val="20"/>
          <w:color w:val="auto"/>
        </w:rPr>
      </w:pPr>
      <w:r>
        <w:rPr>
          <w:rFonts w:ascii="Arial" w:cs="Arial" w:eastAsia="Arial" w:hAnsi="Arial"/>
          <w:sz w:val="18"/>
          <w:szCs w:val="18"/>
          <w:color w:val="auto"/>
        </w:rPr>
        <w:t>Korsuva has been approved in the U.S. and nalfurafine (marketed as Remitch) is approved in Japan for uremic pruritus. There have been no treatments approved for uremic pruritus in Europe. Treatment of uremic pruritus may include optimizing dialysis procedures as well as off-label treatments such as corticosteroids and other immunosuppressive or anti-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color w:val="auto"/>
        </w:rPr>
        <w:t>inflammatory treatments, phototherapy and drugs such as gabapentin and Lyrica (pregabalin), prescription medicines approved for the treatment of seizures and neuropathic pain.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right="340" w:firstLine="554"/>
        <w:spacing w:after="0" w:line="263" w:lineRule="auto"/>
        <w:rPr>
          <w:sz w:val="20"/>
          <w:szCs w:val="20"/>
          <w:color w:val="auto"/>
        </w:rPr>
      </w:pPr>
      <w:r>
        <w:rPr>
          <w:rFonts w:ascii="Arial" w:cs="Arial" w:eastAsia="Arial" w:hAnsi="Arial"/>
          <w:sz w:val="18"/>
          <w:szCs w:val="18"/>
          <w:color w:val="auto"/>
        </w:rPr>
        <w:t>We have conducted three clinical trials of Haduvio in patients with uremic pruritus, including a Phase 2b/3 clinical trial in 373 patients with moderate to severe uremic pruritus, an open label extension of the Phase 2b/3 clinical trial and a Phase 1b clinical trial in 14 hemodialysis patients with uremic pruritus and eight healthy subjects.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Phase 2b/3 Clinical Trial</w:t>
      </w:r>
    </w:p>
    <w:p>
      <w:pPr>
        <w:spacing w:after="0" w:line="117" w:lineRule="exact"/>
        <w:rPr>
          <w:sz w:val="20"/>
          <w:szCs w:val="20"/>
          <w:color w:val="auto"/>
        </w:rPr>
      </w:pPr>
    </w:p>
    <w:p>
      <w:pPr>
        <w:ind w:firstLine="554"/>
        <w:spacing w:after="0" w:line="290" w:lineRule="auto"/>
        <w:rPr>
          <w:sz w:val="20"/>
          <w:szCs w:val="20"/>
          <w:color w:val="auto"/>
        </w:rPr>
      </w:pPr>
      <w:r>
        <w:rPr>
          <w:rFonts w:ascii="Arial" w:cs="Arial" w:eastAsia="Arial" w:hAnsi="Arial"/>
          <w:sz w:val="16"/>
          <w:szCs w:val="16"/>
          <w:color w:val="auto"/>
        </w:rPr>
        <w:t>We completed a Phase 2b/3 clinical trial in June 2015 to evaluate the safety and efficacy of Haduvio versus placebo in patients with uremic pruritus. The trial was a multicenter, randomized, double-blind trial conducted at 41 sites in the U.S. and Europe. The trial enrolled a total of 373 adult patients who had uremic pruritus, had been receiving in-center hemodialysis for at least three months, were on a schedule of three dialysis visits per week and had mean WI-NRS scores of at least 4.5 (indicating moderate to severe pruritus) over their last three dialysis visits. The patients were randomized across three treatment arms: either 108 mg or 54 mg of Haduvio or placebo, each administered twice daily. The baseline mean WI-NRS scores for the three treatment arms were comparable: 6.94 for the 108 mg arm, 6.87 for the 54 mg arm and 6.75 for the placebo arm. There were three dosing periods in the trial, all of which were blinded: an initial two-week titration period during which patients received gradually increasing doses of Haduvio or placebo, reaching the final assigned dose on day 15; a six-week fixed-dosing period; and a two-week off-treatment safety observation period.</w:t>
      </w:r>
    </w:p>
    <w:p>
      <w:pPr>
        <w:spacing w:after="0" w:line="57" w:lineRule="exact"/>
        <w:rPr>
          <w:sz w:val="20"/>
          <w:szCs w:val="20"/>
          <w:color w:val="auto"/>
        </w:rPr>
      </w:pPr>
    </w:p>
    <w:p>
      <w:pPr>
        <w:ind w:right="200" w:firstLine="554"/>
        <w:spacing w:after="0" w:line="308" w:lineRule="auto"/>
        <w:rPr>
          <w:sz w:val="20"/>
          <w:szCs w:val="20"/>
          <w:color w:val="auto"/>
        </w:rPr>
      </w:pPr>
      <w:r>
        <w:rPr>
          <w:rFonts w:ascii="Arial" w:cs="Arial" w:eastAsia="Arial" w:hAnsi="Arial"/>
          <w:sz w:val="17"/>
          <w:szCs w:val="17"/>
          <w:color w:val="auto"/>
        </w:rPr>
        <w:t>The primary endpoint of the trial was the mean change in WI-NRS score at baseline to WI-NRS score over the last two weeks of the fixed-dosing period (weeks seven and eight), which we refer to as the Evaluation Period. Key secondary endpoint analyses included the following:</w:t>
      </w:r>
    </w:p>
    <w:p>
      <w:pPr>
        <w:spacing w:after="0" w:line="38" w:lineRule="exact"/>
        <w:rPr>
          <w:sz w:val="20"/>
          <w:szCs w:val="20"/>
          <w:color w:val="auto"/>
        </w:rPr>
      </w:pPr>
    </w:p>
    <w:p>
      <w:pPr>
        <w:ind w:left="960" w:right="140" w:hanging="399"/>
        <w:spacing w:after="0" w:line="286"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 from baseline to the Evaluation Period in total Skindex-10 score, which is a questionnaire-based score assessing quality of life across 10 questions, grouped into three categories, or domains, with three questions relating to disease symptoms, three questions relating to mood and emotional distress and four questions relating to effects on social functioning; and</w:t>
      </w:r>
    </w:p>
    <w:p>
      <w:pPr>
        <w:spacing w:after="0" w:line="57" w:lineRule="exact"/>
        <w:rPr>
          <w:rFonts w:ascii="Arial" w:cs="Arial" w:eastAsia="Arial" w:hAnsi="Arial"/>
          <w:sz w:val="17"/>
          <w:szCs w:val="17"/>
          <w:color w:val="auto"/>
        </w:rPr>
      </w:pPr>
    </w:p>
    <w:p>
      <w:pPr>
        <w:ind w:left="960" w:right="180" w:hanging="399"/>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from baseline to the Evaluation Period in Itch Medical Outcomes Study, or IMOS, Sleep Scale score, which is a questionnaire-based score developed for hemodialysis patients assessing overall quality of sleep.</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Efficacy Results</w:t>
      </w:r>
    </w:p>
    <w:p>
      <w:pPr>
        <w:spacing w:after="0" w:line="117" w:lineRule="exact"/>
        <w:rPr>
          <w:sz w:val="20"/>
          <w:szCs w:val="20"/>
          <w:color w:val="auto"/>
        </w:rPr>
      </w:pPr>
    </w:p>
    <w:p>
      <w:pPr>
        <w:ind w:right="160" w:firstLine="554"/>
        <w:spacing w:after="0" w:line="259" w:lineRule="auto"/>
        <w:rPr>
          <w:sz w:val="20"/>
          <w:szCs w:val="20"/>
          <w:color w:val="auto"/>
        </w:rPr>
      </w:pPr>
      <w:r>
        <w:rPr>
          <w:rFonts w:ascii="Arial" w:cs="Arial" w:eastAsia="Arial" w:hAnsi="Arial"/>
          <w:sz w:val="18"/>
          <w:szCs w:val="18"/>
          <w:color w:val="auto"/>
        </w:rPr>
        <w:t xml:space="preserve">The following table summarizes the outcomes of the trial for the primary endpoint and key secondary endpoints. The table below also includes results from a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analysis of change from baseline to the Evaluation Period in score for only the disease domain questions of the Skindex-10 assessment and a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analysis of the subset of patients who entered the trial with severe itch, defined as a baseline WI-NRS score of at least 7, which we believe is notable as it shows a greater response in patients with more severe itch.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6"/>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3"/>
          </w:tcPr>
          <w:p>
            <w:pPr>
              <w:ind w:left="600"/>
              <w:spacing w:after="0"/>
              <w:rPr>
                <w:sz w:val="20"/>
                <w:szCs w:val="20"/>
                <w:color w:val="auto"/>
              </w:rPr>
            </w:pPr>
            <w:r>
              <w:rPr>
                <w:rFonts w:ascii="Arial" w:cs="Arial" w:eastAsia="Arial" w:hAnsi="Arial"/>
                <w:sz w:val="14"/>
                <w:szCs w:val="14"/>
                <w:b w:val="1"/>
                <w:bCs w:val="1"/>
                <w:color w:val="auto"/>
              </w:rPr>
              <w:t>Haduvio 108mg</w:t>
            </w:r>
          </w:p>
        </w:tc>
        <w:tc>
          <w:tcPr>
            <w:tcW w:w="2240" w:type="dxa"/>
            <w:vAlign w:val="bottom"/>
            <w:gridSpan w:val="3"/>
          </w:tcPr>
          <w:p>
            <w:pPr>
              <w:ind w:left="600"/>
              <w:spacing w:after="0"/>
              <w:rPr>
                <w:sz w:val="20"/>
                <w:szCs w:val="20"/>
                <w:color w:val="auto"/>
              </w:rPr>
            </w:pPr>
            <w:r>
              <w:rPr>
                <w:rFonts w:ascii="Arial" w:cs="Arial" w:eastAsia="Arial" w:hAnsi="Arial"/>
                <w:sz w:val="14"/>
                <w:szCs w:val="14"/>
                <w:b w:val="1"/>
                <w:bCs w:val="1"/>
                <w:color w:val="auto"/>
              </w:rPr>
              <w:t>Haduvio 54 mg</w:t>
            </w:r>
          </w:p>
        </w:tc>
        <w:tc>
          <w:tcPr>
            <w:tcW w:w="1220" w:type="dxa"/>
            <w:vAlign w:val="bottom"/>
          </w:tcPr>
          <w:p>
            <w:pPr>
              <w:ind w:left="680"/>
              <w:spacing w:after="0"/>
              <w:rPr>
                <w:sz w:val="20"/>
                <w:szCs w:val="20"/>
                <w:color w:val="auto"/>
              </w:rPr>
            </w:pPr>
            <w:r>
              <w:rPr>
                <w:rFonts w:ascii="Arial" w:cs="Arial" w:eastAsia="Arial" w:hAnsi="Arial"/>
                <w:sz w:val="14"/>
                <w:szCs w:val="14"/>
                <w:b w:val="1"/>
                <w:bCs w:val="1"/>
                <w:color w:val="auto"/>
                <w:w w:val="96"/>
              </w:rPr>
              <w:t>Placebo</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Endpoint</w:t>
            </w:r>
          </w:p>
        </w:tc>
        <w:tc>
          <w:tcPr>
            <w:tcW w:w="1340" w:type="dxa"/>
            <w:vAlign w:val="bottom"/>
          </w:tcPr>
          <w:p>
            <w:pPr>
              <w:jc w:val="right"/>
              <w:ind w:right="336"/>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n=120</w:t>
            </w:r>
          </w:p>
        </w:tc>
        <w:tc>
          <w:tcPr>
            <w:tcW w:w="1300" w:type="dxa"/>
            <w:vAlign w:val="bottom"/>
          </w:tcPr>
          <w:p>
            <w:pPr>
              <w:jc w:val="right"/>
              <w:ind w:right="316"/>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n=128</w:t>
            </w:r>
          </w:p>
        </w:tc>
        <w:tc>
          <w:tcPr>
            <w:tcW w:w="1220" w:type="dxa"/>
            <w:vAlign w:val="bottom"/>
          </w:tcPr>
          <w:p>
            <w:pPr>
              <w:ind w:left="240"/>
              <w:spacing w:after="0" w:line="149" w:lineRule="exact"/>
              <w:rPr>
                <w:sz w:val="20"/>
                <w:szCs w:val="20"/>
                <w:color w:val="auto"/>
              </w:rPr>
            </w:pPr>
            <w:r>
              <w:rPr>
                <w:rFonts w:ascii="Arial" w:cs="Arial" w:eastAsia="Arial" w:hAnsi="Arial"/>
                <w:sz w:val="14"/>
                <w:szCs w:val="14"/>
                <w:color w:val="auto"/>
              </w:rPr>
              <w:t>mITT</w:t>
            </w:r>
            <w:r>
              <w:rPr>
                <w:rFonts w:ascii="Arial" w:cs="Arial" w:eastAsia="Arial" w:hAnsi="Arial"/>
                <w:sz w:val="12"/>
                <w:szCs w:val="12"/>
                <w:color w:val="auto"/>
              </w:rPr>
              <w:t>(1)</w:t>
            </w:r>
            <w:r>
              <w:rPr>
                <w:rFonts w:ascii="Arial" w:cs="Arial" w:eastAsia="Arial" w:hAnsi="Arial"/>
                <w:sz w:val="14"/>
                <w:szCs w:val="14"/>
                <w:color w:val="auto"/>
              </w:rPr>
              <w:t>:</w:t>
            </w: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n=123</w:t>
            </w:r>
          </w:p>
        </w:tc>
        <w:tc>
          <w:tcPr>
            <w:tcW w:w="0" w:type="dxa"/>
            <w:vAlign w:val="bottom"/>
          </w:tcPr>
          <w:p>
            <w:pPr>
              <w:spacing w:after="0"/>
              <w:rPr>
                <w:sz w:val="1"/>
                <w:szCs w:val="1"/>
                <w:color w:val="auto"/>
              </w:rPr>
            </w:pPr>
          </w:p>
        </w:tc>
      </w:tr>
      <w:tr>
        <w:trPr>
          <w:trHeight w:val="167"/>
        </w:trPr>
        <w:tc>
          <w:tcPr>
            <w:tcW w:w="4740" w:type="dxa"/>
            <w:vAlign w:val="bottom"/>
            <w:gridSpan w:val="2"/>
            <w:vMerge w:val="continue"/>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Severe itch</w:t>
            </w:r>
            <w:r>
              <w:rPr>
                <w:rFonts w:ascii="Arial" w:cs="Arial" w:eastAsia="Arial" w:hAnsi="Arial"/>
                <w:sz w:val="12"/>
                <w:szCs w:val="12"/>
                <w:color w:val="auto"/>
              </w:rPr>
              <w:t>(2)</w:t>
            </w:r>
            <w:r>
              <w:rPr>
                <w:rFonts w:ascii="Arial" w:cs="Arial" w:eastAsia="Arial" w:hAnsi="Arial"/>
                <w:sz w:val="14"/>
                <w:szCs w:val="14"/>
                <w:color w:val="auto"/>
              </w:rPr>
              <w:t xml:space="preserve"> :</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n=61</w:t>
            </w:r>
          </w:p>
        </w:tc>
        <w:tc>
          <w:tcPr>
            <w:tcW w:w="1300" w:type="dxa"/>
            <w:vAlign w:val="bottom"/>
          </w:tcPr>
          <w:p>
            <w:pPr>
              <w:jc w:val="right"/>
              <w:spacing w:after="0"/>
              <w:rPr>
                <w:sz w:val="20"/>
                <w:szCs w:val="20"/>
                <w:color w:val="auto"/>
              </w:rPr>
            </w:pPr>
            <w:r>
              <w:rPr>
                <w:rFonts w:ascii="Arial" w:cs="Arial" w:eastAsia="Arial" w:hAnsi="Arial"/>
                <w:sz w:val="14"/>
                <w:szCs w:val="14"/>
                <w:color w:val="auto"/>
              </w:rPr>
              <w:t>Severe itch</w:t>
            </w:r>
            <w:r>
              <w:rPr>
                <w:rFonts w:ascii="Arial" w:cs="Arial" w:eastAsia="Arial" w:hAnsi="Arial"/>
                <w:sz w:val="12"/>
                <w:szCs w:val="12"/>
                <w:color w:val="auto"/>
              </w:rPr>
              <w:t>(2)</w:t>
            </w:r>
            <w:r>
              <w:rPr>
                <w:rFonts w:ascii="Arial" w:cs="Arial" w:eastAsia="Arial" w:hAnsi="Arial"/>
                <w:sz w:val="14"/>
                <w:szCs w:val="14"/>
                <w:color w:val="auto"/>
              </w:rPr>
              <w:t xml:space="preserve"> :</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n=63</w:t>
            </w:r>
          </w:p>
        </w:tc>
        <w:tc>
          <w:tcPr>
            <w:tcW w:w="1220" w:type="dxa"/>
            <w:vAlign w:val="bottom"/>
          </w:tcPr>
          <w:p>
            <w:pPr>
              <w:ind w:left="280"/>
              <w:spacing w:after="0"/>
              <w:rPr>
                <w:sz w:val="20"/>
                <w:szCs w:val="20"/>
                <w:color w:val="auto"/>
              </w:rPr>
            </w:pPr>
            <w:r>
              <w:rPr>
                <w:rFonts w:ascii="Arial" w:cs="Arial" w:eastAsia="Arial" w:hAnsi="Arial"/>
                <w:sz w:val="14"/>
                <w:szCs w:val="14"/>
                <w:color w:val="auto"/>
                <w:w w:val="99"/>
              </w:rPr>
              <w:t>Severe itch</w:t>
            </w:r>
            <w:r>
              <w:rPr>
                <w:rFonts w:ascii="Arial" w:cs="Arial" w:eastAsia="Arial" w:hAnsi="Arial"/>
                <w:sz w:val="12"/>
                <w:szCs w:val="12"/>
                <w:color w:val="auto"/>
                <w:w w:val="99"/>
              </w:rPr>
              <w:t>(2)</w:t>
            </w:r>
            <w:r>
              <w:rPr>
                <w:rFonts w:ascii="Arial" w:cs="Arial" w:eastAsia="Arial" w:hAnsi="Arial"/>
                <w:sz w:val="14"/>
                <w:szCs w:val="14"/>
                <w:color w:val="auto"/>
                <w:w w:val="99"/>
              </w:rPr>
              <w:t xml:space="preserve"> :</w:t>
            </w: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rPr>
              <w:t>n=55</w:t>
            </w:r>
          </w:p>
        </w:tc>
        <w:tc>
          <w:tcPr>
            <w:tcW w:w="0" w:type="dxa"/>
            <w:vAlign w:val="bottom"/>
          </w:tcPr>
          <w:p>
            <w:pPr>
              <w:spacing w:after="0"/>
              <w:rPr>
                <w:sz w:val="1"/>
                <w:szCs w:val="1"/>
                <w:color w:val="auto"/>
              </w:rPr>
            </w:pPr>
          </w:p>
        </w:tc>
      </w:tr>
      <w:tr>
        <w:trPr>
          <w:trHeight w:val="155"/>
        </w:trPr>
        <w:tc>
          <w:tcPr>
            <w:tcW w:w="4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i w:val="1"/>
                <w:iCs w:val="1"/>
                <w:color w:val="auto"/>
              </w:rPr>
              <w:t>p-value(3)</w:t>
            </w: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i w:val="1"/>
                <w:iCs w:val="1"/>
                <w:color w:val="auto"/>
              </w:rPr>
              <w:t>p-value(3)</w:t>
            </w: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Primary Endpoint</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color w:val="auto"/>
              </w:rPr>
              <w:t>Mean change in WI-NRS score from baseline</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to Evaluation Period in mITT population</w:t>
            </w:r>
          </w:p>
        </w:tc>
        <w:tc>
          <w:tcPr>
            <w:tcW w:w="1340" w:type="dxa"/>
            <w:vAlign w:val="bottom"/>
          </w:tcPr>
          <w:p>
            <w:pPr>
              <w:jc w:val="right"/>
              <w:ind w:right="276"/>
              <w:spacing w:after="0"/>
              <w:rPr>
                <w:sz w:val="20"/>
                <w:szCs w:val="20"/>
                <w:color w:val="auto"/>
              </w:rPr>
            </w:pPr>
            <w:r>
              <w:rPr>
                <w:rFonts w:ascii="Arial" w:cs="Arial" w:eastAsia="Arial" w:hAnsi="Arial"/>
                <w:sz w:val="18"/>
                <w:szCs w:val="18"/>
                <w:color w:val="auto"/>
              </w:rPr>
              <w:t>(3.49)</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p=0.017</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(3.10)</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p=0.441</w:t>
            </w:r>
          </w:p>
        </w:tc>
        <w:tc>
          <w:tcPr>
            <w:tcW w:w="12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5"/>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Post Hoc Analyses and Key Secondary</w:t>
            </w:r>
          </w:p>
        </w:tc>
        <w:tc>
          <w:tcPr>
            <w:tcW w:w="1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i w:val="1"/>
                <w:iCs w:val="1"/>
                <w:color w:val="auto"/>
              </w:rPr>
              <w:t>Endpoints</w:t>
            </w:r>
          </w:p>
        </w:tc>
        <w:tc>
          <w:tcPr>
            <w:tcW w:w="1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mean change in WI-NRS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scores from baseline to Evaluation Period</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in severe itch population</w:t>
            </w:r>
          </w:p>
        </w:tc>
        <w:tc>
          <w:tcPr>
            <w:tcW w:w="1340" w:type="dxa"/>
            <w:vAlign w:val="bottom"/>
          </w:tcPr>
          <w:p>
            <w:pPr>
              <w:jc w:val="right"/>
              <w:ind w:right="276"/>
              <w:spacing w:after="0"/>
              <w:rPr>
                <w:sz w:val="20"/>
                <w:szCs w:val="20"/>
                <w:color w:val="auto"/>
              </w:rPr>
            </w:pPr>
            <w:r>
              <w:rPr>
                <w:rFonts w:ascii="Arial" w:cs="Arial" w:eastAsia="Arial" w:hAnsi="Arial"/>
                <w:sz w:val="18"/>
                <w:szCs w:val="18"/>
                <w:color w:val="auto"/>
              </w:rPr>
              <w:t>(4.48)</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p=0.007</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(3.44)</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p=0.521</w:t>
            </w:r>
          </w:p>
        </w:tc>
        <w:tc>
          <w:tcPr>
            <w:tcW w:w="12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5"/>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from baseline to Evaluation Period in</w:t>
            </w:r>
          </w:p>
        </w:tc>
        <w:tc>
          <w:tcPr>
            <w:tcW w:w="1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Skindex-10 score in mITT population</w:t>
            </w:r>
          </w:p>
        </w:tc>
        <w:tc>
          <w:tcPr>
            <w:tcW w:w="134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rPr>
              <w:t>(16.99)</w:t>
            </w:r>
          </w:p>
        </w:tc>
        <w:tc>
          <w:tcPr>
            <w:tcW w:w="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p=0.246</w:t>
            </w:r>
          </w:p>
        </w:tc>
        <w:tc>
          <w:tcPr>
            <w:tcW w:w="130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(13.82)</w:t>
            </w:r>
          </w:p>
        </w:tc>
        <w:tc>
          <w:tcPr>
            <w:tcW w:w="9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p=0.863</w:t>
            </w:r>
          </w:p>
        </w:tc>
        <w:tc>
          <w:tcPr>
            <w:tcW w:w="12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change from baseline to</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Evaluation Period in Skindex-10 disease</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domain sub-score in mITT population</w:t>
            </w:r>
          </w:p>
        </w:tc>
        <w:tc>
          <w:tcPr>
            <w:tcW w:w="1340" w:type="dxa"/>
            <w:vAlign w:val="bottom"/>
          </w:tcPr>
          <w:p>
            <w:pPr>
              <w:jc w:val="right"/>
              <w:ind w:right="276"/>
              <w:spacing w:after="0"/>
              <w:rPr>
                <w:sz w:val="20"/>
                <w:szCs w:val="20"/>
                <w:color w:val="auto"/>
              </w:rPr>
            </w:pPr>
            <w:r>
              <w:rPr>
                <w:rFonts w:ascii="Arial" w:cs="Arial" w:eastAsia="Arial" w:hAnsi="Arial"/>
                <w:sz w:val="18"/>
                <w:szCs w:val="18"/>
                <w:color w:val="auto"/>
              </w:rPr>
              <w:t>(6.40)</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p=0.053</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(5.32)</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p=0.456</w:t>
            </w:r>
          </w:p>
        </w:tc>
        <w:tc>
          <w:tcPr>
            <w:tcW w:w="12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5"/>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IMOS Sleep Scale score from</w:t>
            </w:r>
          </w:p>
        </w:tc>
        <w:tc>
          <w:tcPr>
            <w:tcW w:w="1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baseline to the Evaluation Period in mITT</w:t>
            </w:r>
          </w:p>
        </w:tc>
        <w:tc>
          <w:tcPr>
            <w:tcW w:w="1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population</w:t>
            </w:r>
          </w:p>
        </w:tc>
        <w:tc>
          <w:tcPr>
            <w:tcW w:w="134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rPr>
              <w:t>(15.99)</w:t>
            </w:r>
          </w:p>
        </w:tc>
        <w:tc>
          <w:tcPr>
            <w:tcW w:w="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p=0.062</w:t>
            </w:r>
          </w:p>
        </w:tc>
        <w:tc>
          <w:tcPr>
            <w:tcW w:w="130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(13.85)</w:t>
            </w:r>
          </w:p>
        </w:tc>
        <w:tc>
          <w:tcPr>
            <w:tcW w:w="9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p=0.893</w:t>
            </w:r>
          </w:p>
        </w:tc>
        <w:tc>
          <w:tcPr>
            <w:tcW w:w="12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Post hoc </w:t>
            </w:r>
            <w:r>
              <w:rPr>
                <w:rFonts w:ascii="Arial" w:cs="Arial" w:eastAsia="Arial" w:hAnsi="Arial"/>
                <w:sz w:val="18"/>
                <w:szCs w:val="18"/>
                <w:color w:val="auto"/>
              </w:rPr>
              <w:t>analysis of mean change in IMOS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Sleep Scale score from baseline to the</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Evaluation Period in severe itch population</w:t>
            </w:r>
          </w:p>
        </w:tc>
        <w:tc>
          <w:tcPr>
            <w:tcW w:w="1340" w:type="dxa"/>
            <w:vAlign w:val="bottom"/>
          </w:tcPr>
          <w:p>
            <w:pPr>
              <w:jc w:val="right"/>
              <w:ind w:right="276"/>
              <w:spacing w:after="0"/>
              <w:rPr>
                <w:sz w:val="20"/>
                <w:szCs w:val="20"/>
                <w:color w:val="auto"/>
              </w:rPr>
            </w:pPr>
            <w:r>
              <w:rPr>
                <w:rFonts w:ascii="Arial" w:cs="Arial" w:eastAsia="Arial" w:hAnsi="Arial"/>
                <w:sz w:val="18"/>
                <w:szCs w:val="18"/>
                <w:color w:val="auto"/>
              </w:rPr>
              <w:t>(21.59)</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p=0.006</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(15.02)</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p=0.506</w:t>
            </w:r>
          </w:p>
        </w:tc>
        <w:tc>
          <w:tcPr>
            <w:tcW w:w="12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8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55" w:lineRule="exact"/>
        <w:rPr>
          <w:sz w:val="20"/>
          <w:szCs w:val="20"/>
          <w:color w:val="auto"/>
        </w:rPr>
      </w:pPr>
    </w:p>
    <w:p>
      <w:pPr>
        <w:ind w:left="560" w:hanging="552"/>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the modified intention to treat population, which consists of all of the patients who were randomized and commenced dosing.</w:t>
      </w:r>
    </w:p>
    <w:p>
      <w:pPr>
        <w:spacing w:after="0" w:line="34" w:lineRule="exact"/>
        <w:rPr>
          <w:rFonts w:ascii="Arial" w:cs="Arial" w:eastAsia="Arial" w:hAnsi="Arial"/>
          <w:sz w:val="17"/>
          <w:szCs w:val="17"/>
          <w:color w:val="auto"/>
        </w:rPr>
      </w:pPr>
    </w:p>
    <w:p>
      <w:pPr>
        <w:ind w:left="560" w:hanging="552"/>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with a baseline WI-NRS score of at least 7.</w:t>
      </w:r>
    </w:p>
    <w:p>
      <w:pPr>
        <w:spacing w:after="0" w:line="9" w:lineRule="exact"/>
        <w:rPr>
          <w:rFonts w:ascii="Arial" w:cs="Arial" w:eastAsia="Arial" w:hAnsi="Arial"/>
          <w:sz w:val="18"/>
          <w:szCs w:val="18"/>
          <w:color w:val="auto"/>
        </w:rPr>
      </w:pPr>
    </w:p>
    <w:p>
      <w:pPr>
        <w:ind w:left="560" w:right="2220" w:hanging="552"/>
        <w:spacing w:after="0" w:line="36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All p-values compare treatment group to placebo. Only the primary endpoint was powered for statistical significance. </w:t>
      </w:r>
      <w:r>
        <w:rPr>
          <w:rFonts w:ascii="Arial" w:cs="Arial" w:eastAsia="Arial" w:hAnsi="Arial"/>
          <w:sz w:val="18"/>
          <w:szCs w:val="18"/>
          <w:i w:val="1"/>
          <w:iCs w:val="1"/>
          <w:color w:val="auto"/>
        </w:rPr>
        <w:t>Safety Results</w:t>
      </w:r>
    </w:p>
    <w:p>
      <w:pPr>
        <w:spacing w:after="0" w:line="1" w:lineRule="exact"/>
        <w:rPr>
          <w:sz w:val="20"/>
          <w:szCs w:val="20"/>
          <w:color w:val="auto"/>
        </w:rPr>
      </w:pPr>
    </w:p>
    <w:p>
      <w:pPr>
        <w:ind w:firstLine="554"/>
        <w:spacing w:after="0" w:line="301" w:lineRule="auto"/>
        <w:rPr>
          <w:sz w:val="20"/>
          <w:szCs w:val="20"/>
          <w:color w:val="auto"/>
        </w:rPr>
      </w:pPr>
      <w:r>
        <w:rPr>
          <w:rFonts w:ascii="Arial" w:cs="Arial" w:eastAsia="Arial" w:hAnsi="Arial"/>
          <w:sz w:val="16"/>
          <w:szCs w:val="16"/>
          <w:color w:val="auto"/>
        </w:rPr>
        <w:t>The overall profile of the safety observations in the trial reflected the high rates of concomitant disease in the patient population, which is common for patients suffering from chronic renal failure. At baseline, the patient population had the following rates of serious concomitant diseases: hypertension, 98%; dyslipidemia/hyperlipidemia, 58%; diabetes, 52%; congestive heart failure, 29%; peripheral neuropathy, 28%; history of supraventricular tachycardia, 16%; history of peripheral vascular disease, 14%; history of prior myocardial infarction, 12%; and history of prior stroke, 10%.</w:t>
      </w:r>
    </w:p>
    <w:p>
      <w:pPr>
        <w:spacing w:after="0" w:line="49" w:lineRule="exact"/>
        <w:rPr>
          <w:sz w:val="20"/>
          <w:szCs w:val="20"/>
          <w:color w:val="auto"/>
        </w:rPr>
      </w:pPr>
    </w:p>
    <w:p>
      <w:pPr>
        <w:ind w:firstLine="554"/>
        <w:spacing w:after="0" w:line="270" w:lineRule="auto"/>
        <w:rPr>
          <w:sz w:val="20"/>
          <w:szCs w:val="20"/>
          <w:color w:val="auto"/>
        </w:rPr>
      </w:pPr>
      <w:r>
        <w:rPr>
          <w:rFonts w:ascii="Arial" w:cs="Arial" w:eastAsia="Arial" w:hAnsi="Arial"/>
          <w:sz w:val="17"/>
          <w:szCs w:val="17"/>
          <w:color w:val="auto"/>
        </w:rPr>
        <w:t>In this trial, SAEs were frequent but were primarily related to the serious concomitant diseases associated with patients on hemodialysis or to procedural complications related to hemodialysis. During the trial, one patient on placebo died from sepsis; no other deaths occurred. Overall, 43 patients experienced at least one SAE during the eight weeks of trial dosing. Of the SAEs reported, a case of grade 3 vertigo was the only SAE considered related to study drug. The most common SAEs that were considered unrelated to study drug included congestive cardiac failure, non-cardiac chest pain, fluid overload, chronic obstructive pulmonary disease, gastrointestinal hemorrhage and hypotension. TEAEs occurred in 73%, 75% and 61% of the patients in the 108 mg, 54 mg and placebo arms, respectively. The higher rates of TEAEs in the Haduvio arms as compared to placebo appeared to be primarily attributable to higher rates of TEAEs in the Haduvio arms during the initial two-week titration period. During the titration period, 55% of Haduvio-treated patients experienced TEAEs, as compared to 28% of patients receiving placebo. During the eight-week fixed-dosing period, 37% of Haduvio-treated patients experienced TEAEs, as compared to 42% of patients receiving placebo.</w:t>
      </w:r>
    </w:p>
    <w:p>
      <w:pPr>
        <w:spacing w:after="0" w:line="73" w:lineRule="exact"/>
        <w:rPr>
          <w:sz w:val="20"/>
          <w:szCs w:val="20"/>
          <w:color w:val="auto"/>
        </w:rPr>
      </w:pPr>
    </w:p>
    <w:p>
      <w:pPr>
        <w:ind w:right="60" w:firstLine="554"/>
        <w:spacing w:after="0" w:line="258" w:lineRule="auto"/>
        <w:rPr>
          <w:sz w:val="20"/>
          <w:szCs w:val="20"/>
          <w:color w:val="auto"/>
        </w:rPr>
      </w:pPr>
      <w:r>
        <w:rPr>
          <w:rFonts w:ascii="Arial" w:cs="Arial" w:eastAsia="Arial" w:hAnsi="Arial"/>
          <w:sz w:val="18"/>
          <w:szCs w:val="18"/>
          <w:color w:val="auto"/>
        </w:rPr>
        <w:t>The following table summarizes the most common TEAEs experienced by patients in each of the two weeks of the titration period, as well as in the fixed-dosing period, indicating the percentage of the mITT population of each arm that reported each such TEAE.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First Week of Titration Period</w:t>
            </w:r>
          </w:p>
        </w:tc>
        <w:tc>
          <w:tcPr>
            <w:tcW w:w="30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Second Week of Titration Period</w:t>
            </w:r>
          </w:p>
        </w:tc>
        <w:tc>
          <w:tcPr>
            <w:tcW w:w="580" w:type="dxa"/>
            <w:vAlign w:val="bottom"/>
          </w:tcPr>
          <w:p>
            <w:pPr>
              <w:spacing w:after="0"/>
              <w:rPr>
                <w:sz w:val="14"/>
                <w:szCs w:val="14"/>
                <w:color w:val="auto"/>
              </w:rPr>
            </w:pPr>
          </w:p>
        </w:tc>
        <w:tc>
          <w:tcPr>
            <w:tcW w:w="1380" w:type="dxa"/>
            <w:vAlign w:val="bottom"/>
            <w:gridSpan w:val="4"/>
          </w:tcPr>
          <w:p>
            <w:pPr>
              <w:jc w:val="center"/>
              <w:ind w:left="34"/>
              <w:spacing w:after="0"/>
              <w:rPr>
                <w:sz w:val="20"/>
                <w:szCs w:val="20"/>
                <w:color w:val="auto"/>
              </w:rPr>
            </w:pPr>
            <w:r>
              <w:rPr>
                <w:rFonts w:ascii="Arial" w:cs="Arial" w:eastAsia="Arial" w:hAnsi="Arial"/>
                <w:sz w:val="14"/>
                <w:szCs w:val="14"/>
                <w:b w:val="1"/>
                <w:bCs w:val="1"/>
                <w:color w:val="auto"/>
                <w:w w:val="92"/>
              </w:rPr>
              <w:t>Fixed-Dosing Period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TEAE</w:t>
            </w:r>
          </w:p>
        </w:tc>
        <w:tc>
          <w:tcPr>
            <w:tcW w:w="120" w:type="dxa"/>
            <w:vAlign w:val="bottom"/>
            <w:vMerge w:val="restart"/>
          </w:tcPr>
          <w:p>
            <w:pPr>
              <w:spacing w:after="0"/>
              <w:rPr>
                <w:sz w:val="11"/>
                <w:szCs w:val="11"/>
                <w:color w:val="auto"/>
              </w:rPr>
            </w:pPr>
          </w:p>
        </w:tc>
        <w:tc>
          <w:tcPr>
            <w:tcW w:w="960" w:type="dxa"/>
            <w:vAlign w:val="bottom"/>
            <w:tcBorders>
              <w:top w:val="single" w:sz="8" w:color="auto"/>
            </w:tcBorders>
            <w:gridSpan w:val="2"/>
          </w:tcPr>
          <w:p>
            <w:pPr>
              <w:ind w:left="100"/>
              <w:spacing w:after="0" w:line="133" w:lineRule="exact"/>
              <w:rPr>
                <w:sz w:val="20"/>
                <w:szCs w:val="20"/>
                <w:color w:val="auto"/>
              </w:rPr>
            </w:pPr>
            <w:r>
              <w:rPr>
                <w:rFonts w:ascii="Arial" w:cs="Arial" w:eastAsia="Arial" w:hAnsi="Arial"/>
                <w:sz w:val="14"/>
                <w:szCs w:val="14"/>
                <w:b w:val="1"/>
                <w:bCs w:val="1"/>
                <w:color w:val="auto"/>
              </w:rPr>
              <w:t>108 mg</w:t>
            </w:r>
          </w:p>
        </w:tc>
        <w:tc>
          <w:tcPr>
            <w:tcW w:w="98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54 mg</w:t>
            </w:r>
          </w:p>
        </w:tc>
        <w:tc>
          <w:tcPr>
            <w:tcW w:w="720" w:type="dxa"/>
            <w:vAlign w:val="bottom"/>
            <w:tcBorders>
              <w:top w:val="single" w:sz="8" w:color="auto"/>
            </w:tcBorders>
          </w:tcPr>
          <w:p>
            <w:pPr>
              <w:jc w:val="right"/>
              <w:ind w:right="36"/>
              <w:spacing w:after="0" w:line="133" w:lineRule="exact"/>
              <w:rPr>
                <w:sz w:val="20"/>
                <w:szCs w:val="20"/>
                <w:color w:val="auto"/>
              </w:rPr>
            </w:pPr>
            <w:r>
              <w:rPr>
                <w:rFonts w:ascii="Arial" w:cs="Arial" w:eastAsia="Arial" w:hAnsi="Arial"/>
                <w:sz w:val="14"/>
                <w:szCs w:val="14"/>
                <w:b w:val="1"/>
                <w:bCs w:val="1"/>
                <w:color w:val="auto"/>
              </w:rPr>
              <w:t>Placebo</w:t>
            </w:r>
          </w:p>
        </w:tc>
        <w:tc>
          <w:tcPr>
            <w:tcW w:w="280" w:type="dxa"/>
            <w:vAlign w:val="bottom"/>
          </w:tcPr>
          <w:p>
            <w:pPr>
              <w:spacing w:after="0"/>
              <w:rPr>
                <w:sz w:val="11"/>
                <w:szCs w:val="11"/>
                <w:color w:val="auto"/>
              </w:rPr>
            </w:pPr>
          </w:p>
        </w:tc>
        <w:tc>
          <w:tcPr>
            <w:tcW w:w="100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108 mg</w:t>
            </w:r>
          </w:p>
        </w:tc>
        <w:tc>
          <w:tcPr>
            <w:tcW w:w="100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54 mg</w:t>
            </w:r>
          </w:p>
        </w:tc>
        <w:tc>
          <w:tcPr>
            <w:tcW w:w="700" w:type="dxa"/>
            <w:vAlign w:val="bottom"/>
            <w:tcBorders>
              <w:top w:val="single" w:sz="8" w:color="auto"/>
            </w:tcBorders>
          </w:tcPr>
          <w:p>
            <w:pPr>
              <w:jc w:val="right"/>
              <w:ind w:right="36"/>
              <w:spacing w:after="0" w:line="133" w:lineRule="exact"/>
              <w:rPr>
                <w:sz w:val="20"/>
                <w:szCs w:val="20"/>
                <w:color w:val="auto"/>
              </w:rPr>
            </w:pPr>
            <w:r>
              <w:rPr>
                <w:rFonts w:ascii="Arial" w:cs="Arial" w:eastAsia="Arial" w:hAnsi="Arial"/>
                <w:sz w:val="14"/>
                <w:szCs w:val="14"/>
                <w:b w:val="1"/>
                <w:bCs w:val="1"/>
                <w:color w:val="auto"/>
              </w:rPr>
              <w:t>Placebo</w:t>
            </w:r>
          </w:p>
        </w:tc>
        <w:tc>
          <w:tcPr>
            <w:tcW w:w="300" w:type="dxa"/>
            <w:vAlign w:val="bottom"/>
          </w:tcPr>
          <w:p>
            <w:pPr>
              <w:spacing w:after="0"/>
              <w:rPr>
                <w:sz w:val="11"/>
                <w:szCs w:val="11"/>
                <w:color w:val="auto"/>
              </w:rPr>
            </w:pPr>
          </w:p>
        </w:tc>
        <w:tc>
          <w:tcPr>
            <w:tcW w:w="580" w:type="dxa"/>
            <w:vAlign w:val="bottom"/>
            <w:tcBorders>
              <w:top w:val="single" w:sz="8" w:color="auto"/>
            </w:tcBorders>
          </w:tcPr>
          <w:p>
            <w:pPr>
              <w:ind w:left="120"/>
              <w:spacing w:after="0" w:line="133" w:lineRule="exact"/>
              <w:rPr>
                <w:sz w:val="20"/>
                <w:szCs w:val="20"/>
                <w:color w:val="auto"/>
              </w:rPr>
            </w:pPr>
            <w:r>
              <w:rPr>
                <w:rFonts w:ascii="Arial" w:cs="Arial" w:eastAsia="Arial" w:hAnsi="Arial"/>
                <w:sz w:val="14"/>
                <w:szCs w:val="14"/>
                <w:b w:val="1"/>
                <w:bCs w:val="1"/>
                <w:color w:val="auto"/>
                <w:w w:val="91"/>
              </w:rPr>
              <w:t>108 mg</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54 mg</w:t>
            </w:r>
          </w:p>
        </w:tc>
        <w:tc>
          <w:tcPr>
            <w:tcW w:w="700" w:type="dxa"/>
            <w:vAlign w:val="bottom"/>
            <w:tcBorders>
              <w:top w:val="single" w:sz="8" w:color="auto"/>
            </w:tcBorders>
          </w:tcPr>
          <w:p>
            <w:pPr>
              <w:jc w:val="right"/>
              <w:ind w:right="36"/>
              <w:spacing w:after="0" w:line="133" w:lineRule="exact"/>
              <w:rPr>
                <w:sz w:val="20"/>
                <w:szCs w:val="20"/>
                <w:color w:val="auto"/>
              </w:rPr>
            </w:pPr>
            <w:r>
              <w:rPr>
                <w:rFonts w:ascii="Arial" w:cs="Arial" w:eastAsia="Arial" w:hAnsi="Arial"/>
                <w:sz w:val="14"/>
                <w:szCs w:val="14"/>
                <w:b w:val="1"/>
                <w:bCs w:val="1"/>
                <w:color w:val="auto"/>
              </w:rPr>
              <w:t>Placebo</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(n=120)</w:t>
            </w:r>
          </w:p>
        </w:tc>
        <w:tc>
          <w:tcPr>
            <w:tcW w:w="2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(n=128)</w:t>
            </w:r>
          </w:p>
        </w:tc>
        <w:tc>
          <w:tcPr>
            <w:tcW w:w="28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(n=123)</w:t>
            </w:r>
          </w:p>
        </w:tc>
        <w:tc>
          <w:tcPr>
            <w:tcW w:w="2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(n=120)</w:t>
            </w:r>
          </w:p>
        </w:tc>
        <w:tc>
          <w:tcPr>
            <w:tcW w:w="3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(n=128)</w:t>
            </w:r>
          </w:p>
        </w:tc>
        <w:tc>
          <w:tcPr>
            <w:tcW w:w="3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(n=123)</w:t>
            </w:r>
          </w:p>
        </w:tc>
        <w:tc>
          <w:tcPr>
            <w:tcW w:w="3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3"/>
              </w:rPr>
              <w:t>(n=120)</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(n=128)</w:t>
            </w:r>
          </w:p>
        </w:tc>
        <w:tc>
          <w:tcPr>
            <w:tcW w:w="2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(n=123)</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Nausea</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2"/>
              </w:rPr>
              <w:t>9%</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Vomiting</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Somnolence</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2"/>
              </w:rPr>
              <w:t>1%</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Dizziness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80" w:firstLine="554"/>
        <w:spacing w:after="0" w:line="308" w:lineRule="auto"/>
        <w:rPr>
          <w:sz w:val="20"/>
          <w:szCs w:val="20"/>
          <w:color w:val="auto"/>
        </w:rPr>
      </w:pPr>
      <w:r>
        <w:rPr>
          <w:rFonts w:ascii="Arial" w:cs="Arial" w:eastAsia="Arial" w:hAnsi="Arial"/>
          <w:sz w:val="17"/>
          <w:szCs w:val="17"/>
          <w:color w:val="auto"/>
        </w:rPr>
        <w:t>While we believe that this trial established proof of concept for Haduvio in the treatment of pruritus, we are not actively developing Haduvio for uremic pruritus at this time based on our evaluation of the market dynamics, but may consider resuming development in the future.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0" w:name="page21"/>
    <w:bookmarkEnd w:id="20"/>
    <w:p>
      <w:pPr>
        <w:ind w:left="560"/>
        <w:spacing w:after="0"/>
        <w:rPr>
          <w:sz w:val="20"/>
          <w:szCs w:val="20"/>
          <w:color w:val="auto"/>
        </w:rPr>
      </w:pPr>
      <w:r>
        <w:rPr>
          <w:rFonts w:ascii="Arial" w:cs="Arial" w:eastAsia="Arial" w:hAnsi="Arial"/>
          <w:sz w:val="18"/>
          <w:szCs w:val="18"/>
          <w:u w:val="single" w:color="auto"/>
          <w:color w:val="auto"/>
        </w:rPr>
        <w:t>Open Label Extension Study</w:t>
      </w:r>
    </w:p>
    <w:p>
      <w:pPr>
        <w:spacing w:after="0" w:line="117" w:lineRule="exact"/>
        <w:rPr>
          <w:sz w:val="20"/>
          <w:szCs w:val="20"/>
          <w:color w:val="auto"/>
        </w:rPr>
      </w:pPr>
    </w:p>
    <w:p>
      <w:pPr>
        <w:ind w:right="20" w:firstLine="554"/>
        <w:spacing w:after="0" w:line="255" w:lineRule="auto"/>
        <w:rPr>
          <w:sz w:val="20"/>
          <w:szCs w:val="20"/>
          <w:color w:val="auto"/>
        </w:rPr>
      </w:pPr>
      <w:r>
        <w:rPr>
          <w:rFonts w:ascii="Arial" w:cs="Arial" w:eastAsia="Arial" w:hAnsi="Arial"/>
          <w:sz w:val="18"/>
          <w:szCs w:val="18"/>
          <w:color w:val="auto"/>
        </w:rPr>
        <w:t>We completed a six-month (24-week) open label extension study of our Phase 2b/3 clinical trial in patients with uremic pruritus in November 2015. Patients who completed the Phase 2b/3 clinical trial were able to enroll in the extension study following a safety washout period. Patients who enrolled in the extension study who had WI-NRS scores of greater than 2 were immediately admitted to the active treatment period of the study. Patients with WI-NRS scores of 2 or less entered an observation period for up to 12 weeks. Patients in this observation period began to receive active treatment only following their first WI-NRS score that was greater than 2; if they reached the end of the 12-week observation period and their WI-NRS scores remained at or below 2, they were required to leave the study.</w:t>
      </w:r>
    </w:p>
    <w:p>
      <w:pPr>
        <w:spacing w:after="0" w:line="84" w:lineRule="exact"/>
        <w:rPr>
          <w:sz w:val="20"/>
          <w:szCs w:val="20"/>
          <w:color w:val="auto"/>
        </w:rPr>
      </w:pPr>
    </w:p>
    <w:p>
      <w:pPr>
        <w:ind w:firstLine="554"/>
        <w:spacing w:after="0" w:line="271" w:lineRule="auto"/>
        <w:rPr>
          <w:sz w:val="20"/>
          <w:szCs w:val="20"/>
          <w:color w:val="auto"/>
        </w:rPr>
      </w:pPr>
      <w:r>
        <w:rPr>
          <w:rFonts w:ascii="Arial" w:cs="Arial" w:eastAsia="Arial" w:hAnsi="Arial"/>
          <w:sz w:val="17"/>
          <w:szCs w:val="17"/>
          <w:color w:val="auto"/>
        </w:rPr>
        <w:t>Patients in the active treatment period received Haduvio with an initial titration over three weeks according to the evolution of their itch response, at doses ranging from 27 mg, once daily, up to a maximum dose of 108 mg, twice daily, followed by up to 21 additional weeks of treatment. The variable-length observation period resulted in an active treatment period that could range from 12 to 24 weeks (including the initial titration period), depending on when the patient moved from the observation period to the active treatment period. After the initial titration period, patients were permitted one down-titration, and if their itch increased with the reduced dose, they could then return to their initial fixed dose in the study. The open label extension study enrolled 184 patients. Of these, 167 were admitted to the active treatment cohort and 51 of these patients had WI-NRS scores of at least 7, indicative of severe itch, a group we refer to as the severe itch population. Of the patients admitted to the active treatment cohort, 101 completed the open label extension study, including 31 of the patients in the severe itch population.</w:t>
      </w:r>
    </w:p>
    <w:p>
      <w:pPr>
        <w:spacing w:after="0" w:line="70" w:lineRule="exact"/>
        <w:rPr>
          <w:sz w:val="20"/>
          <w:szCs w:val="20"/>
          <w:color w:val="auto"/>
        </w:rPr>
      </w:pPr>
    </w:p>
    <w:p>
      <w:pPr>
        <w:ind w:right="160" w:firstLine="554"/>
        <w:spacing w:after="0" w:line="259" w:lineRule="auto"/>
        <w:rPr>
          <w:sz w:val="20"/>
          <w:szCs w:val="20"/>
          <w:color w:val="auto"/>
        </w:rPr>
      </w:pPr>
      <w:r>
        <w:rPr>
          <w:rFonts w:ascii="Arial" w:cs="Arial" w:eastAsia="Arial" w:hAnsi="Arial"/>
          <w:sz w:val="18"/>
          <w:szCs w:val="18"/>
          <w:color w:val="auto"/>
        </w:rPr>
        <w:t>The patients admitted to the active treatment cohort had a mean baseline WI-NRS score of 5.59 (recorded in 166 of the 167 patients admitted) and the mean WI-NRS score at week 24 of the patients who completed the study was 2.78, amounting to a reduction of 2.70. The severe itch population had a mean baseline WI-NRS score of 8.27 and the mean WI-NRS score at week 24 of the patients in the severe itch population who completed the study was 3.48, amounting to a reduction of 4.73.</w:t>
      </w:r>
    </w:p>
    <w:p>
      <w:pPr>
        <w:spacing w:after="0" w:line="79" w:lineRule="exact"/>
        <w:rPr>
          <w:sz w:val="20"/>
          <w:szCs w:val="20"/>
          <w:color w:val="auto"/>
        </w:rPr>
      </w:pPr>
    </w:p>
    <w:p>
      <w:pPr>
        <w:ind w:firstLine="554"/>
        <w:spacing w:after="0" w:line="259" w:lineRule="auto"/>
        <w:rPr>
          <w:sz w:val="20"/>
          <w:szCs w:val="20"/>
          <w:color w:val="auto"/>
        </w:rPr>
      </w:pPr>
      <w:r>
        <w:rPr>
          <w:rFonts w:ascii="Arial" w:cs="Arial" w:eastAsia="Arial" w:hAnsi="Arial"/>
          <w:sz w:val="18"/>
          <w:szCs w:val="18"/>
          <w:color w:val="auto"/>
        </w:rPr>
        <w:t>The patients admitted to the active treatment cohort had a mean baseline total Skindex-10 score of 27.63 (recorded in 166 of the 167 patients admitted) and the mean total Skindex-10 score at week 24 of the patients who completed the study was 16.61, amounting to a reduction of 10.56. The severe itch population had a mean baseline total Skindex-10 score of 40.29 and the mean total Skindex-10 score at week 24 of the patients in the severe itch population who completed the study was 18.58, amounting to a reduction of 19.97.</w:t>
      </w:r>
    </w:p>
    <w:p>
      <w:pPr>
        <w:spacing w:after="0" w:line="79" w:lineRule="exact"/>
        <w:rPr>
          <w:sz w:val="20"/>
          <w:szCs w:val="20"/>
          <w:color w:val="auto"/>
        </w:rPr>
      </w:pPr>
    </w:p>
    <w:p>
      <w:pPr>
        <w:ind w:right="20" w:firstLine="554"/>
        <w:spacing w:after="0" w:line="259" w:lineRule="auto"/>
        <w:rPr>
          <w:sz w:val="20"/>
          <w:szCs w:val="20"/>
          <w:color w:val="auto"/>
        </w:rPr>
      </w:pPr>
      <w:r>
        <w:rPr>
          <w:rFonts w:ascii="Arial" w:cs="Arial" w:eastAsia="Arial" w:hAnsi="Arial"/>
          <w:sz w:val="18"/>
          <w:szCs w:val="18"/>
          <w:color w:val="auto"/>
        </w:rPr>
        <w:t>The patients admitted to the active treatment cohort had a mean baseline IMOS Sleep Scale score of 48.50 (recorded in 165 of the 167 patients admitted) and the mean IMOS Sleep Scale score at week 24 of the patients who completed the study was 38.54, amounting to a reduction of 8.75. The severe itch population had a mean Sleep Scale score at week 24 of the patients in the severe itch population who completed the study was 43.47, amounting to a reduction of 18.42.</w:t>
      </w:r>
    </w:p>
    <w:p>
      <w:pPr>
        <w:spacing w:after="0" w:line="79" w:lineRule="exact"/>
        <w:rPr>
          <w:sz w:val="20"/>
          <w:szCs w:val="20"/>
          <w:color w:val="auto"/>
        </w:rPr>
      </w:pPr>
    </w:p>
    <w:p>
      <w:pPr>
        <w:ind w:right="120" w:firstLine="554"/>
        <w:spacing w:after="0" w:line="254" w:lineRule="auto"/>
        <w:rPr>
          <w:sz w:val="20"/>
          <w:szCs w:val="20"/>
          <w:color w:val="auto"/>
        </w:rPr>
      </w:pPr>
      <w:r>
        <w:rPr>
          <w:rFonts w:ascii="Arial" w:cs="Arial" w:eastAsia="Arial" w:hAnsi="Arial"/>
          <w:sz w:val="18"/>
          <w:szCs w:val="18"/>
          <w:color w:val="auto"/>
        </w:rPr>
        <w:t>We also assessed changes from baseline to week 24 in mean score for the depression-related questions of the Hospital Anxiety and Depression Scale, or HADS, which is a questionnaire-based 4-category numeric assessment scale ranging from 0 to 3 over 14 questions, with seven questions relating to anxiety and seven questions relating to depression. The patients admitted to the active treatment cohort had a mean baseline HADS depression subscale score of 6.03 (recorded in 165 of the 167 patients admitted) and the mean HADS depression subscale score at week 24 of the patients who completed the study was 4.78, amounting to a reduction of 1.15. The severe itch population had a mean baseline HADS depression subscale score of 6.80 and the mean HADS depression subscale score at week 24 of the patients in the severe itch population who completed the study was 4.77, amounting to a reduction of 1.71.</w:t>
      </w:r>
    </w:p>
    <w:p>
      <w:pPr>
        <w:spacing w:after="0" w:line="87" w:lineRule="exact"/>
        <w:rPr>
          <w:sz w:val="20"/>
          <w:szCs w:val="20"/>
          <w:color w:val="auto"/>
        </w:rPr>
      </w:pPr>
    </w:p>
    <w:p>
      <w:pPr>
        <w:ind w:right="20" w:firstLine="554"/>
        <w:spacing w:after="0" w:line="289" w:lineRule="auto"/>
        <w:rPr>
          <w:sz w:val="20"/>
          <w:szCs w:val="20"/>
          <w:color w:val="auto"/>
        </w:rPr>
      </w:pPr>
      <w:r>
        <w:rPr>
          <w:rFonts w:ascii="Arial" w:cs="Arial" w:eastAsia="Arial" w:hAnsi="Arial"/>
          <w:sz w:val="16"/>
          <w:szCs w:val="16"/>
          <w:color w:val="auto"/>
        </w:rPr>
        <w:t>Safety observations in the extension study reflected the underlying severity of illness in the patients in the study, all of whom were on hemodialysis. Four deaths occurred during the study among the 184 enrolled patients. The primary causes of death in these four patients were: cardiac arrest, sudden death, myocardial infarction and hypertensive emergency and massive cerebral hemorrhage in the basal ganglia. The overall mortality rate, and incidence of cardiac deaths specifically, observed in the trial was consistent with the normal rates for this patient population. Among the 54 patients who reported one or more SAEs, three patients reported SAEs that were considered possibly related to study drug: one case of grade 2 gastritis that occurred in association with systemic inflammatory response syndrome; one case of grade 2 constipation that occurred in the setting of associated fluid overload; and one case of grade 2 headache that occurred in the setting of grade 2 hypotension. None of these patients died. Of the adverse effects that are commonly associated with the opiate drug class use (vertigo, constipation, nausea, vomiting, dizziness, somnolence and sedation), only nausea (occurring in 25.7% of patients) and vomiting (occurring in 19.8% of patients), occurred in greater than 10% of patients.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Ongoing Development Work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Hepatic Impairment Study</w:t>
      </w:r>
    </w:p>
    <w:p>
      <w:pPr>
        <w:spacing w:after="0" w:line="117" w:lineRule="exact"/>
        <w:rPr>
          <w:sz w:val="20"/>
          <w:szCs w:val="20"/>
          <w:color w:val="auto"/>
        </w:rPr>
      </w:pPr>
    </w:p>
    <w:p>
      <w:pPr>
        <w:ind w:right="160" w:firstLine="554"/>
        <w:spacing w:after="0" w:line="275" w:lineRule="auto"/>
        <w:rPr>
          <w:sz w:val="20"/>
          <w:szCs w:val="20"/>
          <w:color w:val="auto"/>
        </w:rPr>
      </w:pPr>
      <w:r>
        <w:rPr>
          <w:rFonts w:ascii="Arial" w:cs="Arial" w:eastAsia="Arial" w:hAnsi="Arial"/>
          <w:sz w:val="17"/>
          <w:szCs w:val="17"/>
          <w:color w:val="auto"/>
        </w:rPr>
        <w:t>We conducted a Phase 1b clinical trial in patients with chronic liver disease to evaluate the safety and pharmacokinetics, or PK, of Haduvio in this population. This trial was designed as an open label, non-randomized, parallel-group, single and multiple ascending dose pharmacokinetic trial in patients with mild, moderate and severe hepatic impairment. We completed the single ascending dosing portion of this trial in patients with mild, moderate and severe hepatic impairment and there were no serious adverse events reported in the trial. After reviewing the safety and PK data generated in the single ascending dose portion of the trial, we believe that these data are sufficient to support further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ind w:right="400"/>
        <w:spacing w:after="0" w:line="342" w:lineRule="auto"/>
        <w:rPr>
          <w:sz w:val="20"/>
          <w:szCs w:val="20"/>
          <w:color w:val="auto"/>
        </w:rPr>
      </w:pPr>
      <w:r>
        <w:rPr>
          <w:rFonts w:ascii="Arial" w:cs="Arial" w:eastAsia="Arial" w:hAnsi="Arial"/>
          <w:sz w:val="16"/>
          <w:szCs w:val="16"/>
          <w:color w:val="auto"/>
        </w:rPr>
        <w:t>investigation of Haduvio in potential future safety and efficacy studies in patients with relevant liver diseases without the need to conduct the multiple ascending dose portion of the trial. We intend to use the data from the hepatic impairment study to support an NDA submission for Haduvio.</w:t>
      </w:r>
    </w:p>
    <w:p>
      <w:pPr>
        <w:spacing w:after="0" w:line="16" w:lineRule="exact"/>
        <w:rPr>
          <w:sz w:val="20"/>
          <w:szCs w:val="20"/>
          <w:color w:val="auto"/>
        </w:rPr>
      </w:pPr>
    </w:p>
    <w:p>
      <w:pPr>
        <w:ind w:right="40" w:firstLine="554"/>
        <w:spacing w:after="0" w:line="311" w:lineRule="auto"/>
        <w:rPr>
          <w:sz w:val="20"/>
          <w:szCs w:val="20"/>
          <w:color w:val="auto"/>
        </w:rPr>
      </w:pPr>
      <w:r>
        <w:rPr>
          <w:rFonts w:ascii="Arial" w:cs="Arial" w:eastAsia="Arial" w:hAnsi="Arial"/>
          <w:sz w:val="16"/>
          <w:szCs w:val="16"/>
          <w:color w:val="auto"/>
        </w:rPr>
        <w:t>We plan to conduct a human abuse liability study to further characterize the abuse potential of nalbuphine. We also anticipate conducting additional standard pharmacokinetics studies required for any NDA submission including studies in specific populations, cardiovascular safety, food effect and dose proportionality studies, and other studies as needed to support marketing applications for regulatory approval in the U.S. and Europe.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554"/>
        <w:spacing w:after="0" w:line="259" w:lineRule="auto"/>
        <w:rPr>
          <w:sz w:val="20"/>
          <w:szCs w:val="20"/>
          <w:color w:val="auto"/>
        </w:rPr>
      </w:pPr>
      <w:r>
        <w:rPr>
          <w:rFonts w:ascii="Arial" w:cs="Arial" w:eastAsia="Arial" w:hAnsi="Arial"/>
          <w:sz w:val="18"/>
          <w:szCs w:val="18"/>
          <w:color w:val="auto"/>
        </w:rPr>
        <w:t>The biopharmaceutical industry is intensely competitive and is subject to rapid and significant change. While we believe that our technology, knowledge, experience and scientific resources provide us with competitive advantages, we face potential competition from many sources, including major pharmaceutical, specialty pharmaceutical and biotechnology companies. If we are able to successfully develop and commercialize Haduvio, it would compete with existing therapies and new therapies that may become available in the future.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Pruritus</w:t>
      </w:r>
    </w:p>
    <w:p>
      <w:pPr>
        <w:spacing w:after="0" w:line="117" w:lineRule="exact"/>
        <w:rPr>
          <w:sz w:val="20"/>
          <w:szCs w:val="20"/>
          <w:color w:val="auto"/>
        </w:rPr>
      </w:pPr>
    </w:p>
    <w:p>
      <w:pPr>
        <w:ind w:right="80" w:firstLine="554"/>
        <w:spacing w:after="0" w:line="285" w:lineRule="auto"/>
        <w:rPr>
          <w:sz w:val="20"/>
          <w:szCs w:val="20"/>
          <w:color w:val="auto"/>
        </w:rPr>
      </w:pPr>
      <w:r>
        <w:rPr>
          <w:rFonts w:ascii="Arial" w:cs="Arial" w:eastAsia="Arial" w:hAnsi="Arial"/>
          <w:sz w:val="16"/>
          <w:szCs w:val="16"/>
          <w:color w:val="auto"/>
        </w:rPr>
        <w:t>We are developing Haduvio for the treatment of pruritus associated with prurigo nodularis. Currently, there are no products approved in the U.S. or Europe for the treatment of pruritus associated with prurigo nodularis, however there are many products that are used to help manage pruritus associated with prurigo nodularis with which we expect that Haduvio would compete if it is approved in this indication. If Haduvio is approved for the treatment of pruritus associated with prurigo nodularis, we expect that it would compete with a number of therapeutics that are used off-label to treat prurigo nodularis, including anti-itch creams and emollients as well as oral or injectable antihistamines. All of these products have limited degrees of efficacy and are available generically. Additionally, patients may try several other agents such as Dupixent (dupilumab), which is an injectable prescription medicine approved for atopic dermatitis that is in clinical development for the treatment of pruritus associated with prurigo nodularis. Sanofi reported positive data from two Phase 3 trials of Dupixent for the treatment of prurigo nodularis and that it plans regulatory submissions around the world for this indication in 2022. Patients may also try gabapentin and Lyrica (pregabalin), which are prescription medicines approved for the treatment of seizures and neuropathic pain, naltrexone and UVB light therapy, generally with limited success. We also expect that Haduvio might compete with product candidates currently in clinical development in this indication, including nemolizumab, an anti-interleukin-31 receptor, a humanized monoclonal antibody being developed by Galderma; KPL-716, a monoclonal antibody targeting oncostatin M receptor beta being developed by Kiniksa Pharmaceuticals; abrocitinib, an oral small molecule targeting the janus kinase (JAK) 1 receptor being developed by Pfizer Inc.; INCB054707, an oral small molecule targeting the JAK 1 receptor being developed by Incyte;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pruritus associated with prurigo nodularis could face competition from these product candidates.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Cough in Idiopathic Pulmonary Fibrosis</w:t>
      </w:r>
    </w:p>
    <w:p>
      <w:pPr>
        <w:spacing w:after="0" w:line="117" w:lineRule="exact"/>
        <w:rPr>
          <w:sz w:val="20"/>
          <w:szCs w:val="20"/>
          <w:color w:val="auto"/>
        </w:rPr>
      </w:pPr>
    </w:p>
    <w:p>
      <w:pPr>
        <w:ind w:firstLine="554"/>
        <w:spacing w:after="0" w:line="293" w:lineRule="auto"/>
        <w:rPr>
          <w:sz w:val="20"/>
          <w:szCs w:val="20"/>
          <w:color w:val="auto"/>
        </w:rPr>
      </w:pPr>
      <w:r>
        <w:rPr>
          <w:rFonts w:ascii="Arial" w:cs="Arial" w:eastAsia="Arial" w:hAnsi="Arial"/>
          <w:sz w:val="16"/>
          <w:szCs w:val="16"/>
          <w:color w:val="auto"/>
        </w:rPr>
        <w:t>If Haduvio is approved for the treatment of chronic cough associated with IPF, we expect that it may compete with product candidates currently in clinical development for the treatment of chronic cough associated with IPF, such as orvepitant, which is being developed in a Phase 2b clinical trial by Nerre Therapeutics, and ifenprodil which is being developed in a Phase 2 clinical trial by Algernon Pharmaceuticals. We expect that it might also compete with other product candidates currently in development or submitted for approval to the FDA for the treatment of chronic refractory cough and unexplained chronic cough by companies including Merck, Shionogi, and Bellus Health. In addition, it is possible that product candidates currently in development for the treatment of IPF could, if approved, reduce the need for therapies to treat chronic cough associated with IPF.</w:t>
      </w:r>
    </w:p>
    <w:p>
      <w:pPr>
        <w:spacing w:after="0" w:line="56" w:lineRule="exact"/>
        <w:rPr>
          <w:sz w:val="20"/>
          <w:szCs w:val="20"/>
          <w:color w:val="auto"/>
        </w:rPr>
      </w:pPr>
    </w:p>
    <w:p>
      <w:pPr>
        <w:ind w:right="220" w:firstLine="554"/>
        <w:spacing w:after="0" w:line="293" w:lineRule="auto"/>
        <w:rPr>
          <w:sz w:val="20"/>
          <w:szCs w:val="20"/>
          <w:color w:val="auto"/>
        </w:rPr>
      </w:pPr>
      <w:r>
        <w:rPr>
          <w:rFonts w:ascii="Arial" w:cs="Arial" w:eastAsia="Arial" w:hAnsi="Arial"/>
          <w:sz w:val="16"/>
          <w:szCs w:val="16"/>
          <w:color w:val="auto"/>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56" w:lineRule="exact"/>
        <w:rPr>
          <w:sz w:val="20"/>
          <w:szCs w:val="20"/>
          <w:color w:val="auto"/>
        </w:rPr>
      </w:pPr>
    </w:p>
    <w:p>
      <w:pPr>
        <w:ind w:right="240" w:firstLine="554"/>
        <w:spacing w:after="0" w:line="263" w:lineRule="auto"/>
        <w:rPr>
          <w:sz w:val="20"/>
          <w:szCs w:val="20"/>
          <w:color w:val="auto"/>
        </w:rPr>
      </w:pPr>
      <w:r>
        <w:rPr>
          <w:rFonts w:ascii="Arial" w:cs="Arial" w:eastAsia="Arial" w:hAnsi="Arial"/>
          <w:sz w:val="18"/>
          <w:szCs w:val="18"/>
          <w:color w:val="auto"/>
        </w:rPr>
        <w:t>We expect that Haduvio, if approved for marketing, will compete on the basis of, among other things, efficacy, safety, health-economic benefit, convenience of administration and delivery, price, the level of generic competition and the availability of adequate reimbursement from government and other third-party payors.</w:t>
      </w:r>
    </w:p>
    <w:p>
      <w:pPr>
        <w:spacing w:after="0" w:line="76" w:lineRule="exact"/>
        <w:rPr>
          <w:sz w:val="20"/>
          <w:szCs w:val="20"/>
          <w:color w:val="auto"/>
        </w:rPr>
      </w:pPr>
    </w:p>
    <w:p>
      <w:pPr>
        <w:ind w:right="160" w:firstLine="554"/>
        <w:spacing w:after="0" w:line="27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2" w:name="page23"/>
    <w:bookmarkEnd w:id="22"/>
    <w:p>
      <w:pPr>
        <w:ind w:right="280"/>
        <w:spacing w:after="0" w:line="277" w:lineRule="auto"/>
        <w:rPr>
          <w:sz w:val="20"/>
          <w:szCs w:val="20"/>
          <w:color w:val="auto"/>
        </w:rPr>
      </w:pPr>
      <w:r>
        <w:rPr>
          <w:rFonts w:ascii="Arial" w:cs="Arial" w:eastAsia="Arial" w:hAnsi="Arial"/>
          <w:sz w:val="18"/>
          <w:szCs w:val="18"/>
          <w:color w:val="auto"/>
        </w:rPr>
        <w:t>Haduvio. Our competitors also may obtain FDA or other regulatory approval for their products more rapidly than we may obtain approval for Haduvio, which could result in our competitors establishing a strong market position before we are able to enter the market.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 with Endo Pharmaceuticals</w:t>
      </w:r>
    </w:p>
    <w:p>
      <w:pPr>
        <w:spacing w:after="0" w:line="117" w:lineRule="exact"/>
        <w:rPr>
          <w:sz w:val="20"/>
          <w:szCs w:val="20"/>
          <w:color w:val="auto"/>
        </w:rPr>
      </w:pPr>
    </w:p>
    <w:p>
      <w:pPr>
        <w:ind w:right="480" w:firstLine="554"/>
        <w:spacing w:after="0" w:line="311" w:lineRule="auto"/>
        <w:rPr>
          <w:sz w:val="20"/>
          <w:szCs w:val="20"/>
          <w:color w:val="auto"/>
        </w:rPr>
      </w:pPr>
      <w:r>
        <w:rPr>
          <w:rFonts w:ascii="Arial" w:cs="Arial" w:eastAsia="Arial" w:hAnsi="Arial"/>
          <w:sz w:val="16"/>
          <w:szCs w:val="16"/>
          <w:color w:val="auto"/>
        </w:rPr>
        <w:t>In May 2011, we entered into an agreement with Penwest (subsequently merged into its parent, Endo Pharmaceuticals Inc., or Endo) for an exclusive, worldwide, sublicensable license under certain patent rights and know-how controlled by Penwest to develop and commercialize products incorporating nalbuphine hydrochloride in any formulation, including an extended-release formulation such as Haduvio, in all fields and for any use.</w:t>
      </w:r>
    </w:p>
    <w:p>
      <w:pPr>
        <w:spacing w:after="0" w:line="41" w:lineRule="exact"/>
        <w:rPr>
          <w:sz w:val="20"/>
          <w:szCs w:val="20"/>
          <w:color w:val="auto"/>
        </w:rPr>
      </w:pPr>
    </w:p>
    <w:p>
      <w:pPr>
        <w:ind w:right="40" w:firstLine="554"/>
        <w:spacing w:after="0" w:line="255" w:lineRule="auto"/>
        <w:rPr>
          <w:sz w:val="20"/>
          <w:szCs w:val="20"/>
          <w:color w:val="auto"/>
        </w:rPr>
      </w:pPr>
      <w:r>
        <w:rPr>
          <w:rFonts w:ascii="Arial" w:cs="Arial" w:eastAsia="Arial" w:hAnsi="Arial"/>
          <w:sz w:val="18"/>
          <w:szCs w:val="18"/>
          <w:color w:val="auto"/>
        </w:rPr>
        <w:t>Under the license agreement, we paid Penwest a minimal, non-creditable, non-refundable upfront license fee. We may also become obligated to make milestone payments to Endo of $0.3 million, which would become due upon the successful completion of the first Phase 3 clinical trial of a licensed product candidate, such as our Phase 2b/3 PRISM trial, and $0.8 million, which would become due upon the marketing approval of a licensed product in the United States, and to pay mid-single-digit royalties based on net sales of the licensed products by us, our affiliates and sublicensees. In addition, we are obligated to pay Endo a low-to-mid double-digit percentage of certain income we receive from sublicensees, based on the date of the definitive agreement under which the sublicense was granted.</w:t>
      </w:r>
    </w:p>
    <w:p>
      <w:pPr>
        <w:spacing w:after="0" w:line="84" w:lineRule="exact"/>
        <w:rPr>
          <w:sz w:val="20"/>
          <w:szCs w:val="20"/>
          <w:color w:val="auto"/>
        </w:rPr>
      </w:pPr>
    </w:p>
    <w:p>
      <w:pPr>
        <w:ind w:right="200" w:firstLine="554"/>
        <w:spacing w:after="0" w:line="257" w:lineRule="auto"/>
        <w:rPr>
          <w:sz w:val="20"/>
          <w:szCs w:val="20"/>
          <w:color w:val="auto"/>
        </w:rPr>
      </w:pPr>
      <w:r>
        <w:rPr>
          <w:rFonts w:ascii="Arial" w:cs="Arial" w:eastAsia="Arial" w:hAnsi="Arial"/>
          <w:sz w:val="18"/>
          <w:szCs w:val="18"/>
          <w:color w:val="auto"/>
        </w:rPr>
        <w:t>Our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we are thereafter obligated to pay a low single-digit know-how and trademark royalty.</w:t>
      </w:r>
    </w:p>
    <w:p>
      <w:pPr>
        <w:spacing w:after="0" w:line="80" w:lineRule="exact"/>
        <w:rPr>
          <w:sz w:val="20"/>
          <w:szCs w:val="20"/>
          <w:color w:val="auto"/>
        </w:rPr>
      </w:pPr>
    </w:p>
    <w:p>
      <w:pPr>
        <w:ind w:right="100" w:firstLine="554"/>
        <w:spacing w:after="0" w:line="263" w:lineRule="auto"/>
        <w:rPr>
          <w:sz w:val="20"/>
          <w:szCs w:val="20"/>
          <w:color w:val="auto"/>
        </w:rPr>
      </w:pPr>
      <w:r>
        <w:rPr>
          <w:rFonts w:ascii="Arial" w:cs="Arial" w:eastAsia="Arial" w:hAnsi="Arial"/>
          <w:sz w:val="18"/>
          <w:szCs w:val="18"/>
          <w:color w:val="auto"/>
        </w:rPr>
        <w:t>Under the agreement, we have granted Endo a non-exclusive, royalty-free (except for pass-through payments to third parties), sublicenseable license under our relevant patent rights, to use any improvement we make to Endo’s controlled release technology, for any product other than the products under which we are licensed by Endo.</w:t>
      </w:r>
    </w:p>
    <w:p>
      <w:pPr>
        <w:spacing w:after="0" w:line="76" w:lineRule="exact"/>
        <w:rPr>
          <w:sz w:val="20"/>
          <w:szCs w:val="20"/>
          <w:color w:val="auto"/>
        </w:rPr>
      </w:pPr>
    </w:p>
    <w:p>
      <w:pPr>
        <w:ind w:firstLine="554"/>
        <w:spacing w:after="0" w:line="275" w:lineRule="auto"/>
        <w:rPr>
          <w:sz w:val="20"/>
          <w:szCs w:val="20"/>
          <w:color w:val="auto"/>
        </w:rPr>
      </w:pPr>
      <w:r>
        <w:rPr>
          <w:rFonts w:ascii="Arial" w:cs="Arial" w:eastAsia="Arial" w:hAnsi="Arial"/>
          <w:sz w:val="17"/>
          <w:szCs w:val="17"/>
          <w:color w:val="auto"/>
        </w:rPr>
        <w:t>Both we and Endo have the right to terminate the agreement if the other party materially breaches the agreement and fails to cure the breach within specified cure periods. Endo also has the right to terminate in the event we undergo specified bankruptcy, insolvency or liquidation events, and we have the right to terminate the agreement for our convenience at any time on 180 days’ notice to Endo. Additionally, if we or any of our sublicensees challenge the validity or enforceability of any licensed patent rights covering a licensed product, and that challenge is not terminated within a specified period, the agreement will immediately terminate and all licenses granted under the agreement will be revoked.</w:t>
      </w:r>
    </w:p>
    <w:p>
      <w:pPr>
        <w:spacing w:after="0" w:line="68" w:lineRule="exact"/>
        <w:rPr>
          <w:sz w:val="20"/>
          <w:szCs w:val="20"/>
          <w:color w:val="auto"/>
        </w:rPr>
      </w:pPr>
    </w:p>
    <w:p>
      <w:pPr>
        <w:ind w:right="80" w:firstLine="554"/>
        <w:spacing w:after="0" w:line="275" w:lineRule="auto"/>
        <w:rPr>
          <w:sz w:val="20"/>
          <w:szCs w:val="20"/>
          <w:color w:val="auto"/>
        </w:rPr>
      </w:pPr>
      <w:r>
        <w:rPr>
          <w:rFonts w:ascii="Arial" w:cs="Arial" w:eastAsia="Arial" w:hAnsi="Arial"/>
          <w:sz w:val="17"/>
          <w:szCs w:val="17"/>
          <w:color w:val="auto"/>
        </w:rPr>
        <w:t>Upon termination of the agreement, we must transfer to Endo all regulatory filings and approvals relating to the development, manufacture or commercialization of the licensed products and all trademarks, other than our corporate trademarks, then being used in connection with the licensed products. If the agreement is terminated under certain specified circumstances, we will be deemed to have granted Endo a perpetual, royalty-free (except for pass-through payments to third parties), worldwide, exclusive, sublicensable license, under any improvements we made to the licensed know-how, and any related patent rights we have, to manufacture and commercialize the licensed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340" w:firstLine="554"/>
        <w:spacing w:after="0" w:line="301" w:lineRule="auto"/>
        <w:rPr>
          <w:sz w:val="20"/>
          <w:szCs w:val="20"/>
          <w:color w:val="auto"/>
        </w:rPr>
      </w:pPr>
      <w:r>
        <w:rPr>
          <w:rFonts w:ascii="Arial" w:cs="Arial" w:eastAsia="Arial" w:hAnsi="Arial"/>
          <w:sz w:val="16"/>
          <w:szCs w:val="16"/>
          <w:color w:val="auto"/>
        </w:rPr>
        <w:t>We currently contract with third parties for the supply of nalbuphine hydrochloride drug substance and the manufacture of Haduvio tablets for clinical trials and intend to do so for clinical and commercial supply in the future. We do not own or operate facilities for the production of clinical or commercial quantities of drug substance or drug product. We currently have no plans to build our own clinical or commercial scale manufacturing capabilities. Although we rely on contract manufacturers, we have personnel with experience to oversee our relationships with contract manufacturers.</w:t>
      </w:r>
    </w:p>
    <w:p>
      <w:pPr>
        <w:spacing w:after="0" w:line="49" w:lineRule="exact"/>
        <w:rPr>
          <w:sz w:val="20"/>
          <w:szCs w:val="20"/>
          <w:color w:val="auto"/>
        </w:rPr>
      </w:pPr>
    </w:p>
    <w:p>
      <w:pPr>
        <w:ind w:firstLine="554"/>
        <w:spacing w:after="0" w:line="263" w:lineRule="auto"/>
        <w:rPr>
          <w:sz w:val="20"/>
          <w:szCs w:val="20"/>
          <w:color w:val="auto"/>
        </w:rPr>
      </w:pPr>
      <w:r>
        <w:rPr>
          <w:rFonts w:ascii="Arial" w:cs="Arial" w:eastAsia="Arial" w:hAnsi="Arial"/>
          <w:sz w:val="18"/>
          <w:szCs w:val="18"/>
          <w:color w:val="auto"/>
        </w:rPr>
        <w:t>Haduvio is manufactured from readily available starting materials using established, scalable processes that do not require any special equipment or technology. Nalbuphine hydrochloride drug substance is commercially available and manufactured at production scale. Haduvio tablets are currently manufactured at a scale sufficient for use in clinical trials. Process development work is also being planned.</w:t>
      </w:r>
    </w:p>
    <w:p>
      <w:pPr>
        <w:spacing w:after="0" w:line="76" w:lineRule="exact"/>
        <w:rPr>
          <w:sz w:val="20"/>
          <w:szCs w:val="20"/>
          <w:color w:val="auto"/>
        </w:rPr>
      </w:pPr>
    </w:p>
    <w:p>
      <w:pPr>
        <w:ind w:firstLine="554"/>
        <w:spacing w:after="0" w:line="279" w:lineRule="auto"/>
        <w:rPr>
          <w:sz w:val="20"/>
          <w:szCs w:val="20"/>
          <w:color w:val="auto"/>
        </w:rPr>
      </w:pPr>
      <w:r>
        <w:rPr>
          <w:rFonts w:ascii="Arial" w:cs="Arial" w:eastAsia="Arial" w:hAnsi="Arial"/>
          <w:sz w:val="17"/>
          <w:szCs w:val="17"/>
          <w:color w:val="auto"/>
        </w:rPr>
        <w:t>We believe that our current suppliers and manufacturers have the capacity to support commercial scale production of Haduvio, however we have no formal agreements with them to cover commercial production and we may seek to pursue supply or manufacturing arrangements with additional or alternative parties in the future. While we believe there are alternate sources of supply that can satisfy our clinical requirements and any future commercial requirements, replacing or adding a supplier or manufacturer could result in additional cost or delay.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Commercial Operations</w:t>
      </w:r>
    </w:p>
    <w:p>
      <w:pPr>
        <w:spacing w:after="0" w:line="121" w:lineRule="exact"/>
        <w:rPr>
          <w:sz w:val="20"/>
          <w:szCs w:val="20"/>
          <w:color w:val="auto"/>
        </w:rPr>
      </w:pPr>
    </w:p>
    <w:p>
      <w:pPr>
        <w:ind w:right="40" w:firstLine="554"/>
        <w:spacing w:after="0" w:line="293" w:lineRule="auto"/>
        <w:rPr>
          <w:sz w:val="20"/>
          <w:szCs w:val="20"/>
          <w:color w:val="auto"/>
        </w:rPr>
      </w:pPr>
      <w:r>
        <w:rPr>
          <w:rFonts w:ascii="Arial" w:cs="Arial" w:eastAsia="Arial" w:hAnsi="Arial"/>
          <w:sz w:val="16"/>
          <w:szCs w:val="16"/>
          <w:color w:val="auto"/>
        </w:rPr>
        <w:t>In light of our stage of development, we have not yet established a marketing and sales organization. We have retained worldwide development and commercial rights for Haduvio. If Haduvio is approved by the FDA for any of our target indications, we intend to market and commercialize Haduvio in the U.S. by developing our own focused, specialty sales organization targeting the physicians specializing in such conditions. In the case of prurigo nodularis, we expect that we would target a subset of the dermatologists in the U.S. For chronic cough related to IPF, we expect that we would target the pulmonologists who specialize in IPF, which is a subset of the pulmonologists practicing in the U.S. For markets outside of the U.S., we expect to utilize a variety of types of collaboration, distribution and other marketing arrangements with one or more third parties to commercialize Haduvio.</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54"/>
        <w:spacing w:after="0" w:line="296" w:lineRule="auto"/>
        <w:rPr>
          <w:sz w:val="20"/>
          <w:szCs w:val="20"/>
          <w:color w:val="auto"/>
        </w:rPr>
      </w:pPr>
      <w:r>
        <w:rPr>
          <w:rFonts w:ascii="Arial" w:cs="Arial" w:eastAsia="Arial" w:hAnsi="Arial"/>
          <w:sz w:val="16"/>
          <w:szCs w:val="16"/>
          <w:color w:val="auto"/>
        </w:rPr>
        <w:t>Our commercial success depends in part on our ability to obtain and maintain proprietary protection for Haduvio and our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w:t>
      </w:r>
    </w:p>
    <w:p>
      <w:pPr>
        <w:spacing w:after="0" w:line="53" w:lineRule="exact"/>
        <w:rPr>
          <w:sz w:val="20"/>
          <w:szCs w:val="20"/>
          <w:color w:val="auto"/>
        </w:rPr>
      </w:pPr>
    </w:p>
    <w:p>
      <w:pPr>
        <w:ind w:firstLine="554"/>
        <w:spacing w:after="0" w:line="263" w:lineRule="auto"/>
        <w:rPr>
          <w:sz w:val="20"/>
          <w:szCs w:val="20"/>
          <w:color w:val="auto"/>
        </w:rPr>
      </w:pPr>
      <w:r>
        <w:rPr>
          <w:rFonts w:ascii="Arial" w:cs="Arial" w:eastAsia="Arial" w:hAnsi="Arial"/>
          <w:sz w:val="18"/>
          <w:szCs w:val="18"/>
          <w:color w:val="auto"/>
        </w:rPr>
        <w:t>As of December 31, 2021, we owned four U.S. patents, seven foreign patents and multiple pending U.S. and foreign patent applications that include claims relating to methods of use of Haduvio. The issued patents expire between 2032 and 2033 and the patent applications, if issued as patents, would expire between 2032 and 2041.</w:t>
      </w:r>
    </w:p>
    <w:p>
      <w:pPr>
        <w:spacing w:after="0" w:line="76" w:lineRule="exact"/>
        <w:rPr>
          <w:sz w:val="20"/>
          <w:szCs w:val="20"/>
          <w:color w:val="auto"/>
        </w:rPr>
      </w:pPr>
    </w:p>
    <w:p>
      <w:pPr>
        <w:ind w:firstLine="554"/>
        <w:spacing w:after="0" w:line="257" w:lineRule="auto"/>
        <w:rPr>
          <w:sz w:val="20"/>
          <w:szCs w:val="20"/>
          <w:color w:val="auto"/>
        </w:rPr>
      </w:pPr>
      <w:r>
        <w:rPr>
          <w:rFonts w:ascii="Arial" w:cs="Arial" w:eastAsia="Arial" w:hAnsi="Arial"/>
          <w:sz w:val="18"/>
          <w:szCs w:val="18"/>
          <w:color w:val="auto"/>
        </w:rPr>
        <w:t>In addition, we are party to an exclusive license agreement with Endo under which we have licensed patent rights and know-how to develop and commercialize products incorporating nalbuphine hydrochloride in any formulation, including Haduvio. As of December 31, 2021, the intellectual property in-licensed under this agreement included six U.S. patents and four foreign patents, which include granted European patent rights that have been validated in various European Union, or E.U., member states. The licensed patents from Endo include claims relating to the formulation of Haduvio. These patents expire between 2026 and 2029.</w:t>
      </w:r>
    </w:p>
    <w:p>
      <w:pPr>
        <w:spacing w:after="0" w:line="80" w:lineRule="exact"/>
        <w:rPr>
          <w:sz w:val="20"/>
          <w:szCs w:val="20"/>
          <w:color w:val="auto"/>
        </w:rPr>
      </w:pPr>
    </w:p>
    <w:p>
      <w:pPr>
        <w:ind w:right="120" w:firstLine="554"/>
        <w:spacing w:after="0" w:line="259" w:lineRule="auto"/>
        <w:rPr>
          <w:sz w:val="20"/>
          <w:szCs w:val="20"/>
          <w:color w:val="auto"/>
        </w:rPr>
      </w:pPr>
      <w:r>
        <w:rPr>
          <w:rFonts w:ascii="Arial" w:cs="Arial" w:eastAsia="Arial" w:hAnsi="Arial"/>
          <w:sz w:val="18"/>
          <w:szCs w:val="18"/>
          <w:color w:val="auto"/>
        </w:rPr>
        <w:t>In addition, we have in-licensed three issued U.S. patents, one issued European patent, one Japanese patent, one issued Canadian patent and a pending application in the U.S. These patents and the patent application relate to the use of nalbuphine in various movement disorders. The U.S. patents expire in 2032 and the patent issuing from the pending application, if granted, would expire in 2032. The Japanese, European and Canadian patents expire in 2032.</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own or exclusively license any composition of matter patents for Haduvio.</w:t>
      </w:r>
    </w:p>
    <w:p>
      <w:pPr>
        <w:spacing w:after="0" w:line="117" w:lineRule="exact"/>
        <w:rPr>
          <w:sz w:val="20"/>
          <w:szCs w:val="20"/>
          <w:color w:val="auto"/>
        </w:rPr>
      </w:pPr>
    </w:p>
    <w:p>
      <w:pPr>
        <w:ind w:right="80" w:firstLine="554"/>
        <w:spacing w:after="0" w:line="275" w:lineRule="auto"/>
        <w:rPr>
          <w:sz w:val="20"/>
          <w:szCs w:val="20"/>
          <w:color w:val="auto"/>
        </w:rPr>
      </w:pPr>
      <w:r>
        <w:rPr>
          <w:rFonts w:ascii="Arial" w:cs="Arial" w:eastAsia="Arial" w:hAnsi="Arial"/>
          <w:sz w:val="17"/>
          <w:szCs w:val="17"/>
          <w:color w:val="auto"/>
        </w:rPr>
        <w:t>The terms of individual patents depend upon the legal term for patents in the countries in which they are granted. In most countries, including the U.S., the patent term is generally 20 years from the earliest claimed filing date of a nonprovisional patent application in the applicable country. In the U.S., a patent’s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w:t>
      </w:r>
    </w:p>
    <w:p>
      <w:pPr>
        <w:spacing w:after="0" w:line="68" w:lineRule="exact"/>
        <w:rPr>
          <w:sz w:val="20"/>
          <w:szCs w:val="20"/>
          <w:color w:val="auto"/>
        </w:rPr>
      </w:pPr>
    </w:p>
    <w:p>
      <w:pPr>
        <w:ind w:firstLine="554"/>
        <w:spacing w:after="0" w:line="254" w:lineRule="auto"/>
        <w:rPr>
          <w:sz w:val="20"/>
          <w:szCs w:val="20"/>
          <w:color w:val="auto"/>
        </w:rPr>
      </w:pPr>
      <w:r>
        <w:rPr>
          <w:rFonts w:ascii="Arial" w:cs="Arial" w:eastAsia="Arial" w:hAnsi="Arial"/>
          <w:sz w:val="18"/>
          <w:szCs w:val="18"/>
          <w:color w:val="auto"/>
        </w:rPr>
        <w:t>Similar provisions are available in the E.U. and certain other non-U.S. jurisdictions to extend the term of a patent that covers an approved drug. The expiration dates referred to above are without regard to potential patent term extension or other market exclusivity that may be available to us. However, we cannot provide any assurances that any such patent term extension of a non-U.S. patent will be obtained and, if obtained, the duration of such extension. 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84" w:lineRule="exact"/>
        <w:rPr>
          <w:sz w:val="20"/>
          <w:szCs w:val="20"/>
          <w:color w:val="auto"/>
        </w:rPr>
      </w:pPr>
    </w:p>
    <w:p>
      <w:pPr>
        <w:ind w:right="60" w:firstLine="554"/>
        <w:spacing w:after="0" w:line="296" w:lineRule="auto"/>
        <w:rPr>
          <w:sz w:val="20"/>
          <w:szCs w:val="20"/>
          <w:color w:val="auto"/>
        </w:rPr>
      </w:pPr>
      <w:r>
        <w:rPr>
          <w:rFonts w:ascii="Arial" w:cs="Arial" w:eastAsia="Arial" w:hAnsi="Arial"/>
          <w:sz w:val="16"/>
          <w:szCs w:val="16"/>
          <w:color w:val="auto"/>
        </w:rPr>
        <w:t>Our commercial success will also depend in part on not infringing the proprietary rights of third parties. It is uncertain whether the issuance of any third-party patent would require us to alter our development or commercial strategies, alter our processes, obtain licenses or cease certain activities. Our breach of any license agreements or failure to obtain a license to proprietary rights that we may require to develop or commercialize Haduvio or any future product candidate may have a material adverse impact on us. If third parties prepare and file patent applications in the U.S. that also claim technology to which we have rights, we may have to participate in interference or derivation proceedings in the USPTO to determine priority of invention.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21" w:lineRule="exact"/>
        <w:rPr>
          <w:sz w:val="20"/>
          <w:szCs w:val="20"/>
          <w:color w:val="auto"/>
        </w:rPr>
      </w:pPr>
    </w:p>
    <w:p>
      <w:pPr>
        <w:ind w:right="60" w:firstLine="554"/>
        <w:spacing w:after="0" w:line="296" w:lineRule="auto"/>
        <w:rPr>
          <w:sz w:val="20"/>
          <w:szCs w:val="20"/>
          <w:color w:val="auto"/>
        </w:rPr>
      </w:pPr>
      <w:r>
        <w:rPr>
          <w:rFonts w:ascii="Arial" w:cs="Arial" w:eastAsia="Arial" w:hAnsi="Arial"/>
          <w:sz w:val="16"/>
          <w:szCs w:val="16"/>
          <w:color w:val="auto"/>
        </w:rPr>
        <w:t>Government authorities in the U.S.,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U.S. and in foreign countries and jurisdictions, along with compliance with applicable statutes and regulations and other regulatory authorities, require the expenditure of substantial time and financial resources.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U.S.</w:t>
      </w:r>
    </w:p>
    <w:p>
      <w:pPr>
        <w:spacing w:after="0" w:line="117" w:lineRule="exact"/>
        <w:rPr>
          <w:sz w:val="20"/>
          <w:szCs w:val="20"/>
          <w:color w:val="auto"/>
        </w:rPr>
      </w:pPr>
    </w:p>
    <w:p>
      <w:pPr>
        <w:ind w:right="80" w:firstLine="554"/>
        <w:spacing w:after="0" w:line="275" w:lineRule="auto"/>
        <w:rPr>
          <w:sz w:val="20"/>
          <w:szCs w:val="20"/>
          <w:color w:val="auto"/>
        </w:rPr>
      </w:pPr>
      <w:r>
        <w:rPr>
          <w:rFonts w:ascii="Arial" w:cs="Arial" w:eastAsia="Arial" w:hAnsi="Arial"/>
          <w:sz w:val="17"/>
          <w:szCs w:val="17"/>
          <w:color w:val="auto"/>
        </w:rPr>
        <w:t>In the U.S., drug products are regulated under the Federal Food, Drug, and Cosmetic Act, or FDCA, and applicable implementing regulations and guidance. A company, institution, or organization which takes responsibility for the initiation and management of a clinical development program for such products, and for their regulatory approval, is typically referred to as a sponsor. The failure of a sponsor to comply with the applicable regulatory requirements at any time during the product development process, including non-clinical testing, clinical testing, the approval process or the post-approval process, may result in delays to the conduct of a study, regulatory review and approval and/or administrative or judicial sanctions.</w:t>
      </w:r>
    </w:p>
    <w:p>
      <w:pPr>
        <w:spacing w:after="0" w:line="68" w:lineRule="exact"/>
        <w:rPr>
          <w:sz w:val="20"/>
          <w:szCs w:val="20"/>
          <w:color w:val="auto"/>
        </w:rPr>
      </w:pPr>
    </w:p>
    <w:p>
      <w:pPr>
        <w:ind w:right="460" w:firstLine="554"/>
        <w:spacing w:after="0" w:line="277" w:lineRule="auto"/>
        <w:rPr>
          <w:sz w:val="20"/>
          <w:szCs w:val="20"/>
          <w:color w:val="auto"/>
        </w:rPr>
      </w:pPr>
      <w:r>
        <w:rPr>
          <w:rFonts w:ascii="Arial" w:cs="Arial" w:eastAsia="Arial" w:hAnsi="Arial"/>
          <w:sz w:val="18"/>
          <w:szCs w:val="18"/>
          <w:color w:val="auto"/>
        </w:rPr>
        <w:t>A sponsor seeking approval to market and distribute a new drug in the U.S. generally must satisfactorily complete each of the following steps before the FDA will consider approving the product candidate:</w:t>
      </w:r>
    </w:p>
    <w:p>
      <w:pPr>
        <w:spacing w:after="0" w:line="62" w:lineRule="exact"/>
        <w:rPr>
          <w:sz w:val="20"/>
          <w:szCs w:val="20"/>
          <w:color w:val="auto"/>
        </w:rPr>
      </w:pPr>
    </w:p>
    <w:p>
      <w:pPr>
        <w:ind w:left="960" w:right="120" w:hanging="399"/>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62" w:lineRule="exact"/>
        <w:rPr>
          <w:rFonts w:ascii="Arial" w:cs="Arial" w:eastAsia="Arial" w:hAnsi="Arial"/>
          <w:sz w:val="18"/>
          <w:szCs w:val="18"/>
          <w:color w:val="auto"/>
        </w:rPr>
      </w:pPr>
    </w:p>
    <w:p>
      <w:pPr>
        <w:ind w:left="960" w:right="260" w:hanging="399"/>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62" w:lineRule="exact"/>
        <w:rPr>
          <w:rFonts w:ascii="Arial" w:cs="Arial" w:eastAsia="Arial" w:hAnsi="Arial"/>
          <w:sz w:val="18"/>
          <w:szCs w:val="18"/>
          <w:color w:val="auto"/>
        </w:rPr>
      </w:pPr>
    </w:p>
    <w:p>
      <w:pPr>
        <w:ind w:left="960" w:right="320" w:hanging="399"/>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of a clinical protocol and submission to the FDA of an IND for human clinical testing, which must become effective before human clinical trials may begin;</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155" w:lineRule="exact"/>
        <w:rPr>
          <w:rFonts w:ascii="Arial" w:cs="Arial" w:eastAsia="Arial" w:hAnsi="Arial"/>
          <w:sz w:val="17"/>
          <w:szCs w:val="17"/>
          <w:color w:val="auto"/>
        </w:rPr>
      </w:pPr>
    </w:p>
    <w:p>
      <w:pPr>
        <w:ind w:left="960" w:right="60" w:hanging="399"/>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62" w:lineRule="exact"/>
        <w:rPr>
          <w:rFonts w:ascii="Arial" w:cs="Arial" w:eastAsia="Arial" w:hAnsi="Arial"/>
          <w:sz w:val="18"/>
          <w:szCs w:val="18"/>
          <w:color w:val="auto"/>
        </w:rPr>
      </w:pPr>
    </w:p>
    <w:p>
      <w:pPr>
        <w:ind w:left="960" w:right="340" w:hanging="399"/>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and submission to the FDA of an NDA for a drug product which includes not only the results of the clinical trials, but also, detailed information on the chemistry of and manufacture and quality controls for the product candidate and proposed labelling for one or more proposed indication(s);</w:t>
      </w:r>
    </w:p>
    <w:p>
      <w:pPr>
        <w:spacing w:after="0" w:line="75" w:lineRule="exact"/>
        <w:rPr>
          <w:rFonts w:ascii="Arial" w:cs="Arial" w:eastAsia="Arial" w:hAnsi="Arial"/>
          <w:sz w:val="18"/>
          <w:szCs w:val="18"/>
          <w:color w:val="auto"/>
        </w:rPr>
      </w:pPr>
    </w:p>
    <w:p>
      <w:pPr>
        <w:ind w:left="960" w:hanging="39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44" w:lineRule="exact"/>
        <w:rPr>
          <w:rFonts w:ascii="Arial" w:cs="Arial" w:eastAsia="Arial" w:hAnsi="Arial"/>
          <w:sz w:val="18"/>
          <w:szCs w:val="18"/>
          <w:color w:val="auto"/>
        </w:rPr>
      </w:pPr>
    </w:p>
    <w:p>
      <w:pPr>
        <w:ind w:left="960" w:right="140" w:hanging="399"/>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75" w:lineRule="exact"/>
        <w:rPr>
          <w:rFonts w:ascii="Arial" w:cs="Arial" w:eastAsia="Arial" w:hAnsi="Arial"/>
          <w:sz w:val="18"/>
          <w:szCs w:val="18"/>
          <w:color w:val="auto"/>
        </w:rPr>
      </w:pPr>
    </w:p>
    <w:p>
      <w:pPr>
        <w:ind w:left="960" w:right="440" w:hanging="399"/>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GCPs and the integrity of clinical data in support of the NDA;</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144" w:lineRule="exact"/>
        <w:rPr>
          <w:rFonts w:ascii="Arial" w:cs="Arial" w:eastAsia="Arial" w:hAnsi="Arial"/>
          <w:sz w:val="18"/>
          <w:szCs w:val="18"/>
          <w:color w:val="auto"/>
        </w:rPr>
      </w:pPr>
    </w:p>
    <w:p>
      <w:pPr>
        <w:ind w:left="960" w:hanging="399"/>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140" w:firstLine="554"/>
        <w:spacing w:after="0" w:line="275" w:lineRule="auto"/>
        <w:rPr>
          <w:sz w:val="20"/>
          <w:szCs w:val="20"/>
          <w:color w:val="auto"/>
        </w:rPr>
      </w:pPr>
      <w:r>
        <w:rPr>
          <w:rFonts w:ascii="Arial" w:cs="Arial" w:eastAsia="Arial" w:hAnsi="Arial"/>
          <w:sz w:val="17"/>
          <w:szCs w:val="17"/>
          <w:color w:val="auto"/>
        </w:rPr>
        <w:t>Before a sponsor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 w:name="page26"/>
    <w:bookmarkEnd w:id="25"/>
    <w:p>
      <w:pPr>
        <w:ind w:right="420"/>
        <w:spacing w:after="0" w:line="277" w:lineRule="auto"/>
        <w:rPr>
          <w:sz w:val="20"/>
          <w:szCs w:val="20"/>
          <w:color w:val="auto"/>
        </w:rPr>
      </w:pPr>
      <w:r>
        <w:rPr>
          <w:rFonts w:ascii="Arial" w:cs="Arial" w:eastAsia="Arial" w:hAnsi="Arial"/>
          <w:sz w:val="18"/>
          <w:szCs w:val="18"/>
          <w:color w:val="auto"/>
        </w:rPr>
        <w:t>the FDA as part of an IND. Some long-term preclinical testing, such as animal tests of reproductive adverse events and carcinogenicity, and long-term toxicity studies, may continue after the IND is submitted.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IND and IRB Processes</w:t>
      </w:r>
    </w:p>
    <w:p>
      <w:pPr>
        <w:spacing w:after="0" w:line="117" w:lineRule="exact"/>
        <w:rPr>
          <w:sz w:val="20"/>
          <w:szCs w:val="20"/>
          <w:color w:val="auto"/>
        </w:rPr>
      </w:pPr>
    </w:p>
    <w:p>
      <w:pPr>
        <w:ind w:right="40" w:firstLine="554"/>
        <w:spacing w:after="0" w:line="271"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sponsors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70" w:lineRule="exact"/>
        <w:rPr>
          <w:sz w:val="20"/>
          <w:szCs w:val="20"/>
          <w:color w:val="auto"/>
        </w:rPr>
      </w:pPr>
    </w:p>
    <w:p>
      <w:pPr>
        <w:ind w:firstLine="554"/>
        <w:spacing w:after="0" w:line="254" w:lineRule="auto"/>
        <w:rPr>
          <w:sz w:val="20"/>
          <w:szCs w:val="20"/>
          <w:color w:val="auto"/>
        </w:rPr>
      </w:pPr>
      <w:r>
        <w:rPr>
          <w:rFonts w:ascii="Arial" w:cs="Arial" w:eastAsia="Arial" w:hAnsi="Arial"/>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w:t>
      </w:r>
    </w:p>
    <w:p>
      <w:pPr>
        <w:spacing w:after="0" w:line="84" w:lineRule="exact"/>
        <w:rPr>
          <w:sz w:val="20"/>
          <w:szCs w:val="20"/>
          <w:color w:val="auto"/>
        </w:rPr>
      </w:pPr>
    </w:p>
    <w:p>
      <w:pPr>
        <w:ind w:firstLine="554"/>
        <w:spacing w:after="0" w:line="272"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IND requirements must be met unless waived by the FDA.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including undergoing review and receiving approval by an independent ethics committee, or IEC, and seeking and receiving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w:t>
      </w:r>
    </w:p>
    <w:p>
      <w:pPr>
        <w:spacing w:after="0" w:line="69" w:lineRule="exact"/>
        <w:rPr>
          <w:sz w:val="20"/>
          <w:szCs w:val="20"/>
          <w:color w:val="auto"/>
        </w:rPr>
      </w:pPr>
    </w:p>
    <w:p>
      <w:pPr>
        <w:ind w:right="60" w:firstLine="554"/>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which must operate in compliance with FDA regulations, must review and approve, among other things, the study protocol and informed consent information to be provided to study subjects.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84" w:lineRule="exact"/>
        <w:rPr>
          <w:sz w:val="20"/>
          <w:szCs w:val="20"/>
          <w:color w:val="auto"/>
        </w:rPr>
      </w:pPr>
    </w:p>
    <w:p>
      <w:pPr>
        <w:ind w:right="160" w:firstLine="554"/>
        <w:spacing w:after="0" w:line="275" w:lineRule="auto"/>
        <w:rPr>
          <w:sz w:val="20"/>
          <w:szCs w:val="20"/>
          <w:color w:val="auto"/>
        </w:rPr>
      </w:pPr>
      <w:r>
        <w:rPr>
          <w:rFonts w:ascii="Arial" w:cs="Arial" w:eastAsia="Arial" w:hAnsi="Arial"/>
          <w:sz w:val="17"/>
          <w:szCs w:val="17"/>
          <w:color w:val="auto"/>
        </w:rPr>
        <w:t>Additionally, some trials are overseen by an independent group of qualified experts organized by the trial sponsor, known as a data safety monitoring board, or DSMB. This group provides authorization as to whether or not a trial may move forward at designated checkpoints based on review of available data from the study, to which only the DSMB maintains access. Suspension or termination of development during any phase of a clinical trial can occur if the DSMB determines that the participants or patients are being exposed to an unacceptable health risk. Other reasons for suspension or termination may be made by us based on evolving business objectives and/or competitive climate.</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117" w:lineRule="exact"/>
        <w:rPr>
          <w:sz w:val="20"/>
          <w:szCs w:val="20"/>
          <w:color w:val="auto"/>
        </w:rPr>
      </w:pPr>
    </w:p>
    <w:p>
      <w:pPr>
        <w:ind w:right="160" w:firstLine="554"/>
        <w:spacing w:after="0" w:line="293"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56" w:lineRule="exact"/>
        <w:rPr>
          <w:sz w:val="20"/>
          <w:szCs w:val="20"/>
          <w:color w:val="auto"/>
        </w:rPr>
      </w:pPr>
    </w:p>
    <w:p>
      <w:pPr>
        <w:ind w:right="20" w:firstLine="554"/>
        <w:spacing w:after="0" w:line="277" w:lineRule="auto"/>
        <w:rPr>
          <w:sz w:val="20"/>
          <w:szCs w:val="20"/>
          <w:color w:val="auto"/>
        </w:rPr>
      </w:pPr>
      <w:r>
        <w:rPr>
          <w:rFonts w:ascii="Arial" w:cs="Arial" w:eastAsia="Arial" w:hAnsi="Arial"/>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ind w:right="20"/>
        <w:spacing w:after="0" w:line="257" w:lineRule="auto"/>
        <w:rPr>
          <w:sz w:val="20"/>
          <w:szCs w:val="20"/>
          <w:color w:val="auto"/>
        </w:rPr>
      </w:pPr>
      <w:r>
        <w:rPr>
          <w:rFonts w:ascii="Arial" w:cs="Arial" w:eastAsia="Arial" w:hAnsi="Arial"/>
          <w:sz w:val="18"/>
          <w:szCs w:val="18"/>
          <w:color w:val="auto"/>
        </w:rPr>
        <w:t>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80" w:lineRule="exact"/>
        <w:rPr>
          <w:sz w:val="20"/>
          <w:szCs w:val="20"/>
          <w:color w:val="auto"/>
        </w:rPr>
      </w:pPr>
    </w:p>
    <w:p>
      <w:pPr>
        <w:ind w:right="120" w:firstLine="554"/>
        <w:spacing w:after="0" w:line="313" w:lineRule="auto"/>
        <w:rPr>
          <w:sz w:val="20"/>
          <w:szCs w:val="20"/>
          <w:color w:val="auto"/>
        </w:rPr>
      </w:pPr>
      <w:r>
        <w:rPr>
          <w:rFonts w:ascii="Arial" w:cs="Arial" w:eastAsia="Arial" w:hAnsi="Arial"/>
          <w:sz w:val="16"/>
          <w:szCs w:val="16"/>
          <w:color w:val="auto"/>
        </w:rPr>
        <w:t>There is no obligation for a sponsor to make its drug products available for expanded access; however, as required by the 21st Century Cures Act, or Cures Act, passed in 2016, if a sponsor has a policy regarding how it responds to expanded access requests, it must make that policy publicly available. Sponsors are required to make such policies publicly available upon the earlier of initiation of a Phase 2 or Phase 3 study; or 15 days after the investigational drug or biologic receives designation as a breakthrough therapy, fast-track product, or regenerative medicine advanced therapy.</w:t>
      </w:r>
    </w:p>
    <w:p>
      <w:pPr>
        <w:spacing w:after="0" w:line="39" w:lineRule="exact"/>
        <w:rPr>
          <w:sz w:val="20"/>
          <w:szCs w:val="20"/>
          <w:color w:val="auto"/>
        </w:rPr>
      </w:pPr>
    </w:p>
    <w:p>
      <w:pPr>
        <w:ind w:right="80" w:firstLine="554"/>
        <w:spacing w:after="0" w:line="296"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117" w:lineRule="exact"/>
        <w:rPr>
          <w:sz w:val="20"/>
          <w:szCs w:val="20"/>
          <w:color w:val="auto"/>
        </w:rPr>
      </w:pPr>
    </w:p>
    <w:p>
      <w:pPr>
        <w:ind w:right="40" w:firstLine="554"/>
        <w:spacing w:after="0" w:line="301"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they participate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49" w:lineRule="exact"/>
        <w:rPr>
          <w:sz w:val="20"/>
          <w:szCs w:val="20"/>
          <w:color w:val="auto"/>
        </w:rPr>
      </w:pPr>
    </w:p>
    <w:p>
      <w:pPr>
        <w:ind w:right="40" w:firstLine="554"/>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62" w:lineRule="exact"/>
        <w:rPr>
          <w:sz w:val="20"/>
          <w:szCs w:val="20"/>
          <w:color w:val="auto"/>
        </w:rPr>
      </w:pPr>
    </w:p>
    <w:p>
      <w:pPr>
        <w:ind w:right="480" w:firstLine="554"/>
        <w:spacing w:after="0" w:line="259"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in patients. During Phase 1 clinical trials, information about the product candidate’s pharmacokinetics and pharmacological effects may be obtained to permit the design of well-controlled and scientifically valid Phase 2 clinical trials.</w:t>
      </w:r>
    </w:p>
    <w:p>
      <w:pPr>
        <w:spacing w:after="0" w:line="79" w:lineRule="exact"/>
        <w:rPr>
          <w:sz w:val="20"/>
          <w:szCs w:val="20"/>
          <w:color w:val="auto"/>
        </w:rPr>
      </w:pPr>
    </w:p>
    <w:p>
      <w:pPr>
        <w:ind w:right="100" w:firstLine="554"/>
        <w:spacing w:after="0" w:line="259"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well-controlled and closely monitored.</w:t>
      </w:r>
    </w:p>
    <w:p>
      <w:pPr>
        <w:spacing w:after="0" w:line="79" w:lineRule="exact"/>
        <w:rPr>
          <w:sz w:val="20"/>
          <w:szCs w:val="20"/>
          <w:color w:val="auto"/>
        </w:rPr>
      </w:pPr>
    </w:p>
    <w:p>
      <w:pPr>
        <w:ind w:firstLine="554"/>
        <w:spacing w:after="0" w:line="275"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clinical trials are referred to as “pivotal” trials.</w:t>
      </w:r>
    </w:p>
    <w:p>
      <w:pPr>
        <w:spacing w:after="0" w:line="68" w:lineRule="exact"/>
        <w:rPr>
          <w:sz w:val="20"/>
          <w:szCs w:val="20"/>
          <w:color w:val="auto"/>
        </w:rPr>
      </w:pPr>
    </w:p>
    <w:p>
      <w:pPr>
        <w:ind w:right="60" w:firstLine="554"/>
        <w:spacing w:after="0" w:line="257" w:lineRule="auto"/>
        <w:rPr>
          <w:sz w:val="20"/>
          <w:szCs w:val="20"/>
          <w:color w:val="auto"/>
        </w:rPr>
      </w:pPr>
      <w:r>
        <w:rPr>
          <w:rFonts w:ascii="Arial" w:cs="Arial" w:eastAsia="Arial" w:hAnsi="Arial"/>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spacing w:after="0" w:line="80" w:lineRule="exact"/>
        <w:rPr>
          <w:sz w:val="20"/>
          <w:szCs w:val="20"/>
          <w:color w:val="auto"/>
        </w:rPr>
      </w:pPr>
    </w:p>
    <w:p>
      <w:pPr>
        <w:ind w:right="160" w:firstLine="554"/>
        <w:spacing w:after="0" w:line="257"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trials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FDA approval for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ind w:right="60" w:firstLine="554"/>
        <w:spacing w:after="0" w:line="255" w:lineRule="auto"/>
        <w:rPr>
          <w:sz w:val="20"/>
          <w:szCs w:val="20"/>
          <w:color w:val="auto"/>
        </w:rPr>
      </w:pPr>
      <w:r>
        <w:rPr>
          <w:rFonts w:ascii="Arial" w:cs="Arial" w:eastAsia="Arial" w:hAnsi="Arial"/>
          <w:sz w:val="18"/>
          <w:szCs w:val="18"/>
          <w:color w:val="auto"/>
        </w:rPr>
        <w:t xml:space="preserve">Progress reports detailing the results of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84" w:lineRule="exact"/>
        <w:rPr>
          <w:sz w:val="20"/>
          <w:szCs w:val="20"/>
          <w:color w:val="auto"/>
        </w:rPr>
      </w:pPr>
    </w:p>
    <w:p>
      <w:pPr>
        <w:ind w:right="40" w:firstLine="554"/>
        <w:spacing w:after="0" w:line="255" w:lineRule="auto"/>
        <w:rPr>
          <w:sz w:val="20"/>
          <w:szCs w:val="20"/>
          <w:color w:val="auto"/>
        </w:rPr>
      </w:pPr>
      <w:r>
        <w:rPr>
          <w:rFonts w:ascii="Arial" w:cs="Arial" w:eastAsia="Arial" w:hAnsi="Arial"/>
          <w:sz w:val="18"/>
          <w:szCs w:val="18"/>
          <w:color w:val="auto"/>
        </w:rPr>
        <w:t>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Both NIH and the FDA have recently signaled the government’s willingness to begin enforcing those requirements against non-compliant clinical trial sponsors. The failure to submit clinical trial information to clinicaltrials.gov, as required, is a prohibited act under the FDCA with violations subject to potential civil monetary penalties of up to $10,000 for each day the violation continues.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Pediatric Studies</w:t>
      </w:r>
    </w:p>
    <w:p>
      <w:pPr>
        <w:spacing w:after="0" w:line="117" w:lineRule="exact"/>
        <w:rPr>
          <w:sz w:val="20"/>
          <w:szCs w:val="20"/>
          <w:color w:val="auto"/>
        </w:rPr>
      </w:pPr>
    </w:p>
    <w:p>
      <w:pPr>
        <w:ind w:right="40" w:firstLine="554"/>
        <w:spacing w:after="0" w:line="291" w:lineRule="auto"/>
        <w:rPr>
          <w:sz w:val="20"/>
          <w:szCs w:val="20"/>
          <w:color w:val="auto"/>
        </w:rPr>
      </w:pPr>
      <w:r>
        <w:rPr>
          <w:rFonts w:ascii="Arial" w:cs="Arial" w:eastAsia="Arial" w:hAnsi="Arial"/>
          <w:sz w:val="16"/>
          <w:szCs w:val="16"/>
          <w:color w:val="auto"/>
        </w:rPr>
        <w:t>Under the Pediatric Research Equity Act of 2003,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agreed plan, which may include a request for deferral or waiver of PREA requirements, is a requirement for submission of an NDA. The FDA or the sponsor may request an amendment to the plan at any time.</w:t>
      </w:r>
    </w:p>
    <w:p>
      <w:pPr>
        <w:spacing w:after="0" w:line="58" w:lineRule="exact"/>
        <w:rPr>
          <w:sz w:val="20"/>
          <w:szCs w:val="20"/>
          <w:color w:val="auto"/>
        </w:rPr>
      </w:pPr>
    </w:p>
    <w:p>
      <w:pPr>
        <w:ind w:firstLine="554"/>
        <w:spacing w:after="0" w:line="279" w:lineRule="auto"/>
        <w:rPr>
          <w:sz w:val="20"/>
          <w:szCs w:val="20"/>
          <w:color w:val="auto"/>
        </w:rPr>
      </w:pPr>
      <w:r>
        <w:rPr>
          <w:rFonts w:ascii="Arial" w:cs="Arial" w:eastAsia="Arial" w:hAnsi="Arial"/>
          <w:sz w:val="17"/>
          <w:szCs w:val="17"/>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spacing w:after="0" w:line="63" w:lineRule="exact"/>
        <w:rPr>
          <w:sz w:val="20"/>
          <w:szCs w:val="20"/>
          <w:color w:val="auto"/>
        </w:rPr>
      </w:pPr>
    </w:p>
    <w:p>
      <w:pPr>
        <w:ind w:right="100" w:firstLine="554"/>
        <w:spacing w:after="0" w:line="293" w:lineRule="auto"/>
        <w:rPr>
          <w:sz w:val="20"/>
          <w:szCs w:val="20"/>
          <w:color w:val="auto"/>
        </w:rPr>
      </w:pPr>
      <w:r>
        <w:rPr>
          <w:rFonts w:ascii="Arial" w:cs="Arial" w:eastAsia="Arial" w:hAnsi="Arial"/>
          <w:sz w:val="16"/>
          <w:szCs w:val="16"/>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The law requires the FDA to send a PREA Non-Compliance letter to sponsors who have failed to submit their pediatric assessments required under PREA, have failed to seek or obtain a deferral or deferral extension. Unless otherwise required by regulation, the pediatric data requirements do not apply to products with orphan designation, although FDA has recently taken steps to limit what it considers abuse of this statutory exemption in PREA.</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Submission and Review of an NDA</w:t>
      </w:r>
    </w:p>
    <w:p>
      <w:pPr>
        <w:spacing w:after="0" w:line="117" w:lineRule="exact"/>
        <w:rPr>
          <w:sz w:val="20"/>
          <w:szCs w:val="20"/>
          <w:color w:val="auto"/>
        </w:rPr>
      </w:pPr>
    </w:p>
    <w:p>
      <w:pPr>
        <w:ind w:right="40" w:firstLine="554"/>
        <w:spacing w:after="0" w:line="254" w:lineRule="auto"/>
        <w:rPr>
          <w:sz w:val="20"/>
          <w:szCs w:val="20"/>
          <w:color w:val="auto"/>
        </w:rPr>
      </w:pPr>
      <w:r>
        <w:rPr>
          <w:rFonts w:ascii="Arial" w:cs="Arial" w:eastAsia="Arial" w:hAnsi="Arial"/>
          <w:sz w:val="18"/>
          <w:szCs w:val="18"/>
          <w:color w:val="auto"/>
        </w:rPr>
        <w:t>In order to obtain approval to market a drug product in the U.S., a marketing application must be submitted to the FDA that provides sufficient data establishing the safety and efficacy of the drug product for its intended indication. The application must include all relevant data available from pertinent preclinical and clinical trials, including negative or ambiguous results as well as positive findings, together with detailed information relating to the product candidate’s chemistry, manufacturing, controls and proposed labeling, among other things. Data can come from company-sponsored clinical trials intended to test the safety and effectiveness of the use of a product candidate,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87" w:lineRule="exact"/>
        <w:rPr>
          <w:sz w:val="20"/>
          <w:szCs w:val="20"/>
          <w:color w:val="auto"/>
        </w:rPr>
      </w:pPr>
    </w:p>
    <w:p>
      <w:pPr>
        <w:ind w:right="20" w:firstLine="554"/>
        <w:spacing w:after="0" w:line="275" w:lineRule="auto"/>
        <w:rPr>
          <w:sz w:val="20"/>
          <w:szCs w:val="20"/>
          <w:color w:val="auto"/>
        </w:rPr>
      </w:pPr>
      <w:r>
        <w:rPr>
          <w:rFonts w:ascii="Arial" w:cs="Arial" w:eastAsia="Arial" w:hAnsi="Arial"/>
          <w:sz w:val="17"/>
          <w:szCs w:val="17"/>
          <w:color w:val="auto"/>
        </w:rPr>
        <w:t>The NDA is a vehicle through which sponsors formally propose that the FDA approve a new product for marketing and sale in the U.S. for one or more indications. Every new drug product candidate must be the subject of an approved NDA before it may be commercialized in the U.S. Under federal law, the submission of most NDAs is subject to an application user fee, which for federal fiscal year 2021 is $3,117,218 for an application requiring clinical data. The sponsor of an approved NDA is also subject to an annual program fee, which for federal fiscal year 2022 is $369,413. Certain exceptions and waivers are available for some of these fees, such as a waiver for certain small businesses.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ind w:right="40" w:firstLine="554"/>
        <w:spacing w:after="0" w:line="257" w:lineRule="auto"/>
        <w:rPr>
          <w:sz w:val="20"/>
          <w:szCs w:val="20"/>
          <w:color w:val="auto"/>
        </w:rPr>
      </w:pPr>
      <w:r>
        <w:rPr>
          <w:rFonts w:ascii="Arial" w:cs="Arial" w:eastAsia="Arial" w:hAnsi="Arial"/>
          <w:sz w:val="18"/>
          <w:szCs w:val="18"/>
          <w:color w:val="auto"/>
        </w:rPr>
        <w:t>Following submission of an NDA, the FDA conducts a preliminary review of the application within 60 days of receipt and must inform the sponsor at that time or before whether an application is sufficiently complete to permit substantive review. In the event that FDA determines that an application does not satisfy this standard, it will issue a Refuse to File, or RTF, determination to the sponsor. The FDA may request additional information rather than accept the application for filing. In this event, the application must be resubmitted with the requested additional information. The resubmitted application is also subject to review before the FDA accepts it for filing.</w:t>
      </w:r>
    </w:p>
    <w:p>
      <w:pPr>
        <w:spacing w:after="0" w:line="80" w:lineRule="exact"/>
        <w:rPr>
          <w:sz w:val="20"/>
          <w:szCs w:val="20"/>
          <w:color w:val="auto"/>
        </w:rPr>
      </w:pPr>
    </w:p>
    <w:p>
      <w:pPr>
        <w:ind w:right="100" w:firstLine="554"/>
        <w:spacing w:after="0" w:line="255" w:lineRule="auto"/>
        <w:rPr>
          <w:sz w:val="20"/>
          <w:szCs w:val="20"/>
          <w:color w:val="auto"/>
        </w:rPr>
      </w:pPr>
      <w:r>
        <w:rPr>
          <w:rFonts w:ascii="Arial" w:cs="Arial" w:eastAsia="Arial" w:hAnsi="Arial"/>
          <w:sz w:val="18"/>
          <w:szCs w:val="18"/>
          <w:color w:val="auto"/>
        </w:rPr>
        <w:t>Once the submission is accepted for filing, the FDA begins an in-depth substantive review. The FDA reviews the application to determine, among other things, whether the proposed product is safe and effective for its intended use, whether it has an acceptable purity profile and whether the product is being manufactured in accordance with cGMP. The FDA has agreed to specified performance goals in the review process of NDAs. Under that agreement, 90% of applications seeking approval of New Molecular Entities, or NMEs, are meant to be reviewed within 10 months from the date on which the FDA accepts the application for filing, and 90% of applications for NMEs that have been designated for “priority review” are meant to be reviewed within six months of the filing date.</w:t>
      </w:r>
    </w:p>
    <w:p>
      <w:pPr>
        <w:spacing w:after="0" w:line="84" w:lineRule="exact"/>
        <w:rPr>
          <w:sz w:val="20"/>
          <w:szCs w:val="20"/>
          <w:color w:val="auto"/>
        </w:rPr>
      </w:pPr>
    </w:p>
    <w:p>
      <w:pPr>
        <w:ind w:right="60" w:firstLine="554"/>
        <w:spacing w:after="0" w:line="255" w:lineRule="auto"/>
        <w:rPr>
          <w:sz w:val="20"/>
          <w:szCs w:val="20"/>
          <w:color w:val="auto"/>
        </w:rPr>
      </w:pPr>
      <w:r>
        <w:rPr>
          <w:rFonts w:ascii="Arial" w:cs="Arial" w:eastAsia="Arial" w:hAnsi="Arial"/>
          <w:sz w:val="18"/>
          <w:szCs w:val="18"/>
          <w:color w:val="auto"/>
        </w:rPr>
        <w:t>In connection with its review of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and the integrity of the data submitted in support of the application.</w:t>
      </w:r>
    </w:p>
    <w:p>
      <w:pPr>
        <w:spacing w:after="0" w:line="84" w:lineRule="exact"/>
        <w:rPr>
          <w:sz w:val="20"/>
          <w:szCs w:val="20"/>
          <w:color w:val="auto"/>
        </w:rPr>
      </w:pPr>
    </w:p>
    <w:p>
      <w:pPr>
        <w:ind w:firstLine="554"/>
        <w:spacing w:after="0" w:line="259" w:lineRule="auto"/>
        <w:rPr>
          <w:sz w:val="20"/>
          <w:szCs w:val="20"/>
          <w:color w:val="auto"/>
        </w:rPr>
      </w:pPr>
      <w:r>
        <w:rPr>
          <w:rFonts w:ascii="Arial" w:cs="Arial" w:eastAsia="Arial" w:hAnsi="Arial"/>
          <w:sz w:val="18"/>
          <w:szCs w:val="18"/>
          <w:color w:val="auto"/>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an NME.</w:t>
      </w:r>
    </w:p>
    <w:p>
      <w:pPr>
        <w:spacing w:after="0" w:line="79" w:lineRule="exact"/>
        <w:rPr>
          <w:sz w:val="20"/>
          <w:szCs w:val="20"/>
          <w:color w:val="auto"/>
        </w:rPr>
      </w:pPr>
    </w:p>
    <w:p>
      <w:pPr>
        <w:ind w:right="440" w:firstLine="554"/>
        <w:spacing w:after="0" w:line="259" w:lineRule="auto"/>
        <w:rPr>
          <w:sz w:val="20"/>
          <w:szCs w:val="20"/>
          <w:color w:val="auto"/>
        </w:rPr>
      </w:pPr>
      <w:r>
        <w:rPr>
          <w:rFonts w:ascii="Arial" w:cs="Arial" w:eastAsia="Arial" w:hAnsi="Arial"/>
          <w:sz w:val="18"/>
          <w:szCs w:val="18"/>
          <w:color w:val="auto"/>
        </w:rPr>
        <w:t>The FDA may also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Expedited Review Programs</w:t>
      </w:r>
    </w:p>
    <w:p>
      <w:pPr>
        <w:spacing w:after="0" w:line="117" w:lineRule="exact"/>
        <w:rPr>
          <w:sz w:val="20"/>
          <w:szCs w:val="20"/>
          <w:color w:val="auto"/>
        </w:rPr>
      </w:pPr>
    </w:p>
    <w:p>
      <w:pPr>
        <w:ind w:right="60" w:firstLine="554"/>
        <w:spacing w:after="0" w:line="273" w:lineRule="auto"/>
        <w:rPr>
          <w:sz w:val="20"/>
          <w:szCs w:val="20"/>
          <w:color w:val="auto"/>
        </w:rPr>
      </w:pPr>
      <w:r>
        <w:rPr>
          <w:rFonts w:ascii="Arial" w:cs="Arial" w:eastAsia="Arial" w:hAnsi="Arial"/>
          <w:sz w:val="17"/>
          <w:szCs w:val="17"/>
          <w:color w:val="auto"/>
        </w:rPr>
        <w:t>The FDA is authorized to expedite the review of NDAs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70" w:lineRule="exact"/>
        <w:rPr>
          <w:sz w:val="20"/>
          <w:szCs w:val="20"/>
          <w:color w:val="auto"/>
        </w:rPr>
      </w:pPr>
    </w:p>
    <w:p>
      <w:pPr>
        <w:ind w:right="700" w:firstLine="554"/>
        <w:spacing w:after="0" w:line="342" w:lineRule="auto"/>
        <w:rPr>
          <w:sz w:val="20"/>
          <w:szCs w:val="20"/>
          <w:color w:val="auto"/>
        </w:rPr>
      </w:pPr>
      <w:r>
        <w:rPr>
          <w:rFonts w:ascii="Arial" w:cs="Arial" w:eastAsia="Arial" w:hAnsi="Arial"/>
          <w:sz w:val="16"/>
          <w:szCs w:val="16"/>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16" w:lineRule="exact"/>
        <w:rPr>
          <w:sz w:val="20"/>
          <w:szCs w:val="20"/>
          <w:color w:val="auto"/>
        </w:rPr>
      </w:pPr>
    </w:p>
    <w:p>
      <w:pPr>
        <w:ind w:right="160" w:firstLine="554"/>
        <w:spacing w:after="0" w:line="257" w:lineRule="auto"/>
        <w:rPr>
          <w:sz w:val="20"/>
          <w:szCs w:val="20"/>
          <w:color w:val="auto"/>
        </w:rPr>
      </w:pPr>
      <w:r>
        <w:rPr>
          <w:rFonts w:ascii="Arial" w:cs="Arial" w:eastAsia="Arial" w:hAnsi="Arial"/>
          <w:sz w:val="18"/>
          <w:szCs w:val="18"/>
          <w:i w:val="1"/>
          <w:iCs w:val="1"/>
          <w:color w:val="auto"/>
        </w:rPr>
        <w:t xml:space="preserve">Breakthrough Therapy designation. </w:t>
      </w:r>
      <w:r>
        <w:rPr>
          <w:rFonts w:ascii="Arial" w:cs="Arial" w:eastAsia="Arial" w:hAnsi="Arial"/>
          <w:sz w:val="18"/>
          <w:szCs w:val="18"/>
          <w:color w:val="auto"/>
        </w:rPr>
        <w:t>To qualify for the Breakthrough Therapy program, product candidates must be intended to treat a serious or</w:t>
      </w:r>
      <w:r>
        <w:rPr>
          <w:rFonts w:ascii="Arial" w:cs="Arial" w:eastAsia="Arial" w:hAnsi="Arial"/>
          <w:sz w:val="18"/>
          <w:szCs w:val="18"/>
          <w:i w:val="1"/>
          <w:iCs w:val="1"/>
          <w:color w:val="auto"/>
        </w:rPr>
        <w:t xml:space="preserve"> </w:t>
      </w:r>
      <w:r>
        <w:rPr>
          <w:rFonts w:ascii="Arial" w:cs="Arial" w:eastAsia="Arial" w:hAnsi="Arial"/>
          <w:sz w:val="18"/>
          <w:szCs w:val="18"/>
          <w:color w:val="auto"/>
        </w:rPr>
        <w:t>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80" w:lineRule="exact"/>
        <w:rPr>
          <w:sz w:val="20"/>
          <w:szCs w:val="20"/>
          <w:color w:val="auto"/>
        </w:rPr>
      </w:pPr>
    </w:p>
    <w:p>
      <w:pPr>
        <w:ind w:right="220" w:firstLine="554"/>
        <w:spacing w:after="0" w:line="263" w:lineRule="auto"/>
        <w:rPr>
          <w:sz w:val="20"/>
          <w:szCs w:val="20"/>
          <w:color w:val="auto"/>
        </w:rPr>
      </w:pPr>
      <w:r>
        <w:rPr>
          <w:rFonts w:ascii="Arial" w:cs="Arial" w:eastAsia="Arial" w:hAnsi="Arial"/>
          <w:sz w:val="18"/>
          <w:szCs w:val="18"/>
          <w:i w:val="1"/>
          <w:iCs w:val="1"/>
          <w:color w:val="auto"/>
        </w:rPr>
        <w:t xml:space="preserve">Priority Review. </w:t>
      </w:r>
      <w:r>
        <w:rPr>
          <w:rFonts w:ascii="Arial" w:cs="Arial" w:eastAsia="Arial" w:hAnsi="Arial"/>
          <w:sz w:val="18"/>
          <w:szCs w:val="18"/>
          <w:color w:val="auto"/>
        </w:rPr>
        <w:t>A product candidate is eligible for Priority Review if it treats a serious condition and, if approved, it would be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76" w:lineRule="exact"/>
        <w:rPr>
          <w:sz w:val="20"/>
          <w:szCs w:val="20"/>
          <w:color w:val="auto"/>
        </w:rPr>
      </w:pPr>
    </w:p>
    <w:p>
      <w:pPr>
        <w:ind w:right="260" w:firstLine="554"/>
        <w:spacing w:after="0" w:line="277" w:lineRule="auto"/>
        <w:rPr>
          <w:sz w:val="20"/>
          <w:szCs w:val="20"/>
          <w:color w:val="auto"/>
        </w:rPr>
      </w:pPr>
      <w:r>
        <w:rPr>
          <w:rFonts w:ascii="Arial" w:cs="Arial" w:eastAsia="Arial" w:hAnsi="Arial"/>
          <w:sz w:val="18"/>
          <w:szCs w:val="18"/>
          <w:i w:val="1"/>
          <w:iCs w:val="1"/>
          <w:color w:val="auto"/>
        </w:rPr>
        <w:t xml:space="preserve">Accelerated approval. </w:t>
      </w:r>
      <w:r>
        <w:rPr>
          <w:rFonts w:ascii="Arial" w:cs="Arial" w:eastAsia="Arial" w:hAnsi="Arial"/>
          <w:sz w:val="18"/>
          <w:szCs w:val="18"/>
          <w:color w:val="auto"/>
        </w:rPr>
        <w:t>Drug or biologic products studied for their safety and effectiveness in treating serious or life-threatening illnesses and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meaningful therapeutic benefit over existing treatments may receive accelerated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line="255" w:lineRule="auto"/>
        <w:rPr>
          <w:sz w:val="20"/>
          <w:szCs w:val="20"/>
          <w:color w:val="auto"/>
        </w:rPr>
      </w:pPr>
      <w:r>
        <w:rPr>
          <w:rFonts w:ascii="Arial" w:cs="Arial" w:eastAsia="Arial" w:hAnsi="Arial"/>
          <w:sz w:val="18"/>
          <w:szCs w:val="18"/>
          <w:color w:val="auto"/>
        </w:rPr>
        <w:t>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84" w:lineRule="exact"/>
        <w:rPr>
          <w:sz w:val="20"/>
          <w:szCs w:val="20"/>
          <w:color w:val="auto"/>
        </w:rPr>
      </w:pPr>
    </w:p>
    <w:p>
      <w:pPr>
        <w:ind w:right="40" w:firstLine="554"/>
        <w:spacing w:after="0" w:line="273" w:lineRule="auto"/>
        <w:rPr>
          <w:sz w:val="20"/>
          <w:szCs w:val="20"/>
          <w:color w:val="auto"/>
        </w:rPr>
      </w:pPr>
      <w:r>
        <w:rPr>
          <w:rFonts w:ascii="Arial" w:cs="Arial" w:eastAsia="Arial" w:hAnsi="Arial"/>
          <w:sz w:val="17"/>
          <w:szCs w:val="17"/>
          <w:i w:val="1"/>
          <w:iCs w:val="1"/>
          <w:color w:val="auto"/>
        </w:rPr>
        <w:t xml:space="preserve">Regenerative advanced therapy. </w:t>
      </w:r>
      <w:r>
        <w:rPr>
          <w:rFonts w:ascii="Arial" w:cs="Arial" w:eastAsia="Arial" w:hAnsi="Arial"/>
          <w:sz w:val="17"/>
          <w:szCs w:val="17"/>
          <w:color w:val="auto"/>
        </w:rPr>
        <w:t>With passage of the 21st Century Cures Act, or the Cures Act, in December 2016, Congress authorized the FDA to</w:t>
      </w:r>
      <w:r>
        <w:rPr>
          <w:rFonts w:ascii="Arial" w:cs="Arial" w:eastAsia="Arial" w:hAnsi="Arial"/>
          <w:sz w:val="17"/>
          <w:szCs w:val="17"/>
          <w:i w:val="1"/>
          <w:iCs w:val="1"/>
          <w:color w:val="auto"/>
        </w:rPr>
        <w:t xml:space="preserve"> </w:t>
      </w:r>
      <w:r>
        <w:rPr>
          <w:rFonts w:ascii="Arial" w:cs="Arial" w:eastAsia="Arial" w:hAnsi="Arial"/>
          <w:sz w:val="17"/>
          <w:szCs w:val="17"/>
          <w:color w:val="auto"/>
        </w:rPr>
        <w:t>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70" w:lineRule="exact"/>
        <w:rPr>
          <w:sz w:val="20"/>
          <w:szCs w:val="20"/>
          <w:color w:val="auto"/>
        </w:rPr>
      </w:pPr>
    </w:p>
    <w:p>
      <w:pPr>
        <w:ind w:right="240" w:firstLine="554"/>
        <w:spacing w:after="0" w:line="277" w:lineRule="auto"/>
        <w:rPr>
          <w:sz w:val="20"/>
          <w:szCs w:val="20"/>
          <w:color w:val="auto"/>
        </w:rPr>
      </w:pPr>
      <w:r>
        <w:rPr>
          <w:rFonts w:ascii="Arial" w:cs="Arial" w:eastAsia="Arial" w:hAnsi="Arial"/>
          <w:sz w:val="18"/>
          <w:szCs w:val="18"/>
          <w:color w:val="auto"/>
        </w:rPr>
        <w:t>None of these expedited programs change the standards for approval but they may help expedite the development or approval process of product candidates.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firstLine="554"/>
        <w:spacing w:after="0" w:line="254" w:lineRule="auto"/>
        <w:rPr>
          <w:sz w:val="20"/>
          <w:szCs w:val="20"/>
          <w:color w:val="auto"/>
        </w:rPr>
      </w:pPr>
      <w:r>
        <w:rPr>
          <w:rFonts w:ascii="Arial" w:cs="Arial" w:eastAsia="Arial" w:hAnsi="Arial"/>
          <w:sz w:val="18"/>
          <w:szCs w:val="18"/>
          <w:color w:val="auto"/>
        </w:rPr>
        <w:t>On the basis of the FDA’s evaluation of an NDA and accompanying information, including the results of the inspection of the manufacturing facilities, the FDA may issue an approval letter or a complete response letter, or CRL. A CRL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If a CRL is issued, the sponsor will have one year to respond to the deficiencies identified by the FDA, at which time the FDA can deem the application withdrawn or, in its discretion, grant the sponsor an additional six month extension to respond.</w:t>
      </w:r>
    </w:p>
    <w:p>
      <w:pPr>
        <w:spacing w:after="0" w:line="84" w:lineRule="exact"/>
        <w:rPr>
          <w:sz w:val="20"/>
          <w:szCs w:val="20"/>
          <w:color w:val="auto"/>
        </w:rPr>
      </w:pPr>
    </w:p>
    <w:p>
      <w:pPr>
        <w:ind w:firstLine="554"/>
        <w:spacing w:after="0" w:line="253" w:lineRule="auto"/>
        <w:rPr>
          <w:sz w:val="20"/>
          <w:szCs w:val="20"/>
          <w:color w:val="auto"/>
        </w:rPr>
      </w:pPr>
      <w:r>
        <w:rPr>
          <w:rFonts w:ascii="Arial" w:cs="Arial" w:eastAsia="Arial" w:hAnsi="Arial"/>
          <w:sz w:val="18"/>
          <w:szCs w:val="18"/>
          <w:color w:val="auto"/>
        </w:rPr>
        <w:t>An approval letter, on the other hand, authorizes commercial marketing of the product with specific prescribing information for specific conditions. The FDA may limit the approved indications for use of the product. The agency may also require testing and surveillance programs to monitor the product after the initiation of commercialization, or impose other conditions, including distribution restrictions or other risk management mechanisms, such as REMS, to help ensure that the benefits of the product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right="20" w:firstLine="554"/>
        <w:spacing w:after="0" w:line="253" w:lineRule="auto"/>
        <w:rPr>
          <w:sz w:val="20"/>
          <w:szCs w:val="20"/>
          <w:color w:val="auto"/>
        </w:rPr>
      </w:pPr>
      <w:r>
        <w:rPr>
          <w:rFonts w:ascii="Arial" w:cs="Arial" w:eastAsia="Arial" w:hAnsi="Arial"/>
          <w:sz w:val="18"/>
          <w:szCs w:val="18"/>
          <w:color w:val="auto"/>
        </w:rPr>
        <w:t>If regulatory approval for marketing of a product or a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88" w:lineRule="exact"/>
        <w:rPr>
          <w:sz w:val="20"/>
          <w:szCs w:val="20"/>
          <w:color w:val="auto"/>
        </w:rPr>
      </w:pPr>
    </w:p>
    <w:p>
      <w:pPr>
        <w:jc w:val="both"/>
        <w:ind w:right="220" w:firstLine="554"/>
        <w:spacing w:after="0" w:line="263" w:lineRule="auto"/>
        <w:rPr>
          <w:sz w:val="20"/>
          <w:szCs w:val="20"/>
          <w:color w:val="auto"/>
        </w:rPr>
      </w:pPr>
      <w:r>
        <w:rPr>
          <w:rFonts w:ascii="Arial" w:cs="Arial" w:eastAsia="Arial" w:hAnsi="Arial"/>
          <w:sz w:val="18"/>
          <w:szCs w:val="18"/>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0" w:name="page31"/>
    <w:bookmarkEnd w:id="30"/>
    <w:p>
      <w:pPr>
        <w:ind w:right="120"/>
        <w:spacing w:after="0" w:line="263" w:lineRule="auto"/>
        <w:rPr>
          <w:sz w:val="20"/>
          <w:szCs w:val="20"/>
          <w:color w:val="auto"/>
        </w:rPr>
      </w:pPr>
      <w:r>
        <w:rPr>
          <w:rFonts w:ascii="Arial" w:cs="Arial" w:eastAsia="Arial" w:hAnsi="Arial"/>
          <w:sz w:val="18"/>
          <w:szCs w:val="18"/>
          <w:color w:val="auto"/>
        </w:rPr>
        <w:t>manufacture of the lot and the results of all of the manufacturer’s tests performed on the lot, to the FDA. The FDA may perform certain confirmatory tests on lots of some products before releasing the lots for distribution. Finally, the FDA will conduct laboratory research related to the safety, purity, potency and effectiveness of pharmaceutical products.</w:t>
      </w:r>
    </w:p>
    <w:p>
      <w:pPr>
        <w:spacing w:after="0" w:line="76" w:lineRule="exact"/>
        <w:rPr>
          <w:sz w:val="20"/>
          <w:szCs w:val="20"/>
          <w:color w:val="auto"/>
        </w:rPr>
      </w:pPr>
    </w:p>
    <w:p>
      <w:pPr>
        <w:ind w:right="120" w:firstLine="554"/>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80" w:lineRule="exact"/>
        <w:rPr>
          <w:sz w:val="20"/>
          <w:szCs w:val="20"/>
          <w:color w:val="auto"/>
        </w:rPr>
      </w:pPr>
    </w:p>
    <w:p>
      <w:pPr>
        <w:ind w:left="960" w:hanging="399"/>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55" w:lineRule="exact"/>
        <w:rPr>
          <w:rFonts w:ascii="Arial" w:cs="Arial" w:eastAsia="Arial" w:hAnsi="Arial"/>
          <w:sz w:val="17"/>
          <w:szCs w:val="17"/>
          <w:color w:val="auto"/>
        </w:rPr>
      </w:pPr>
    </w:p>
    <w:p>
      <w:pPr>
        <w:ind w:left="960" w:hanging="399"/>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44" w:lineRule="exact"/>
        <w:rPr>
          <w:rFonts w:ascii="Arial" w:cs="Arial" w:eastAsia="Arial" w:hAnsi="Arial"/>
          <w:sz w:val="18"/>
          <w:szCs w:val="18"/>
          <w:color w:val="auto"/>
        </w:rPr>
      </w:pPr>
    </w:p>
    <w:p>
      <w:pPr>
        <w:ind w:left="960" w:right="200" w:hanging="399"/>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40" w:firstLine="554"/>
        <w:spacing w:after="0" w:line="273"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September 2021, the FDA published final regulations which describe the types of evidence that the agency will consider in determining the intended use of a drug product.</w:t>
      </w:r>
    </w:p>
    <w:p>
      <w:pPr>
        <w:spacing w:after="0" w:line="70" w:lineRule="exact"/>
        <w:rPr>
          <w:sz w:val="20"/>
          <w:szCs w:val="20"/>
          <w:color w:val="auto"/>
        </w:rPr>
      </w:pPr>
    </w:p>
    <w:p>
      <w:pPr>
        <w:ind w:right="20" w:firstLine="554"/>
        <w:spacing w:after="0" w:line="273"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70" w:lineRule="exact"/>
        <w:rPr>
          <w:sz w:val="20"/>
          <w:szCs w:val="20"/>
          <w:color w:val="auto"/>
        </w:rPr>
      </w:pPr>
    </w:p>
    <w:p>
      <w:pPr>
        <w:ind w:right="20" w:firstLine="554"/>
        <w:spacing w:after="0" w:line="25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Section 505(b)(2) NDAs</w:t>
      </w:r>
    </w:p>
    <w:p>
      <w:pPr>
        <w:spacing w:after="0" w:line="117" w:lineRule="exact"/>
        <w:rPr>
          <w:sz w:val="20"/>
          <w:szCs w:val="20"/>
          <w:color w:val="auto"/>
        </w:rPr>
      </w:pPr>
    </w:p>
    <w:p>
      <w:pPr>
        <w:ind w:firstLine="554"/>
        <w:spacing w:after="0" w:line="254" w:lineRule="auto"/>
        <w:rPr>
          <w:sz w:val="20"/>
          <w:szCs w:val="20"/>
          <w:color w:val="auto"/>
        </w:rPr>
      </w:pPr>
      <w:r>
        <w:rPr>
          <w:rFonts w:ascii="Arial" w:cs="Arial" w:eastAsia="Arial" w:hAnsi="Arial"/>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that were previously conducted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87" w:lineRule="exact"/>
        <w:rPr>
          <w:sz w:val="20"/>
          <w:szCs w:val="20"/>
          <w:color w:val="auto"/>
        </w:rPr>
      </w:pPr>
    </w:p>
    <w:p>
      <w:pPr>
        <w:ind w:right="300" w:firstLine="554"/>
        <w:spacing w:after="0" w:line="296"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or for the sponsor. NDAs filed under Section 505(b)(2) may provide an alternate and potentially more expeditious pathway to FDA approval for new or improved formulations or new uses of previously approved products. If the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ind w:right="320"/>
        <w:spacing w:after="0" w:line="277" w:lineRule="auto"/>
        <w:rPr>
          <w:sz w:val="20"/>
          <w:szCs w:val="20"/>
          <w:color w:val="auto"/>
        </w:rPr>
      </w:pPr>
      <w:r>
        <w:rPr>
          <w:rFonts w:ascii="Arial" w:cs="Arial" w:eastAsia="Arial" w:hAnsi="Arial"/>
          <w:sz w:val="18"/>
          <w:szCs w:val="18"/>
          <w:color w:val="auto"/>
        </w:rPr>
        <w:t>then approve the new drug candidate for all or some of the label indications for which the referenced product has been approved, as well as for any new indication sought by the Section 505(b)(2) sponsor.</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180" w:firstLine="554"/>
        <w:spacing w:after="0" w:line="342" w:lineRule="auto"/>
        <w:rPr>
          <w:sz w:val="20"/>
          <w:szCs w:val="20"/>
          <w:color w:val="auto"/>
        </w:rPr>
      </w:pPr>
      <w:r>
        <w:rPr>
          <w:rFonts w:ascii="Arial" w:cs="Arial" w:eastAsia="Arial" w:hAnsi="Arial"/>
          <w:sz w:val="16"/>
          <w:szCs w:val="16"/>
          <w:color w:val="auto"/>
        </w:rPr>
        <w:t>In 1984, with passage of the Hatch-Waxman Act, Congress established an abbreviated regulatory scheme authorizing the FDA to approve generic drugs that are shown to contain the same active ingredients as, and to be bioequivalent to, drugs previously approved by the FDA pursuant to NDAs.</w:t>
      </w:r>
    </w:p>
    <w:p>
      <w:pPr>
        <w:spacing w:after="0" w:line="16"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In order for an ANDA to be approved, the FDA must find that the generic version is identical to the reference listed drug, or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w:t>
      </w:r>
    </w:p>
    <w:p>
      <w:pPr>
        <w:spacing w:after="0" w:line="87" w:lineRule="exact"/>
        <w:rPr>
          <w:sz w:val="20"/>
          <w:szCs w:val="20"/>
          <w:color w:val="auto"/>
        </w:rPr>
      </w:pPr>
    </w:p>
    <w:p>
      <w:pPr>
        <w:ind w:right="60" w:firstLine="554"/>
        <w:spacing w:after="0" w:line="272" w:lineRule="auto"/>
        <w:rPr>
          <w:sz w:val="20"/>
          <w:szCs w:val="20"/>
          <w:color w:val="auto"/>
        </w:rPr>
      </w:pPr>
      <w:r>
        <w:rPr>
          <w:rFonts w:ascii="Arial" w:cs="Arial" w:eastAsia="Arial" w:hAnsi="Arial"/>
          <w:sz w:val="17"/>
          <w:szCs w:val="17"/>
          <w:color w:val="auto"/>
        </w:rPr>
        <w:t>Under the Hatch-Waxman Act, the FDA may not approve an ANDA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This interpretation of the FDCA by the FDA was confirmed with enactment of the Ensuring Innovation Act in April 2021.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sponsor may submit its application four years following the original product approval.</w:t>
      </w:r>
    </w:p>
    <w:p>
      <w:pPr>
        <w:spacing w:after="0" w:line="69" w:lineRule="exact"/>
        <w:rPr>
          <w:sz w:val="20"/>
          <w:szCs w:val="20"/>
          <w:color w:val="auto"/>
        </w:rPr>
      </w:pPr>
    </w:p>
    <w:p>
      <w:pPr>
        <w:ind w:firstLine="554"/>
        <w:spacing w:after="0" w:line="308" w:lineRule="auto"/>
        <w:rPr>
          <w:sz w:val="20"/>
          <w:szCs w:val="20"/>
          <w:color w:val="auto"/>
        </w:rPr>
      </w:pPr>
      <w:r>
        <w:rPr>
          <w:rFonts w:ascii="Arial" w:cs="Arial" w:eastAsia="Arial" w:hAnsi="Arial"/>
          <w:sz w:val="17"/>
          <w:szCs w:val="17"/>
          <w:color w:val="auto"/>
        </w:rPr>
        <w:t>The FDCA also provides for a period of three years of exclusivity if the NDA includes reports of one or more new clinical investigations, other than bioavailability or bioequivalence studies, that were conducted by or for the sponsor and are essential to the approval of the application.</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Hatch-Waxman Act Patent Certification and the 30-Month Stay</w:t>
      </w:r>
    </w:p>
    <w:p>
      <w:pPr>
        <w:spacing w:after="0" w:line="117" w:lineRule="exact"/>
        <w:rPr>
          <w:sz w:val="20"/>
          <w:szCs w:val="20"/>
          <w:color w:val="auto"/>
        </w:rPr>
      </w:pPr>
    </w:p>
    <w:p>
      <w:pPr>
        <w:ind w:right="20" w:firstLine="554"/>
        <w:spacing w:after="0" w:line="272"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sponsor’s product or an approved method of using the product. Each of the patents listed by the NDA sponsor is published in the Orange Book. The FDA’s regulations governing patient listings were largely codified into law with enactment of the Orange Book Modernization Act in January 2021. 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 certify to the FDA concerning any patents listed for the approved product in the Orange Book to the same extent that an ANDA sponsor would.</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Specifically, the sponsor must certify with respect to each patent that:</w:t>
      </w:r>
    </w:p>
    <w:p>
      <w:pPr>
        <w:spacing w:after="0" w:line="117" w:lineRule="exact"/>
        <w:rPr>
          <w:sz w:val="20"/>
          <w:szCs w:val="20"/>
          <w:color w:val="auto"/>
        </w:rPr>
      </w:pPr>
    </w:p>
    <w:p>
      <w:pPr>
        <w:ind w:left="960" w:hanging="39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listed patent is invalid, is unenforceable or will not be infringed by the new product.</w:t>
      </w:r>
    </w:p>
    <w:p>
      <w:pPr>
        <w:spacing w:after="0" w:line="144" w:lineRule="exact"/>
        <w:rPr>
          <w:sz w:val="20"/>
          <w:szCs w:val="20"/>
          <w:color w:val="auto"/>
        </w:rPr>
      </w:pPr>
    </w:p>
    <w:p>
      <w:pPr>
        <w:ind w:right="60" w:firstLine="554"/>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application will not be approved until all of the listed patents claiming the referenced product have expired (other than method of use patents involving indications for which the sponsor is not seeking approval).</w:t>
      </w:r>
    </w:p>
    <w:p>
      <w:pPr>
        <w:spacing w:after="0" w:line="79" w:lineRule="exact"/>
        <w:rPr>
          <w:sz w:val="20"/>
          <w:szCs w:val="20"/>
          <w:color w:val="auto"/>
        </w:rPr>
      </w:pPr>
    </w:p>
    <w:p>
      <w:pPr>
        <w:ind w:right="20" w:firstLine="554"/>
        <w:spacing w:after="0" w:line="259" w:lineRule="auto"/>
        <w:rPr>
          <w:sz w:val="20"/>
          <w:szCs w:val="20"/>
          <w:color w:val="auto"/>
        </w:rPr>
      </w:pPr>
      <w:r>
        <w:rPr>
          <w:rFonts w:ascii="Arial" w:cs="Arial" w:eastAsia="Arial" w:hAnsi="Arial"/>
          <w:sz w:val="18"/>
          <w:szCs w:val="18"/>
          <w:color w:val="auto"/>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ind w:right="320"/>
        <w:spacing w:after="0" w:line="277" w:lineRule="auto"/>
        <w:rPr>
          <w:sz w:val="20"/>
          <w:szCs w:val="20"/>
          <w:color w:val="auto"/>
        </w:rPr>
      </w:pPr>
      <w:r>
        <w:rPr>
          <w:rFonts w:ascii="Arial" w:cs="Arial" w:eastAsia="Arial" w:hAnsi="Arial"/>
          <w:sz w:val="18"/>
          <w:szCs w:val="18"/>
          <w:color w:val="auto"/>
        </w:rPr>
        <w:t>automatically prevents the FDA from approving the ANDA until the earliest of 30 months after the receipt of the Paragraph IV notice, expiration of the patent and a decision in the infringement case that is favorable to the ANDA sponsor.</w:t>
      </w:r>
    </w:p>
    <w:p>
      <w:pPr>
        <w:spacing w:after="0" w:line="62"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earliest of 30 months, settlement of the lawsuit and a decision in the infringement case that is favorable to the Section 505(b)(2) sponsor.</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Pediatric Exclusivity</w:t>
      </w:r>
    </w:p>
    <w:p>
      <w:pPr>
        <w:spacing w:after="0" w:line="117" w:lineRule="exact"/>
        <w:rPr>
          <w:sz w:val="20"/>
          <w:szCs w:val="20"/>
          <w:color w:val="auto"/>
        </w:rPr>
      </w:pPr>
    </w:p>
    <w:p>
      <w:pPr>
        <w:ind w:right="80" w:firstLine="554"/>
        <w:spacing w:after="0" w:line="272" w:lineRule="auto"/>
        <w:rPr>
          <w:sz w:val="20"/>
          <w:szCs w:val="20"/>
          <w:color w:val="auto"/>
        </w:rPr>
      </w:pPr>
      <w:r>
        <w:rPr>
          <w:rFonts w:ascii="Arial" w:cs="Arial" w:eastAsia="Arial" w:hAnsi="Arial"/>
          <w:sz w:val="17"/>
          <w:szCs w:val="17"/>
          <w:color w:val="auto"/>
        </w:rPr>
        <w:t>Pediatric exclusivity is a type of non-patent marketing exclusivity in the U.S. and, if granted, provides for the attachment of an additional six months of regulatory exclusivity to the term of any existing regulatory patent or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a similar product.</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60" w:firstLine="554"/>
        <w:spacing w:after="0" w:line="254" w:lineRule="auto"/>
        <w:rPr>
          <w:sz w:val="20"/>
          <w:szCs w:val="20"/>
          <w:color w:val="auto"/>
        </w:rPr>
      </w:pPr>
      <w:r>
        <w:rPr>
          <w:rFonts w:ascii="Arial" w:cs="Arial" w:eastAsia="Arial" w:hAnsi="Arial"/>
          <w:sz w:val="18"/>
          <w:szCs w:val="18"/>
          <w:color w:val="auto"/>
        </w:rPr>
        <w:t>A patent claiming a new drug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of the time between the effective date of the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117" w:lineRule="exact"/>
        <w:rPr>
          <w:sz w:val="20"/>
          <w:szCs w:val="20"/>
          <w:color w:val="auto"/>
        </w:rPr>
      </w:pPr>
    </w:p>
    <w:p>
      <w:pPr>
        <w:ind w:right="280" w:firstLine="554"/>
        <w:spacing w:after="0" w:line="259"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w:t>
      </w:r>
    </w:p>
    <w:p>
      <w:pPr>
        <w:spacing w:after="0" w:line="79" w:lineRule="exact"/>
        <w:rPr>
          <w:sz w:val="20"/>
          <w:szCs w:val="20"/>
          <w:color w:val="auto"/>
        </w:rPr>
      </w:pPr>
    </w:p>
    <w:p>
      <w:pPr>
        <w:ind w:right="80" w:firstLine="554"/>
        <w:spacing w:after="0" w:line="286" w:lineRule="auto"/>
        <w:rPr>
          <w:sz w:val="20"/>
          <w:szCs w:val="20"/>
          <w:color w:val="auto"/>
        </w:rPr>
      </w:pPr>
      <w:r>
        <w:rPr>
          <w:rFonts w:ascii="Arial" w:cs="Arial" w:eastAsia="Arial" w:hAnsi="Arial"/>
          <w:sz w:val="16"/>
          <w:szCs w:val="16"/>
          <w:color w:val="auto"/>
        </w:rPr>
        <w:t>Restrictions under applicable federal and state health care laws and regulations, include 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the Foreign Corrupt Practices Act, or FCPA, which prohibits companies and their intermediaries from making, or offering or promising to make, improper payments to non-U.S. officials for the purpose of obtaining or retaining business or otherwise seeking favorable treatment; and the federal transparency requirements known as the federal Physician Payments Sunshine Act,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other healthcare providers and teaching hospitals, as well as ownership and investment interests held by physicians, other healthcare providers and their immediate family members.</w:t>
      </w:r>
    </w:p>
    <w:p>
      <w:pPr>
        <w:spacing w:after="0" w:line="66" w:lineRule="exact"/>
        <w:rPr>
          <w:sz w:val="20"/>
          <w:szCs w:val="20"/>
          <w:color w:val="auto"/>
        </w:rPr>
      </w:pPr>
    </w:p>
    <w:p>
      <w:pPr>
        <w:ind w:right="160" w:firstLine="554"/>
        <w:spacing w:after="0" w:line="279" w:lineRule="auto"/>
        <w:rPr>
          <w:sz w:val="20"/>
          <w:szCs w:val="20"/>
          <w:color w:val="auto"/>
        </w:rPr>
      </w:pPr>
      <w:r>
        <w:rPr>
          <w:rFonts w:ascii="Arial" w:cs="Arial" w:eastAsia="Arial" w:hAnsi="Arial"/>
          <w:sz w:val="17"/>
          <w:szCs w:val="17"/>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ind w:right="300"/>
        <w:spacing w:after="0" w:line="375" w:lineRule="auto"/>
        <w:rPr>
          <w:sz w:val="20"/>
          <w:szCs w:val="20"/>
          <w:color w:val="auto"/>
        </w:rPr>
      </w:pPr>
      <w:r>
        <w:rPr>
          <w:rFonts w:ascii="Arial" w:cs="Arial" w:eastAsia="Arial" w:hAnsi="Arial"/>
          <w:sz w:val="18"/>
          <w:szCs w:val="18"/>
          <w:color w:val="auto"/>
        </w:rPr>
        <w:t xml:space="preserve">circumstances, many of which differ from each other in significant ways and often are not preempted by HIPAA, thus complicating compliance efforts. </w:t>
      </w:r>
      <w:r>
        <w:rPr>
          <w:rFonts w:ascii="Arial" w:cs="Arial" w:eastAsia="Arial" w:hAnsi="Arial"/>
          <w:sz w:val="18"/>
          <w:szCs w:val="18"/>
          <w:b w:val="1"/>
          <w:bCs w:val="1"/>
          <w:i w:val="1"/>
          <w:iCs w:val="1"/>
          <w:color w:val="auto"/>
        </w:rPr>
        <w:t>Pharmaceutical Insurance Coverage and Health Care Reform</w:t>
      </w:r>
    </w:p>
    <w:p>
      <w:pPr>
        <w:spacing w:after="0" w:line="1" w:lineRule="exact"/>
        <w:rPr>
          <w:sz w:val="20"/>
          <w:szCs w:val="20"/>
          <w:color w:val="auto"/>
        </w:rPr>
      </w:pPr>
    </w:p>
    <w:p>
      <w:pPr>
        <w:ind w:firstLine="554"/>
        <w:spacing w:after="0" w:line="253" w:lineRule="auto"/>
        <w:rPr>
          <w:sz w:val="20"/>
          <w:szCs w:val="20"/>
          <w:color w:val="auto"/>
        </w:rPr>
      </w:pPr>
      <w:r>
        <w:rPr>
          <w:rFonts w:ascii="Arial" w:cs="Arial" w:eastAsia="Arial" w:hAnsi="Arial"/>
          <w:sz w:val="18"/>
          <w:szCs w:val="18"/>
          <w:color w:val="auto"/>
        </w:rPr>
        <w:t>In the U.S.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ind w:right="100" w:firstLine="554"/>
        <w:spacing w:after="0" w:line="254"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87" w:lineRule="exact"/>
        <w:rPr>
          <w:sz w:val="20"/>
          <w:szCs w:val="20"/>
          <w:color w:val="auto"/>
        </w:rPr>
      </w:pPr>
    </w:p>
    <w:p>
      <w:pPr>
        <w:ind w:right="120" w:firstLine="554"/>
        <w:spacing w:after="0" w:line="254"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87" w:lineRule="exact"/>
        <w:rPr>
          <w:sz w:val="20"/>
          <w:szCs w:val="20"/>
          <w:color w:val="auto"/>
        </w:rPr>
      </w:pPr>
    </w:p>
    <w:p>
      <w:pPr>
        <w:ind w:right="200" w:firstLine="554"/>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U.S.</w:t>
      </w:r>
    </w:p>
    <w:p>
      <w:pPr>
        <w:spacing w:after="0" w:line="76" w:lineRule="exact"/>
        <w:rPr>
          <w:sz w:val="20"/>
          <w:szCs w:val="20"/>
          <w:color w:val="auto"/>
        </w:rPr>
      </w:pPr>
    </w:p>
    <w:p>
      <w:pPr>
        <w:ind w:right="60" w:firstLine="554"/>
        <w:spacing w:after="0" w:line="269" w:lineRule="auto"/>
        <w:rPr>
          <w:sz w:val="20"/>
          <w:szCs w:val="20"/>
          <w:color w:val="auto"/>
        </w:rPr>
      </w:pPr>
      <w:r>
        <w:rPr>
          <w:rFonts w:ascii="Arial" w:cs="Arial" w:eastAsia="Arial" w:hAnsi="Arial"/>
          <w:sz w:val="17"/>
          <w:szCs w:val="17"/>
          <w:color w:val="auto"/>
        </w:rPr>
        <w:t>In March 2010, the U.S. Congress enacted the ACA, which, among other things, includes changes to the coverage and payment for drug products under government health care programs.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These Medicare sequester reductions have been suspended through the end of March 2022. From April 2022 through June 2022 a 1% sequester cut will be in effect,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71" w:lineRule="exact"/>
        <w:rPr>
          <w:sz w:val="20"/>
          <w:szCs w:val="20"/>
          <w:color w:val="auto"/>
        </w:rPr>
      </w:pPr>
    </w:p>
    <w:p>
      <w:pPr>
        <w:ind w:right="100" w:firstLine="554"/>
        <w:spacing w:after="0" w:line="271" w:lineRule="auto"/>
        <w:rPr>
          <w:sz w:val="20"/>
          <w:szCs w:val="20"/>
          <w:color w:val="auto"/>
        </w:rPr>
      </w:pPr>
      <w:r>
        <w:rPr>
          <w:rFonts w:ascii="Arial" w:cs="Arial" w:eastAsia="Arial" w:hAnsi="Arial"/>
          <w:sz w:val="17"/>
          <w:szCs w:val="17"/>
          <w:color w:val="auto"/>
        </w:rPr>
        <w:t>Since enactment of the ACA, there have been, and continue to be, numerous legal challenges and Congressional actions to repeal and replace provisions of the law. For example, with enactment of the Tax Cuts and Jobs Act of 2017, or the Tax Act, which was signed by President Trump on December 22, 2017, Congress repealed the “individual mandate.” The repeal of this provision, which requires most Americans to carry a minimal level of health insurance, became effective in 2019. On December 14, 2018, a U.S. District Court judge in the Northern District of Texas ruled that the individual mandate portion of the ACA is an essential and inseverable feature of the PPACA, and therefore because the mandate was repealed as part of the Tax Act, the remaining provisions of the PPACA are invalid as well. The U.S.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spacing w:after="0" w:line="70" w:lineRule="exact"/>
        <w:rPr>
          <w:sz w:val="20"/>
          <w:szCs w:val="20"/>
          <w:color w:val="auto"/>
        </w:rPr>
      </w:pPr>
    </w:p>
    <w:p>
      <w:pPr>
        <w:ind w:firstLine="554"/>
        <w:spacing w:after="0" w:line="277" w:lineRule="auto"/>
        <w:rPr>
          <w:sz w:val="20"/>
          <w:szCs w:val="20"/>
          <w:color w:val="auto"/>
        </w:rPr>
      </w:pPr>
      <w:r>
        <w:rPr>
          <w:rFonts w:ascii="Arial" w:cs="Arial" w:eastAsia="Arial" w:hAnsi="Arial"/>
          <w:sz w:val="18"/>
          <w:szCs w:val="18"/>
          <w:color w:val="auto"/>
        </w:rPr>
        <w:t>The Trump Administration also took executive actions to undermine or delay implementation of the ACA, including directing federal agencies with authorities and responsibilities under the ACA to waive, defer, grant exemptions from,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4" w:name="page35"/>
    <w:bookmarkEnd w:id="34"/>
    <w:p>
      <w:pPr>
        <w:spacing w:after="0" w:line="254" w:lineRule="auto"/>
        <w:rPr>
          <w:sz w:val="20"/>
          <w:szCs w:val="20"/>
          <w:color w:val="auto"/>
        </w:rPr>
      </w:pPr>
      <w:r>
        <w:rPr>
          <w:rFonts w:ascii="Arial" w:cs="Arial" w:eastAsia="Arial" w:hAnsi="Arial"/>
          <w:sz w:val="18"/>
          <w:szCs w:val="18"/>
          <w:color w:val="auto"/>
        </w:rPr>
        <w:t>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84" w:lineRule="exact"/>
        <w:rPr>
          <w:sz w:val="20"/>
          <w:szCs w:val="20"/>
          <w:color w:val="auto"/>
        </w:rPr>
      </w:pPr>
    </w:p>
    <w:p>
      <w:pPr>
        <w:ind w:right="20" w:firstLine="554"/>
        <w:spacing w:after="0" w:line="270"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73" w:lineRule="exact"/>
        <w:rPr>
          <w:sz w:val="20"/>
          <w:szCs w:val="20"/>
          <w:color w:val="auto"/>
        </w:rPr>
      </w:pPr>
    </w:p>
    <w:p>
      <w:pPr>
        <w:ind w:right="20" w:firstLine="554"/>
        <w:spacing w:after="0" w:line="270" w:lineRule="auto"/>
        <w:rPr>
          <w:sz w:val="20"/>
          <w:szCs w:val="20"/>
          <w:color w:val="auto"/>
        </w:rPr>
      </w:pPr>
      <w:r>
        <w:rPr>
          <w:rFonts w:ascii="Arial" w:cs="Arial" w:eastAsia="Arial" w:hAnsi="Arial"/>
          <w:sz w:val="17"/>
          <w:szCs w:val="17"/>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w:t>
      </w:r>
    </w:p>
    <w:p>
      <w:pPr>
        <w:spacing w:after="0" w:line="73" w:lineRule="exact"/>
        <w:rPr>
          <w:sz w:val="20"/>
          <w:szCs w:val="20"/>
          <w:color w:val="auto"/>
        </w:rPr>
      </w:pPr>
    </w:p>
    <w:p>
      <w:pPr>
        <w:ind w:right="80" w:firstLine="554"/>
        <w:spacing w:after="0" w:line="270" w:lineRule="auto"/>
        <w:rPr>
          <w:sz w:val="20"/>
          <w:szCs w:val="20"/>
          <w:color w:val="auto"/>
        </w:rPr>
      </w:pPr>
      <w:r>
        <w:rPr>
          <w:rFonts w:ascii="Arial" w:cs="Arial" w:eastAsia="Arial" w:hAnsi="Arial"/>
          <w:sz w:val="17"/>
          <w:szCs w:val="17"/>
          <w:color w:val="auto"/>
        </w:rPr>
        <w:t>On July 9, 2021, President Biden signed Executive Order 14063, which focuses on, among other things, the price of pharmaceuticals. The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73"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and wholesale distributors, to disclose information about pricing of pharmaceuticals.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w:t>
      </w:r>
    </w:p>
    <w:p>
      <w:pPr>
        <w:spacing w:after="0" w:line="117" w:lineRule="exact"/>
        <w:rPr>
          <w:sz w:val="20"/>
          <w:szCs w:val="20"/>
          <w:color w:val="auto"/>
        </w:rPr>
      </w:pPr>
    </w:p>
    <w:p>
      <w:pPr>
        <w:ind w:right="260" w:firstLine="554"/>
        <w:spacing w:after="0" w:line="301" w:lineRule="auto"/>
        <w:rPr>
          <w:sz w:val="20"/>
          <w:szCs w:val="20"/>
          <w:color w:val="auto"/>
        </w:rPr>
      </w:pPr>
      <w:r>
        <w:rPr>
          <w:rFonts w:ascii="Arial" w:cs="Arial" w:eastAsia="Arial" w:hAnsi="Arial"/>
          <w:sz w:val="16"/>
          <w:szCs w:val="16"/>
          <w:color w:val="auto"/>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non-U.S. regulatory authorities before it can commence clinical trials or marketing of the product in those countries or jurisdictions.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5" w:name="page36"/>
    <w:bookmarkEnd w:id="35"/>
    <w:p>
      <w:pPr>
        <w:ind w:right="160"/>
        <w:spacing w:after="0" w:line="259" w:lineRule="auto"/>
        <w:rPr>
          <w:sz w:val="20"/>
          <w:szCs w:val="20"/>
          <w:color w:val="auto"/>
        </w:rPr>
      </w:pPr>
      <w:r>
        <w:rPr>
          <w:rFonts w:ascii="Arial" w:cs="Arial" w:eastAsia="Arial" w:hAnsi="Arial"/>
          <w:sz w:val="18"/>
          <w:szCs w:val="18"/>
          <w:color w:val="auto"/>
        </w:rPr>
        <w:t>Specifically, the process governing approval of medicinal products in the E.U. generally follows the same lines as in the U.S.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right="60" w:firstLine="554"/>
        <w:spacing w:after="0" w:line="259" w:lineRule="auto"/>
        <w:rPr>
          <w:sz w:val="20"/>
          <w:szCs w:val="20"/>
          <w:color w:val="auto"/>
        </w:rPr>
      </w:pPr>
      <w:r>
        <w:rPr>
          <w:rFonts w:ascii="Arial" w:cs="Arial" w:eastAsia="Arial" w:hAnsi="Arial"/>
          <w:sz w:val="18"/>
          <w:szCs w:val="18"/>
          <w:color w:val="auto"/>
        </w:rPr>
        <w:t>In April 2014, the new Clinical Trials Regulation, (EU) No 536/2014, or the Clinical Trials Regulation, was adopted. The Clinical Trial Regulation will be directly applicable in all the EU member states, repealing the current Clinical Trials Directive 2001/20/EC and replacing any national legislation that was put in place to implement the Directive. The new Clinical Trials Regulation aims to simplify and streamline the approval of clinical trials in the EU.</w:t>
      </w:r>
    </w:p>
    <w:p>
      <w:pPr>
        <w:spacing w:after="0" w:line="79"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On January 31, 2022, the new Clinical Trials Regulation (EU) No 536/2014 became effective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Member State of the European Union,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84" w:lineRule="exact"/>
        <w:rPr>
          <w:sz w:val="20"/>
          <w:szCs w:val="20"/>
          <w:color w:val="auto"/>
        </w:rPr>
      </w:pPr>
    </w:p>
    <w:p>
      <w:pPr>
        <w:ind w:right="240" w:firstLine="554"/>
        <w:spacing w:after="0" w:line="271" w:lineRule="auto"/>
        <w:rPr>
          <w:sz w:val="20"/>
          <w:szCs w:val="20"/>
          <w:color w:val="auto"/>
        </w:rPr>
      </w:pPr>
      <w:r>
        <w:rPr>
          <w:rFonts w:ascii="Arial" w:cs="Arial" w:eastAsia="Arial" w:hAnsi="Arial"/>
          <w:sz w:val="17"/>
          <w:szCs w:val="17"/>
          <w:color w:val="auto"/>
        </w:rPr>
        <w:t>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or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70" w:lineRule="exact"/>
        <w:rPr>
          <w:sz w:val="20"/>
          <w:szCs w:val="20"/>
          <w:color w:val="auto"/>
        </w:rPr>
      </w:pPr>
    </w:p>
    <w:p>
      <w:pPr>
        <w:ind w:right="140" w:firstLine="554"/>
        <w:spacing w:after="0" w:line="279" w:lineRule="auto"/>
        <w:rPr>
          <w:sz w:val="20"/>
          <w:szCs w:val="20"/>
          <w:color w:val="auto"/>
        </w:rPr>
      </w:pPr>
      <w:r>
        <w:rPr>
          <w:rFonts w:ascii="Arial" w:cs="Arial" w:eastAsia="Arial" w:hAnsi="Arial"/>
          <w:sz w:val="17"/>
          <w:szCs w:val="17"/>
          <w:color w:val="auto"/>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63" w:lineRule="exact"/>
        <w:rPr>
          <w:sz w:val="20"/>
          <w:szCs w:val="20"/>
          <w:color w:val="auto"/>
        </w:rPr>
      </w:pPr>
    </w:p>
    <w:p>
      <w:pPr>
        <w:ind w:right="80" w:firstLine="554"/>
        <w:spacing w:after="0" w:line="277" w:lineRule="auto"/>
        <w:rPr>
          <w:sz w:val="20"/>
          <w:szCs w:val="20"/>
          <w:color w:val="auto"/>
        </w:rPr>
      </w:pPr>
      <w:r>
        <w:rPr>
          <w:rFonts w:ascii="Arial" w:cs="Arial" w:eastAsia="Arial" w:hAnsi="Arial"/>
          <w:sz w:val="18"/>
          <w:szCs w:val="18"/>
          <w:color w:val="auto"/>
        </w:rPr>
        <w:t>As in the U.S., similar requirements for posting clinical trial information are present in the E.U. (EudraCT) website: https://eudract.ema.europa.eu/ and other countries.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w:t>
      </w:r>
    </w:p>
    <w:p>
      <w:pPr>
        <w:spacing w:after="0" w:line="117" w:lineRule="exact"/>
        <w:rPr>
          <w:sz w:val="20"/>
          <w:szCs w:val="20"/>
          <w:color w:val="auto"/>
        </w:rPr>
      </w:pPr>
    </w:p>
    <w:p>
      <w:pPr>
        <w:ind w:right="180" w:firstLine="554"/>
        <w:spacing w:after="0" w:line="289" w:lineRule="auto"/>
        <w:rPr>
          <w:sz w:val="20"/>
          <w:szCs w:val="20"/>
          <w:color w:val="auto"/>
        </w:rPr>
      </w:pPr>
      <w:r>
        <w:rPr>
          <w:rFonts w:ascii="Arial" w:cs="Arial" w:eastAsia="Arial" w:hAnsi="Arial"/>
          <w:sz w:val="16"/>
          <w:szCs w:val="16"/>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Committee for Human Medicinal Products, or CHMP, or the Committee for Advanced Therapies, or CAT, is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right="340" w:firstLine="554"/>
        <w:spacing w:after="0" w:line="296" w:lineRule="auto"/>
        <w:rPr>
          <w:sz w:val="20"/>
          <w:szCs w:val="20"/>
          <w:color w:val="auto"/>
        </w:rPr>
      </w:pPr>
      <w:r>
        <w:rPr>
          <w:rFonts w:ascii="Arial" w:cs="Arial" w:eastAsia="Arial" w:hAnsi="Arial"/>
          <w:sz w:val="16"/>
          <w:szCs w:val="16"/>
          <w:color w:val="auto"/>
        </w:rPr>
        <w:t>To obtain a marketing authorization for a product under E.U. regulatory systems, a sponsor must submit an MAA either under a centralized procedure administered by the EMA or one of the procedures administered by competent authorities in the E.U. Member States (either a decentralized procedure, national procedure or mutual recognition procedure). A marketing authorization may be granted only to a sponsor established in the E.U. Regulation (EC) No 1901/2006 provides that prior to obtaining a marketing authorization in the EU, sponsors have to demonstrate compliance with all measures included in an EMA-approved Paediatric Investigation Plan, or PIP, covering all subsets of the pediatric</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6" w:name="page37"/>
    <w:bookmarkEnd w:id="36"/>
    <w:p>
      <w:pPr>
        <w:ind w:right="200"/>
        <w:spacing w:after="0" w:line="277" w:lineRule="auto"/>
        <w:rPr>
          <w:sz w:val="20"/>
          <w:szCs w:val="20"/>
          <w:color w:val="auto"/>
        </w:rPr>
      </w:pPr>
      <w:r>
        <w:rPr>
          <w:rFonts w:ascii="Arial" w:cs="Arial" w:eastAsia="Arial" w:hAnsi="Arial"/>
          <w:sz w:val="18"/>
          <w:szCs w:val="18"/>
          <w:color w:val="auto"/>
        </w:rPr>
        <w:t>population, unless the EMA has granted (i) a product-specific waiver, (ii) a class waiver or (iii) a deferral for one or more of the measures included in the PIP.</w:t>
      </w:r>
    </w:p>
    <w:p>
      <w:pPr>
        <w:spacing w:after="0" w:line="62" w:lineRule="exact"/>
        <w:rPr>
          <w:sz w:val="20"/>
          <w:szCs w:val="20"/>
          <w:color w:val="auto"/>
        </w:rPr>
      </w:pPr>
    </w:p>
    <w:p>
      <w:pPr>
        <w:ind w:right="40" w:firstLine="554"/>
        <w:spacing w:after="0" w:line="254"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also be used in certain other cases at the request of the sponsor. We anticipate that the centralized procedure will be mandatory for the product candidates we are developing.</w:t>
      </w:r>
    </w:p>
    <w:p>
      <w:pPr>
        <w:spacing w:after="0" w:line="84" w:lineRule="exact"/>
        <w:rPr>
          <w:sz w:val="20"/>
          <w:szCs w:val="20"/>
          <w:color w:val="auto"/>
        </w:rPr>
      </w:pPr>
    </w:p>
    <w:p>
      <w:pPr>
        <w:ind w:firstLine="554"/>
        <w:spacing w:after="0" w:line="286" w:lineRule="auto"/>
        <w:rPr>
          <w:sz w:val="20"/>
          <w:szCs w:val="20"/>
          <w:color w:val="auto"/>
        </w:rPr>
      </w:pPr>
      <w:r>
        <w:rPr>
          <w:rFonts w:ascii="Arial" w:cs="Arial" w:eastAsia="Arial" w:hAnsi="Arial"/>
          <w:sz w:val="16"/>
          <w:szCs w:val="16"/>
          <w:color w:val="auto"/>
        </w:rPr>
        <w:t>Under the centralized procedure, the CHMP is also responsible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sponsor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or the Standing Committee.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282" w:lineRule="exact"/>
        <w:rPr>
          <w:sz w:val="20"/>
          <w:szCs w:val="20"/>
          <w:color w:val="auto"/>
        </w:rPr>
      </w:pPr>
    </w:p>
    <w:p>
      <w:pPr>
        <w:ind w:right="40" w:firstLine="554"/>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sponsor can demonstrate that it is unable to provide comprehensive data on efficacy and safety under normal conditions of use, because the indications for which the product in question is intended are encountered so rarely that the sponsor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70" w:lineRule="exact"/>
        <w:rPr>
          <w:sz w:val="20"/>
          <w:szCs w:val="20"/>
          <w:color w:val="auto"/>
        </w:rPr>
      </w:pPr>
    </w:p>
    <w:p>
      <w:pPr>
        <w:ind w:left="960" w:right="340" w:hanging="399"/>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sponsor must complete an identified program of studies within a time period specified by the competent authority, the results of which form the basis of a reassessment of the benefit/risk profile;</w:t>
      </w:r>
    </w:p>
    <w:p>
      <w:pPr>
        <w:spacing w:after="0" w:line="62" w:lineRule="exact"/>
        <w:rPr>
          <w:rFonts w:ascii="Arial" w:cs="Arial" w:eastAsia="Arial" w:hAnsi="Arial"/>
          <w:sz w:val="18"/>
          <w:szCs w:val="18"/>
          <w:color w:val="auto"/>
        </w:rPr>
      </w:pPr>
    </w:p>
    <w:p>
      <w:pPr>
        <w:ind w:left="960" w:right="320" w:hanging="399"/>
        <w:spacing w:after="0" w:line="308"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38" w:lineRule="exact"/>
        <w:rPr>
          <w:rFonts w:ascii="Arial" w:cs="Arial" w:eastAsia="Arial" w:hAnsi="Arial"/>
          <w:sz w:val="17"/>
          <w:szCs w:val="17"/>
          <w:color w:val="auto"/>
        </w:rPr>
      </w:pPr>
    </w:p>
    <w:p>
      <w:pPr>
        <w:ind w:left="960" w:right="280" w:hanging="399"/>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62" w:lineRule="exact"/>
        <w:rPr>
          <w:sz w:val="20"/>
          <w:szCs w:val="20"/>
          <w:color w:val="auto"/>
        </w:rPr>
      </w:pPr>
    </w:p>
    <w:p>
      <w:pPr>
        <w:ind w:right="120" w:firstLine="554"/>
        <w:spacing w:after="0" w:line="255" w:lineRule="auto"/>
        <w:rPr>
          <w:sz w:val="20"/>
          <w:szCs w:val="20"/>
          <w:color w:val="auto"/>
        </w:rPr>
      </w:pPr>
      <w:r>
        <w:rPr>
          <w:rFonts w:ascii="Arial" w:cs="Arial" w:eastAsia="Arial" w:hAnsi="Arial"/>
          <w:sz w:val="18"/>
          <w:szCs w:val="18"/>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84"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sponsor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the collection of pharmacovigilance data. Conditional marketing authorizations are valid for one year, and may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ind w:right="160"/>
        <w:spacing w:after="0" w:line="263" w:lineRule="auto"/>
        <w:rPr>
          <w:sz w:val="20"/>
          <w:szCs w:val="20"/>
          <w:color w:val="auto"/>
        </w:rPr>
      </w:pPr>
      <w:r>
        <w:rPr>
          <w:rFonts w:ascii="Arial" w:cs="Arial" w:eastAsia="Arial" w:hAnsi="Arial"/>
          <w:sz w:val="18"/>
          <w:szCs w:val="18"/>
          <w:color w:val="auto"/>
        </w:rPr>
        <w:t>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76" w:lineRule="exact"/>
        <w:rPr>
          <w:sz w:val="20"/>
          <w:szCs w:val="20"/>
          <w:color w:val="auto"/>
        </w:rPr>
      </w:pPr>
    </w:p>
    <w:p>
      <w:pPr>
        <w:ind w:right="80" w:firstLine="554"/>
        <w:spacing w:after="0" w:line="291"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58" w:lineRule="exact"/>
        <w:rPr>
          <w:sz w:val="20"/>
          <w:szCs w:val="20"/>
          <w:color w:val="auto"/>
        </w:rPr>
      </w:pPr>
    </w:p>
    <w:p>
      <w:pPr>
        <w:ind w:right="160" w:firstLine="554"/>
        <w:spacing w:after="0" w:line="259"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Regulatory Data Protection in the E.U.</w:t>
      </w:r>
    </w:p>
    <w:p>
      <w:pPr>
        <w:spacing w:after="0" w:line="117"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sponsors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Patent Term Extensions in the E.U. and Other Jurisdictions</w:t>
      </w:r>
    </w:p>
    <w:p>
      <w:pPr>
        <w:spacing w:after="0" w:line="117" w:lineRule="exact"/>
        <w:rPr>
          <w:sz w:val="20"/>
          <w:szCs w:val="20"/>
          <w:color w:val="auto"/>
        </w:rPr>
      </w:pPr>
    </w:p>
    <w:p>
      <w:pPr>
        <w:ind w:right="60" w:firstLine="554"/>
        <w:spacing w:after="0" w:line="275" w:lineRule="auto"/>
        <w:rPr>
          <w:sz w:val="20"/>
          <w:szCs w:val="20"/>
          <w:color w:val="auto"/>
        </w:rPr>
      </w:pPr>
      <w:r>
        <w:rPr>
          <w:rFonts w:ascii="Arial" w:cs="Arial" w:eastAsia="Arial" w:hAnsi="Arial"/>
          <w:sz w:val="17"/>
          <w:szCs w:val="17"/>
          <w:color w:val="auto"/>
        </w:rPr>
        <w:t>The E.U. also provides for patent term extension through Supplementary Protection Certificates, or SPCs. The rules and requirements for obtaining a SPC are similar to those in the U.S.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right="80" w:firstLine="554"/>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right="20" w:firstLine="554"/>
        <w:spacing w:after="0" w:line="255" w:lineRule="auto"/>
        <w:rPr>
          <w:sz w:val="20"/>
          <w:szCs w:val="20"/>
          <w:color w:val="auto"/>
        </w:rPr>
      </w:pPr>
      <w:r>
        <w:rPr>
          <w:rFonts w:ascii="Arial" w:cs="Arial" w:eastAsia="Arial" w:hAnsi="Arial"/>
          <w:sz w:val="18"/>
          <w:szCs w:val="18"/>
          <w:color w:val="auto"/>
        </w:rPr>
        <w:t>Prior to obtaining a marketing authorization in the E.U.,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line="293" w:lineRule="auto"/>
        <w:rPr>
          <w:sz w:val="20"/>
          <w:szCs w:val="20"/>
          <w:color w:val="auto"/>
        </w:rPr>
      </w:pPr>
      <w:r>
        <w:rPr>
          <w:rFonts w:ascii="Arial" w:cs="Arial" w:eastAsia="Arial" w:hAnsi="Arial"/>
          <w:sz w:val="16"/>
          <w:szCs w:val="16"/>
          <w:color w:val="auto"/>
        </w:rPr>
        <w:t>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a company actually complied with the agreed studies and measures listed in each relevant PIP. 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117" w:lineRule="exact"/>
        <w:rPr>
          <w:sz w:val="20"/>
          <w:szCs w:val="20"/>
          <w:color w:val="auto"/>
        </w:rPr>
      </w:pPr>
    </w:p>
    <w:p>
      <w:pPr>
        <w:ind w:firstLine="554"/>
        <w:spacing w:after="0" w:line="277"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62" w:lineRule="exact"/>
        <w:rPr>
          <w:sz w:val="20"/>
          <w:szCs w:val="20"/>
          <w:color w:val="auto"/>
        </w:rPr>
      </w:pPr>
    </w:p>
    <w:p>
      <w:pPr>
        <w:ind w:left="960" w:right="60" w:hanging="399"/>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62" w:lineRule="exact"/>
        <w:rPr>
          <w:rFonts w:ascii="Arial" w:cs="Arial" w:eastAsia="Arial" w:hAnsi="Arial"/>
          <w:sz w:val="18"/>
          <w:szCs w:val="18"/>
          <w:color w:val="auto"/>
        </w:rPr>
      </w:pPr>
    </w:p>
    <w:p>
      <w:pPr>
        <w:ind w:left="960" w:right="20" w:hanging="399"/>
        <w:spacing w:after="0" w:line="25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84" w:lineRule="exact"/>
        <w:rPr>
          <w:rFonts w:ascii="Arial" w:cs="Arial" w:eastAsia="Arial" w:hAnsi="Arial"/>
          <w:sz w:val="18"/>
          <w:szCs w:val="18"/>
          <w:color w:val="auto"/>
        </w:rPr>
      </w:pPr>
    </w:p>
    <w:p>
      <w:pPr>
        <w:ind w:left="960" w:right="180" w:hanging="399"/>
        <w:spacing w:after="0" w:line="286"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Brexit and the Regulatory Framework in the U.K.</w:t>
      </w:r>
    </w:p>
    <w:p>
      <w:pPr>
        <w:spacing w:after="0" w:line="117" w:lineRule="exact"/>
        <w:rPr>
          <w:sz w:val="20"/>
          <w:szCs w:val="20"/>
          <w:color w:val="auto"/>
        </w:rPr>
      </w:pPr>
    </w:p>
    <w:p>
      <w:pPr>
        <w:ind w:right="60" w:firstLine="554"/>
        <w:spacing w:after="0" w:line="288" w:lineRule="auto"/>
        <w:rPr>
          <w:sz w:val="20"/>
          <w:szCs w:val="20"/>
          <w:color w:val="auto"/>
        </w:rPr>
      </w:pPr>
      <w:r>
        <w:rPr>
          <w:rFonts w:ascii="Arial" w:cs="Arial" w:eastAsia="Arial" w:hAnsi="Arial"/>
          <w:sz w:val="16"/>
          <w:szCs w:val="16"/>
          <w:color w:val="auto"/>
        </w:rPr>
        <w:t>The United Kingdom’s withdrawal from the EU took place on January 31, 2020. The EU and the U.K. reached an agreement on their new partnership in the Trade and Cooperation Agreement, or the Agreement, which was applied provisionally beginning on January 1, 2021 and which entered into force on May 1, 2021. The Agreement focuses primarily on free trade by ensuring no tariffs or quotas on trade in goods, including healthcare products such as medicinal products. Thereafter, the EU and the U.K. will form two separate markets governed by two distinct regulatory and legal regimes. As such, the Agreement seeks to minimize barriers to trade in goods while accepting that border checks will become inevitable as a consequence that the U.K. is no longer part of the single market.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 The MHRA will rely on the Human Medicines Regulations 2012 (SI 2012/1916) (as amended), or the HMR, as the basis for regulating medicines. The HMR has incorporated into the domestic law the body of EU law instruments governing medicinal products that pre-existed prior to the U.K.’s withdrawal from the EU.</w:t>
      </w:r>
    </w:p>
    <w:p>
      <w:pPr>
        <w:spacing w:after="0" w:line="60" w:lineRule="exact"/>
        <w:rPr>
          <w:sz w:val="20"/>
          <w:szCs w:val="20"/>
          <w:color w:val="auto"/>
        </w:rPr>
      </w:pPr>
    </w:p>
    <w:p>
      <w:pPr>
        <w:ind w:firstLine="554"/>
        <w:spacing w:after="0" w:line="290" w:lineRule="auto"/>
        <w:rPr>
          <w:sz w:val="20"/>
          <w:szCs w:val="20"/>
          <w:color w:val="auto"/>
        </w:rPr>
      </w:pPr>
      <w:r>
        <w:rPr>
          <w:rFonts w:ascii="Arial" w:cs="Arial" w:eastAsia="Arial" w:hAnsi="Arial"/>
          <w:sz w:val="16"/>
          <w:szCs w:val="16"/>
          <w:color w:val="auto"/>
        </w:rPr>
        <w:t>Furthermore, while the Data Protection Act of 2018 in the U.K. that “implements” and complements the EU General Data Protection Regulation, or GDPR, is now effective in the U.K., it is still unclear whether transfer of data from the EEA to the U.K. will remain lawful under GDPR. The Trade and Cooperation Agreement provides for a transitional period during which the U.K. will be treated like an EU Member State in relation to processing and transfers of personal data for four months from January 1, 2021. This may be extended by two further months. After such period, the U.K. will be a “third country” under the GDPR unless the European Commission adopts an adequacy decision in respect of transfers of personal data to the U.K. The U.K. has already determined that it considers all of the E.U. and EEA member states to be adequate for the purposes of data protection, ensuring that data flows from the U.K. to the E.U. and EEA remain unaffected. We may, however, incur liabilities, expenses, costs, and other operational losses under GDPR and applicable EU Member States and the U.K. privacy laws in connection with any measures we take to comply with them.</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Data Protection Regulation</w:t>
      </w:r>
    </w:p>
    <w:p>
      <w:pPr>
        <w:spacing w:after="0" w:line="117" w:lineRule="exact"/>
        <w:rPr>
          <w:sz w:val="20"/>
          <w:szCs w:val="20"/>
          <w:color w:val="auto"/>
        </w:rPr>
      </w:pPr>
    </w:p>
    <w:p>
      <w:pPr>
        <w:ind w:right="100" w:firstLine="554"/>
        <w:spacing w:after="0" w:line="254" w:lineRule="auto"/>
        <w:rPr>
          <w:sz w:val="20"/>
          <w:szCs w:val="20"/>
          <w:color w:val="auto"/>
        </w:rPr>
      </w:pPr>
      <w:r>
        <w:rPr>
          <w:rFonts w:ascii="Arial" w:cs="Arial" w:eastAsia="Arial" w:hAnsi="Arial"/>
          <w:sz w:val="18"/>
          <w:szCs w:val="18"/>
          <w:color w:val="auto"/>
        </w:rPr>
        <w:t>The collection, use, disclosure, transfer or other processing of personal data of individuals in the E.U., including personal health data, is governed by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ind w:right="100"/>
        <w:spacing w:after="0" w:line="263" w:lineRule="auto"/>
        <w:rPr>
          <w:sz w:val="20"/>
          <w:szCs w:val="20"/>
          <w:color w:val="auto"/>
        </w:rPr>
      </w:pPr>
      <w:r>
        <w:rPr>
          <w:rFonts w:ascii="Arial" w:cs="Arial" w:eastAsia="Arial" w:hAnsi="Arial"/>
          <w:sz w:val="18"/>
          <w:szCs w:val="18"/>
          <w:color w:val="auto"/>
        </w:rPr>
        <w:t>greater. The GDPR also confers a private right of action on data subjects and consumer associations to lodge complaints with supervisory authorities, seek judicial remedies and obtain compensation for damages. Compliance with the GDPR will be a rigorous and time-intensive process that may increase our cost of doing business.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117" w:lineRule="exact"/>
        <w:rPr>
          <w:sz w:val="20"/>
          <w:szCs w:val="20"/>
          <w:color w:val="auto"/>
        </w:rPr>
      </w:pPr>
    </w:p>
    <w:p>
      <w:pPr>
        <w:ind w:firstLine="554"/>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440" w:firstLine="554"/>
        <w:spacing w:after="0" w:line="263" w:lineRule="auto"/>
        <w:rPr>
          <w:sz w:val="20"/>
          <w:szCs w:val="20"/>
          <w:color w:val="auto"/>
        </w:rPr>
      </w:pPr>
      <w:r>
        <w:rPr>
          <w:rFonts w:ascii="Arial" w:cs="Arial" w:eastAsia="Arial" w:hAnsi="Arial"/>
          <w:sz w:val="18"/>
          <w:szCs w:val="18"/>
          <w:color w:val="auto"/>
        </w:rPr>
        <w:t>As of December 31, 2021, we had 24 employees, with 15 employees engaged in research and development and the remaining nine engaged in general management and administration, including finance and commercial. None of our employees are represented by labor unions or covered by collective bargaining agreements. We believe that we maintain good relations with our employees.</w:t>
      </w:r>
    </w:p>
    <w:p>
      <w:pPr>
        <w:spacing w:after="0" w:line="76" w:lineRule="exact"/>
        <w:rPr>
          <w:sz w:val="20"/>
          <w:szCs w:val="20"/>
          <w:color w:val="auto"/>
        </w:rPr>
      </w:pPr>
    </w:p>
    <w:p>
      <w:pPr>
        <w:ind w:firstLine="554"/>
        <w:spacing w:after="0" w:line="296"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in ways that are aligned with the interests of our stockholders. We value our employees and regularly benchmark total rewards we provide, such as short- and long-term compensation, 401(k) contributions, health, welfare and quality of life benefits, paid time off and personal leave, against our industry peers to ensure we remain competitive and attractive to potential new hires.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ind w:right="120" w:firstLine="554"/>
        <w:spacing w:after="0" w:line="279" w:lineRule="auto"/>
        <w:rPr>
          <w:sz w:val="20"/>
          <w:szCs w:val="20"/>
          <w:color w:val="auto"/>
        </w:rPr>
      </w:pPr>
      <w:r>
        <w:rPr>
          <w:rFonts w:ascii="Arial" w:cs="Arial" w:eastAsia="Arial" w:hAnsi="Arial"/>
          <w:sz w:val="17"/>
          <w:szCs w:val="17"/>
          <w:color w:val="auto"/>
        </w:rPr>
        <w:t>We were incorporated under the laws of the State of Delaware on March 17, 2011 under the name Trevi Therapeutics, Inc. Our principal executive offices are located at 195 Church Street, 14</w:t>
      </w:r>
      <w:r>
        <w:rPr>
          <w:rFonts w:ascii="Arial" w:cs="Arial" w:eastAsia="Arial" w:hAnsi="Arial"/>
          <w:sz w:val="14"/>
          <w:szCs w:val="14"/>
          <w:color w:val="auto"/>
        </w:rPr>
        <w:t>th</w:t>
      </w:r>
      <w:r>
        <w:rPr>
          <w:rFonts w:ascii="Arial" w:cs="Arial" w:eastAsia="Arial" w:hAnsi="Arial"/>
          <w:sz w:val="17"/>
          <w:szCs w:val="17"/>
          <w:color w:val="auto"/>
        </w:rPr>
        <w:t xml:space="preserve"> Floor, New Haven, Connecticut 06510, and our telephone number is (203) 304-2499. Our website address is www.trevitherapeutics.com. The information contained on, or that can be accessed through, our website is not a part of this Annual Report on Form 10-K. We have included our website address in this Annual Report on Form 10-K solely as an inactive textual reference.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80" w:firstLine="554"/>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firstLine="554"/>
        <w:spacing w:after="0" w:line="301" w:lineRule="auto"/>
        <w:rPr>
          <w:sz w:val="20"/>
          <w:szCs w:val="20"/>
          <w:color w:val="auto"/>
        </w:rPr>
      </w:pPr>
      <w:r>
        <w:rPr>
          <w:rFonts w:ascii="Arial" w:cs="Arial" w:eastAsia="Arial" w:hAnsi="Arial"/>
          <w:sz w:val="16"/>
          <w:szCs w:val="16"/>
          <w:color w:val="auto"/>
        </w:rPr>
        <w:t>We have incurred significant annual net losses every year since our inception. We expect to continue to incur significant and increasing net losses for at least the next several years. Our net losses were $33.9 million and $32.8 million for the years ended December 31, 2021 and 2020, respectively. As of December 31, 2021, we had an accumulated deficit of $180.9 million. We have not generated any revenues from product sales, have not completed the development of any product candidate and may never have a product candidate approved for commercialization. We have financed our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0" w:name="page41"/>
    <w:bookmarkEnd w:id="40"/>
    <w:p>
      <w:pPr>
        <w:ind w:right="40"/>
        <w:spacing w:after="0" w:line="291" w:lineRule="auto"/>
        <w:rPr>
          <w:sz w:val="20"/>
          <w:szCs w:val="20"/>
          <w:color w:val="auto"/>
        </w:rPr>
      </w:pPr>
      <w:r>
        <w:rPr>
          <w:rFonts w:ascii="Arial" w:cs="Arial" w:eastAsia="Arial" w:hAnsi="Arial"/>
          <w:sz w:val="16"/>
          <w:szCs w:val="16"/>
          <w:color w:val="auto"/>
        </w:rPr>
        <w:t>operations to date primarily through private placements of our convertible preferred stock and convertible notes prior to our initial public offering, or IPO, borrowings under our prior term loan facility, proceeds from our IPO and concurrent private placement completed in May 2019, sales of our common stock pursuant to the ATM Sales Agreement we entered into in June 2020, which we refer to as the ATM Sales Agreement, the term loan facility with Silicon Valley Bank that we entered into in August 2020, which we refer to as the SVB Term Loan and proceeds from the two private placements we completed in October 2021, or the October 2021 Private Placements.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58" w:lineRule="exact"/>
        <w:rPr>
          <w:sz w:val="20"/>
          <w:szCs w:val="20"/>
          <w:color w:val="auto"/>
        </w:rPr>
      </w:pPr>
    </w:p>
    <w:p>
      <w:pPr>
        <w:ind w:right="140" w:firstLine="554"/>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960" w:right="160" w:hanging="399"/>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and conduct clinical trials of Haduvio, including our ongoing Phase 2b/3 PRISM trial and our ongoing Phase 2 CANAL trial and subsequent trials in each indication;</w:t>
      </w:r>
    </w:p>
    <w:p>
      <w:pPr>
        <w:spacing w:after="0" w:line="62" w:lineRule="exact"/>
        <w:rPr>
          <w:rFonts w:ascii="Arial" w:cs="Arial" w:eastAsia="Arial" w:hAnsi="Arial"/>
          <w:sz w:val="18"/>
          <w:szCs w:val="18"/>
          <w:color w:val="auto"/>
        </w:rPr>
      </w:pPr>
    </w:p>
    <w:p>
      <w:pPr>
        <w:ind w:left="960" w:hanging="399"/>
        <w:spacing w:after="0" w:line="25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or MHRA, for Haduvio for the treatment of pruritus associated with prurigo nodularis, including completing our Phase 2b/3 PRISM trial and at least one additional Phase 3 clinical trial in this indication and our continued development work in chronic cough in IPF;</w:t>
      </w:r>
    </w:p>
    <w:p>
      <w:pPr>
        <w:spacing w:after="0" w:line="79" w:lineRule="exact"/>
        <w:rPr>
          <w:rFonts w:ascii="Arial" w:cs="Arial" w:eastAsia="Arial" w:hAnsi="Arial"/>
          <w:sz w:val="18"/>
          <w:szCs w:val="18"/>
          <w:color w:val="auto"/>
        </w:rPr>
      </w:pPr>
    </w:p>
    <w:p>
      <w:pPr>
        <w:jc w:val="both"/>
        <w:ind w:left="960" w:right="200" w:hanging="399"/>
        <w:spacing w:after="0" w:line="342"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seek regulatory and marketing approvals for Haduvio for the treatment of pruritus associated with prurigo nodularis or chronic cough in IPF or for other serious neurologically mediated conditions or for any future product candidate that successfully completes clinical trials, if any;</w:t>
      </w:r>
    </w:p>
    <w:p>
      <w:pPr>
        <w:spacing w:after="0" w:line="15" w:lineRule="exact"/>
        <w:rPr>
          <w:rFonts w:ascii="Arial" w:cs="Arial" w:eastAsia="Arial" w:hAnsi="Arial"/>
          <w:sz w:val="16"/>
          <w:szCs w:val="16"/>
          <w:color w:val="auto"/>
        </w:rPr>
      </w:pPr>
    </w:p>
    <w:p>
      <w:pPr>
        <w:ind w:left="960" w:hanging="39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negotiate and execute pediatric development plans and complete any post-approval commitments;</w:t>
      </w:r>
    </w:p>
    <w:p>
      <w:pPr>
        <w:spacing w:after="0" w:line="117" w:lineRule="exact"/>
        <w:rPr>
          <w:rFonts w:ascii="Arial" w:cs="Arial" w:eastAsia="Arial" w:hAnsi="Arial"/>
          <w:sz w:val="18"/>
          <w:szCs w:val="18"/>
          <w:color w:val="auto"/>
        </w:rPr>
      </w:pPr>
    </w:p>
    <w:p>
      <w:pPr>
        <w:ind w:left="960" w:hanging="399"/>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62" w:lineRule="exact"/>
        <w:rPr>
          <w:rFonts w:ascii="Arial" w:cs="Arial" w:eastAsia="Arial" w:hAnsi="Arial"/>
          <w:sz w:val="18"/>
          <w:szCs w:val="18"/>
          <w:color w:val="auto"/>
        </w:rPr>
      </w:pPr>
    </w:p>
    <w:p>
      <w:pPr>
        <w:ind w:left="960" w:right="1000" w:hanging="399"/>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manufacture of larger quantities of Haduvio or any future product candidate for clinical development and, potentially, commercialization;</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regulatory and scientific personnel;</w:t>
      </w:r>
    </w:p>
    <w:p>
      <w:pPr>
        <w:spacing w:after="0" w:line="144" w:lineRule="exact"/>
        <w:rPr>
          <w:rFonts w:ascii="Arial" w:cs="Arial" w:eastAsia="Arial" w:hAnsi="Arial"/>
          <w:sz w:val="18"/>
          <w:szCs w:val="18"/>
          <w:color w:val="auto"/>
        </w:rPr>
      </w:pPr>
    </w:p>
    <w:p>
      <w:pPr>
        <w:ind w:left="960" w:right="160" w:hanging="399"/>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development program for Haduvio and for any future product candidates.</w:t>
      </w:r>
    </w:p>
    <w:p>
      <w:pPr>
        <w:spacing w:after="0" w:line="156" w:lineRule="exact"/>
        <w:rPr>
          <w:sz w:val="20"/>
          <w:szCs w:val="20"/>
          <w:color w:val="auto"/>
        </w:rPr>
      </w:pPr>
    </w:p>
    <w:p>
      <w:pPr>
        <w:ind w:right="20" w:firstLine="554"/>
        <w:spacing w:after="0" w:line="269" w:lineRule="auto"/>
        <w:rPr>
          <w:sz w:val="20"/>
          <w:szCs w:val="20"/>
          <w:color w:val="auto"/>
        </w:rPr>
      </w:pPr>
      <w:r>
        <w:rPr>
          <w:rFonts w:ascii="Arial" w:cs="Arial" w:eastAsia="Arial" w:hAnsi="Arial"/>
          <w:sz w:val="17"/>
          <w:szCs w:val="17"/>
          <w:color w:val="auto"/>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pruritus associated with prurigo nodularis, we will be required, at a minimum, to successfully complete our ongoing Phase 2b/3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expand our business, maintain our development efforts, develop a pipeline of product candidates or continue our operations.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87" w:lineRule="exact"/>
        <w:rPr>
          <w:sz w:val="20"/>
          <w:szCs w:val="20"/>
          <w:color w:val="auto"/>
        </w:rPr>
      </w:pPr>
    </w:p>
    <w:p>
      <w:pPr>
        <w:ind w:right="320" w:firstLine="554"/>
        <w:spacing w:after="0" w:line="311" w:lineRule="auto"/>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41" w:lineRule="exact"/>
        <w:rPr>
          <w:sz w:val="20"/>
          <w:szCs w:val="20"/>
          <w:color w:val="auto"/>
        </w:rPr>
      </w:pPr>
    </w:p>
    <w:p>
      <w:pPr>
        <w:ind w:right="400" w:firstLine="554"/>
        <w:spacing w:after="0" w:line="263"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identified conditions and events that raise substantial doubt about our ability to continue as a going concern.</w:t>
      </w:r>
    </w:p>
    <w:p>
      <w:pPr>
        <w:spacing w:after="0" w:line="117" w:lineRule="exact"/>
        <w:rPr>
          <w:sz w:val="20"/>
          <w:szCs w:val="20"/>
          <w:color w:val="auto"/>
        </w:rPr>
      </w:pPr>
    </w:p>
    <w:p>
      <w:pPr>
        <w:ind w:firstLine="554"/>
        <w:spacing w:after="0" w:line="254" w:lineRule="auto"/>
        <w:rPr>
          <w:sz w:val="20"/>
          <w:szCs w:val="20"/>
          <w:color w:val="auto"/>
        </w:rPr>
      </w:pPr>
      <w:r>
        <w:rPr>
          <w:rFonts w:ascii="Arial" w:cs="Arial" w:eastAsia="Arial" w:hAnsi="Arial"/>
          <w:sz w:val="18"/>
          <w:szCs w:val="18"/>
          <w:color w:val="auto"/>
        </w:rPr>
        <w:t>We believe there is substantial doubt about our ability to continue as a going concern as of the date of this Annual Report on Form 10-K without additional capital. See Note 1 to the Consolidated Financial Statements appearing elsewhere in this Annual Report on Form 10-K for additional information on our assessment. We plan to address this condition through the sale of common stock in public offerings and/or private placements, debt financings or other capital sources, including collaborations with other companies or other strategic transactions. If we are unable to obtain such funding and continue as a going concern, we might have to liquidate our assets and the values we receive for our assets in liquidation or dissolution could be significantly lower than the values reflected in our Consolidated Financial Statements. Our lack of cash resources and our conclusion that we may be unable to continue as a going concern may materially adversely affect our share price and our ability to raise new capital or to enter into critical contractual relationships with third parties.</w:t>
      </w:r>
    </w:p>
    <w:p>
      <w:pPr>
        <w:spacing w:after="0" w:line="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right="20" w:firstLine="554"/>
        <w:spacing w:after="0" w:line="296" w:lineRule="auto"/>
        <w:rPr>
          <w:sz w:val="20"/>
          <w:szCs w:val="20"/>
          <w:color w:val="auto"/>
        </w:rPr>
      </w:pPr>
      <w:r>
        <w:rPr>
          <w:rFonts w:ascii="Arial" w:cs="Arial" w:eastAsia="Arial" w:hAnsi="Arial"/>
          <w:sz w:val="16"/>
          <w:szCs w:val="16"/>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years ended December 31, 2021 and 2020, we used net cash of $28.9 million and $29.0 million, respectively, in our operating activities, substantially all of which related to development activities for Haduvio. As of December 31, 2021, our cash and cash equivalents were $36.8 million. We expect our expenses to increase substantially in connection with our ongoing activities, particularly as we continue to develop Haduvio, including as we:</w:t>
      </w:r>
    </w:p>
    <w:p>
      <w:pPr>
        <w:spacing w:after="0" w:line="53" w:lineRule="exact"/>
        <w:rPr>
          <w:sz w:val="20"/>
          <w:szCs w:val="20"/>
          <w:color w:val="auto"/>
        </w:rPr>
      </w:pPr>
    </w:p>
    <w:p>
      <w:pPr>
        <w:ind w:left="960" w:right="80" w:hanging="399"/>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our ongoing Phase 2b/3 PRISM trial and the additional Phase 3 clinical trial we believe we will need to conduct for Haduvio for the treatment of pruritus associated with prurigo nodularis;</w:t>
      </w:r>
    </w:p>
    <w:p>
      <w:pPr>
        <w:spacing w:after="0" w:line="62" w:lineRule="exact"/>
        <w:rPr>
          <w:rFonts w:ascii="Arial" w:cs="Arial" w:eastAsia="Arial" w:hAnsi="Arial"/>
          <w:sz w:val="18"/>
          <w:szCs w:val="18"/>
          <w:color w:val="auto"/>
        </w:rPr>
      </w:pPr>
    </w:p>
    <w:p>
      <w:pPr>
        <w:ind w:left="960" w:right="40" w:hanging="399"/>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our Phase 2 CANAL trial and begin the next trial we plan to conduct for Haduvio for the treatment of chronic cough associated with IPF, which we intend to design as a Phase 2b/3 trial; and</w:t>
      </w:r>
    </w:p>
    <w:p>
      <w:pPr>
        <w:spacing w:after="0" w:line="62" w:lineRule="exact"/>
        <w:rPr>
          <w:rFonts w:ascii="Arial" w:cs="Arial" w:eastAsia="Arial" w:hAnsi="Arial"/>
          <w:sz w:val="18"/>
          <w:szCs w:val="18"/>
          <w:color w:val="auto"/>
        </w:rPr>
      </w:pPr>
    </w:p>
    <w:p>
      <w:pPr>
        <w:ind w:left="960" w:right="140" w:hanging="399"/>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 and seek regulatory and marketing approvals for Haduvio or any future product candidate that successfully completes clinical trials, if any.</w:t>
      </w:r>
    </w:p>
    <w:p>
      <w:pPr>
        <w:spacing w:after="0" w:line="62" w:lineRule="exact"/>
        <w:rPr>
          <w:sz w:val="20"/>
          <w:szCs w:val="20"/>
          <w:color w:val="auto"/>
        </w:rPr>
      </w:pPr>
    </w:p>
    <w:p>
      <w:pPr>
        <w:ind w:right="120" w:firstLine="554"/>
        <w:spacing w:after="0" w:line="275" w:lineRule="auto"/>
        <w:rPr>
          <w:sz w:val="20"/>
          <w:szCs w:val="20"/>
          <w:color w:val="auto"/>
        </w:rPr>
      </w:pPr>
      <w:r>
        <w:rPr>
          <w:rFonts w:ascii="Arial" w:cs="Arial" w:eastAsia="Arial" w:hAnsi="Arial"/>
          <w:sz w:val="17"/>
          <w:szCs w:val="17"/>
          <w:color w:val="auto"/>
        </w:rPr>
        <w:t>In addition, we may incur additional expenses as a result of the COVID-19 pandemic and resulting clinical trial delays and interruptions. 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ind w:right="120"/>
        <w:spacing w:after="0" w:line="277" w:lineRule="auto"/>
        <w:rPr>
          <w:sz w:val="20"/>
          <w:szCs w:val="20"/>
          <w:color w:val="auto"/>
        </w:rPr>
      </w:pPr>
      <w:r>
        <w:rPr>
          <w:rFonts w:ascii="Arial" w:cs="Arial" w:eastAsia="Arial" w:hAnsi="Arial"/>
          <w:sz w:val="18"/>
          <w:szCs w:val="18"/>
          <w:color w:val="auto"/>
        </w:rPr>
        <w:t>continuing operations. If we are unable to raise sufficient capital when needed on acceptable terms or at all, we may be forced to delay, reduce or abandon our development programs or any future commercialization efforts.</w:t>
      </w:r>
    </w:p>
    <w:p>
      <w:pPr>
        <w:spacing w:after="0" w:line="62" w:lineRule="exact"/>
        <w:rPr>
          <w:sz w:val="20"/>
          <w:szCs w:val="20"/>
          <w:color w:val="auto"/>
        </w:rPr>
      </w:pPr>
    </w:p>
    <w:p>
      <w:pPr>
        <w:ind w:right="80" w:firstLine="554"/>
        <w:spacing w:after="0" w:line="290" w:lineRule="auto"/>
        <w:rPr>
          <w:sz w:val="20"/>
          <w:szCs w:val="20"/>
          <w:color w:val="auto"/>
        </w:rPr>
      </w:pPr>
      <w:r>
        <w:rPr>
          <w:rFonts w:ascii="Arial" w:cs="Arial" w:eastAsia="Arial" w:hAnsi="Arial"/>
          <w:sz w:val="16"/>
          <w:szCs w:val="16"/>
          <w:color w:val="auto"/>
        </w:rPr>
        <w:t>We plan to use our existing cash and cash equivalents to fund the development of Haduvio for the treatment of pruritus associated with prurigo nodularis, for the treatment of chronic cough in patients with IPF and for working capital and other general corporate purposes. We will be required to expend significant funds to advance the development of Haduvio in multiple indications, as well as any future product candidates we may seek to develop. Our existing cash and cash equivalents will not be sufficient to complete development of Haduvio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57" w:lineRule="exact"/>
        <w:rPr>
          <w:sz w:val="20"/>
          <w:szCs w:val="20"/>
          <w:color w:val="auto"/>
        </w:rPr>
      </w:pPr>
    </w:p>
    <w:p>
      <w:pPr>
        <w:ind w:firstLine="554"/>
        <w:spacing w:after="0" w:line="254"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the fourth quarter of 2022, without giving effect to the rights of SVB under the SVB Loan Agreement if we fail to receive positive data in our Phase 2b/3 PRISM trial or fail to raise sufficient net proceeds prior to June 30, 2022 from the sale of equity securities to finance our planned second Phase 3 clinical trial of Haduvio for prurigo nodularis and our ongoing operations, each of which we refer to as a Milestone Condition, or fail to maintain at least $20.0 million in unrestricted and unencumbered cash in our accounts with SVB at any time prior to the satisfaction of the Milestone Conditions. If we fail to achieve any of the Milestone Conditions and SVB cash collateralizes the amounts then owed to SVB under the SVB Loan Agreement or uses such amounts to prepay the SVB Term Loan, the period for which we will be able to fund our operating expenses and capital expenditure requirements will be significantly shorter.</w:t>
      </w:r>
    </w:p>
    <w:p>
      <w:pPr>
        <w:spacing w:after="0" w:line="84" w:lineRule="exact"/>
        <w:rPr>
          <w:sz w:val="20"/>
          <w:szCs w:val="20"/>
          <w:color w:val="auto"/>
        </w:rPr>
      </w:pPr>
    </w:p>
    <w:p>
      <w:pPr>
        <w:ind w:right="100" w:firstLine="554"/>
        <w:spacing w:after="0" w:line="255"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In addition, under the terms of the Securities Purchase Agreements we entered into with our October 2021 Private Placements, until April 5, 2023, we are prohibited from obtaining additional financing through a variable rate transaction such as an equity line of credit. Our failure to raise capital as and when needed would have a negative impact on our financial condition and our ability to pursue our business strategy.</w:t>
      </w:r>
    </w:p>
    <w:p>
      <w:pPr>
        <w:spacing w:after="0" w:line="84" w:lineRule="exact"/>
        <w:rPr>
          <w:sz w:val="20"/>
          <w:szCs w:val="20"/>
          <w:color w:val="auto"/>
        </w:rPr>
      </w:pPr>
    </w:p>
    <w:p>
      <w:pPr>
        <w:ind w:right="200" w:firstLine="554"/>
        <w:spacing w:after="0" w:line="263" w:lineRule="auto"/>
        <w:rPr>
          <w:sz w:val="20"/>
          <w:szCs w:val="20"/>
          <w:color w:val="auto"/>
        </w:rPr>
      </w:pPr>
      <w:r>
        <w:rPr>
          <w:rFonts w:ascii="Arial" w:cs="Arial" w:eastAsia="Arial" w:hAnsi="Arial"/>
          <w:sz w:val="18"/>
          <w:szCs w:val="18"/>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76" w:lineRule="exact"/>
        <w:rPr>
          <w:sz w:val="20"/>
          <w:szCs w:val="20"/>
          <w:color w:val="auto"/>
        </w:rPr>
      </w:pPr>
    </w:p>
    <w:p>
      <w:pPr>
        <w:ind w:left="960" w:right="300" w:hanging="399"/>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Haduvio for the treatment of pruritus associated with prurigo nodularis, as well as the scope, progress, timing, costs and results of clinical trials of Haduvio for chronic cough associated with IPF and other serious neurologically mediated conditions;</w:t>
      </w:r>
    </w:p>
    <w:p>
      <w:pPr>
        <w:spacing w:after="0" w:line="75" w:lineRule="exact"/>
        <w:rPr>
          <w:rFonts w:ascii="Arial" w:cs="Arial" w:eastAsia="Arial" w:hAnsi="Arial"/>
          <w:sz w:val="18"/>
          <w:szCs w:val="18"/>
          <w:color w:val="auto"/>
        </w:rPr>
      </w:pPr>
    </w:p>
    <w:p>
      <w:pPr>
        <w:ind w:left="960" w:right="680" w:hanging="399"/>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impacts of the COVID-19 pandemic on the scope, progress, timing, costs and results of our ongoing and planned clinical trials of Haduvio;</w:t>
      </w:r>
    </w:p>
    <w:p>
      <w:pPr>
        <w:spacing w:after="0" w:line="62" w:lineRule="exact"/>
        <w:rPr>
          <w:rFonts w:ascii="Arial" w:cs="Arial" w:eastAsia="Arial" w:hAnsi="Arial"/>
          <w:sz w:val="18"/>
          <w:szCs w:val="18"/>
          <w:color w:val="auto"/>
        </w:rPr>
      </w:pPr>
    </w:p>
    <w:p>
      <w:pPr>
        <w:ind w:left="960" w:right="380" w:hanging="399"/>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960" w:right="140" w:hanging="399"/>
        <w:spacing w:after="0" w:line="308"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outcome, timing and costs of clinical and nonclinical trials and of seeking regulatory approvals, including the costs of supportive clinical studies such as our planned human abuse liability, or HAL, study and a potential Thorough QT, or TQT, study;</w:t>
      </w:r>
    </w:p>
    <w:p>
      <w:pPr>
        <w:spacing w:after="0" w:line="38" w:lineRule="exact"/>
        <w:rPr>
          <w:rFonts w:ascii="Arial" w:cs="Arial" w:eastAsia="Arial" w:hAnsi="Arial"/>
          <w:sz w:val="17"/>
          <w:szCs w:val="17"/>
          <w:color w:val="auto"/>
        </w:rPr>
      </w:pPr>
    </w:p>
    <w:p>
      <w:pPr>
        <w:ind w:left="960" w:right="440" w:hanging="399"/>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960" w:right="60" w:hanging="399"/>
        <w:spacing w:after="0" w:line="31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costs of commercialization activities for Haduvio for the treatment of pruritus associated with prurigo nodularis, chronic cough associated with IPF,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40" w:lineRule="exact"/>
        <w:rPr>
          <w:rFonts w:ascii="Arial" w:cs="Arial" w:eastAsia="Arial" w:hAnsi="Arial"/>
          <w:sz w:val="16"/>
          <w:szCs w:val="16"/>
          <w:color w:val="auto"/>
        </w:rPr>
      </w:pPr>
    </w:p>
    <w:p>
      <w:pPr>
        <w:ind w:left="960" w:right="80" w:hanging="399"/>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receipt of marketing approvals, revenue, if any, received from commercial sales of Haduvio for the treatment of pruritus associated with prurigo nodularis or chronic cough associated with IPF or for any other serious neurologically mediated conditions or from any future product candidates;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3" w:name="page44"/>
    <w:bookmarkEnd w:id="43"/>
    <w:p>
      <w:pPr>
        <w:ind w:left="960" w:right="260" w:hanging="399"/>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chronic cough associated with IPF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960" w:right="140" w:hanging="399"/>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67" w:lineRule="exact"/>
        <w:rPr>
          <w:rFonts w:ascii="Arial" w:cs="Arial" w:eastAsia="Arial" w:hAnsi="Arial"/>
          <w:sz w:val="16"/>
          <w:szCs w:val="16"/>
          <w:color w:val="auto"/>
        </w:rPr>
      </w:pPr>
    </w:p>
    <w:p>
      <w:pPr>
        <w:ind w:left="960" w:right="240" w:hanging="399"/>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 or restrict our future operations.</w:t>
      </w:r>
    </w:p>
    <w:p>
      <w:pPr>
        <w:spacing w:after="0" w:line="117" w:lineRule="exact"/>
        <w:rPr>
          <w:sz w:val="20"/>
          <w:szCs w:val="20"/>
          <w:color w:val="auto"/>
        </w:rPr>
      </w:pPr>
    </w:p>
    <w:p>
      <w:pPr>
        <w:ind w:firstLine="554"/>
        <w:spacing w:after="0" w:line="286" w:lineRule="auto"/>
        <w:rPr>
          <w:sz w:val="20"/>
          <w:szCs w:val="20"/>
          <w:color w:val="auto"/>
        </w:rPr>
      </w:pPr>
      <w:r>
        <w:rPr>
          <w:rFonts w:ascii="Arial" w:cs="Arial" w:eastAsia="Arial" w:hAnsi="Arial"/>
          <w:sz w:val="16"/>
          <w:szCs w:val="16"/>
          <w:color w:val="auto"/>
        </w:rPr>
        <w:t>On August 13, 2020, we entered into a Loan and Security Agreement, or the SVB Loan Agreement with Silicon Valley Bank, or SVB, pursuant to which SVB provided a term loan to us in the original principal amount of $14.0 million, or the SVB Term Loan. In July 2021, we entered into the Loan Amendment. The SVB Term Loan bears interest at a floating rate per annum equal to the greater of (A) the prime rate plus 1.00% and (B) 4.25%. If SVB receives evidence satisfactory to it that we have (i) received positive data for the Phase 2b/3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 (B) 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w:t>
      </w:r>
    </w:p>
    <w:p>
      <w:pPr>
        <w:spacing w:after="0" w:line="59" w:lineRule="exact"/>
        <w:rPr>
          <w:sz w:val="20"/>
          <w:szCs w:val="20"/>
          <w:color w:val="auto"/>
        </w:rPr>
      </w:pPr>
    </w:p>
    <w:p>
      <w:pPr>
        <w:ind w:firstLine="554"/>
        <w:spacing w:after="0" w:line="272" w:lineRule="auto"/>
        <w:rPr>
          <w:sz w:val="20"/>
          <w:szCs w:val="20"/>
          <w:color w:val="auto"/>
        </w:rPr>
      </w:pPr>
      <w:r>
        <w:rPr>
          <w:rFonts w:ascii="Arial" w:cs="Arial" w:eastAsia="Arial" w:hAnsi="Arial"/>
          <w:sz w:val="17"/>
          <w:szCs w:val="17"/>
          <w:color w:val="auto"/>
        </w:rPr>
        <w:t>Additionally, under the Loan Amendment, if we fail to achieve the Milestone Conditions, we will be required to deposit unrestricted and unencumbered cash equal to 100% of the principal amount of the SVB Term Loan then outstanding and the final payment fee in a cash collateral account with SVB, which can be used by SVB to prepay the SVB Term Loan at any time. In addition, if we fail to maintain at least $20.0 million in unrestricted and unencumbered cash in our accounts with SVB at any time prior to the satisfaction of all the Milestone Conditions, we will be required to cash collateralize all outstanding amounts owed to SVB under the SVB Loan Agreement. We were also required under the Loan Amendment to raise at least $15.0 million in net proceeds from the sale of equity securities from June 1, 2021 through October 31, 2021, which requirement was met through a combination of equity issuances under our ATM Sales Agreement and the proceeds from our October 2021 Private Placements.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debt combined with our other financial obligations and contractual commitments could have significant adverse consequences, including:</w:t>
      </w:r>
    </w:p>
    <w:p>
      <w:pPr>
        <w:spacing w:after="0" w:line="129" w:lineRule="exact"/>
        <w:rPr>
          <w:sz w:val="20"/>
          <w:szCs w:val="20"/>
          <w:color w:val="auto"/>
        </w:rPr>
      </w:pPr>
    </w:p>
    <w:p>
      <w:pPr>
        <w:ind w:left="960" w:hanging="399"/>
        <w:spacing w:after="0" w:line="30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and cash equivalents to the payment of interest on and principal of our debt, or maintain a substantial portion of our cash and cash equivalents in cash collateral accounts controlled by our lenders to secure repayment of our debt (which may be used by our lenders to prepay the debt if certain requirements relating to raising equity are not met), which will reduce the amounts available to fund working capital, capital expenditures, product development efforts and other general corporate purposes;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ind w:left="960" w:right="220" w:hanging="399"/>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obligating us to negative covenants restricting our activities, including the negative covenants to which we are subject under the SVB Loan Agreement; and</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144" w:lineRule="exact"/>
        <w:rPr>
          <w:sz w:val="20"/>
          <w:szCs w:val="20"/>
          <w:color w:val="auto"/>
        </w:rPr>
      </w:pPr>
    </w:p>
    <w:p>
      <w:pPr>
        <w:ind w:firstLine="554"/>
        <w:spacing w:after="0" w:line="286" w:lineRule="auto"/>
        <w:rPr>
          <w:sz w:val="20"/>
          <w:szCs w:val="20"/>
          <w:color w:val="auto"/>
        </w:rPr>
      </w:pPr>
      <w:r>
        <w:rPr>
          <w:rFonts w:ascii="Arial" w:cs="Arial" w:eastAsia="Arial" w:hAnsi="Arial"/>
          <w:sz w:val="16"/>
          <w:szCs w:val="16"/>
          <w:color w:val="auto"/>
        </w:rPr>
        <w:t>We intend to satisfy our debt service obligations with our existing cash and cash equivalents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In addition, as discussed above, a failure to satisfy any Milestone Condition or to maintain at least $20.0 million in unrestricted and unencumbered cash in our accounts with SVB at any time prior to satisfaction of all of the Milestone Conditions could result in us having to deposit unrestricted and unencumbered cash equal to 100% of the principal amount of the SVB Term Loan then outstanding and the final payment fee in a cash collateral account with SVB, which can be used by SVB to prepay the SVB Term Loan at any time.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 Agreement and the pledge of substantially all our assets, excluding our intellectual property (which is subject to a negative pledge under the SVB Loan Agreement), as collateral on the SVB Term Loan may limit our ability to obtain additional debt financing.</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Raising additional capital may cause dilution to our stockholders, restrict our operations or require us to relinquish rights to our product candidates.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our expenses to increase substantially in connection with our planned operations, particularly as we conduct:</w:t>
      </w:r>
    </w:p>
    <w:p>
      <w:pPr>
        <w:spacing w:after="0" w:line="117" w:lineRule="exact"/>
        <w:rPr>
          <w:sz w:val="20"/>
          <w:szCs w:val="20"/>
          <w:color w:val="auto"/>
        </w:rPr>
      </w:pPr>
    </w:p>
    <w:p>
      <w:pPr>
        <w:ind w:left="960" w:hanging="39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ongoing Phase 2b/3 PRISM trial;</w:t>
      </w:r>
    </w:p>
    <w:p>
      <w:pPr>
        <w:spacing w:after="0" w:line="144" w:lineRule="exact"/>
        <w:rPr>
          <w:rFonts w:ascii="Arial" w:cs="Arial" w:eastAsia="Arial" w:hAnsi="Arial"/>
          <w:sz w:val="18"/>
          <w:szCs w:val="18"/>
          <w:color w:val="auto"/>
        </w:rPr>
      </w:pPr>
    </w:p>
    <w:p>
      <w:pPr>
        <w:ind w:left="960" w:right="480" w:hanging="399"/>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additional Phase 3 clinical trial we believe we will need to conduct for Haduvio for the treatment of pruritus associated with prurigo nodularis;</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ongoing Phase 2 CANAL trial;</w:t>
      </w:r>
    </w:p>
    <w:p>
      <w:pPr>
        <w:spacing w:after="0" w:line="144" w:lineRule="exact"/>
        <w:rPr>
          <w:rFonts w:ascii="Arial" w:cs="Arial" w:eastAsia="Arial" w:hAnsi="Arial"/>
          <w:sz w:val="18"/>
          <w:szCs w:val="18"/>
          <w:color w:val="auto"/>
        </w:rPr>
      </w:pPr>
    </w:p>
    <w:p>
      <w:pPr>
        <w:ind w:left="960" w:right="180" w:hanging="399"/>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next study we plan to conduct for Haduvio for the treatment of chronic cough associated with IPF, which we intend to design as a Phase 2b/3 trial; and</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Haduvio for the treatment of other serious neurologically mediated conditions.</w:t>
      </w:r>
    </w:p>
    <w:p>
      <w:pPr>
        <w:spacing w:after="0" w:line="144" w:lineRule="exact"/>
        <w:rPr>
          <w:sz w:val="20"/>
          <w:szCs w:val="20"/>
          <w:color w:val="auto"/>
        </w:rPr>
      </w:pPr>
    </w:p>
    <w:p>
      <w:pPr>
        <w:ind w:right="120" w:firstLine="554"/>
        <w:spacing w:after="0" w:line="275" w:lineRule="auto"/>
        <w:rPr>
          <w:sz w:val="20"/>
          <w:szCs w:val="20"/>
          <w:color w:val="auto"/>
        </w:rPr>
      </w:pPr>
      <w:r>
        <w:rPr>
          <w:rFonts w:ascii="Arial" w:cs="Arial" w:eastAsia="Arial" w:hAnsi="Arial"/>
          <w:sz w:val="17"/>
          <w:szCs w:val="17"/>
          <w:color w:val="auto"/>
        </w:rPr>
        <w:t>Accordingly, we will be required to obtain further funding through public or private equity offerings, debt financings, collaborations and licensing arrangements or other sources to fund these expenses and to satisfy the requirements under the SVB Loan Agreement, including the requirement to raise substantial additional capital by June 30, 2022.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68"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Our ability to obtain further debt financing may be limited by the covenants under the SVB Loan Agreement, which include a covenant not to incur additional indebtedness as well as the pledge of substantially all our assets, excluding our intellectual property (which is subject to a negative pledge under the SVB Loan Agreement), as collateral on the SVB Term Loan. In addition, further debt 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spacing w:after="0" w:line="87" w:lineRule="exact"/>
        <w:rPr>
          <w:sz w:val="20"/>
          <w:szCs w:val="20"/>
          <w:color w:val="auto"/>
        </w:rPr>
      </w:pPr>
    </w:p>
    <w:p>
      <w:pPr>
        <w:ind w:firstLine="554"/>
        <w:spacing w:after="0" w:line="279" w:lineRule="auto"/>
        <w:rPr>
          <w:sz w:val="20"/>
          <w:szCs w:val="20"/>
          <w:color w:val="auto"/>
        </w:rPr>
      </w:pPr>
      <w:r>
        <w:rPr>
          <w:rFonts w:ascii="Arial" w:cs="Arial" w:eastAsia="Arial" w:hAnsi="Arial"/>
          <w:sz w:val="17"/>
          <w:szCs w:val="17"/>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the Development and Commercialization of Haduvio and Any Future Product Candidates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currently have no products approved for sale and are investing substantially all our efforts and financial resources to fund the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Haduvio for multiple serious neurologically mediated conditions. Our prospects are dependent on our ability to develop, obtain marketing approval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successfully commercialize Haduvio in one or more indications as we currently have no other product candidates under development. We may acquire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in-license rights to other potential product candidates or technologies in the future, but we are currently not developing any other product candidates.</w:t>
      </w:r>
    </w:p>
    <w:p>
      <w:pPr>
        <w:spacing w:after="0" w:line="126" w:lineRule="exact"/>
        <w:rPr>
          <w:sz w:val="20"/>
          <w:szCs w:val="20"/>
          <w:color w:val="auto"/>
        </w:rPr>
      </w:pPr>
    </w:p>
    <w:p>
      <w:pPr>
        <w:jc w:val="both"/>
        <w:ind w:right="240" w:firstLine="554"/>
        <w:spacing w:after="0" w:line="279" w:lineRule="auto"/>
        <w:rPr>
          <w:sz w:val="20"/>
          <w:szCs w:val="20"/>
          <w:color w:val="auto"/>
        </w:rPr>
      </w:pPr>
      <w:r>
        <w:rPr>
          <w:rFonts w:ascii="Arial" w:cs="Arial" w:eastAsia="Arial" w:hAnsi="Arial"/>
          <w:sz w:val="17"/>
          <w:szCs w:val="17"/>
          <w:color w:val="auto"/>
        </w:rPr>
        <w:t>Our most advanced programs are the development of Haduvio for the treatment of pruritus associated with prurigo nodularis and chronic cough associated with IPF, as our efforts to develop Haduvio for other serious neurologically mediated conditions are only at an early stage. As a result, if our efforts to develop and commercialize Haduvio for the treatment of pruritus associated with prurigo nodularis or chronic cough associated with IPF are unsuccessful or we experience significant delays in doing so, our business could also be substantially harmed.</w:t>
      </w:r>
    </w:p>
    <w:p>
      <w:pPr>
        <w:spacing w:after="0" w:line="63" w:lineRule="exact"/>
        <w:rPr>
          <w:sz w:val="20"/>
          <w:szCs w:val="20"/>
          <w:color w:val="auto"/>
        </w:rPr>
      </w:pPr>
    </w:p>
    <w:p>
      <w:pPr>
        <w:ind w:right="100" w:firstLine="554"/>
        <w:spacing w:after="0" w:line="277" w:lineRule="auto"/>
        <w:rPr>
          <w:sz w:val="20"/>
          <w:szCs w:val="20"/>
          <w:color w:val="auto"/>
        </w:rPr>
      </w:pPr>
      <w:r>
        <w:rPr>
          <w:rFonts w:ascii="Arial" w:cs="Arial" w:eastAsia="Arial" w:hAnsi="Arial"/>
          <w:sz w:val="18"/>
          <w:szCs w:val="18"/>
          <w:color w:val="auto"/>
        </w:rPr>
        <w:t>The success of Haduvio for the treatment of pruritus associated with prurigo nodularis and chronic cough associated with IPF, as well as for other serious neurologically mediated conditions, will depend on several factors, including the following:</w:t>
      </w:r>
    </w:p>
    <w:p>
      <w:pPr>
        <w:spacing w:after="0" w:line="62" w:lineRule="exact"/>
        <w:rPr>
          <w:sz w:val="20"/>
          <w:szCs w:val="20"/>
          <w:color w:val="auto"/>
        </w:rPr>
      </w:pPr>
    </w:p>
    <w:p>
      <w:pPr>
        <w:ind w:left="960" w:hanging="399"/>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retaining subjects in and completing our Phase 2b/3 PRISM trial and our Phase 2 CANAL trial;</w:t>
      </w:r>
    </w:p>
    <w:p>
      <w:pPr>
        <w:spacing w:after="0" w:line="144" w:lineRule="exact"/>
        <w:rPr>
          <w:rFonts w:ascii="Arial" w:cs="Arial" w:eastAsia="Arial" w:hAnsi="Arial"/>
          <w:sz w:val="18"/>
          <w:szCs w:val="18"/>
          <w:color w:val="auto"/>
        </w:rPr>
      </w:pPr>
    </w:p>
    <w:p>
      <w:pPr>
        <w:ind w:left="960" w:right="60" w:hanging="399"/>
        <w:spacing w:after="0" w:line="311"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initiating and successfully recruiting, enrolling and retaining subjects in and completing additional clinical and nonclinical trials of Haduvio, including the additional Phase 3 clinical trial we believe we will need to conduct for Haduvio for the treatment of pruritus associated with prurigo nodularis and the additional clinical trials we plan to conduct for the treatment of chronic cough associated with IPF;</w:t>
      </w:r>
    </w:p>
    <w:p>
      <w:pPr>
        <w:spacing w:after="0" w:line="40" w:lineRule="exact"/>
        <w:rPr>
          <w:rFonts w:ascii="Arial" w:cs="Arial" w:eastAsia="Arial" w:hAnsi="Arial"/>
          <w:sz w:val="16"/>
          <w:szCs w:val="16"/>
          <w:color w:val="auto"/>
        </w:rPr>
      </w:pPr>
    </w:p>
    <w:p>
      <w:pPr>
        <w:ind w:left="960" w:right="200" w:hanging="399"/>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of other supportive clinical studies such as our planned HAL study, a potential physical dependence study and a potential TQT study;</w:t>
      </w:r>
    </w:p>
    <w:p>
      <w:pPr>
        <w:spacing w:after="0" w:line="62" w:lineRule="exact"/>
        <w:rPr>
          <w:rFonts w:ascii="Arial" w:cs="Arial" w:eastAsia="Arial" w:hAnsi="Arial"/>
          <w:sz w:val="18"/>
          <w:szCs w:val="18"/>
          <w:color w:val="auto"/>
        </w:rPr>
      </w:pPr>
    </w:p>
    <w:p>
      <w:pPr>
        <w:ind w:left="960" w:right="40" w:hanging="399"/>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and maintaining arrangements with our third-party supplier of drug substance for Haduvio;</w:t>
      </w:r>
    </w:p>
    <w:p>
      <w:pPr>
        <w:spacing w:after="0" w:line="144" w:lineRule="exact"/>
        <w:rPr>
          <w:rFonts w:ascii="Arial" w:cs="Arial" w:eastAsia="Arial" w:hAnsi="Arial"/>
          <w:sz w:val="18"/>
          <w:szCs w:val="18"/>
          <w:color w:val="auto"/>
        </w:rPr>
      </w:pPr>
    </w:p>
    <w:p>
      <w:pPr>
        <w:ind w:left="960" w:right="220" w:hanging="399"/>
        <w:spacing w:after="0" w:line="308" w:lineRule="auto"/>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38" w:lineRule="exact"/>
        <w:rPr>
          <w:rFonts w:ascii="Arial" w:cs="Arial" w:eastAsia="Arial" w:hAnsi="Arial"/>
          <w:sz w:val="17"/>
          <w:szCs w:val="17"/>
          <w:color w:val="auto"/>
        </w:rPr>
      </w:pPr>
    </w:p>
    <w:p>
      <w:pPr>
        <w:ind w:left="960" w:hanging="399"/>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maintaining and protecting our patents, trade secrets and regulatory exclusivity in the U.S. and other countries;</w:t>
      </w:r>
    </w:p>
    <w:p>
      <w:pPr>
        <w:spacing w:after="0" w:line="144" w:lineRule="exact"/>
        <w:rPr>
          <w:rFonts w:ascii="Arial" w:cs="Arial" w:eastAsia="Arial" w:hAnsi="Arial"/>
          <w:sz w:val="18"/>
          <w:szCs w:val="18"/>
          <w:color w:val="auto"/>
        </w:rPr>
      </w:pPr>
    </w:p>
    <w:p>
      <w:pPr>
        <w:ind w:left="960" w:right="600" w:hanging="399"/>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 focused, specialty sales organization in the U.S. and successfully launching commercial sales following any marketing approval;</w:t>
      </w:r>
    </w:p>
    <w:p>
      <w:pPr>
        <w:spacing w:after="0" w:line="62" w:lineRule="exact"/>
        <w:rPr>
          <w:rFonts w:ascii="Arial" w:cs="Arial" w:eastAsia="Arial" w:hAnsi="Arial"/>
          <w:sz w:val="18"/>
          <w:szCs w:val="18"/>
          <w:color w:val="auto"/>
        </w:rPr>
      </w:pPr>
    </w:p>
    <w:p>
      <w:pPr>
        <w:ind w:left="960" w:right="60" w:hanging="399"/>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44" w:lineRule="exact"/>
        <w:rPr>
          <w:sz w:val="20"/>
          <w:szCs w:val="20"/>
          <w:color w:val="auto"/>
        </w:rPr>
      </w:pPr>
    </w:p>
    <w:p>
      <w:pPr>
        <w:ind w:firstLine="554"/>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Our approach to the development and commercialization of Haduvio to treat serious neurologically mediated conditions is unproven.</w:t>
      </w:r>
    </w:p>
    <w:p>
      <w:pPr>
        <w:spacing w:after="0" w:line="129"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We are currently focused on the development and commercialization of Haduvio to treat serious neurologically mediated conditions.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pruritus, chronic cough, and other serious neurologically mediated conditions and that Haduvio has the potential to be safe and well-tolerated, nalbuphine has not been approved in any indications other than pain. Additionally, Haduvio has not been approved in any indication. No therapies have been approved in the U.S. or Europe for the treatment of severe pruritus in prurigo nodularis or chronic cough in IPF and we can provide no assurance that either Haduvio or any other future product candidate that we may seek to develop for this indication or for any other serious neurologically mediated condition will be effective or safe, obtain regulatory approval or be commercially successful.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jc w:val="both"/>
        <w:ind w:right="180" w:firstLine="554"/>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U.S. without obtaining marketing approval from the FDA. Foreign regulatory authorities, such as the EMA,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79" w:lineRule="exact"/>
        <w:rPr>
          <w:sz w:val="20"/>
          <w:szCs w:val="20"/>
          <w:color w:val="auto"/>
        </w:rPr>
      </w:pPr>
    </w:p>
    <w:p>
      <w:pPr>
        <w:ind w:right="180" w:firstLine="554"/>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9" w:lineRule="exact"/>
        <w:rPr>
          <w:sz w:val="20"/>
          <w:szCs w:val="20"/>
          <w:color w:val="auto"/>
        </w:rPr>
      </w:pPr>
    </w:p>
    <w:p>
      <w:pPr>
        <w:ind w:left="960" w:hanging="399"/>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may produce unfavorable or inconclusive results;</w:t>
      </w:r>
    </w:p>
    <w:p>
      <w:pPr>
        <w:spacing w:after="0" w:line="144" w:lineRule="exact"/>
        <w:rPr>
          <w:rFonts w:ascii="Arial" w:cs="Arial" w:eastAsia="Arial" w:hAnsi="Arial"/>
          <w:sz w:val="18"/>
          <w:szCs w:val="18"/>
          <w:color w:val="auto"/>
        </w:rPr>
      </w:pPr>
    </w:p>
    <w:p>
      <w:pPr>
        <w:ind w:left="960" w:right="60" w:hanging="399"/>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62" w:lineRule="exact"/>
        <w:rPr>
          <w:rFonts w:ascii="Arial" w:cs="Arial" w:eastAsia="Arial" w:hAnsi="Arial"/>
          <w:sz w:val="18"/>
          <w:szCs w:val="18"/>
          <w:color w:val="auto"/>
        </w:rPr>
      </w:pPr>
    </w:p>
    <w:p>
      <w:pPr>
        <w:ind w:left="960" w:right="160" w:hanging="399"/>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may be larger than we anticipate, such as with the increase of the target number of enrolled subjects for our Phase 2b/3 PRISM trial from 240 to 360 subjects as a result of the SSRE analysis;</w:t>
      </w:r>
    </w:p>
    <w:p>
      <w:pPr>
        <w:spacing w:after="0" w:line="62" w:lineRule="exact"/>
        <w:rPr>
          <w:rFonts w:ascii="Arial" w:cs="Arial" w:eastAsia="Arial" w:hAnsi="Arial"/>
          <w:sz w:val="18"/>
          <w:szCs w:val="18"/>
          <w:color w:val="auto"/>
        </w:rPr>
      </w:pPr>
    </w:p>
    <w:p>
      <w:pPr>
        <w:ind w:left="960" w:right="240" w:hanging="399"/>
        <w:spacing w:after="0" w:line="26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enrollment in these clinical trials may be slower than we anticipate, whether as a result of the COVID-19 pandemic or otherwise, or participants may discontinue their participation in these clinical trials at a higher rate than we anticipate, as we experienced in our Phase 2 clinical trial of Haduvio for the treatment of pruritus associated with prurigo nodularis;</w:t>
      </w:r>
    </w:p>
    <w:p>
      <w:pPr>
        <w:spacing w:after="0" w:line="75" w:lineRule="exact"/>
        <w:rPr>
          <w:rFonts w:ascii="Arial" w:cs="Arial" w:eastAsia="Arial" w:hAnsi="Arial"/>
          <w:sz w:val="18"/>
          <w:szCs w:val="18"/>
          <w:color w:val="auto"/>
        </w:rPr>
      </w:pPr>
    </w:p>
    <w:p>
      <w:pPr>
        <w:ind w:left="960" w:right="200" w:hanging="399"/>
        <w:spacing w:after="0" w:line="26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planned clinical trials may be greater than we anticipate, as we have experienced in our Phase 2b/3 PRISM trial as we added additional sites, increased the target number of enrolled subjects as a result of the SSRE analysis, enrollment has taken longer than expected and we have used additional incentive strategies to address site activation and enrollment;</w:t>
      </w:r>
    </w:p>
    <w:p>
      <w:pPr>
        <w:spacing w:after="0" w:line="75" w:lineRule="exact"/>
        <w:rPr>
          <w:rFonts w:ascii="Arial" w:cs="Arial" w:eastAsia="Arial" w:hAnsi="Arial"/>
          <w:sz w:val="18"/>
          <w:szCs w:val="18"/>
          <w:color w:val="auto"/>
        </w:rPr>
      </w:pPr>
    </w:p>
    <w:p>
      <w:pPr>
        <w:ind w:left="960" w:hanging="399"/>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clinical trials sites may not have adequate staff and resources to support our trials on a timely basis;</w:t>
      </w:r>
    </w:p>
    <w:p>
      <w:pPr>
        <w:spacing w:after="0" w:line="144" w:lineRule="exact"/>
        <w:rPr>
          <w:rFonts w:ascii="Arial" w:cs="Arial" w:eastAsia="Arial" w:hAnsi="Arial"/>
          <w:sz w:val="18"/>
          <w:szCs w:val="18"/>
          <w:color w:val="auto"/>
        </w:rPr>
      </w:pPr>
    </w:p>
    <w:p>
      <w:pPr>
        <w:ind w:left="960" w:right="20" w:hanging="399"/>
        <w:spacing w:after="0" w:line="26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75" w:lineRule="exact"/>
        <w:rPr>
          <w:rFonts w:ascii="Arial" w:cs="Arial" w:eastAsia="Arial" w:hAnsi="Arial"/>
          <w:sz w:val="18"/>
          <w:szCs w:val="18"/>
          <w:color w:val="auto"/>
        </w:rPr>
      </w:pPr>
    </w:p>
    <w:p>
      <w:pPr>
        <w:ind w:left="960" w:right="220" w:hanging="399"/>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60" w:right="820" w:hanging="399"/>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960" w:right="240" w:hanging="399"/>
        <w:spacing w:after="0" w:line="26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subjects who enroll in a clinical trial may misrepresent their eligibility to do so or may otherwise not comply with applicable clinical trial protocols, resulting in the need to drop the subjects from the clinical trial, increase the needed enrollment size for the clinical trial or extend the clinical trial’s duration;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ind w:left="960" w:right="240" w:hanging="399"/>
        <w:spacing w:after="0" w:line="308"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38" w:lineRule="exact"/>
        <w:rPr>
          <w:rFonts w:ascii="Arial" w:cs="Arial" w:eastAsia="Arial" w:hAnsi="Arial"/>
          <w:sz w:val="17"/>
          <w:szCs w:val="17"/>
          <w:color w:val="auto"/>
        </w:rPr>
      </w:pPr>
    </w:p>
    <w:p>
      <w:pPr>
        <w:ind w:left="960" w:right="220" w:hanging="399"/>
        <w:spacing w:after="0" w:line="279"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63" w:lineRule="exact"/>
        <w:rPr>
          <w:rFonts w:ascii="Arial" w:cs="Arial" w:eastAsia="Arial" w:hAnsi="Arial"/>
          <w:sz w:val="17"/>
          <w:szCs w:val="17"/>
          <w:color w:val="auto"/>
        </w:rPr>
      </w:pPr>
    </w:p>
    <w:p>
      <w:pPr>
        <w:ind w:left="960" w:hanging="399"/>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62" w:lineRule="exact"/>
        <w:rPr>
          <w:rFonts w:ascii="Arial" w:cs="Arial" w:eastAsia="Arial" w:hAnsi="Arial"/>
          <w:sz w:val="18"/>
          <w:szCs w:val="18"/>
          <w:color w:val="auto"/>
        </w:rPr>
      </w:pPr>
    </w:p>
    <w:p>
      <w:pPr>
        <w:ind w:left="960" w:right="380" w:hanging="399"/>
        <w:spacing w:after="0" w:line="308"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38" w:lineRule="exact"/>
        <w:rPr>
          <w:rFonts w:ascii="Arial" w:cs="Arial" w:eastAsia="Arial" w:hAnsi="Arial"/>
          <w:sz w:val="17"/>
          <w:szCs w:val="17"/>
          <w:color w:val="auto"/>
        </w:rPr>
      </w:pPr>
    </w:p>
    <w:p>
      <w:pPr>
        <w:ind w:left="960" w:right="280" w:hanging="399"/>
        <w:spacing w:after="0" w:line="263"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75" w:lineRule="exact"/>
        <w:rPr>
          <w:rFonts w:ascii="Arial" w:cs="Arial" w:eastAsia="Arial" w:hAnsi="Arial"/>
          <w:sz w:val="18"/>
          <w:szCs w:val="18"/>
          <w:color w:val="auto"/>
        </w:rPr>
      </w:pPr>
    </w:p>
    <w:p>
      <w:pPr>
        <w:ind w:left="960" w:right="340" w:hanging="399"/>
        <w:spacing w:after="0" w:line="342"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15" w:lineRule="exact"/>
        <w:rPr>
          <w:rFonts w:ascii="Arial" w:cs="Arial" w:eastAsia="Arial" w:hAnsi="Arial"/>
          <w:sz w:val="16"/>
          <w:szCs w:val="16"/>
          <w:color w:val="auto"/>
        </w:rPr>
      </w:pPr>
    </w:p>
    <w:p>
      <w:pPr>
        <w:ind w:left="960" w:right="460" w:hanging="399"/>
        <w:spacing w:after="0" w:line="263"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76" w:lineRule="exact"/>
        <w:rPr>
          <w:sz w:val="20"/>
          <w:szCs w:val="20"/>
          <w:color w:val="auto"/>
        </w:rPr>
      </w:pPr>
    </w:p>
    <w:p>
      <w:pPr>
        <w:ind w:right="80" w:firstLine="554"/>
        <w:spacing w:after="0" w:line="291" w:lineRule="auto"/>
        <w:rPr>
          <w:sz w:val="20"/>
          <w:szCs w:val="20"/>
          <w:color w:val="auto"/>
        </w:rPr>
      </w:pPr>
      <w:r>
        <w:rPr>
          <w:rFonts w:ascii="Arial" w:cs="Arial" w:eastAsia="Arial" w:hAnsi="Arial"/>
          <w:sz w:val="16"/>
          <w:szCs w:val="16"/>
          <w:color w:val="auto"/>
        </w:rPr>
        <w:t>In addition to the above, the continued spread of COVID-19 globally could adversely affect our clinical trial operations worldwide, including our ability to recruit and retain principal investigators and site staff who, as healthcare providers, may have heightened exposure to COVID-19 if an outbreak occurs in their geography. The COVID-19 pandemic could also result in further delays in our clinical trials due to prioritization of hospital and medical resources toward the outbreak, restrictions in travel, potential unwillingness of patients to enroll in trials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w:t>
      </w:r>
    </w:p>
    <w:p>
      <w:pPr>
        <w:spacing w:after="0" w:line="58" w:lineRule="exact"/>
        <w:rPr>
          <w:sz w:val="20"/>
          <w:szCs w:val="20"/>
          <w:color w:val="auto"/>
        </w:rPr>
      </w:pPr>
    </w:p>
    <w:p>
      <w:pPr>
        <w:ind w:right="40" w:firstLine="554"/>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9" w:lineRule="exact"/>
        <w:rPr>
          <w:sz w:val="20"/>
          <w:szCs w:val="20"/>
          <w:color w:val="auto"/>
        </w:rPr>
      </w:pPr>
    </w:p>
    <w:p>
      <w:pPr>
        <w:ind w:left="960" w:hanging="399"/>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incur additional unplanned costs, which may exceed the resources that we have available or are able to obtain on reasonable terms;</w:t>
      </w:r>
    </w:p>
    <w:p>
      <w:pPr>
        <w:spacing w:after="0" w:line="155" w:lineRule="exact"/>
        <w:rPr>
          <w:rFonts w:ascii="Arial" w:cs="Arial" w:eastAsia="Arial" w:hAnsi="Arial"/>
          <w:sz w:val="17"/>
          <w:szCs w:val="17"/>
          <w:color w:val="auto"/>
        </w:rPr>
      </w:pPr>
    </w:p>
    <w:p>
      <w:pPr>
        <w:ind w:left="960" w:right="300" w:hanging="399"/>
        <w:spacing w:after="0" w:line="263"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75" w:lineRule="exact"/>
        <w:rPr>
          <w:rFonts w:ascii="Arial" w:cs="Arial" w:eastAsia="Arial" w:hAnsi="Arial"/>
          <w:sz w:val="18"/>
          <w:szCs w:val="18"/>
          <w:color w:val="auto"/>
        </w:rPr>
      </w:pPr>
    </w:p>
    <w:p>
      <w:pPr>
        <w:ind w:left="960" w:hanging="399"/>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 to obtain marketing approval at all;</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144" w:lineRule="exact"/>
        <w:rPr>
          <w:rFonts w:ascii="Arial" w:cs="Arial" w:eastAsia="Arial" w:hAnsi="Arial"/>
          <w:sz w:val="18"/>
          <w:szCs w:val="18"/>
          <w:color w:val="auto"/>
        </w:rPr>
      </w:pPr>
    </w:p>
    <w:p>
      <w:pPr>
        <w:ind w:left="960" w:right="440" w:hanging="399"/>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144" w:lineRule="exact"/>
        <w:rPr>
          <w:sz w:val="20"/>
          <w:szCs w:val="20"/>
          <w:color w:val="auto"/>
        </w:rPr>
      </w:pPr>
    </w:p>
    <w:p>
      <w:pPr>
        <w:ind w:right="280" w:firstLine="554"/>
        <w:spacing w:after="0" w:line="263" w:lineRule="auto"/>
        <w:rPr>
          <w:sz w:val="20"/>
          <w:szCs w:val="20"/>
          <w:color w:val="auto"/>
        </w:rPr>
      </w:pPr>
      <w:r>
        <w:rPr>
          <w:rFonts w:ascii="Arial" w:cs="Arial" w:eastAsia="Arial" w:hAnsi="Arial"/>
          <w:sz w:val="18"/>
          <w:szCs w:val="18"/>
          <w:color w:val="auto"/>
        </w:rPr>
        <w:t>Our failure to successfully and timely complete clinical trials of Haduvio for the treatment of pruritus associated with prurigo nodularis, chronic cough in IPF or for any other serious neurologically mediated condition or of any future product candidate and to demonstrate the efficacy and safety necessary to obtain regulatory approval to market any such product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ind w:right="140"/>
        <w:spacing w:after="0" w:line="277" w:lineRule="auto"/>
        <w:rPr>
          <w:sz w:val="20"/>
          <w:szCs w:val="20"/>
          <w:color w:val="auto"/>
        </w:rPr>
      </w:pPr>
      <w:r>
        <w:rPr>
          <w:rFonts w:ascii="Arial" w:cs="Arial" w:eastAsia="Arial" w:hAnsi="Arial"/>
          <w:sz w:val="18"/>
          <w:szCs w:val="18"/>
          <w:color w:val="auto"/>
        </w:rPr>
        <w:t>candidates would significantly harm our business and could result in the loss or impairment of our ability to generate revenues and effectuate our business strategy.</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62" w:lineRule="exact"/>
        <w:rPr>
          <w:sz w:val="20"/>
          <w:szCs w:val="20"/>
          <w:color w:val="auto"/>
        </w:rPr>
      </w:pPr>
    </w:p>
    <w:p>
      <w:pPr>
        <w:ind w:firstLine="554"/>
        <w:spacing w:after="0" w:line="286" w:lineRule="auto"/>
        <w:rPr>
          <w:sz w:val="20"/>
          <w:szCs w:val="20"/>
          <w:color w:val="auto"/>
        </w:rPr>
      </w:pPr>
      <w:r>
        <w:rPr>
          <w:rFonts w:ascii="Arial" w:cs="Arial" w:eastAsia="Arial" w:hAnsi="Arial"/>
          <w:sz w:val="16"/>
          <w:szCs w:val="16"/>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pruritus associated with prurigo nodularis failed to meet its primary endpoint and the number of subjects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66" w:lineRule="exact"/>
        <w:rPr>
          <w:sz w:val="20"/>
          <w:szCs w:val="20"/>
          <w:color w:val="auto"/>
        </w:rPr>
      </w:pPr>
    </w:p>
    <w:p>
      <w:pPr>
        <w:ind w:right="80" w:firstLine="554"/>
        <w:spacing w:after="0" w:line="286" w:lineRule="auto"/>
        <w:rPr>
          <w:sz w:val="20"/>
          <w:szCs w:val="20"/>
          <w:color w:val="auto"/>
        </w:rPr>
      </w:pPr>
      <w:r>
        <w:rPr>
          <w:rFonts w:ascii="Arial" w:cs="Arial" w:eastAsia="Arial" w:hAnsi="Arial"/>
          <w:sz w:val="16"/>
          <w:szCs w:val="16"/>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pruritus associated with prurigo nodularis, the FDA raised the need to adequately isolate a patient population with pruritus associated with prurigo nodularis for our planned Phase 3 clinical trials. While the inclusion criteria in our Phase 2b/3 PRISM trial require that enrolled subjects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Haduvio does not achieve the primary endpoint in our Phase 2b/3 PRISM trial or the FDA does not otherwise believe that the results of the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pruritus associated with prurigo nodularis.</w:t>
      </w:r>
    </w:p>
    <w:p>
      <w:pPr>
        <w:spacing w:after="0" w:line="5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62" w:lineRule="exact"/>
        <w:rPr>
          <w:sz w:val="20"/>
          <w:szCs w:val="20"/>
          <w:color w:val="auto"/>
        </w:rPr>
      </w:pPr>
    </w:p>
    <w:p>
      <w:pPr>
        <w:ind w:right="100" w:firstLine="554"/>
        <w:spacing w:after="0" w:line="269" w:lineRule="auto"/>
        <w:rPr>
          <w:sz w:val="20"/>
          <w:szCs w:val="20"/>
          <w:color w:val="auto"/>
        </w:rPr>
      </w:pPr>
      <w:r>
        <w:rPr>
          <w:rFonts w:ascii="Arial" w:cs="Arial" w:eastAsia="Arial" w:hAnsi="Arial"/>
          <w:sz w:val="17"/>
          <w:szCs w:val="17"/>
          <w:color w:val="auto"/>
        </w:rPr>
        <w:t>Due to the difficulty of objectively measuring pruritus, the assessment of pruritus in clinical trials typically involves the use of PROs. Our clinical trials evaluating the efficacy of Haduvio in pruritus indications have used PROs as primary endpoints. For example, the primary endpoint of our Phase 2 clinical trial of Haduvio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Phase 2b/3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77" w:lineRule="exact"/>
        <w:rPr>
          <w:sz w:val="20"/>
          <w:szCs w:val="20"/>
          <w:color w:val="auto"/>
        </w:rPr>
      </w:pPr>
    </w:p>
    <w:p>
      <w:pPr>
        <w:ind w:right="120" w:firstLine="554"/>
        <w:spacing w:after="0" w:line="301" w:lineRule="auto"/>
        <w:rPr>
          <w:sz w:val="20"/>
          <w:szCs w:val="20"/>
          <w:color w:val="auto"/>
        </w:rPr>
      </w:pPr>
      <w:r>
        <w:rPr>
          <w:rFonts w:ascii="Arial" w:cs="Arial" w:eastAsia="Arial" w:hAnsi="Arial"/>
          <w:sz w:val="16"/>
          <w:szCs w:val="16"/>
          <w:color w:val="auto"/>
        </w:rPr>
        <w:t>In addition, PROs for the assessment of pruritus have historically been observed to have high placebo group response rates. We observed this in some of our clinical trials of Haduvio. For example, in our Phase 2 clinical trial of Haduvio for the treatment of pruritus associated with prurigo nodularis, we observed a mean reduction from baseline in WI-NRS score for the trial’s modified intention-to-treat population of 1.75 points for placebo as compared to 2.14 points for Haduvio dosed twice-daily at 81 mg and 2.51 points for Haduvio dosed twice-daily at 162 mg. The variability of PRO measures may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ind w:right="40"/>
        <w:spacing w:after="0" w:line="342" w:lineRule="auto"/>
        <w:rPr>
          <w:sz w:val="20"/>
          <w:szCs w:val="20"/>
          <w:color w:val="auto"/>
        </w:rPr>
      </w:pPr>
      <w:r>
        <w:rPr>
          <w:rFonts w:ascii="Arial" w:cs="Arial" w:eastAsia="Arial" w:hAnsi="Arial"/>
          <w:sz w:val="16"/>
          <w:szCs w:val="16"/>
          <w:color w:val="auto"/>
        </w:rPr>
        <w:t>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6" w:lineRule="exact"/>
        <w:rPr>
          <w:sz w:val="20"/>
          <w:szCs w:val="20"/>
          <w:color w:val="auto"/>
        </w:rPr>
      </w:pPr>
    </w:p>
    <w:p>
      <w:pPr>
        <w:ind w:right="40" w:firstLine="554"/>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for pruritus and could adversely impact our clinical development of Haduvio. The FDA could also require changes in the PROs we are currently using or indicate that the PROs we are using are insufficient for demonstrating efficacy in pruritus, potentially delaying clinical development of Haduvio, increasing our costs and making additional clinical trials necessary.</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62" w:lineRule="exact"/>
        <w:rPr>
          <w:sz w:val="20"/>
          <w:szCs w:val="20"/>
          <w:color w:val="auto"/>
        </w:rPr>
      </w:pPr>
    </w:p>
    <w:p>
      <w:pPr>
        <w:ind w:right="20" w:firstLine="554"/>
        <w:spacing w:after="0" w:line="263" w:lineRule="auto"/>
        <w:rPr>
          <w:sz w:val="20"/>
          <w:szCs w:val="20"/>
          <w:color w:val="auto"/>
        </w:rPr>
      </w:pPr>
      <w:r>
        <w:rPr>
          <w:rFonts w:ascii="Arial" w:cs="Arial" w:eastAsia="Arial" w:hAnsi="Arial"/>
          <w:sz w:val="18"/>
          <w:szCs w:val="18"/>
          <w:color w:val="auto"/>
        </w:rPr>
        <w:t>We may not be able to initiate or continue clinical trials for Haduvio or any future product candidate if we are unable to locate and enroll a sufficient number of eligible subjects to participate in clinical trials as required by the FDA or comparable foreign regulatory authorities. Patient enrollment is a significant factor in the timing of our clinical trials and is affected by many factors, including:</w:t>
      </w:r>
    </w:p>
    <w:p>
      <w:pPr>
        <w:spacing w:after="0" w:line="76" w:lineRule="exact"/>
        <w:rPr>
          <w:sz w:val="20"/>
          <w:szCs w:val="20"/>
          <w:color w:val="auto"/>
        </w:rPr>
      </w:pPr>
    </w:p>
    <w:p>
      <w:pPr>
        <w:ind w:left="960" w:hanging="399"/>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and nature of the eligible patient population;</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of eligible patients to clinical sites;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competing clinical trials;</w:t>
      </w:r>
    </w:p>
    <w:p>
      <w:pPr>
        <w:spacing w:after="0" w:line="144" w:lineRule="exact"/>
        <w:rPr>
          <w:rFonts w:ascii="Arial" w:cs="Arial" w:eastAsia="Arial" w:hAnsi="Arial"/>
          <w:sz w:val="18"/>
          <w:szCs w:val="18"/>
          <w:color w:val="auto"/>
        </w:rPr>
      </w:pPr>
    </w:p>
    <w:p>
      <w:pPr>
        <w:ind w:left="960" w:right="660" w:hanging="399"/>
        <w:spacing w:after="0" w:line="308" w:lineRule="auto"/>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and risks of the product candidate being studied in relation to other available therapies, including any new drugs that may be approved for the indications under investigation; and</w:t>
      </w:r>
    </w:p>
    <w:p>
      <w:pPr>
        <w:spacing w:after="0" w:line="38" w:lineRule="exact"/>
        <w:rPr>
          <w:rFonts w:ascii="Arial" w:cs="Arial" w:eastAsia="Arial" w:hAnsi="Arial"/>
          <w:sz w:val="17"/>
          <w:szCs w:val="17"/>
          <w:color w:val="auto"/>
        </w:rPr>
      </w:pPr>
    </w:p>
    <w:p>
      <w:pPr>
        <w:ind w:left="960" w:hanging="399"/>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44" w:lineRule="exact"/>
        <w:rPr>
          <w:sz w:val="20"/>
          <w:szCs w:val="20"/>
          <w:color w:val="auto"/>
        </w:rPr>
      </w:pPr>
    </w:p>
    <w:p>
      <w:pPr>
        <w:ind w:right="80" w:firstLine="554"/>
        <w:spacing w:after="0" w:line="259" w:lineRule="auto"/>
        <w:rPr>
          <w:sz w:val="20"/>
          <w:szCs w:val="20"/>
          <w:color w:val="auto"/>
        </w:rPr>
      </w:pPr>
      <w:r>
        <w:rPr>
          <w:rFonts w:ascii="Arial" w:cs="Arial" w:eastAsia="Arial" w:hAnsi="Arial"/>
          <w:sz w:val="18"/>
          <w:szCs w:val="18"/>
          <w:color w:val="auto"/>
        </w:rPr>
        <w:t>In particular, the successful completion of our clinical development program for Haduvio for the treatment of pruritus associated with prurigo nodularis is dependent upon our ability to enroll a sufficient number of subjects with this severe condition. We experienced delays and difficulties in the enrollment of subjects in our clinical trials, including our Phase 2b/3 PRISM trial and our Phase 2 CANAL trial, which have delayed the completion of our trials.</w:t>
      </w:r>
    </w:p>
    <w:p>
      <w:pPr>
        <w:spacing w:after="0" w:line="79" w:lineRule="exact"/>
        <w:rPr>
          <w:sz w:val="20"/>
          <w:szCs w:val="20"/>
          <w:color w:val="auto"/>
        </w:rPr>
      </w:pPr>
    </w:p>
    <w:p>
      <w:pPr>
        <w:ind w:right="60" w:firstLine="554"/>
        <w:spacing w:after="0" w:line="291" w:lineRule="auto"/>
        <w:rPr>
          <w:sz w:val="20"/>
          <w:szCs w:val="20"/>
          <w:color w:val="auto"/>
        </w:rPr>
      </w:pPr>
      <w:r>
        <w:rPr>
          <w:rFonts w:ascii="Arial" w:cs="Arial" w:eastAsia="Arial" w:hAnsi="Arial"/>
          <w:sz w:val="16"/>
          <w:szCs w:val="16"/>
          <w:color w:val="auto"/>
        </w:rPr>
        <w:t>Other companies are conducting clinical trials or have announced plans for future clinical trials that are seeking or are likely to seek to enroll patients with prurigo nodularis or chronic cough associated with IPF, which are the same conditions for which we are or will be conducting clinical trials and patients are generally only able to enroll in a single trial at a time. In addition, although there are no drugs approved in the U.S.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 Similarly, many patients use various treatments off-label to treat chronic cough associated with IPF and these patients and their physicians may also be reluctant to forgo, discontinue or otherwise alter their use of such off-label therapeutic approaches to participate in our clinical trials.</w:t>
      </w:r>
    </w:p>
    <w:p>
      <w:pPr>
        <w:spacing w:after="0" w:line="58"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In response to the COVID-19 pandemic, the FDA issued guidance on March 18, 2020, and updated it on July 2, 2020, January 27, 2021 and August 30, 2021, to address the conduct of clinical trials during the pandemic. The guidance sets out a number of considerations for sponsors of clinical trials impacted by the pandemic, including the requirement to include in a clinical study report (or as a separate document) contingency measures implemented to manage the study, and any disruption of the study, as a result of the COVID-19 pandemic; a list of all study participants affected by COVID-19 pandemic related study disruptions by a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study. In its most recent update to this guidance, the FDA addressed questions received during the past year from clinical practitioners who are adapting their operations in a pandemic environment. These questions focused on, among other things, when to suspend, continue or initiate a trial and how to submit changes to protocols for investigational NDAs and handle remote site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monitoring visits. There is no assurance that this guidance governing clinical studies during the pandemic will remain in effect or, even if it does, that it will help address the risks and challenges enumerated above.</w:t>
      </w:r>
    </w:p>
    <w:p>
      <w:pPr>
        <w:spacing w:after="0" w:line="62" w:lineRule="exact"/>
        <w:rPr>
          <w:sz w:val="20"/>
          <w:szCs w:val="20"/>
          <w:color w:val="auto"/>
        </w:rPr>
      </w:pPr>
    </w:p>
    <w:p>
      <w:pPr>
        <w:ind w:firstLine="554"/>
        <w:spacing w:after="0" w:line="257" w:lineRule="auto"/>
        <w:rPr>
          <w:sz w:val="20"/>
          <w:szCs w:val="20"/>
          <w:color w:val="auto"/>
        </w:rPr>
      </w:pPr>
      <w:r>
        <w:rPr>
          <w:rFonts w:ascii="Arial" w:cs="Arial" w:eastAsia="Arial" w:hAnsi="Arial"/>
          <w:sz w:val="18"/>
          <w:szCs w:val="18"/>
          <w:color w:val="auto"/>
        </w:rPr>
        <w:t>Any inability to enroll a sufficient number of subjects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8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16" w:lineRule="exact"/>
        <w:rPr>
          <w:sz w:val="20"/>
          <w:szCs w:val="20"/>
          <w:color w:val="auto"/>
        </w:rPr>
      </w:pPr>
    </w:p>
    <w:p>
      <w:pPr>
        <w:ind w:right="80" w:firstLine="554"/>
        <w:spacing w:after="0" w:line="275" w:lineRule="auto"/>
        <w:rPr>
          <w:sz w:val="20"/>
          <w:szCs w:val="20"/>
          <w:color w:val="auto"/>
        </w:rPr>
      </w:pPr>
      <w:r>
        <w:rPr>
          <w:rFonts w:ascii="Arial" w:cs="Arial" w:eastAsia="Arial" w:hAnsi="Arial"/>
          <w:sz w:val="17"/>
          <w:szCs w:val="17"/>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68" w:lineRule="exact"/>
        <w:rPr>
          <w:sz w:val="20"/>
          <w:szCs w:val="20"/>
          <w:color w:val="auto"/>
        </w:rPr>
      </w:pPr>
    </w:p>
    <w:p>
      <w:pPr>
        <w:ind w:right="40" w:firstLine="554"/>
        <w:spacing w:after="0" w:line="286" w:lineRule="auto"/>
        <w:rPr>
          <w:sz w:val="20"/>
          <w:szCs w:val="20"/>
          <w:color w:val="auto"/>
        </w:rPr>
      </w:pPr>
      <w:r>
        <w:rPr>
          <w:rFonts w:ascii="Arial" w:cs="Arial" w:eastAsia="Arial" w:hAnsi="Arial"/>
          <w:sz w:val="16"/>
          <w:szCs w:val="16"/>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and are associated with respiratory depression and potential cardiac risk. The drug label for nalbuphine, the active ingredient in Haduvio, carries an opioid class label warning for serious, life-threatening or fatal respiratory depression and Haduvio, if approved for marketing in any indication, will likely carry a similar opioid class label. To support our planned submission of an NDA to the FDA for Haduvio, we may be required to conduct a clinical trial of Haduvio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subjects to complete a trial or result in potential product liability claims.</w:t>
      </w:r>
    </w:p>
    <w:p>
      <w:pPr>
        <w:spacing w:after="0" w:line="66" w:lineRule="exact"/>
        <w:rPr>
          <w:sz w:val="20"/>
          <w:szCs w:val="20"/>
          <w:color w:val="auto"/>
        </w:rPr>
      </w:pPr>
    </w:p>
    <w:p>
      <w:pPr>
        <w:ind w:firstLine="554"/>
        <w:spacing w:after="0" w:line="259" w:lineRule="auto"/>
        <w:rPr>
          <w:sz w:val="20"/>
          <w:szCs w:val="20"/>
          <w:color w:val="auto"/>
        </w:rPr>
      </w:pPr>
      <w:r>
        <w:rPr>
          <w:rFonts w:ascii="Arial" w:cs="Arial" w:eastAsia="Arial" w:hAnsi="Arial"/>
          <w:sz w:val="18"/>
          <w:szCs w:val="18"/>
          <w:color w:val="auto"/>
        </w:rPr>
        <w:t>In our Phase 2 clinical trial of Haduvio for the treatment of pruritus associated with prurigo nodularis, the most frequently reported adverse events associated with Haduvio were nausea, dizziness and headache. In the open label extension of the trial, nausea, dizziness and fatigue were reported. Across both the Phase 2 clinical trial of Haduvio for the treatment of pruritus associated with prurigo nodularis and the open label extension, a total of four subjects reported SAEs, but none of these events was attributed to Haduvio.</w:t>
      </w:r>
    </w:p>
    <w:p>
      <w:pPr>
        <w:spacing w:after="0" w:line="79" w:lineRule="exact"/>
        <w:rPr>
          <w:sz w:val="20"/>
          <w:szCs w:val="20"/>
          <w:color w:val="auto"/>
        </w:rPr>
      </w:pPr>
    </w:p>
    <w:p>
      <w:pPr>
        <w:jc w:val="both"/>
        <w:ind w:right="120" w:firstLine="554"/>
        <w:spacing w:after="0" w:line="263" w:lineRule="auto"/>
        <w:rPr>
          <w:sz w:val="20"/>
          <w:szCs w:val="20"/>
          <w:color w:val="auto"/>
        </w:rPr>
      </w:pPr>
      <w:r>
        <w:rPr>
          <w:rFonts w:ascii="Arial" w:cs="Arial" w:eastAsia="Arial" w:hAnsi="Arial"/>
          <w:sz w:val="18"/>
          <w:szCs w:val="18"/>
          <w:color w:val="auto"/>
        </w:rPr>
        <w:t>In our Phase 2b/3 trial of Haduvio in patients with uremic pruritus, the most frequently reported adverse events attributed to Haduvio were nausea, vomiting, somnolence and dizziness. In patients with uremic pruritus, SAEs were frequent but were primarily related to associated underlying diseases or to procedural complications related to hemodialysis.</w:t>
      </w:r>
    </w:p>
    <w:p>
      <w:pPr>
        <w:spacing w:after="0" w:line="76" w:lineRule="exact"/>
        <w:rPr>
          <w:sz w:val="20"/>
          <w:szCs w:val="20"/>
          <w:color w:val="auto"/>
        </w:rPr>
      </w:pPr>
    </w:p>
    <w:p>
      <w:pPr>
        <w:ind w:right="60" w:firstLine="554"/>
        <w:spacing w:after="0" w:line="257" w:lineRule="auto"/>
        <w:rPr>
          <w:sz w:val="20"/>
          <w:szCs w:val="20"/>
          <w:color w:val="auto"/>
        </w:rPr>
      </w:pPr>
      <w:r>
        <w:rPr>
          <w:rFonts w:ascii="Arial" w:cs="Arial" w:eastAsia="Arial" w:hAnsi="Arial"/>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8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62" w:lineRule="exact"/>
        <w:rPr>
          <w:sz w:val="20"/>
          <w:szCs w:val="20"/>
          <w:color w:val="auto"/>
        </w:rPr>
      </w:pPr>
    </w:p>
    <w:p>
      <w:pPr>
        <w:ind w:right="80" w:firstLine="554"/>
        <w:spacing w:after="0" w:line="301" w:lineRule="auto"/>
        <w:rPr>
          <w:sz w:val="20"/>
          <w:szCs w:val="20"/>
          <w:color w:val="auto"/>
        </w:rPr>
      </w:pPr>
      <w:r>
        <w:rPr>
          <w:rFonts w:ascii="Arial" w:cs="Arial" w:eastAsia="Arial" w:hAnsi="Arial"/>
          <w:sz w:val="16"/>
          <w:szCs w:val="16"/>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ind w:right="40"/>
        <w:spacing w:after="0" w:line="254" w:lineRule="auto"/>
        <w:rPr>
          <w:sz w:val="20"/>
          <w:szCs w:val="20"/>
          <w:color w:val="auto"/>
        </w:rPr>
      </w:pPr>
      <w:r>
        <w:rPr>
          <w:rFonts w:ascii="Arial" w:cs="Arial" w:eastAsia="Arial" w:hAnsi="Arial"/>
          <w:sz w:val="18"/>
          <w:szCs w:val="18"/>
          <w:color w:val="auto"/>
        </w:rPr>
        <w:t>which are characteristics that have led to misuse, abuse and addiction of μ-opioids. We plan to conduct a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84" w:lineRule="exact"/>
        <w:rPr>
          <w:sz w:val="20"/>
          <w:szCs w:val="20"/>
          <w:color w:val="auto"/>
        </w:rPr>
      </w:pPr>
    </w:p>
    <w:p>
      <w:pPr>
        <w:ind w:right="40" w:firstLine="554"/>
        <w:spacing w:after="0" w:line="269" w:lineRule="auto"/>
        <w:rPr>
          <w:sz w:val="20"/>
          <w:szCs w:val="20"/>
          <w:color w:val="auto"/>
        </w:rPr>
      </w:pPr>
      <w:r>
        <w:rPr>
          <w:rFonts w:ascii="Arial" w:cs="Arial" w:eastAsia="Arial" w:hAnsi="Arial"/>
          <w:sz w:val="17"/>
          <w:szCs w:val="17"/>
          <w:color w:val="auto"/>
        </w:rPr>
        <w:t>In addition, the parenteral formulation of nalbuphine is currently not classified as a controlled substance under the federal Controlled Substances Act of 1970 or the regulations of the U.S. Drug Enforcement Agency, or the DEA, in the U.S. It is possible that, based on the results of our HAL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74" w:lineRule="exact"/>
        <w:rPr>
          <w:sz w:val="20"/>
          <w:szCs w:val="20"/>
          <w:color w:val="auto"/>
        </w:rPr>
      </w:pPr>
    </w:p>
    <w:p>
      <w:pPr>
        <w:ind w:right="40" w:firstLine="554"/>
        <w:spacing w:after="0" w:line="255" w:lineRule="auto"/>
        <w:rPr>
          <w:sz w:val="20"/>
          <w:szCs w:val="20"/>
          <w:color w:val="auto"/>
        </w:rPr>
      </w:pPr>
      <w:r>
        <w:rPr>
          <w:rFonts w:ascii="Arial" w:cs="Arial" w:eastAsia="Arial" w:hAnsi="Arial"/>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84" w:lineRule="exact"/>
        <w:rPr>
          <w:sz w:val="20"/>
          <w:szCs w:val="20"/>
          <w:color w:val="auto"/>
        </w:rPr>
      </w:pPr>
    </w:p>
    <w:p>
      <w:pPr>
        <w:ind w:firstLine="554"/>
        <w:spacing w:after="0" w:line="271" w:lineRule="auto"/>
        <w:rPr>
          <w:sz w:val="20"/>
          <w:szCs w:val="20"/>
          <w:color w:val="auto"/>
        </w:rPr>
      </w:pPr>
      <w:r>
        <w:rPr>
          <w:rFonts w:ascii="Arial" w:cs="Arial" w:eastAsia="Arial" w:hAnsi="Arial"/>
          <w:sz w:val="17"/>
          <w:szCs w:val="17"/>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jc w:val="both"/>
        <w:ind w:right="40" w:firstLine="554"/>
        <w:spacing w:after="0" w:line="287" w:lineRule="auto"/>
        <w:rPr>
          <w:sz w:val="20"/>
          <w:szCs w:val="20"/>
          <w:color w:val="auto"/>
        </w:rPr>
      </w:pPr>
      <w:r>
        <w:rPr>
          <w:rFonts w:ascii="Arial" w:cs="Arial" w:eastAsia="Arial" w:hAnsi="Arial"/>
          <w:sz w:val="16"/>
          <w:szCs w:val="16"/>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clinical development despite demonstrating positive results in preclinical studies or successfully advancing through Phase 1 and Phase 2 clinical trials.</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results of our Phase 2 clinical trial of Haduvio for the treatment of pruritus associated with prurigo nodularis may not be predictive of the results of our Phase 2b/3 PRISM trial, and the interim results of our Phase 2 CANAL trial may not be predictive of the full trial results for the Phase 2 CANAL trial or of future trials of Haduvio for the treatment of chronic cough associated with IPF.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86" w:lineRule="exact"/>
        <w:rPr>
          <w:sz w:val="20"/>
          <w:szCs w:val="20"/>
          <w:color w:val="auto"/>
        </w:rPr>
      </w:pPr>
    </w:p>
    <w:p>
      <w:pPr>
        <w:ind w:right="220" w:firstLine="554"/>
        <w:spacing w:after="0" w:line="301" w:lineRule="auto"/>
        <w:rPr>
          <w:sz w:val="20"/>
          <w:szCs w:val="20"/>
          <w:color w:val="auto"/>
        </w:rPr>
      </w:pPr>
      <w:r>
        <w:rPr>
          <w:rFonts w:ascii="Arial" w:cs="Arial" w:eastAsia="Arial" w:hAnsi="Arial"/>
          <w:sz w:val="16"/>
          <w:szCs w:val="16"/>
          <w:color w:val="auto"/>
        </w:rPr>
        <w:t>At a meeting with the FDA following the completion of our Phase 2 clinical trial of Haduvio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subjects in each arm of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2" w:name="page53"/>
    <w:bookmarkEnd w:id="52"/>
    <w:p>
      <w:pPr>
        <w:ind w:right="100"/>
        <w:spacing w:after="0" w:line="277" w:lineRule="auto"/>
        <w:rPr>
          <w:sz w:val="20"/>
          <w:szCs w:val="20"/>
          <w:color w:val="auto"/>
        </w:rPr>
      </w:pPr>
      <w:r>
        <w:rPr>
          <w:rFonts w:ascii="Arial" w:cs="Arial" w:eastAsia="Arial" w:hAnsi="Arial"/>
          <w:sz w:val="18"/>
          <w:szCs w:val="18"/>
          <w:color w:val="auto"/>
        </w:rPr>
        <w:t>Phase 2 clinical trial and the large differential discontinuation rate among the three treatment arms, as well as our plan to increase the fixed-dose treatment duration from eight weeks in the Phase 2 clinical trial to 12 weeks in our Phase 2b/3 PRISM trial.</w:t>
      </w:r>
    </w:p>
    <w:p>
      <w:pPr>
        <w:spacing w:after="0" w:line="62" w:lineRule="exact"/>
        <w:rPr>
          <w:sz w:val="20"/>
          <w:szCs w:val="20"/>
          <w:color w:val="auto"/>
        </w:rPr>
      </w:pPr>
    </w:p>
    <w:p>
      <w:pPr>
        <w:ind w:right="80" w:firstLine="554"/>
        <w:spacing w:after="0" w:line="287" w:lineRule="auto"/>
        <w:rPr>
          <w:sz w:val="20"/>
          <w:szCs w:val="20"/>
          <w:color w:val="auto"/>
        </w:rPr>
      </w:pPr>
      <w:r>
        <w:rPr>
          <w:rFonts w:ascii="Arial" w:cs="Arial" w:eastAsia="Arial" w:hAnsi="Arial"/>
          <w:sz w:val="16"/>
          <w:szCs w:val="16"/>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Phase 2b/3 PRISM trial based on an assumed discontinuation rate that takes into account observed discontinuation rates in our Phase 2 clinical trial of Haduvio for the treatment of pruritus associated with prurigo nodularis. If enrolled subjects withdraw from our Phase 2b/3 PRISM trial at a rate that is higher than expected, as occurred in our Phase 2 clinical trial of Haduvio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64" w:lineRule="exact"/>
        <w:rPr>
          <w:sz w:val="20"/>
          <w:szCs w:val="20"/>
          <w:color w:val="auto"/>
        </w:rPr>
      </w:pPr>
    </w:p>
    <w:p>
      <w:pPr>
        <w:ind w:right="260" w:firstLine="554"/>
        <w:spacing w:after="0" w:line="259" w:lineRule="auto"/>
        <w:rPr>
          <w:sz w:val="20"/>
          <w:szCs w:val="20"/>
          <w:color w:val="auto"/>
        </w:rPr>
      </w:pPr>
      <w:r>
        <w:rPr>
          <w:rFonts w:ascii="Arial" w:cs="Arial" w:eastAsia="Arial" w:hAnsi="Arial"/>
          <w:sz w:val="18"/>
          <w:szCs w:val="18"/>
          <w:color w:val="auto"/>
        </w:rPr>
        <w:t xml:space="preserve">In addition, some of our data for Haduvio for the treatment of pruritus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our Phase 2 clinical trials of Haduvio in patients with prurigo nodularis and uremic pruritus. While we believe these data may be useful in informing the design of our Phase 2b/3 PRISM trial and other future Phase 3 clinical trials for Haduvio,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79" w:lineRule="exact"/>
        <w:rPr>
          <w:sz w:val="20"/>
          <w:szCs w:val="20"/>
          <w:color w:val="auto"/>
        </w:rPr>
      </w:pPr>
    </w:p>
    <w:p>
      <w:pPr>
        <w:ind w:right="40" w:firstLine="554"/>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5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6" w:lineRule="exact"/>
        <w:rPr>
          <w:sz w:val="20"/>
          <w:szCs w:val="20"/>
          <w:color w:val="auto"/>
        </w:rPr>
      </w:pPr>
    </w:p>
    <w:p>
      <w:pPr>
        <w:ind w:firstLine="554"/>
        <w:spacing w:after="0" w:line="301" w:lineRule="auto"/>
        <w:rPr>
          <w:sz w:val="20"/>
          <w:szCs w:val="20"/>
          <w:color w:val="auto"/>
        </w:rPr>
      </w:pPr>
      <w:r>
        <w:rPr>
          <w:rFonts w:ascii="Arial" w:cs="Arial" w:eastAsia="Arial" w:hAnsi="Arial"/>
          <w:sz w:val="16"/>
          <w:szCs w:val="16"/>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49" w:lineRule="exact"/>
        <w:rPr>
          <w:sz w:val="20"/>
          <w:szCs w:val="20"/>
          <w:color w:val="auto"/>
        </w:rPr>
      </w:pPr>
    </w:p>
    <w:p>
      <w:pPr>
        <w:ind w:left="960" w:hanging="399"/>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155" w:lineRule="exact"/>
        <w:rPr>
          <w:rFonts w:ascii="Arial" w:cs="Arial" w:eastAsia="Arial" w:hAnsi="Arial"/>
          <w:sz w:val="17"/>
          <w:szCs w:val="17"/>
          <w:color w:val="auto"/>
        </w:rPr>
      </w:pPr>
    </w:p>
    <w:p>
      <w:pPr>
        <w:ind w:left="960" w:hanging="399"/>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3" w:name="page54"/>
    <w:bookmarkEnd w:id="53"/>
    <w:p>
      <w:pPr>
        <w:ind w:right="100"/>
        <w:spacing w:after="0" w:line="277" w:lineRule="auto"/>
        <w:rPr>
          <w:sz w:val="20"/>
          <w:szCs w:val="20"/>
          <w:color w:val="auto"/>
        </w:rPr>
      </w:pPr>
      <w:r>
        <w:rPr>
          <w:rFonts w:ascii="Arial" w:cs="Arial" w:eastAsia="Arial" w:hAnsi="Arial"/>
          <w:sz w:val="18"/>
          <w:szCs w:val="18"/>
          <w:b w:val="1"/>
          <w:bCs w:val="1"/>
          <w:i w:val="1"/>
          <w:iCs w:val="1"/>
          <w:color w:val="auto"/>
        </w:rPr>
        <w:t>commercial success, in which case the market opportunity for Haduvio may be smaller than we estimate and we may not generate significant revenues or become profitable.</w:t>
      </w:r>
    </w:p>
    <w:p>
      <w:pPr>
        <w:spacing w:after="0" w:line="62" w:lineRule="exact"/>
        <w:rPr>
          <w:sz w:val="20"/>
          <w:szCs w:val="20"/>
          <w:color w:val="auto"/>
        </w:rPr>
      </w:pPr>
    </w:p>
    <w:p>
      <w:pPr>
        <w:ind w:right="20" w:firstLine="554"/>
        <w:spacing w:after="0" w:line="255" w:lineRule="auto"/>
        <w:rPr>
          <w:sz w:val="20"/>
          <w:szCs w:val="20"/>
          <w:color w:val="auto"/>
        </w:rPr>
      </w:pPr>
      <w:r>
        <w:rPr>
          <w:rFonts w:ascii="Arial" w:cs="Arial" w:eastAsia="Arial" w:hAnsi="Arial"/>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84" w:lineRule="exact"/>
        <w:rPr>
          <w:sz w:val="20"/>
          <w:szCs w:val="20"/>
          <w:color w:val="auto"/>
        </w:rPr>
      </w:pPr>
    </w:p>
    <w:p>
      <w:pPr>
        <w:ind w:right="40" w:firstLine="554"/>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9" w:lineRule="exact"/>
        <w:rPr>
          <w:sz w:val="20"/>
          <w:szCs w:val="20"/>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compared to other therapies;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that the DEA could determine that Haduvio should be classified as a controlled substance;</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 for the product;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1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00" w:firstLine="554"/>
        <w:spacing w:after="0" w:line="273"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pruritus associated with prurigo nodularis and for the treatment of chronic cough associated with IPF. However, the development of Haduvio for these indications may ultimately prove to be unsuccessful or less successful than another product candidate or other indications that we might have chosen to pursue with our limited resources.</w:t>
      </w:r>
    </w:p>
    <w:p>
      <w:pPr>
        <w:spacing w:after="0" w:line="70" w:lineRule="exact"/>
        <w:rPr>
          <w:sz w:val="20"/>
          <w:szCs w:val="20"/>
          <w:color w:val="auto"/>
        </w:rPr>
      </w:pPr>
    </w:p>
    <w:p>
      <w:pPr>
        <w:ind w:firstLine="554"/>
        <w:spacing w:after="0" w:line="259"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ind w:right="220"/>
        <w:spacing w:after="0" w:line="277" w:lineRule="auto"/>
        <w:rPr>
          <w:sz w:val="20"/>
          <w:szCs w:val="20"/>
          <w:color w:val="auto"/>
        </w:rPr>
      </w:pPr>
      <w:r>
        <w:rPr>
          <w:rFonts w:ascii="Arial" w:cs="Arial" w:eastAsia="Arial" w:hAnsi="Arial"/>
          <w:sz w:val="18"/>
          <w:szCs w:val="18"/>
          <w:color w:val="auto"/>
        </w:rPr>
        <w:t>through collaboration, licensing or other royalty arrangements in cases in which it would have been more advantageous for us to retain sole development and commercialization rights to the product candidate.</w:t>
      </w:r>
    </w:p>
    <w:p>
      <w:pPr>
        <w:spacing w:after="0" w:line="6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6"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in any of our target indications, we believe we will have the opportunity to commercialize it in the U.S. directly through our own focused, specialty sales organization. If Haduvio receives marketing approval outside the U.S., we may develop a variety of collaboration, distribution and other marketing arrangements with one or more third parties to commercialize the product in those markets.</w:t>
      </w:r>
    </w:p>
    <w:p>
      <w:pPr>
        <w:spacing w:after="0" w:line="84" w:lineRule="exact"/>
        <w:rPr>
          <w:sz w:val="20"/>
          <w:szCs w:val="20"/>
          <w:color w:val="auto"/>
        </w:rPr>
      </w:pPr>
    </w:p>
    <w:p>
      <w:pPr>
        <w:ind w:right="80" w:firstLine="554"/>
        <w:spacing w:after="0" w:line="269"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77" w:lineRule="exact"/>
        <w:rPr>
          <w:sz w:val="20"/>
          <w:szCs w:val="20"/>
          <w:color w:val="auto"/>
        </w:rPr>
      </w:pPr>
    </w:p>
    <w:p>
      <w:pPr>
        <w:ind w:right="120" w:firstLine="554"/>
        <w:spacing w:after="0" w:line="254" w:lineRule="auto"/>
        <w:rPr>
          <w:sz w:val="20"/>
          <w:szCs w:val="20"/>
          <w:color w:val="auto"/>
        </w:rPr>
      </w:pPr>
      <w:r>
        <w:rPr>
          <w:rFonts w:ascii="Arial" w:cs="Arial" w:eastAsia="Arial" w:hAnsi="Arial"/>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84" w:lineRule="exact"/>
        <w:rPr>
          <w:sz w:val="20"/>
          <w:szCs w:val="20"/>
          <w:color w:val="auto"/>
        </w:rPr>
      </w:pPr>
    </w:p>
    <w:p>
      <w:pPr>
        <w:ind w:right="740" w:firstLine="554"/>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right="80" w:firstLine="554"/>
        <w:spacing w:after="0" w:line="254" w:lineRule="auto"/>
        <w:rPr>
          <w:sz w:val="20"/>
          <w:szCs w:val="20"/>
          <w:color w:val="auto"/>
        </w:rPr>
      </w:pPr>
      <w:r>
        <w:rPr>
          <w:rFonts w:ascii="Arial" w:cs="Arial" w:eastAsia="Arial" w:hAnsi="Arial"/>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87"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If Haduvio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pruritus associated with prurigo nodularis. Sanofi has reported positive data from two Phase 3 trials of Dupixent for the treatment of prurigo nodularis and that it plans regulatory submissions around the world for this indication in 2022.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KPL-716, a monoclonal antibody targeting oncostatin M receptor beta being developed by Kiniksa Pharmaceuticals; abrocitinib, an oral small molecule targeting the janus kinase 1, or JAK1, receptor being developed by Pfizer Inc.; INCB054707, an oral small molecule targeting the JAK 1 receptor being developed by Incyte; and CDX-0159,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ind w:right="140"/>
        <w:spacing w:after="0" w:line="257" w:lineRule="auto"/>
        <w:rPr>
          <w:sz w:val="20"/>
          <w:szCs w:val="20"/>
          <w:color w:val="auto"/>
        </w:rPr>
      </w:pPr>
      <w:r>
        <w:rPr>
          <w:rFonts w:ascii="Arial" w:cs="Arial" w:eastAsia="Arial" w:hAnsi="Arial"/>
          <w:sz w:val="18"/>
          <w:szCs w:val="18"/>
          <w:color w:val="auto"/>
        </w:rPr>
        <w:t>a humanized monoclonal antibody targeting the KIT receptor being developed by Celldex Therapeutics. In addition, a number of other product candidates are currently in clinical development to treat other pruritic conditions and Haduvio, if approved for the treatment of pruritus associated with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spacing w:after="0" w:line="80" w:lineRule="exact"/>
        <w:rPr>
          <w:sz w:val="20"/>
          <w:szCs w:val="20"/>
          <w:color w:val="auto"/>
        </w:rPr>
      </w:pPr>
    </w:p>
    <w:p>
      <w:pPr>
        <w:ind w:right="60" w:firstLine="554"/>
        <w:spacing w:after="0" w:line="273" w:lineRule="auto"/>
        <w:rPr>
          <w:sz w:val="20"/>
          <w:szCs w:val="20"/>
          <w:color w:val="auto"/>
        </w:rPr>
      </w:pPr>
      <w:r>
        <w:rPr>
          <w:rFonts w:ascii="Arial" w:cs="Arial" w:eastAsia="Arial" w:hAnsi="Arial"/>
          <w:sz w:val="17"/>
          <w:szCs w:val="17"/>
          <w:color w:val="auto"/>
        </w:rPr>
        <w:t>If Haduvio is approved for the treatment of chronic cough associated with IPF, we expect that it may compete with product candidates currently in clinical development for the treatment of chronic cough associated with IPF, such as orvepitant, which is being developed by Nerre Therapeutics, and ifenprodil which is being developed by Algernon Pharmeceuticals. We expect that it might also compete with other product candidates currently in development or submitted for approval to the FDA for the treatment of chronic refractory cough and unexplained chronic cough by companies including Merck, Shionogi, and Bellus Health. In addition, it is possible that product candidates currently in development for the treatment of IPF could, if approved, reduce the need for therapies to treat chronic cough associated with IPF.</w:t>
      </w:r>
    </w:p>
    <w:p>
      <w:pPr>
        <w:spacing w:after="0" w:line="70" w:lineRule="exact"/>
        <w:rPr>
          <w:sz w:val="20"/>
          <w:szCs w:val="20"/>
          <w:color w:val="auto"/>
        </w:rPr>
      </w:pPr>
    </w:p>
    <w:p>
      <w:pPr>
        <w:ind w:right="20" w:firstLine="554"/>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7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firstLine="554"/>
        <w:spacing w:after="0" w:line="290" w:lineRule="auto"/>
        <w:rPr>
          <w:sz w:val="20"/>
          <w:szCs w:val="20"/>
          <w:color w:val="auto"/>
        </w:rPr>
      </w:pPr>
      <w:r>
        <w:rPr>
          <w:rFonts w:ascii="Arial" w:cs="Arial" w:eastAsia="Arial" w:hAnsi="Arial"/>
          <w:sz w:val="16"/>
          <w:szCs w:val="16"/>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57" w:lineRule="exact"/>
        <w:rPr>
          <w:sz w:val="20"/>
          <w:szCs w:val="20"/>
          <w:color w:val="auto"/>
        </w:rPr>
      </w:pPr>
    </w:p>
    <w:p>
      <w:pPr>
        <w:ind w:right="80" w:firstLine="554"/>
        <w:spacing w:after="0" w:line="291"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58" w:lineRule="exact"/>
        <w:rPr>
          <w:sz w:val="20"/>
          <w:szCs w:val="20"/>
          <w:color w:val="auto"/>
        </w:rPr>
      </w:pPr>
    </w:p>
    <w:p>
      <w:pPr>
        <w:ind w:right="20" w:firstLine="554"/>
        <w:spacing w:after="0" w:line="269"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77" w:lineRule="exact"/>
        <w:rPr>
          <w:sz w:val="20"/>
          <w:szCs w:val="20"/>
          <w:color w:val="auto"/>
        </w:rPr>
      </w:pPr>
    </w:p>
    <w:p>
      <w:pPr>
        <w:ind w:right="320" w:firstLine="554"/>
        <w:spacing w:after="0" w:line="263"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jc w:val="both"/>
        <w:ind w:right="540"/>
        <w:spacing w:after="0" w:line="342" w:lineRule="auto"/>
        <w:rPr>
          <w:sz w:val="20"/>
          <w:szCs w:val="20"/>
          <w:color w:val="auto"/>
        </w:rPr>
      </w:pPr>
      <w:r>
        <w:rPr>
          <w:rFonts w:ascii="Arial" w:cs="Arial" w:eastAsia="Arial" w:hAnsi="Arial"/>
          <w:sz w:val="16"/>
          <w:szCs w:val="16"/>
          <w:color w:val="auto"/>
        </w:rPr>
        <w:t>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6" w:lineRule="exact"/>
        <w:rPr>
          <w:sz w:val="20"/>
          <w:szCs w:val="20"/>
          <w:color w:val="auto"/>
        </w:rPr>
      </w:pPr>
    </w:p>
    <w:p>
      <w:pPr>
        <w:ind w:right="260" w:firstLine="554"/>
        <w:spacing w:after="0" w:line="296"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53" w:lineRule="exact"/>
        <w:rPr>
          <w:sz w:val="20"/>
          <w:szCs w:val="20"/>
          <w:color w:val="auto"/>
        </w:rPr>
      </w:pPr>
    </w:p>
    <w:p>
      <w:pPr>
        <w:ind w:firstLine="554"/>
        <w:spacing w:after="0" w:line="254"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right="160" w:firstLine="554"/>
        <w:spacing w:after="0" w:line="272" w:lineRule="auto"/>
        <w:rPr>
          <w:sz w:val="20"/>
          <w:szCs w:val="20"/>
          <w:color w:val="auto"/>
        </w:rPr>
      </w:pPr>
      <w:r>
        <w:rPr>
          <w:rFonts w:ascii="Arial" w:cs="Arial" w:eastAsia="Arial" w:hAnsi="Arial"/>
          <w:sz w:val="17"/>
          <w:szCs w:val="17"/>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69" w:lineRule="exact"/>
        <w:rPr>
          <w:sz w:val="20"/>
          <w:szCs w:val="20"/>
          <w:color w:val="auto"/>
        </w:rPr>
      </w:pPr>
    </w:p>
    <w:p>
      <w:pPr>
        <w:ind w:left="960" w:hanging="399"/>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products that we may develop or in-license;</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ind w:right="120" w:firstLine="554"/>
        <w:spacing w:after="0" w:line="255" w:lineRule="auto"/>
        <w:rPr>
          <w:sz w:val="20"/>
          <w:szCs w:val="20"/>
          <w:color w:val="auto"/>
        </w:rPr>
      </w:pPr>
      <w:r>
        <w:rPr>
          <w:rFonts w:ascii="Arial" w:cs="Arial" w:eastAsia="Arial" w:hAnsi="Arial"/>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right="40" w:firstLine="554"/>
        <w:spacing w:after="0" w:line="257" w:lineRule="auto"/>
        <w:rPr>
          <w:sz w:val="20"/>
          <w:szCs w:val="20"/>
          <w:color w:val="auto"/>
        </w:rPr>
      </w:pPr>
      <w:r>
        <w:rPr>
          <w:rFonts w:ascii="Arial" w:cs="Arial" w:eastAsia="Arial" w:hAnsi="Arial"/>
          <w:sz w:val="18"/>
          <w:szCs w:val="18"/>
          <w:color w:val="auto"/>
        </w:rPr>
        <w:t>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57" w:name="page58"/>
    <w:bookmarkEnd w:id="57"/>
    <w:p>
      <w:pPr>
        <w:ind w:right="320"/>
        <w:spacing w:after="0" w:line="277" w:lineRule="auto"/>
        <w:rPr>
          <w:sz w:val="20"/>
          <w:szCs w:val="20"/>
          <w:color w:val="auto"/>
        </w:rPr>
      </w:pPr>
      <w:r>
        <w:rPr>
          <w:rFonts w:ascii="Arial" w:cs="Arial" w:eastAsia="Arial" w:hAnsi="Arial"/>
          <w:sz w:val="18"/>
          <w:szCs w:val="18"/>
          <w:color w:val="auto"/>
        </w:rPr>
        <w:t>new CRO begins work on a clinical trial. As a result, delays would likely occur, which could negatively impact our ability to meet our expected clinical development timelines and harm our business, financial condition and prospects.</w:t>
      </w:r>
    </w:p>
    <w:p>
      <w:pPr>
        <w:spacing w:after="0" w:line="62" w:lineRule="exact"/>
        <w:rPr>
          <w:sz w:val="20"/>
          <w:szCs w:val="20"/>
          <w:color w:val="auto"/>
        </w:rPr>
      </w:pPr>
    </w:p>
    <w:p>
      <w:pPr>
        <w:ind w:right="20" w:firstLine="554"/>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71" w:lineRule="exact"/>
        <w:rPr>
          <w:sz w:val="20"/>
          <w:szCs w:val="20"/>
          <w:color w:val="auto"/>
        </w:rPr>
      </w:pPr>
    </w:p>
    <w:p>
      <w:pPr>
        <w:ind w:right="160" w:firstLine="554"/>
        <w:spacing w:after="0" w:line="287" w:lineRule="auto"/>
        <w:rPr>
          <w:sz w:val="20"/>
          <w:szCs w:val="20"/>
          <w:color w:val="auto"/>
        </w:rPr>
      </w:pPr>
      <w:r>
        <w:rPr>
          <w:rFonts w:ascii="Arial" w:cs="Arial" w:eastAsia="Arial" w:hAnsi="Arial"/>
          <w:sz w:val="16"/>
          <w:szCs w:val="16"/>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also be impacted by developments in the COVID-19 pandemic or government measures taken in response to the pandemic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6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Haduvio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spacing w:after="0" w:line="76" w:lineRule="exact"/>
        <w:rPr>
          <w:sz w:val="20"/>
          <w:szCs w:val="20"/>
          <w:color w:val="auto"/>
        </w:rPr>
      </w:pPr>
    </w:p>
    <w:p>
      <w:pPr>
        <w:ind w:firstLine="554"/>
        <w:spacing w:after="0" w:line="293" w:lineRule="auto"/>
        <w:rPr>
          <w:sz w:val="20"/>
          <w:szCs w:val="20"/>
          <w:color w:val="auto"/>
        </w:rPr>
      </w:pPr>
      <w:r>
        <w:rPr>
          <w:rFonts w:ascii="Arial" w:cs="Arial" w:eastAsia="Arial" w:hAnsi="Arial"/>
          <w:sz w:val="16"/>
          <w:szCs w:val="16"/>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56" w:lineRule="exact"/>
        <w:rPr>
          <w:sz w:val="20"/>
          <w:szCs w:val="20"/>
          <w:color w:val="auto"/>
        </w:rPr>
      </w:pPr>
    </w:p>
    <w:p>
      <w:pPr>
        <w:ind w:left="960" w:right="100" w:hanging="399"/>
        <w:spacing w:after="0" w:line="263"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prioritize the supply of other companies’ products over Haduvio or any future product candidates or otherwise fail to satisfactorily perform according to the terms of the agreements between us and them or if unforeseen events in the manufacturing process arise;</w:t>
      </w:r>
    </w:p>
    <w:p>
      <w:pPr>
        <w:spacing w:after="0" w:line="75" w:lineRule="exact"/>
        <w:rPr>
          <w:rFonts w:ascii="Arial" w:cs="Arial" w:eastAsia="Arial" w:hAnsi="Arial"/>
          <w:sz w:val="18"/>
          <w:szCs w:val="18"/>
          <w:color w:val="auto"/>
        </w:rPr>
      </w:pPr>
    </w:p>
    <w:p>
      <w:pPr>
        <w:ind w:left="960" w:hanging="399"/>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breach by third-party contractors of our agreements with them;</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44" w:lineRule="exact"/>
        <w:rPr>
          <w:rFonts w:ascii="Arial" w:cs="Arial" w:eastAsia="Arial" w:hAnsi="Arial"/>
          <w:sz w:val="18"/>
          <w:szCs w:val="18"/>
          <w:color w:val="auto"/>
        </w:rPr>
      </w:pPr>
    </w:p>
    <w:p>
      <w:pPr>
        <w:ind w:left="960" w:right="400" w:hanging="399"/>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960" w:right="360" w:hanging="399"/>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ind w:left="960" w:hanging="399"/>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44" w:lineRule="exact"/>
        <w:rPr>
          <w:sz w:val="20"/>
          <w:szCs w:val="20"/>
          <w:color w:val="auto"/>
        </w:rPr>
      </w:pPr>
    </w:p>
    <w:p>
      <w:pPr>
        <w:ind w:right="20" w:firstLine="554"/>
        <w:spacing w:after="0" w:line="273" w:lineRule="auto"/>
        <w:rPr>
          <w:sz w:val="20"/>
          <w:szCs w:val="20"/>
          <w:color w:val="auto"/>
        </w:rPr>
      </w:pPr>
      <w:r>
        <w:rPr>
          <w:rFonts w:ascii="Arial" w:cs="Arial" w:eastAsia="Arial" w:hAnsi="Arial"/>
          <w:sz w:val="17"/>
          <w:szCs w:val="17"/>
          <w:color w:val="auto"/>
        </w:rPr>
        <w:t>We do not have long-term supply agreements with any of our contract manufacturers. If any of our existing manufacturers should become unavailable to us for any reason or fail to supply us with the ordered quantities, including as a result of the COVID-19 pandemic or government measures taken in response to the pandemic,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70" w:lineRule="exact"/>
        <w:rPr>
          <w:sz w:val="20"/>
          <w:szCs w:val="20"/>
          <w:color w:val="auto"/>
        </w:rPr>
      </w:pPr>
    </w:p>
    <w:p>
      <w:pPr>
        <w:ind w:right="100" w:firstLine="554"/>
        <w:spacing w:after="0" w:line="288" w:lineRule="auto"/>
        <w:rPr>
          <w:sz w:val="20"/>
          <w:szCs w:val="20"/>
          <w:color w:val="auto"/>
        </w:rPr>
      </w:pPr>
      <w:r>
        <w:rPr>
          <w:rFonts w:ascii="Arial" w:cs="Arial" w:eastAsia="Arial" w:hAnsi="Arial"/>
          <w:sz w:val="16"/>
          <w:szCs w:val="16"/>
          <w:color w:val="auto"/>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is also subject to approval by Irish authorities. It is currently uncertain what impact, if any, Mallinckrodt’s bankruptcy filing and the associated reorganization plan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60" w:lineRule="exact"/>
        <w:rPr>
          <w:sz w:val="20"/>
          <w:szCs w:val="20"/>
          <w:color w:val="auto"/>
        </w:rPr>
      </w:pPr>
    </w:p>
    <w:p>
      <w:pPr>
        <w:ind w:right="20" w:firstLine="554"/>
        <w:spacing w:after="0" w:line="257" w:lineRule="auto"/>
        <w:rPr>
          <w:sz w:val="20"/>
          <w:szCs w:val="20"/>
          <w:color w:val="auto"/>
        </w:rPr>
      </w:pPr>
      <w:r>
        <w:rPr>
          <w:rFonts w:ascii="Arial" w:cs="Arial" w:eastAsia="Arial" w:hAnsi="Arial"/>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pacing w:after="0" w:line="80" w:lineRule="exact"/>
        <w:rPr>
          <w:sz w:val="20"/>
          <w:szCs w:val="20"/>
          <w:color w:val="auto"/>
        </w:rPr>
      </w:pPr>
    </w:p>
    <w:p>
      <w:pPr>
        <w:ind w:firstLine="554"/>
        <w:spacing w:after="0" w:line="270" w:lineRule="auto"/>
        <w:rPr>
          <w:sz w:val="20"/>
          <w:szCs w:val="20"/>
          <w:color w:val="auto"/>
        </w:rPr>
      </w:pPr>
      <w:r>
        <w:rPr>
          <w:rFonts w:ascii="Arial" w:cs="Arial" w:eastAsia="Arial" w:hAnsi="Arial"/>
          <w:sz w:val="17"/>
          <w:szCs w:val="17"/>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73" w:lineRule="exact"/>
        <w:rPr>
          <w:sz w:val="20"/>
          <w:szCs w:val="20"/>
          <w:color w:val="auto"/>
        </w:rPr>
      </w:pPr>
    </w:p>
    <w:p>
      <w:pPr>
        <w:ind w:right="40" w:firstLine="554"/>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56" w:lineRule="exact"/>
        <w:rPr>
          <w:sz w:val="20"/>
          <w:szCs w:val="20"/>
          <w:color w:val="auto"/>
        </w:rPr>
      </w:pPr>
    </w:p>
    <w:p>
      <w:pPr>
        <w:ind w:right="300" w:firstLine="554"/>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Haduvio or any future product candidate may harm our future profit margins and our ability to commercialize any products that receive marketing approval on a timely and competitive basis.</w:t>
      </w:r>
    </w:p>
    <w:p>
      <w:pPr>
        <w:spacing w:after="0" w:line="3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80" w:firstLine="554"/>
        <w:spacing w:after="0" w:line="259" w:lineRule="auto"/>
        <w:rPr>
          <w:sz w:val="20"/>
          <w:szCs w:val="20"/>
          <w:color w:val="auto"/>
        </w:rPr>
      </w:pPr>
      <w:r>
        <w:rPr>
          <w:rFonts w:ascii="Arial" w:cs="Arial" w:eastAsia="Arial" w:hAnsi="Arial"/>
          <w:sz w:val="18"/>
          <w:szCs w:val="18"/>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ind w:right="720"/>
        <w:spacing w:after="0" w:line="277" w:lineRule="auto"/>
        <w:rPr>
          <w:sz w:val="20"/>
          <w:szCs w:val="20"/>
          <w:color w:val="auto"/>
        </w:rPr>
      </w:pPr>
      <w:r>
        <w:rPr>
          <w:rFonts w:ascii="Arial" w:cs="Arial" w:eastAsia="Arial" w:hAnsi="Arial"/>
          <w:sz w:val="18"/>
          <w:szCs w:val="18"/>
          <w:color w:val="auto"/>
        </w:rPr>
        <w:t>foreign regulatory authorities, we intend to enter into strategic relationships with international biotechnology or pharmaceutical companies for the commercialization of those product candidates outside of the U.S.</w:t>
      </w:r>
    </w:p>
    <w:p>
      <w:pPr>
        <w:spacing w:after="0" w:line="62" w:lineRule="exact"/>
        <w:rPr>
          <w:sz w:val="20"/>
          <w:szCs w:val="20"/>
          <w:color w:val="auto"/>
        </w:rPr>
      </w:pPr>
    </w:p>
    <w:p>
      <w:pPr>
        <w:ind w:right="40" w:firstLine="554"/>
        <w:spacing w:after="0" w:line="285" w:lineRule="auto"/>
        <w:rPr>
          <w:sz w:val="20"/>
          <w:szCs w:val="20"/>
          <w:color w:val="auto"/>
        </w:rPr>
      </w:pPr>
      <w:r>
        <w:rPr>
          <w:rFonts w:ascii="Arial" w:cs="Arial" w:eastAsia="Arial" w:hAnsi="Arial"/>
          <w:sz w:val="16"/>
          <w:szCs w:val="16"/>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68" w:lineRule="exact"/>
        <w:rPr>
          <w:sz w:val="20"/>
          <w:szCs w:val="20"/>
          <w:color w:val="auto"/>
        </w:rPr>
      </w:pPr>
    </w:p>
    <w:p>
      <w:pPr>
        <w:ind w:right="280" w:firstLine="554"/>
        <w:spacing w:after="0" w:line="277" w:lineRule="auto"/>
        <w:rPr>
          <w:sz w:val="20"/>
          <w:szCs w:val="20"/>
          <w:color w:val="auto"/>
        </w:rPr>
      </w:pPr>
      <w:r>
        <w:rPr>
          <w:rFonts w:ascii="Arial" w:cs="Arial" w:eastAsia="Arial" w:hAnsi="Arial"/>
          <w:sz w:val="18"/>
          <w:szCs w:val="18"/>
          <w:color w:val="auto"/>
        </w:rPr>
        <w:t>If we establish one or more collaborations, all the risks relating to product development, regulatory approval and commercialization described in this Annual Report on Form 10-K would also apply to the activities of any such future collaborators.</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38"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17" w:lineRule="exact"/>
        <w:rPr>
          <w:sz w:val="20"/>
          <w:szCs w:val="20"/>
          <w:color w:val="auto"/>
        </w:rPr>
      </w:pPr>
    </w:p>
    <w:p>
      <w:pPr>
        <w:ind w:left="960" w:hanging="39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rFonts w:ascii="Arial" w:cs="Arial" w:eastAsia="Arial" w:hAnsi="Arial"/>
          <w:sz w:val="18"/>
          <w:szCs w:val="18"/>
          <w:color w:val="auto"/>
        </w:rPr>
      </w:pPr>
    </w:p>
    <w:p>
      <w:pPr>
        <w:ind w:left="960" w:right="100" w:hanging="399"/>
        <w:spacing w:after="0" w:line="311"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40" w:lineRule="exact"/>
        <w:rPr>
          <w:rFonts w:ascii="Arial" w:cs="Arial" w:eastAsia="Arial" w:hAnsi="Arial"/>
          <w:sz w:val="16"/>
          <w:szCs w:val="16"/>
          <w:color w:val="auto"/>
        </w:rPr>
      </w:pPr>
    </w:p>
    <w:p>
      <w:pPr>
        <w:ind w:left="960" w:right="1240" w:hanging="399"/>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62" w:lineRule="exact"/>
        <w:rPr>
          <w:rFonts w:ascii="Arial" w:cs="Arial" w:eastAsia="Arial" w:hAnsi="Arial"/>
          <w:sz w:val="18"/>
          <w:szCs w:val="18"/>
          <w:color w:val="auto"/>
        </w:rPr>
      </w:pPr>
    </w:p>
    <w:p>
      <w:pPr>
        <w:ind w:left="960" w:right="520" w:hanging="399"/>
        <w:spacing w:after="0" w:line="308" w:lineRule="auto"/>
        <w:tabs>
          <w:tab w:leader="none" w:pos="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60" w:right="700" w:hanging="399"/>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62" w:lineRule="exact"/>
        <w:rPr>
          <w:rFonts w:ascii="Arial" w:cs="Arial" w:eastAsia="Arial" w:hAnsi="Arial"/>
          <w:sz w:val="18"/>
          <w:szCs w:val="18"/>
          <w:color w:val="auto"/>
        </w:rPr>
      </w:pPr>
    </w:p>
    <w:p>
      <w:pPr>
        <w:ind w:left="960" w:right="600" w:hanging="399"/>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ind w:left="960" w:right="260" w:hanging="399"/>
        <w:spacing w:after="0" w:line="259"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960" w:right="80" w:hanging="399"/>
        <w:spacing w:after="0" w:line="342"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960" w:right="680" w:hanging="399"/>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engage in misconduct or other improper activities, including non-compliance with regulatory standards and requirements;</w:t>
      </w:r>
    </w:p>
    <w:p>
      <w:pPr>
        <w:spacing w:after="0" w:line="167" w:lineRule="exact"/>
        <w:rPr>
          <w:rFonts w:ascii="Arial" w:cs="Arial" w:eastAsia="Arial" w:hAnsi="Arial"/>
          <w:sz w:val="16"/>
          <w:szCs w:val="16"/>
          <w:color w:val="auto"/>
        </w:rPr>
      </w:pPr>
    </w:p>
    <w:p>
      <w:pPr>
        <w:ind w:left="960" w:right="40" w:hanging="399"/>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960" w:right="1000" w:hanging="399"/>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sz w:val="20"/>
          <w:szCs w:val="20"/>
          <w:color w:val="auto"/>
        </w:rPr>
      </w:pPr>
    </w:p>
    <w:p>
      <w:pPr>
        <w:ind w:right="740" w:firstLine="554"/>
        <w:spacing w:after="0" w:line="375" w:lineRule="auto"/>
        <w:rPr>
          <w:sz w:val="20"/>
          <w:szCs w:val="20"/>
          <w:color w:val="auto"/>
        </w:rPr>
      </w:pPr>
      <w:r>
        <w:rPr>
          <w:rFonts w:ascii="Arial" w:cs="Arial" w:eastAsia="Arial" w:hAnsi="Arial"/>
          <w:sz w:val="18"/>
          <w:szCs w:val="18"/>
          <w:color w:val="auto"/>
        </w:rPr>
        <w:t xml:space="preserve">Collaboration agreements may not lead to development or commercialization of product candidates in the most efficient manner or at all. </w:t>
      </w:r>
      <w:r>
        <w:rPr>
          <w:rFonts w:ascii="Arial" w:cs="Arial" w:eastAsia="Arial" w:hAnsi="Arial"/>
          <w:sz w:val="18"/>
          <w:szCs w:val="18"/>
          <w:b w:val="1"/>
          <w:bCs w:val="1"/>
          <w:color w:val="auto"/>
        </w:rPr>
        <w:t>Risks Related to Our Intellectual Property</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right="60" w:firstLine="554"/>
        <w:spacing w:after="0" w:line="255" w:lineRule="auto"/>
        <w:rPr>
          <w:sz w:val="20"/>
          <w:szCs w:val="20"/>
          <w:color w:val="auto"/>
        </w:rPr>
      </w:pPr>
      <w:r>
        <w:rPr>
          <w:rFonts w:ascii="Arial" w:cs="Arial" w:eastAsia="Arial" w:hAnsi="Arial"/>
          <w:sz w:val="18"/>
          <w:szCs w:val="18"/>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84" w:lineRule="exact"/>
        <w:rPr>
          <w:sz w:val="20"/>
          <w:szCs w:val="20"/>
          <w:color w:val="auto"/>
        </w:rPr>
      </w:pPr>
    </w:p>
    <w:p>
      <w:pPr>
        <w:ind w:right="60" w:firstLine="554"/>
        <w:spacing w:after="0" w:line="275"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17" w:lineRule="exact"/>
        <w:rPr>
          <w:sz w:val="20"/>
          <w:szCs w:val="20"/>
          <w:color w:val="auto"/>
        </w:rPr>
      </w:pPr>
    </w:p>
    <w:p>
      <w:pPr>
        <w:ind w:left="960" w:hanging="39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960" w:hanging="399"/>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collaborative development relationships;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44" w:lineRule="exact"/>
        <w:rPr>
          <w:rFonts w:ascii="Arial" w:cs="Arial" w:eastAsia="Arial" w:hAnsi="Arial"/>
          <w:sz w:val="18"/>
          <w:szCs w:val="18"/>
          <w:color w:val="auto"/>
        </w:rPr>
      </w:pPr>
    </w:p>
    <w:p>
      <w:pPr>
        <w:ind w:left="960" w:right="240" w:hanging="399"/>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joint creation or use of intellectual property by licensors and us; and</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w:t>
      </w:r>
    </w:p>
    <w:p>
      <w:pPr>
        <w:spacing w:after="0" w:line="144" w:lineRule="exact"/>
        <w:rPr>
          <w:sz w:val="20"/>
          <w:szCs w:val="20"/>
          <w:color w:val="auto"/>
        </w:rPr>
      </w:pPr>
    </w:p>
    <w:p>
      <w:pPr>
        <w:ind w:right="120" w:firstLine="554"/>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1" w:name="page62"/>
    <w:bookmarkEnd w:id="61"/>
    <w:p>
      <w:pPr>
        <w:spacing w:after="0" w:line="277" w:lineRule="auto"/>
        <w:rPr>
          <w:sz w:val="20"/>
          <w:szCs w:val="20"/>
          <w:color w:val="auto"/>
        </w:rPr>
      </w:pPr>
      <w:r>
        <w:rPr>
          <w:rFonts w:ascii="Arial" w:cs="Arial" w:eastAsia="Arial" w:hAnsi="Arial"/>
          <w:sz w:val="18"/>
          <w:szCs w:val="18"/>
          <w:b w:val="1"/>
          <w:bCs w:val="1"/>
          <w:i w:val="1"/>
          <w:iCs w:val="1"/>
          <w:color w:val="auto"/>
        </w:rPr>
        <w:t>protection is not sufficiently broad, competitors could develop and commercialize products similar or identical to such product candidate and our ability to successfully commercialize such product candidate may be adversely affected.</w:t>
      </w:r>
    </w:p>
    <w:p>
      <w:pPr>
        <w:spacing w:after="0" w:line="62"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87" w:lineRule="exact"/>
        <w:rPr>
          <w:sz w:val="20"/>
          <w:szCs w:val="20"/>
          <w:color w:val="auto"/>
        </w:rPr>
      </w:pPr>
    </w:p>
    <w:p>
      <w:pPr>
        <w:ind w:right="60" w:firstLine="554"/>
        <w:spacing w:after="0" w:line="286" w:lineRule="auto"/>
        <w:rPr>
          <w:sz w:val="20"/>
          <w:szCs w:val="20"/>
          <w:color w:val="auto"/>
        </w:rPr>
      </w:pPr>
      <w:r>
        <w:rPr>
          <w:rFonts w:ascii="Arial" w:cs="Arial" w:eastAsia="Arial" w:hAnsi="Arial"/>
          <w:sz w:val="16"/>
          <w:szCs w:val="16"/>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63" w:lineRule="exact"/>
        <w:rPr>
          <w:sz w:val="20"/>
          <w:szCs w:val="20"/>
          <w:color w:val="auto"/>
        </w:rPr>
      </w:pPr>
    </w:p>
    <w:p>
      <w:pPr>
        <w:ind w:right="40" w:firstLine="554"/>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49" w:lineRule="exact"/>
        <w:rPr>
          <w:sz w:val="20"/>
          <w:szCs w:val="20"/>
          <w:color w:val="auto"/>
        </w:rPr>
      </w:pPr>
    </w:p>
    <w:p>
      <w:pPr>
        <w:ind w:right="20" w:firstLine="554"/>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74"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ind w:right="100"/>
        <w:spacing w:after="0" w:line="311" w:lineRule="auto"/>
        <w:rPr>
          <w:sz w:val="20"/>
          <w:szCs w:val="20"/>
          <w:color w:val="auto"/>
        </w:rPr>
      </w:pPr>
      <w:r>
        <w:rPr>
          <w:rFonts w:ascii="Arial" w:cs="Arial" w:eastAsia="Arial" w:hAnsi="Arial"/>
          <w:sz w:val="16"/>
          <w:szCs w:val="16"/>
          <w:color w:val="auto"/>
        </w:rPr>
        <w:t>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41"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spacing w:after="0" w:line="79" w:lineRule="exact"/>
        <w:rPr>
          <w:sz w:val="20"/>
          <w:szCs w:val="20"/>
          <w:color w:val="auto"/>
        </w:rPr>
      </w:pPr>
    </w:p>
    <w:p>
      <w:pPr>
        <w:ind w:right="20" w:firstLine="554"/>
        <w:spacing w:after="0" w:line="270" w:lineRule="auto"/>
        <w:rPr>
          <w:sz w:val="20"/>
          <w:szCs w:val="20"/>
          <w:color w:val="auto"/>
        </w:rPr>
      </w:pPr>
      <w:r>
        <w:rPr>
          <w:rFonts w:ascii="Arial" w:cs="Arial" w:eastAsia="Arial" w:hAnsi="Arial"/>
          <w:sz w:val="17"/>
          <w:szCs w:val="17"/>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73" w:lineRule="exact"/>
        <w:rPr>
          <w:sz w:val="20"/>
          <w:szCs w:val="20"/>
          <w:color w:val="auto"/>
        </w:rPr>
      </w:pPr>
    </w:p>
    <w:p>
      <w:pPr>
        <w:ind w:right="20" w:firstLine="554"/>
        <w:spacing w:after="0" w:line="296" w:lineRule="auto"/>
        <w:rPr>
          <w:sz w:val="20"/>
          <w:szCs w:val="20"/>
          <w:color w:val="auto"/>
        </w:rPr>
      </w:pPr>
      <w:r>
        <w:rPr>
          <w:rFonts w:ascii="Arial" w:cs="Arial" w:eastAsia="Arial" w:hAnsi="Arial"/>
          <w:sz w:val="16"/>
          <w:szCs w:val="16"/>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5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trademark infringement has superior rights to the marks in question. In this case, we could ultimately be forced to cease use of such trademarks.</w:t>
      </w:r>
    </w:p>
    <w:p>
      <w:pPr>
        <w:spacing w:after="0" w:line="129" w:lineRule="exact"/>
        <w:rPr>
          <w:sz w:val="20"/>
          <w:szCs w:val="20"/>
          <w:color w:val="auto"/>
        </w:rPr>
      </w:pPr>
    </w:p>
    <w:p>
      <w:pPr>
        <w:ind w:firstLine="554"/>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7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Haduvio or any future product candidate.</w:t>
      </w:r>
    </w:p>
    <w:p>
      <w:pPr>
        <w:spacing w:after="0" w:line="16" w:lineRule="exact"/>
        <w:rPr>
          <w:sz w:val="20"/>
          <w:szCs w:val="20"/>
          <w:color w:val="auto"/>
        </w:rPr>
      </w:pPr>
    </w:p>
    <w:p>
      <w:pPr>
        <w:ind w:right="220" w:firstLine="554"/>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84" w:lineRule="exact"/>
        <w:rPr>
          <w:sz w:val="20"/>
          <w:szCs w:val="20"/>
          <w:color w:val="auto"/>
        </w:rPr>
      </w:pPr>
    </w:p>
    <w:p>
      <w:pPr>
        <w:ind w:right="120" w:firstLine="554"/>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63" w:lineRule="exact"/>
        <w:rPr>
          <w:sz w:val="20"/>
          <w:szCs w:val="20"/>
          <w:color w:val="auto"/>
        </w:rPr>
      </w:pPr>
    </w:p>
    <w:p>
      <w:pPr>
        <w:ind w:right="80" w:firstLine="554"/>
        <w:spacing w:after="0" w:line="289"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U.S. and other jurisdictions could diminish the value of patents in general, thereby impairing our ability to protect our products.</w:t>
      </w:r>
    </w:p>
    <w:p>
      <w:pPr>
        <w:spacing w:after="0" w:line="62" w:lineRule="exact"/>
        <w:rPr>
          <w:sz w:val="20"/>
          <w:szCs w:val="20"/>
          <w:color w:val="auto"/>
        </w:rPr>
      </w:pPr>
    </w:p>
    <w:p>
      <w:pPr>
        <w:ind w:right="300" w:firstLine="554"/>
        <w:spacing w:after="0" w:line="259"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U.S., including the Leahy-Smith America Invents Act, or the America Invents Act, could increase those uncertainties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ind w:right="20"/>
        <w:spacing w:after="0" w:line="259" w:lineRule="auto"/>
        <w:rPr>
          <w:sz w:val="20"/>
          <w:szCs w:val="20"/>
          <w:color w:val="auto"/>
        </w:rPr>
      </w:pPr>
      <w:r>
        <w:rPr>
          <w:rFonts w:ascii="Arial" w:cs="Arial" w:eastAsia="Arial" w:hAnsi="Arial"/>
          <w:sz w:val="18"/>
          <w:szCs w:val="18"/>
          <w:color w:val="auto"/>
        </w:rPr>
        <w:t>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79" w:lineRule="exact"/>
        <w:rPr>
          <w:sz w:val="20"/>
          <w:szCs w:val="20"/>
          <w:color w:val="auto"/>
        </w:rPr>
      </w:pPr>
    </w:p>
    <w:p>
      <w:pPr>
        <w:ind w:firstLine="554"/>
        <w:spacing w:after="0" w:line="287" w:lineRule="auto"/>
        <w:rPr>
          <w:sz w:val="20"/>
          <w:szCs w:val="20"/>
          <w:color w:val="auto"/>
        </w:rPr>
      </w:pPr>
      <w:r>
        <w:rPr>
          <w:rFonts w:ascii="Arial" w:cs="Arial" w:eastAsia="Arial" w:hAnsi="Arial"/>
          <w:sz w:val="16"/>
          <w:szCs w:val="16"/>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60" w:lineRule="exact"/>
        <w:rPr>
          <w:sz w:val="20"/>
          <w:szCs w:val="20"/>
          <w:color w:val="auto"/>
        </w:rPr>
      </w:pPr>
    </w:p>
    <w:p>
      <w:pPr>
        <w:ind w:right="40" w:firstLine="554"/>
        <w:spacing w:after="0" w:line="254"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60" w:firstLine="554"/>
        <w:spacing w:after="0" w:line="293"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56" w:lineRule="exact"/>
        <w:rPr>
          <w:sz w:val="20"/>
          <w:szCs w:val="20"/>
          <w:color w:val="auto"/>
        </w:rPr>
      </w:pPr>
    </w:p>
    <w:p>
      <w:pPr>
        <w:ind w:right="80" w:firstLine="554"/>
        <w:spacing w:after="0" w:line="291"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58" w:lineRule="exact"/>
        <w:rPr>
          <w:sz w:val="20"/>
          <w:szCs w:val="20"/>
          <w:color w:val="auto"/>
        </w:rPr>
      </w:pPr>
    </w:p>
    <w:p>
      <w:pPr>
        <w:ind w:right="200" w:firstLine="554"/>
        <w:spacing w:after="0" w:line="263"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76" w:lineRule="exact"/>
        <w:rPr>
          <w:sz w:val="20"/>
          <w:szCs w:val="20"/>
          <w:color w:val="auto"/>
        </w:rPr>
      </w:pPr>
    </w:p>
    <w:p>
      <w:pPr>
        <w:ind w:right="60" w:firstLine="554"/>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20" w:firstLine="554"/>
        <w:spacing w:after="0" w:line="269"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77" w:lineRule="exact"/>
        <w:rPr>
          <w:sz w:val="20"/>
          <w:szCs w:val="20"/>
          <w:color w:val="auto"/>
        </w:rPr>
      </w:pPr>
    </w:p>
    <w:p>
      <w:pPr>
        <w:ind w:right="40" w:firstLine="554"/>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8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54"/>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the FDA does not conclude that Haduvio for the treatment of pruritus associated with prurigo nodularis, chronic cough in IPF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79" w:lineRule="exact"/>
        <w:rPr>
          <w:sz w:val="20"/>
          <w:szCs w:val="20"/>
          <w:color w:val="auto"/>
        </w:rPr>
      </w:pPr>
    </w:p>
    <w:p>
      <w:pPr>
        <w:ind w:right="40" w:firstLine="554"/>
        <w:spacing w:after="0" w:line="275" w:lineRule="auto"/>
        <w:rPr>
          <w:sz w:val="20"/>
          <w:szCs w:val="20"/>
          <w:color w:val="auto"/>
        </w:rPr>
      </w:pPr>
      <w:r>
        <w:rPr>
          <w:rFonts w:ascii="Arial" w:cs="Arial" w:eastAsia="Arial" w:hAnsi="Arial"/>
          <w:sz w:val="17"/>
          <w:szCs w:val="17"/>
          <w:color w:val="auto"/>
        </w:rPr>
        <w:t>We commenced our Phase 2b/3 PRISM trial of Haduvio for the treatment of pruritus associated with prurigo nodularis and we believe we will need to conduct an additional Phase 3 clinical trial of Haduvio for the treatment of pruritus associated with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6" w:name="page67"/>
    <w:bookmarkEnd w:id="66"/>
    <w:p>
      <w:pPr>
        <w:ind w:right="20"/>
        <w:spacing w:after="0" w:line="301" w:lineRule="auto"/>
        <w:rPr>
          <w:sz w:val="20"/>
          <w:szCs w:val="20"/>
          <w:color w:val="auto"/>
        </w:rPr>
      </w:pPr>
      <w:r>
        <w:rPr>
          <w:rFonts w:ascii="Arial" w:cs="Arial" w:eastAsia="Arial" w:hAnsi="Arial"/>
          <w:sz w:val="16"/>
          <w:szCs w:val="16"/>
          <w:color w:val="auto"/>
        </w:rPr>
        <w:t>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spacing w:after="0" w:line="49" w:lineRule="exact"/>
        <w:rPr>
          <w:sz w:val="20"/>
          <w:szCs w:val="20"/>
          <w:color w:val="auto"/>
        </w:rPr>
      </w:pPr>
    </w:p>
    <w:p>
      <w:pPr>
        <w:ind w:firstLine="554"/>
        <w:spacing w:after="0" w:line="272"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pruritus associated with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69" w:lineRule="exact"/>
        <w:rPr>
          <w:sz w:val="20"/>
          <w:szCs w:val="20"/>
          <w:color w:val="auto"/>
        </w:rPr>
      </w:pPr>
    </w:p>
    <w:p>
      <w:pPr>
        <w:ind w:right="80" w:firstLine="554"/>
        <w:spacing w:after="0" w:line="269"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74" w:lineRule="exact"/>
        <w:rPr>
          <w:sz w:val="20"/>
          <w:szCs w:val="20"/>
          <w:color w:val="auto"/>
        </w:rPr>
      </w:pPr>
    </w:p>
    <w:p>
      <w:pPr>
        <w:ind w:firstLine="554"/>
        <w:spacing w:after="0" w:line="263"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76"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57" w:lineRule="exact"/>
        <w:rPr>
          <w:sz w:val="20"/>
          <w:szCs w:val="20"/>
          <w:color w:val="auto"/>
        </w:rPr>
      </w:pPr>
    </w:p>
    <w:p>
      <w:pPr>
        <w:ind w:right="80" w:firstLine="554"/>
        <w:spacing w:after="0" w:line="296" w:lineRule="auto"/>
        <w:rPr>
          <w:sz w:val="20"/>
          <w:szCs w:val="20"/>
          <w:color w:val="auto"/>
        </w:rPr>
      </w:pPr>
      <w:r>
        <w:rPr>
          <w:rFonts w:ascii="Arial" w:cs="Arial" w:eastAsia="Arial" w:hAnsi="Arial"/>
          <w:sz w:val="16"/>
          <w:szCs w:val="16"/>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53" w:lineRule="exact"/>
        <w:rPr>
          <w:sz w:val="20"/>
          <w:szCs w:val="20"/>
          <w:color w:val="auto"/>
        </w:rPr>
      </w:pPr>
    </w:p>
    <w:p>
      <w:pPr>
        <w:ind w:right="20" w:firstLine="554"/>
        <w:spacing w:after="0" w:line="253" w:lineRule="auto"/>
        <w:rPr>
          <w:sz w:val="20"/>
          <w:szCs w:val="20"/>
          <w:color w:val="auto"/>
        </w:rPr>
      </w:pPr>
      <w:r>
        <w:rPr>
          <w:rFonts w:ascii="Arial" w:cs="Arial" w:eastAsia="Arial" w:hAnsi="Arial"/>
          <w:sz w:val="18"/>
          <w:szCs w:val="18"/>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88" w:lineRule="exact"/>
        <w:rPr>
          <w:sz w:val="20"/>
          <w:szCs w:val="20"/>
          <w:color w:val="auto"/>
        </w:rPr>
      </w:pPr>
    </w:p>
    <w:p>
      <w:pPr>
        <w:ind w:right="20" w:firstLine="554"/>
        <w:spacing w:after="0" w:line="259" w:lineRule="auto"/>
        <w:rPr>
          <w:sz w:val="20"/>
          <w:szCs w:val="20"/>
          <w:color w:val="auto"/>
        </w:rPr>
      </w:pPr>
      <w:r>
        <w:rPr>
          <w:rFonts w:ascii="Arial" w:cs="Arial" w:eastAsia="Arial" w:hAnsi="Arial"/>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ind w:right="120"/>
        <w:spacing w:after="0" w:line="263" w:lineRule="auto"/>
        <w:rPr>
          <w:sz w:val="20"/>
          <w:szCs w:val="20"/>
          <w:color w:val="auto"/>
        </w:rPr>
      </w:pPr>
      <w:r>
        <w:rPr>
          <w:rFonts w:ascii="Arial" w:cs="Arial" w:eastAsia="Arial" w:hAnsi="Arial"/>
          <w:sz w:val="18"/>
          <w:szCs w:val="18"/>
          <w:color w:val="auto"/>
        </w:rPr>
        <w:t>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6" w:lineRule="exact"/>
        <w:rPr>
          <w:sz w:val="20"/>
          <w:szCs w:val="20"/>
          <w:color w:val="auto"/>
        </w:rPr>
      </w:pPr>
    </w:p>
    <w:p>
      <w:pPr>
        <w:ind w:right="460" w:firstLine="554"/>
        <w:spacing w:after="0" w:line="308" w:lineRule="auto"/>
        <w:rPr>
          <w:sz w:val="20"/>
          <w:szCs w:val="20"/>
          <w:color w:val="auto"/>
        </w:rPr>
      </w:pPr>
      <w:r>
        <w:rPr>
          <w:rFonts w:ascii="Arial" w:cs="Arial" w:eastAsia="Arial" w:hAnsi="Arial"/>
          <w:sz w:val="17"/>
          <w:szCs w:val="17"/>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76" w:lineRule="exact"/>
        <w:rPr>
          <w:sz w:val="20"/>
          <w:szCs w:val="20"/>
          <w:color w:val="auto"/>
        </w:rPr>
      </w:pPr>
    </w:p>
    <w:p>
      <w:pPr>
        <w:ind w:right="40" w:firstLine="554"/>
        <w:spacing w:after="0" w:line="288" w:lineRule="auto"/>
        <w:rPr>
          <w:sz w:val="20"/>
          <w:szCs w:val="20"/>
          <w:color w:val="auto"/>
        </w:rPr>
      </w:pPr>
      <w:r>
        <w:rPr>
          <w:rFonts w:ascii="Arial" w:cs="Arial" w:eastAsia="Arial" w:hAnsi="Arial"/>
          <w:sz w:val="16"/>
          <w:szCs w:val="16"/>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spacing w:after="0" w:line="60" w:lineRule="exact"/>
        <w:rPr>
          <w:sz w:val="20"/>
          <w:szCs w:val="20"/>
          <w:color w:val="auto"/>
        </w:rPr>
      </w:pPr>
    </w:p>
    <w:p>
      <w:pPr>
        <w:ind w:right="160" w:firstLine="554"/>
        <w:spacing w:after="0" w:line="277" w:lineRule="auto"/>
        <w:rPr>
          <w:sz w:val="20"/>
          <w:szCs w:val="20"/>
          <w:color w:val="auto"/>
        </w:rPr>
      </w:pPr>
      <w:r>
        <w:rPr>
          <w:rFonts w:ascii="Arial" w:cs="Arial" w:eastAsia="Arial" w:hAnsi="Arial"/>
          <w:sz w:val="18"/>
          <w:szCs w:val="18"/>
          <w:color w:val="auto"/>
        </w:rPr>
        <w:t>In addition, the conduct of clinical trials outside the U.S. could have a significant adverse impact on us. Risks inherent in conducting international clinical trials include:</w:t>
      </w:r>
    </w:p>
    <w:p>
      <w:pPr>
        <w:spacing w:after="0" w:line="62" w:lineRule="exact"/>
        <w:rPr>
          <w:sz w:val="20"/>
          <w:szCs w:val="20"/>
          <w:color w:val="auto"/>
        </w:rPr>
      </w:pPr>
    </w:p>
    <w:p>
      <w:pPr>
        <w:ind w:left="960" w:hanging="39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practice patterns and standards of care that vary widely among countries;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non-U.S. regulatory authority schema;</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14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16" w:lineRule="exact"/>
        <w:rPr>
          <w:sz w:val="20"/>
          <w:szCs w:val="20"/>
          <w:color w:val="auto"/>
        </w:rPr>
      </w:pPr>
    </w:p>
    <w:p>
      <w:pPr>
        <w:ind w:firstLine="554"/>
        <w:spacing w:after="0" w:line="287" w:lineRule="auto"/>
        <w:rPr>
          <w:sz w:val="20"/>
          <w:szCs w:val="20"/>
          <w:color w:val="auto"/>
        </w:rPr>
      </w:pPr>
      <w:r>
        <w:rPr>
          <w:rFonts w:ascii="Arial" w:cs="Arial" w:eastAsia="Arial" w:hAnsi="Arial"/>
          <w:sz w:val="16"/>
          <w:szCs w:val="16"/>
          <w:color w:val="auto"/>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60" w:lineRule="exact"/>
        <w:rPr>
          <w:sz w:val="20"/>
          <w:szCs w:val="20"/>
          <w:color w:val="auto"/>
        </w:rPr>
      </w:pPr>
    </w:p>
    <w:p>
      <w:pPr>
        <w:ind w:right="60" w:firstLine="554"/>
        <w:spacing w:after="0" w:line="259" w:lineRule="auto"/>
        <w:rPr>
          <w:sz w:val="20"/>
          <w:szCs w:val="20"/>
          <w:color w:val="auto"/>
        </w:rPr>
      </w:pPr>
      <w:r>
        <w:rPr>
          <w:rFonts w:ascii="Arial" w:cs="Arial" w:eastAsia="Arial" w:hAnsi="Arial"/>
          <w:sz w:val="18"/>
          <w:szCs w:val="18"/>
          <w:color w:val="auto"/>
        </w:rPr>
        <w:t>Additionally, we could face heightened risks with respect to seeking marketing approval in the United Kingdom as a result of the withdrawal of the United Kingdom from the EU, commonly referred to as Brexit. The United Kingdom is no longer part of the European Single Market and European Union Customs Union. As of January 1, 2021, the Medicines and Healthcare products Regulatory Agency, or the MHRA, became responsible for supervising medicines and medical devices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8" w:name="page69"/>
    <w:bookmarkEnd w:id="68"/>
    <w:p>
      <w:pPr>
        <w:ind w:right="140"/>
        <w:spacing w:after="0" w:line="273" w:lineRule="auto"/>
        <w:rPr>
          <w:sz w:val="20"/>
          <w:szCs w:val="20"/>
          <w:color w:val="auto"/>
        </w:rPr>
      </w:pPr>
      <w:r>
        <w:rPr>
          <w:rFonts w:ascii="Arial" w:cs="Arial" w:eastAsia="Arial" w:hAnsi="Arial"/>
          <w:sz w:val="17"/>
          <w:szCs w:val="17"/>
          <w:color w:val="auto"/>
        </w:rPr>
        <w:t>in Great Britain, comprising England, Scotland and Wales under domestic law, whereas Northern Ireland will continue to be subject to European Union rules under the Northern Ireland Protocol. The MHRA will rely on the Human Medicines Regulations 2012 (SI 2012/1916) (as amended), or the HMR, as the basis for regulating medicines. The HMR has incorporated into the domestic law of the body of European Union law instruments governing medicinal products that pre-existed prior to the United Kingdom’s withdrawal from the European Union.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70" w:lineRule="exact"/>
        <w:rPr>
          <w:sz w:val="20"/>
          <w:szCs w:val="20"/>
          <w:color w:val="auto"/>
        </w:rPr>
      </w:pPr>
    </w:p>
    <w:p>
      <w:pPr>
        <w:ind w:right="160" w:firstLine="554"/>
        <w:spacing w:after="0" w:line="275" w:lineRule="auto"/>
        <w:rPr>
          <w:sz w:val="20"/>
          <w:szCs w:val="20"/>
          <w:color w:val="auto"/>
        </w:rPr>
      </w:pPr>
      <w:r>
        <w:rPr>
          <w:rFonts w:ascii="Arial" w:cs="Arial" w:eastAsia="Arial" w:hAnsi="Arial"/>
          <w:sz w:val="17"/>
          <w:szCs w:val="17"/>
          <w:color w:val="auto"/>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6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76"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Haduvio for the proposed indication of reduction of moderate to severe pruritus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seek PRIME Designation in the EU for Haduvio but we might not receive such designations and, even if we do, such designations may not lead to a faster development or regulatory review or approval process.</w:t>
      </w:r>
    </w:p>
    <w:p>
      <w:pPr>
        <w:spacing w:after="0" w:line="62" w:lineRule="exact"/>
        <w:rPr>
          <w:sz w:val="20"/>
          <w:szCs w:val="20"/>
          <w:color w:val="auto"/>
        </w:rPr>
      </w:pPr>
    </w:p>
    <w:p>
      <w:pPr>
        <w:ind w:right="160" w:firstLine="554"/>
        <w:spacing w:after="0" w:line="272" w:lineRule="auto"/>
        <w:rPr>
          <w:sz w:val="20"/>
          <w:szCs w:val="20"/>
          <w:color w:val="auto"/>
        </w:rPr>
      </w:pPr>
      <w:r>
        <w:rPr>
          <w:rFonts w:ascii="Arial" w:cs="Arial" w:eastAsia="Arial" w:hAnsi="Arial"/>
          <w:sz w:val="17"/>
          <w:szCs w:val="17"/>
          <w:color w:val="auto"/>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69"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ind w:firstLine="554"/>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80" w:lineRule="exact"/>
        <w:rPr>
          <w:sz w:val="20"/>
          <w:szCs w:val="20"/>
          <w:color w:val="auto"/>
        </w:rPr>
      </w:pPr>
    </w:p>
    <w:p>
      <w:pPr>
        <w:ind w:right="140" w:firstLine="554"/>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63" w:lineRule="exact"/>
        <w:rPr>
          <w:sz w:val="20"/>
          <w:szCs w:val="20"/>
          <w:color w:val="auto"/>
        </w:rPr>
      </w:pPr>
    </w:p>
    <w:p>
      <w:pPr>
        <w:ind w:right="160" w:firstLine="554"/>
        <w:spacing w:after="0" w:line="308" w:lineRule="auto"/>
        <w:rPr>
          <w:sz w:val="20"/>
          <w:szCs w:val="20"/>
          <w:color w:val="auto"/>
        </w:rPr>
      </w:pPr>
      <w:r>
        <w:rPr>
          <w:rFonts w:ascii="Arial" w:cs="Arial" w:eastAsia="Arial" w:hAnsi="Arial"/>
          <w:sz w:val="17"/>
          <w:szCs w:val="17"/>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3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p>
    <w:p>
      <w:pPr>
        <w:spacing w:after="0" w:line="76" w:lineRule="exact"/>
        <w:rPr>
          <w:sz w:val="20"/>
          <w:szCs w:val="20"/>
          <w:color w:val="auto"/>
        </w:rPr>
      </w:pPr>
    </w:p>
    <w:p>
      <w:pPr>
        <w:ind w:right="20" w:firstLine="554"/>
        <w:spacing w:after="0" w:line="293" w:lineRule="auto"/>
        <w:rPr>
          <w:sz w:val="20"/>
          <w:szCs w:val="20"/>
          <w:color w:val="auto"/>
        </w:rPr>
      </w:pPr>
      <w:r>
        <w:rPr>
          <w:rFonts w:ascii="Arial" w:cs="Arial" w:eastAsia="Arial" w:hAnsi="Arial"/>
          <w:sz w:val="16"/>
          <w:szCs w:val="16"/>
          <w:color w:val="auto"/>
        </w:rPr>
        <w:t>If our clinical trials are successful, we intend to seek approval to market Haduvio for the treatment of pruritus associated with prurigo nodularis and chronic cough associated with IPF. If we obtain regulatory approval to market Haduvio with an indication statement for the treatment of pruritus associated with prurigo nodularis, we expect to be prohibited from marketing Haduvio using any promotional claims relating to treatment of pruritus generally. If we obtain regulatory approval to market Haduvio with an indication statement for the treatment of chronic cough associated with IPF, we expect to be prohibited from marketing Haduvio using any promotional claims relating to treatment of cough generally. Marketing of Haduvio may also be limited by regulatory authorities based on use as a monotherapy or adjuvant, concomitant medications, severity of pruritus and other factors.</w:t>
      </w:r>
    </w:p>
    <w:p>
      <w:pPr>
        <w:spacing w:after="0" w:line="56" w:lineRule="exact"/>
        <w:rPr>
          <w:sz w:val="20"/>
          <w:szCs w:val="20"/>
          <w:color w:val="auto"/>
        </w:rPr>
      </w:pPr>
    </w:p>
    <w:p>
      <w:pPr>
        <w:ind w:firstLine="554"/>
        <w:spacing w:after="0" w:line="289" w:lineRule="auto"/>
        <w:rPr>
          <w:sz w:val="20"/>
          <w:szCs w:val="20"/>
          <w:color w:val="auto"/>
        </w:rPr>
      </w:pPr>
      <w:r>
        <w:rPr>
          <w:rFonts w:ascii="Arial" w:cs="Arial" w:eastAsia="Arial" w:hAnsi="Arial"/>
          <w:sz w:val="16"/>
          <w:szCs w:val="16"/>
          <w:color w:val="auto"/>
        </w:rPr>
        <w:t>The regulations relating to the promotion of products for unapproved uses are complex and subject to substantial interpretation by the FDA, EMA and other government agencies. In September 2021, the FDA published final regulations which describe the types of evidence that the agency will consider in determining the intended use of a drug product. While we have conducted, and may in the future conduct, clinical trials to evaluate the use of Haduvio to treat pruritic conditions other than pruritus associated with prurigo nodularis and cough conditions other than chronic cough associated with IPF, Haduvio cannot be promoted for uses other than uses approved in the labeling by the FDA, EMA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58" w:lineRule="exact"/>
        <w:rPr>
          <w:sz w:val="20"/>
          <w:szCs w:val="20"/>
          <w:color w:val="auto"/>
        </w:rPr>
      </w:pPr>
    </w:p>
    <w:p>
      <w:pPr>
        <w:ind w:firstLine="554"/>
        <w:spacing w:after="0" w:line="287" w:lineRule="auto"/>
        <w:rPr>
          <w:sz w:val="20"/>
          <w:szCs w:val="20"/>
          <w:color w:val="auto"/>
        </w:rPr>
      </w:pPr>
      <w:r>
        <w:rPr>
          <w:rFonts w:ascii="Arial" w:cs="Arial" w:eastAsia="Arial" w:hAnsi="Arial"/>
          <w:sz w:val="16"/>
          <w:szCs w:val="16"/>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is entitled to a share of any recovery or settlement.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suits, also commonly referred to as “whistleblower suits,” are often brought by current or former employees. In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the government must decide whether to intervene and prosecute the case. If it declines, the individual may pursue the case alone.</w:t>
      </w:r>
    </w:p>
    <w:p>
      <w:pPr>
        <w:spacing w:after="0" w:line="64" w:lineRule="exact"/>
        <w:rPr>
          <w:sz w:val="20"/>
          <w:szCs w:val="20"/>
          <w:color w:val="auto"/>
        </w:rPr>
      </w:pPr>
    </w:p>
    <w:p>
      <w:pPr>
        <w:ind w:right="20" w:firstLine="554"/>
        <w:spacing w:after="0" w:line="259" w:lineRule="auto"/>
        <w:rPr>
          <w:sz w:val="20"/>
          <w:szCs w:val="20"/>
          <w:color w:val="auto"/>
        </w:rPr>
      </w:pPr>
      <w:r>
        <w:rPr>
          <w:rFonts w:ascii="Arial" w:cs="Arial" w:eastAsia="Arial" w:hAnsi="Arial"/>
          <w:sz w:val="18"/>
          <w:szCs w:val="18"/>
          <w:color w:val="auto"/>
        </w:rPr>
        <w:t xml:space="preserve">If the FDA or any other governmental agency initiates an enforcement action against us or if we are the subject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0" w:name="page71"/>
    <w:bookmarkEnd w:id="70"/>
    <w:p>
      <w:pPr>
        <w:ind w:right="80"/>
        <w:spacing w:after="0" w:line="277" w:lineRule="auto"/>
        <w:rPr>
          <w:sz w:val="20"/>
          <w:szCs w:val="20"/>
          <w:color w:val="auto"/>
        </w:rPr>
      </w:pPr>
      <w:r>
        <w:rPr>
          <w:rFonts w:ascii="Arial" w:cs="Arial" w:eastAsia="Arial" w:hAnsi="Arial"/>
          <w:sz w:val="18"/>
          <w:szCs w:val="18"/>
          <w:color w:val="auto"/>
        </w:rPr>
        <w:t>ensure compliance with applicable laws and regulations. Any such fines, awards or other sanctions would have an adverse effect on our revenue, business, financial prospects and reputation.</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6" w:lineRule="exact"/>
        <w:rPr>
          <w:sz w:val="20"/>
          <w:szCs w:val="20"/>
          <w:color w:val="auto"/>
        </w:rPr>
      </w:pPr>
    </w:p>
    <w:p>
      <w:pPr>
        <w:ind w:right="120" w:firstLine="554"/>
        <w:spacing w:after="0" w:line="254"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87" w:lineRule="exact"/>
        <w:rPr>
          <w:sz w:val="20"/>
          <w:szCs w:val="20"/>
          <w:color w:val="auto"/>
        </w:rPr>
      </w:pPr>
    </w:p>
    <w:p>
      <w:pPr>
        <w:ind w:right="60" w:firstLine="554"/>
        <w:spacing w:after="0" w:line="272"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69" w:lineRule="exact"/>
        <w:rPr>
          <w:sz w:val="20"/>
          <w:szCs w:val="20"/>
          <w:color w:val="auto"/>
        </w:rPr>
      </w:pPr>
    </w:p>
    <w:p>
      <w:pPr>
        <w:ind w:firstLine="554"/>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38" w:lineRule="exact"/>
        <w:rPr>
          <w:sz w:val="20"/>
          <w:szCs w:val="20"/>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such product, manufacturers or manufacturing processes;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labeling or marketing of the product;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permit the import or export of the product;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80" w:firstLine="554"/>
        <w:spacing w:after="0" w:line="255" w:lineRule="auto"/>
        <w:rPr>
          <w:sz w:val="20"/>
          <w:szCs w:val="20"/>
          <w:color w:val="auto"/>
        </w:rPr>
      </w:pPr>
      <w:r>
        <w:rPr>
          <w:rFonts w:ascii="Arial" w:cs="Arial" w:eastAsia="Arial" w:hAnsi="Arial"/>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1" w:name="page72"/>
    <w:bookmarkEnd w:id="71"/>
    <w:p>
      <w:pPr>
        <w:ind w:right="320"/>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right="40" w:firstLine="554"/>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4" w:lineRule="exact"/>
        <w:rPr>
          <w:sz w:val="20"/>
          <w:szCs w:val="20"/>
          <w:color w:val="auto"/>
        </w:rPr>
      </w:pPr>
    </w:p>
    <w:p>
      <w:pPr>
        <w:ind w:firstLine="554"/>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70"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Separately, in response to the COVID-19 pandemic, a number of companies announced receipt of complete response letters due to the FDA’s inability to complete required inspections for their applications. As of May 26,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62" w:lineRule="exact"/>
        <w:rPr>
          <w:sz w:val="20"/>
          <w:szCs w:val="20"/>
          <w:color w:val="auto"/>
        </w:rPr>
      </w:pPr>
    </w:p>
    <w:p>
      <w:pPr>
        <w:ind w:right="40" w:firstLine="554"/>
        <w:spacing w:after="0" w:line="255" w:lineRule="auto"/>
        <w:rPr>
          <w:sz w:val="20"/>
          <w:szCs w:val="20"/>
          <w:color w:val="auto"/>
        </w:rPr>
      </w:pPr>
      <w:r>
        <w:rPr>
          <w:rFonts w:ascii="Arial" w:cs="Arial" w:eastAsia="Arial" w:hAnsi="Arial"/>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84" w:lineRule="exact"/>
        <w:rPr>
          <w:sz w:val="20"/>
          <w:szCs w:val="20"/>
          <w:color w:val="auto"/>
        </w:rPr>
      </w:pPr>
    </w:p>
    <w:p>
      <w:pPr>
        <w:ind w:right="60" w:firstLine="554"/>
        <w:spacing w:after="0" w:line="269" w:lineRule="auto"/>
        <w:rPr>
          <w:sz w:val="20"/>
          <w:szCs w:val="20"/>
          <w:color w:val="auto"/>
        </w:rPr>
      </w:pPr>
      <w:r>
        <w:rPr>
          <w:rFonts w:ascii="Arial" w:cs="Arial" w:eastAsia="Arial" w:hAnsi="Arial"/>
          <w:sz w:val="17"/>
          <w:szCs w:val="17"/>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These Medicare sequester reductions have been suspended through the end of March 2022. From April 2022 through June 2022 a 1% sequester cut will be in effect,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our product candidates for which we may obtain regulatory approval or the frequency with which any such product candidate is prescribed or used.</w:t>
      </w:r>
    </w:p>
    <w:p>
      <w:pPr>
        <w:spacing w:after="0" w:line="129" w:lineRule="exact"/>
        <w:rPr>
          <w:sz w:val="20"/>
          <w:szCs w:val="20"/>
          <w:color w:val="auto"/>
        </w:rPr>
      </w:pPr>
    </w:p>
    <w:p>
      <w:pPr>
        <w:ind w:firstLine="554"/>
        <w:spacing w:after="0" w:line="291"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spacing w:after="0" w:line="58" w:lineRule="exact"/>
        <w:rPr>
          <w:sz w:val="20"/>
          <w:szCs w:val="20"/>
          <w:color w:val="auto"/>
        </w:rPr>
      </w:pPr>
    </w:p>
    <w:p>
      <w:pPr>
        <w:jc w:val="both"/>
        <w:ind w:right="20" w:firstLine="554"/>
        <w:spacing w:after="0" w:line="287" w:lineRule="auto"/>
        <w:rPr>
          <w:sz w:val="20"/>
          <w:szCs w:val="20"/>
          <w:color w:val="auto"/>
        </w:rPr>
      </w:pPr>
      <w:r>
        <w:rPr>
          <w:rFonts w:ascii="Arial" w:cs="Arial" w:eastAsia="Arial" w:hAnsi="Arial"/>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56" w:lineRule="exact"/>
        <w:rPr>
          <w:sz w:val="20"/>
          <w:szCs w:val="20"/>
          <w:color w:val="auto"/>
        </w:rPr>
      </w:pPr>
    </w:p>
    <w:p>
      <w:pPr>
        <w:ind w:right="60" w:firstLine="554"/>
        <w:spacing w:after="0" w:line="254"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62" w:lineRule="exact"/>
        <w:rPr>
          <w:sz w:val="20"/>
          <w:szCs w:val="20"/>
          <w:color w:val="auto"/>
        </w:rPr>
      </w:pPr>
    </w:p>
    <w:p>
      <w:pPr>
        <w:ind w:right="80" w:firstLine="554"/>
        <w:spacing w:after="0" w:line="270"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73"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3" w:name="page74"/>
    <w:bookmarkEnd w:id="73"/>
    <w:p>
      <w:pPr>
        <w:ind w:right="700"/>
        <w:spacing w:after="0" w:line="277" w:lineRule="auto"/>
        <w:rPr>
          <w:sz w:val="20"/>
          <w:szCs w:val="20"/>
          <w:color w:val="auto"/>
        </w:rPr>
      </w:pPr>
      <w:r>
        <w:rPr>
          <w:rFonts w:ascii="Arial" w:cs="Arial" w:eastAsia="Arial" w:hAnsi="Arial"/>
          <w:sz w:val="18"/>
          <w:szCs w:val="18"/>
          <w:color w:val="auto"/>
        </w:rPr>
        <w:t>fixed fee arrangements between pharmacy benefit managers and manufacturers, the implementation of which have also been delayed by the Biden administration until January 1, 2023.</w:t>
      </w:r>
    </w:p>
    <w:p>
      <w:pPr>
        <w:spacing w:after="0" w:line="62" w:lineRule="exact"/>
        <w:rPr>
          <w:sz w:val="20"/>
          <w:szCs w:val="20"/>
          <w:color w:val="auto"/>
        </w:rPr>
      </w:pPr>
    </w:p>
    <w:p>
      <w:pPr>
        <w:ind w:firstLine="554"/>
        <w:spacing w:after="0" w:line="253" w:lineRule="auto"/>
        <w:rPr>
          <w:sz w:val="20"/>
          <w:szCs w:val="20"/>
          <w:color w:val="auto"/>
        </w:rPr>
      </w:pPr>
      <w:r>
        <w:rPr>
          <w:rFonts w:ascii="Arial" w:cs="Arial" w:eastAsia="Arial" w:hAnsi="Arial"/>
          <w:sz w:val="18"/>
          <w:szCs w:val="18"/>
          <w:color w:val="auto"/>
        </w:rPr>
        <w:t>More recently, on July 9, 2021, President Biden signed Executive Order 14063, which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88" w:lineRule="exact"/>
        <w:rPr>
          <w:sz w:val="20"/>
          <w:szCs w:val="20"/>
          <w:color w:val="auto"/>
        </w:rPr>
      </w:pPr>
    </w:p>
    <w:p>
      <w:pPr>
        <w:ind w:right="160" w:firstLine="554"/>
        <w:spacing w:after="0" w:line="271"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70" w:lineRule="exact"/>
        <w:rPr>
          <w:sz w:val="20"/>
          <w:szCs w:val="20"/>
          <w:color w:val="auto"/>
        </w:rPr>
      </w:pPr>
    </w:p>
    <w:p>
      <w:pPr>
        <w:ind w:right="80" w:firstLine="554"/>
        <w:spacing w:after="0" w:line="291" w:lineRule="auto"/>
        <w:rPr>
          <w:sz w:val="20"/>
          <w:szCs w:val="20"/>
          <w:color w:val="auto"/>
        </w:rPr>
      </w:pPr>
      <w:r>
        <w:rPr>
          <w:rFonts w:ascii="Arial" w:cs="Arial" w:eastAsia="Arial" w:hAnsi="Arial"/>
          <w:sz w:val="16"/>
          <w:szCs w:val="16"/>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3" w:lineRule="exact"/>
        <w:rPr>
          <w:sz w:val="20"/>
          <w:szCs w:val="20"/>
          <w:color w:val="auto"/>
        </w:rPr>
      </w:pPr>
    </w:p>
    <w:p>
      <w:pPr>
        <w:ind w:right="20" w:firstLine="554"/>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80" w:lineRule="exact"/>
        <w:rPr>
          <w:sz w:val="20"/>
          <w:szCs w:val="20"/>
          <w:color w:val="auto"/>
        </w:rPr>
      </w:pPr>
    </w:p>
    <w:p>
      <w:pPr>
        <w:ind w:right="200" w:firstLine="554"/>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79" w:lineRule="exact"/>
        <w:rPr>
          <w:sz w:val="20"/>
          <w:szCs w:val="20"/>
          <w:color w:val="auto"/>
        </w:rPr>
      </w:pPr>
    </w:p>
    <w:p>
      <w:pPr>
        <w:ind w:right="20" w:firstLine="554"/>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ind w:right="160" w:firstLine="554"/>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84" w:lineRule="exact"/>
        <w:rPr>
          <w:sz w:val="20"/>
          <w:szCs w:val="20"/>
          <w:color w:val="auto"/>
        </w:rPr>
      </w:pPr>
    </w:p>
    <w:p>
      <w:pPr>
        <w:jc w:val="both"/>
        <w:ind w:right="40" w:firstLine="554"/>
        <w:spacing w:after="0" w:line="301" w:lineRule="auto"/>
        <w:rPr>
          <w:sz w:val="20"/>
          <w:szCs w:val="20"/>
          <w:color w:val="auto"/>
        </w:rPr>
      </w:pPr>
      <w:r>
        <w:rPr>
          <w:rFonts w:ascii="Arial" w:cs="Arial" w:eastAsia="Arial" w:hAnsi="Arial"/>
          <w:sz w:val="16"/>
          <w:szCs w:val="16"/>
          <w:i w:val="1"/>
          <w:iCs w:val="1"/>
          <w:color w:val="auto"/>
        </w:rPr>
        <w:t xml:space="preserve">Transparency Requirements. </w:t>
      </w:r>
      <w:r>
        <w:rPr>
          <w:rFonts w:ascii="Arial" w:cs="Arial" w:eastAsia="Arial" w:hAnsi="Arial"/>
          <w:sz w:val="16"/>
          <w:szCs w:val="16"/>
          <w:color w:val="auto"/>
        </w:rPr>
        <w:t>The federal Physician Payments Sunshine Act requires certain manufacturers of drugs, devices, biologics and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other healthcare providers and their immediate family members.</w:t>
      </w:r>
    </w:p>
    <w:p>
      <w:pPr>
        <w:spacing w:after="0" w:line="49" w:lineRule="exact"/>
        <w:rPr>
          <w:sz w:val="20"/>
          <w:szCs w:val="20"/>
          <w:color w:val="auto"/>
        </w:rPr>
      </w:pPr>
    </w:p>
    <w:p>
      <w:pPr>
        <w:ind w:right="60" w:firstLine="554"/>
        <w:spacing w:after="0" w:line="291"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58" w:lineRule="exact"/>
        <w:rPr>
          <w:sz w:val="20"/>
          <w:szCs w:val="20"/>
          <w:color w:val="auto"/>
        </w:rPr>
      </w:pPr>
    </w:p>
    <w:p>
      <w:pPr>
        <w:ind w:right="40" w:firstLine="554"/>
        <w:spacing w:after="0" w:line="287" w:lineRule="auto"/>
        <w:rPr>
          <w:sz w:val="20"/>
          <w:szCs w:val="20"/>
          <w:color w:val="auto"/>
        </w:rPr>
      </w:pPr>
      <w:r>
        <w:rPr>
          <w:rFonts w:ascii="Arial" w:cs="Arial" w:eastAsia="Arial" w:hAnsi="Arial"/>
          <w:sz w:val="16"/>
          <w:szCs w:val="16"/>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64" w:lineRule="exact"/>
        <w:rPr>
          <w:sz w:val="20"/>
          <w:szCs w:val="20"/>
          <w:color w:val="auto"/>
        </w:rPr>
      </w:pPr>
    </w:p>
    <w:p>
      <w:pPr>
        <w:jc w:val="both"/>
        <w:ind w:right="340" w:firstLine="554"/>
        <w:spacing w:after="0" w:line="286" w:lineRule="auto"/>
        <w:rPr>
          <w:sz w:val="20"/>
          <w:szCs w:val="20"/>
          <w:color w:val="auto"/>
        </w:rPr>
      </w:pPr>
      <w:r>
        <w:rPr>
          <w:rFonts w:ascii="Arial" w:cs="Arial" w:eastAsia="Arial" w:hAnsi="Arial"/>
          <w:sz w:val="17"/>
          <w:szCs w:val="17"/>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spacing w:after="0" w:line="57" w:lineRule="exact"/>
        <w:rPr>
          <w:sz w:val="20"/>
          <w:szCs w:val="20"/>
          <w:color w:val="auto"/>
        </w:rPr>
      </w:pPr>
    </w:p>
    <w:p>
      <w:pPr>
        <w:ind w:right="40" w:firstLine="554"/>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Arial" w:cs="Arial" w:eastAsia="Arial" w:hAnsi="Arial"/>
          <w:sz w:val="18"/>
          <w:szCs w:val="18"/>
          <w:color w:val="auto"/>
        </w:rPr>
        <w:t>.</w:t>
      </w:r>
    </w:p>
    <w:p>
      <w:pPr>
        <w:spacing w:after="0" w:line="76" w:lineRule="exact"/>
        <w:rPr>
          <w:sz w:val="20"/>
          <w:szCs w:val="20"/>
          <w:color w:val="auto"/>
        </w:rPr>
      </w:pPr>
    </w:p>
    <w:p>
      <w:pPr>
        <w:ind w:firstLine="554"/>
        <w:spacing w:after="0" w:line="273" w:lineRule="auto"/>
        <w:rPr>
          <w:sz w:val="20"/>
          <w:szCs w:val="20"/>
          <w:color w:val="auto"/>
        </w:rPr>
      </w:pPr>
      <w:r>
        <w:rPr>
          <w:rFonts w:ascii="Arial" w:cs="Arial" w:eastAsia="Arial" w:hAnsi="Arial"/>
          <w:sz w:val="17"/>
          <w:szCs w:val="17"/>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ind w:right="40"/>
        <w:spacing w:after="0" w:line="293" w:lineRule="auto"/>
        <w:rPr>
          <w:sz w:val="20"/>
          <w:szCs w:val="20"/>
          <w:color w:val="auto"/>
        </w:rPr>
      </w:pPr>
      <w:r>
        <w:rPr>
          <w:rFonts w:ascii="Arial" w:cs="Arial" w:eastAsia="Arial" w:hAnsi="Arial"/>
          <w:sz w:val="16"/>
          <w:szCs w:val="16"/>
          <w:color w:val="auto"/>
        </w:rPr>
        <w:t>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56" w:lineRule="exact"/>
        <w:rPr>
          <w:sz w:val="20"/>
          <w:szCs w:val="20"/>
          <w:color w:val="auto"/>
        </w:rPr>
      </w:pPr>
    </w:p>
    <w:p>
      <w:pPr>
        <w:ind w:right="20" w:firstLine="554"/>
        <w:spacing w:after="0" w:line="268" w:lineRule="auto"/>
        <w:rPr>
          <w:sz w:val="20"/>
          <w:szCs w:val="20"/>
          <w:color w:val="auto"/>
        </w:rPr>
      </w:pPr>
      <w:r>
        <w:rPr>
          <w:rFonts w:ascii="Arial" w:cs="Arial" w:eastAsia="Arial" w:hAnsi="Arial"/>
          <w:sz w:val="17"/>
          <w:szCs w:val="17"/>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created similar risks and obligations as those created by GDPR, though the CCPA does exempt certain information collected as part of a clinical trial subject to the Federal Policy for the Protection of Human Subjects (the Common Rule). Additionally, effective starting on January 1, 2023, the California Privacy Rights Act, or the CPRA, will significantly modify the CCPA, including by expanding consumers’ rights with respect to certain sensitive personal information. The CPRA also creates a new state agency that will be vested with authority to implement and enforce the CCPA and the CPRA.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38" w:lineRule="exact"/>
        <w:rPr>
          <w:sz w:val="20"/>
          <w:szCs w:val="20"/>
          <w:color w:val="auto"/>
        </w:rPr>
      </w:pPr>
    </w:p>
    <w:p>
      <w:pPr>
        <w:ind w:firstLine="554"/>
        <w:spacing w:after="0" w:line="272" w:lineRule="auto"/>
        <w:rPr>
          <w:sz w:val="20"/>
          <w:szCs w:val="20"/>
          <w:color w:val="auto"/>
        </w:rPr>
      </w:pPr>
      <w:r>
        <w:rPr>
          <w:rFonts w:ascii="Arial" w:cs="Arial" w:eastAsia="Arial" w:hAnsi="Arial"/>
          <w:sz w:val="17"/>
          <w:szCs w:val="17"/>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69" w:lineRule="exact"/>
        <w:rPr>
          <w:sz w:val="20"/>
          <w:szCs w:val="20"/>
          <w:color w:val="auto"/>
        </w:rPr>
      </w:pPr>
    </w:p>
    <w:p>
      <w:pPr>
        <w:ind w:right="60" w:firstLine="554"/>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63" w:lineRule="exact"/>
        <w:rPr>
          <w:sz w:val="20"/>
          <w:szCs w:val="20"/>
          <w:color w:val="auto"/>
        </w:rPr>
      </w:pPr>
    </w:p>
    <w:p>
      <w:pPr>
        <w:ind w:right="20" w:firstLine="554"/>
        <w:spacing w:after="0" w:line="289" w:lineRule="auto"/>
        <w:rPr>
          <w:sz w:val="20"/>
          <w:szCs w:val="20"/>
          <w:color w:val="auto"/>
        </w:rPr>
      </w:pPr>
      <w:r>
        <w:rPr>
          <w:rFonts w:ascii="Arial" w:cs="Arial" w:eastAsia="Arial" w:hAnsi="Arial"/>
          <w:sz w:val="16"/>
          <w:szCs w:val="16"/>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ind w:right="140" w:firstLine="554"/>
        <w:spacing w:after="0" w:line="263" w:lineRule="auto"/>
        <w:rPr>
          <w:sz w:val="20"/>
          <w:szCs w:val="20"/>
          <w:color w:val="auto"/>
        </w:rPr>
      </w:pPr>
      <w:r>
        <w:rPr>
          <w:rFonts w:ascii="Arial" w:cs="Arial" w:eastAsia="Arial" w:hAnsi="Arial"/>
          <w:sz w:val="18"/>
          <w:szCs w:val="18"/>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76" w:lineRule="exact"/>
        <w:rPr>
          <w:sz w:val="20"/>
          <w:szCs w:val="20"/>
          <w:color w:val="auto"/>
        </w:rPr>
      </w:pPr>
    </w:p>
    <w:p>
      <w:pPr>
        <w:ind w:right="180" w:firstLine="554"/>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firstLine="554"/>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9" w:lineRule="exact"/>
        <w:rPr>
          <w:sz w:val="20"/>
          <w:szCs w:val="20"/>
          <w:color w:val="auto"/>
        </w:rPr>
      </w:pPr>
    </w:p>
    <w:p>
      <w:pPr>
        <w:ind w:right="360" w:firstLine="554"/>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76" w:lineRule="exact"/>
        <w:rPr>
          <w:sz w:val="20"/>
          <w:szCs w:val="20"/>
          <w:color w:val="auto"/>
        </w:rPr>
      </w:pPr>
    </w:p>
    <w:p>
      <w:pPr>
        <w:jc w:val="both"/>
        <w:ind w:right="80" w:firstLine="554"/>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right="60" w:firstLine="554"/>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p>
    <w:p>
      <w:pPr>
        <w:spacing w:after="0" w:line="69" w:lineRule="exact"/>
        <w:rPr>
          <w:sz w:val="20"/>
          <w:szCs w:val="20"/>
          <w:color w:val="auto"/>
        </w:rPr>
      </w:pPr>
    </w:p>
    <w:p>
      <w:pPr>
        <w:ind w:right="60" w:firstLine="554"/>
        <w:spacing w:after="0" w:line="269" w:lineRule="auto"/>
        <w:rPr>
          <w:sz w:val="20"/>
          <w:szCs w:val="20"/>
          <w:color w:val="auto"/>
        </w:rPr>
      </w:pPr>
      <w:r>
        <w:rPr>
          <w:rFonts w:ascii="Arial" w:cs="Arial" w:eastAsia="Arial" w:hAnsi="Arial"/>
          <w:sz w:val="17"/>
          <w:szCs w:val="17"/>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7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If the FDA, EMA or other comparable foreign regulatory authorities approve generic versions of any of our small molecule investigational products that receive marketing approval, or such authorities do not grant our products appropriate periods of exclusivity before approving generic versions of those products, the sales of our products, if approved, could be adversely affected.</w:t>
      </w:r>
    </w:p>
    <w:p>
      <w:pPr>
        <w:spacing w:after="0" w:line="57" w:lineRule="exact"/>
        <w:rPr>
          <w:sz w:val="20"/>
          <w:szCs w:val="20"/>
          <w:color w:val="auto"/>
        </w:rPr>
      </w:pPr>
    </w:p>
    <w:p>
      <w:pPr>
        <w:ind w:right="40" w:firstLine="554"/>
        <w:spacing w:after="0" w:line="277" w:lineRule="auto"/>
        <w:rPr>
          <w:sz w:val="20"/>
          <w:szCs w:val="20"/>
          <w:color w:val="auto"/>
        </w:rPr>
      </w:pPr>
      <w:r>
        <w:rPr>
          <w:rFonts w:ascii="Arial" w:cs="Arial" w:eastAsia="Arial" w:hAnsi="Arial"/>
          <w:sz w:val="18"/>
          <w:szCs w:val="18"/>
          <w:color w:val="auto"/>
        </w:rPr>
        <w:t>Once an NDA is approved, the product covered thereby becomes a “reference listed drug” in the FDA’s publication, “Approved Drug Products with Therapeutic Equivalence Evaluations,” commonly known as the Orange Book.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p>
      <w:pPr>
        <w:spacing w:after="0" w:line="272" w:lineRule="auto"/>
        <w:rPr>
          <w:sz w:val="20"/>
          <w:szCs w:val="20"/>
          <w:color w:val="auto"/>
        </w:rPr>
      </w:pPr>
      <w:r>
        <w:rPr>
          <w:rFonts w:ascii="Arial" w:cs="Arial" w:eastAsia="Arial" w:hAnsi="Arial"/>
          <w:sz w:val="17"/>
          <w:szCs w:val="17"/>
          <w:color w:val="auto"/>
        </w:rPr>
        <w:t>Manufacturers may seek approval of generic versions of reference listed drugs through submission of abbreviated new drug applications, or ANDAs, in the United States. In support of an ANDA, a generic manufacturer need not conduct clinical trials to assess safety and efficacy. Rather, the sponsor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69" w:lineRule="exact"/>
        <w:rPr>
          <w:sz w:val="20"/>
          <w:szCs w:val="20"/>
          <w:color w:val="auto"/>
        </w:rPr>
      </w:pPr>
    </w:p>
    <w:p>
      <w:pPr>
        <w:ind w:right="20" w:firstLine="554"/>
        <w:spacing w:after="0" w:line="275"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sponsor may submit its application four years following approval of the reference listed drug.</w:t>
      </w:r>
    </w:p>
    <w:p>
      <w:pPr>
        <w:spacing w:after="0" w:line="68" w:lineRule="exact"/>
        <w:rPr>
          <w:sz w:val="20"/>
          <w:szCs w:val="20"/>
          <w:color w:val="auto"/>
        </w:rPr>
      </w:pPr>
    </w:p>
    <w:p>
      <w:pPr>
        <w:ind w:right="180" w:firstLine="554"/>
        <w:spacing w:after="0" w:line="259" w:lineRule="auto"/>
        <w:rPr>
          <w:sz w:val="20"/>
          <w:szCs w:val="20"/>
          <w:color w:val="auto"/>
        </w:rPr>
      </w:pPr>
      <w:r>
        <w:rPr>
          <w:rFonts w:ascii="Arial" w:cs="Arial" w:eastAsia="Arial" w:hAnsi="Arial"/>
          <w:sz w:val="18"/>
          <w:szCs w:val="18"/>
          <w:color w:val="auto"/>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ind w:right="40" w:firstLine="554"/>
        <w:spacing w:after="0" w:line="273" w:lineRule="auto"/>
        <w:rPr>
          <w:sz w:val="20"/>
          <w:szCs w:val="20"/>
          <w:color w:val="auto"/>
        </w:rPr>
      </w:pPr>
      <w:r>
        <w:rPr>
          <w:rFonts w:ascii="Arial" w:cs="Arial" w:eastAsia="Arial" w:hAnsi="Arial"/>
          <w:sz w:val="17"/>
          <w:szCs w:val="17"/>
          <w:color w:val="auto"/>
        </w:rPr>
        <w:t>We are highly dependent on Jennifer Good, our President and Chief Executive Officer; Thomas Sciascia, M.D., our Chief Medical Officer; and William Forbes, Pharm. 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70" w:lineRule="exact"/>
        <w:rPr>
          <w:sz w:val="20"/>
          <w:szCs w:val="20"/>
          <w:color w:val="auto"/>
        </w:rPr>
      </w:pPr>
    </w:p>
    <w:p>
      <w:pPr>
        <w:ind w:right="20" w:firstLine="554"/>
        <w:spacing w:after="0" w:line="290" w:lineRule="auto"/>
        <w:rPr>
          <w:sz w:val="20"/>
          <w:szCs w:val="20"/>
          <w:color w:val="auto"/>
        </w:rPr>
      </w:pPr>
      <w:r>
        <w:rPr>
          <w:rFonts w:ascii="Arial" w:cs="Arial" w:eastAsia="Arial" w:hAnsi="Arial"/>
          <w:sz w:val="16"/>
          <w:szCs w:val="16"/>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57" w:lineRule="exact"/>
        <w:rPr>
          <w:sz w:val="20"/>
          <w:szCs w:val="20"/>
          <w:color w:val="auto"/>
        </w:rPr>
      </w:pPr>
    </w:p>
    <w:p>
      <w:pPr>
        <w:ind w:right="20" w:firstLine="554"/>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40" w:lineRule="exact"/>
        <w:rPr>
          <w:sz w:val="20"/>
          <w:szCs w:val="20"/>
          <w:color w:val="auto"/>
        </w:rPr>
      </w:pPr>
    </w:p>
    <w:p>
      <w:pPr>
        <w:jc w:val="both"/>
        <w:ind w:right="40" w:firstLine="554"/>
        <w:spacing w:after="0" w:line="273" w:lineRule="auto"/>
        <w:rPr>
          <w:sz w:val="20"/>
          <w:szCs w:val="20"/>
          <w:color w:val="auto"/>
        </w:rPr>
      </w:pPr>
      <w:r>
        <w:rPr>
          <w:rFonts w:ascii="Arial" w:cs="Arial" w:eastAsia="Arial" w:hAnsi="Arial"/>
          <w:sz w:val="17"/>
          <w:szCs w:val="17"/>
          <w:color w:val="auto"/>
        </w:rPr>
        <w:t>As of December 31, 2021, we had 24 employees. We expect to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8" w:name="page79"/>
    <w:bookmarkEnd w:id="78"/>
    <w:p>
      <w:pPr>
        <w:ind w:right="20"/>
        <w:spacing w:after="0" w:line="296" w:lineRule="auto"/>
        <w:rPr>
          <w:sz w:val="20"/>
          <w:szCs w:val="20"/>
          <w:color w:val="auto"/>
        </w:rPr>
      </w:pPr>
      <w:r>
        <w:rPr>
          <w:rFonts w:ascii="Arial" w:cs="Arial" w:eastAsia="Arial" w:hAnsi="Arial"/>
          <w:sz w:val="16"/>
          <w:szCs w:val="16"/>
          <w:color w:val="auto"/>
        </w:rPr>
        <w:t>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Haduvio for additional indications or the development of additional product candidates. If we are unable to effectively manage our expected growth, our expenses may increase more than expected, our ability to generate revenues could be reduced and we may be unable to implement our business strategy, including the successful commercialization of any product candidate.</w:t>
      </w:r>
    </w:p>
    <w:p>
      <w:pPr>
        <w:spacing w:after="0" w:line="5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right="60" w:firstLine="554"/>
        <w:spacing w:after="0" w:line="268" w:lineRule="auto"/>
        <w:rPr>
          <w:sz w:val="20"/>
          <w:szCs w:val="20"/>
          <w:color w:val="auto"/>
        </w:rPr>
      </w:pPr>
      <w:r>
        <w:rPr>
          <w:rFonts w:ascii="Arial" w:cs="Arial" w:eastAsia="Arial" w:hAnsi="Arial"/>
          <w:sz w:val="17"/>
          <w:szCs w:val="17"/>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right="20" w:firstLine="554"/>
        <w:spacing w:after="0" w:line="257" w:lineRule="auto"/>
        <w:rPr>
          <w:sz w:val="20"/>
          <w:szCs w:val="20"/>
          <w:color w:val="auto"/>
        </w:rPr>
      </w:pPr>
      <w:r>
        <w:rPr>
          <w:rFonts w:ascii="Arial" w:cs="Arial" w:eastAsia="Arial" w:hAnsi="Arial"/>
          <w:sz w:val="18"/>
          <w:szCs w:val="18"/>
          <w:color w:val="auto"/>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62" w:lineRule="exact"/>
        <w:rPr>
          <w:sz w:val="20"/>
          <w:szCs w:val="20"/>
          <w:color w:val="auto"/>
        </w:rPr>
      </w:pPr>
    </w:p>
    <w:p>
      <w:pPr>
        <w:ind w:right="80" w:firstLine="554"/>
        <w:spacing w:after="0" w:line="296" w:lineRule="auto"/>
        <w:rPr>
          <w:sz w:val="20"/>
          <w:szCs w:val="20"/>
          <w:color w:val="auto"/>
        </w:rPr>
      </w:pPr>
      <w:r>
        <w:rPr>
          <w:rFonts w:ascii="Arial" w:cs="Arial" w:eastAsia="Arial" w:hAnsi="Arial"/>
          <w:sz w:val="16"/>
          <w:szCs w:val="16"/>
          <w:color w:val="auto"/>
        </w:rPr>
        <w:t>Our common stock is currently listed for trading on Nasdaq. We must satisfy Nasdaq’s continued listing requirements, including, among other things, a minimum closing bid price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53" w:lineRule="exact"/>
        <w:rPr>
          <w:sz w:val="20"/>
          <w:szCs w:val="20"/>
          <w:color w:val="auto"/>
        </w:rPr>
      </w:pPr>
    </w:p>
    <w:p>
      <w:pPr>
        <w:ind w:firstLine="554"/>
        <w:spacing w:after="0" w:line="263" w:lineRule="auto"/>
        <w:rPr>
          <w:sz w:val="20"/>
          <w:szCs w:val="20"/>
          <w:color w:val="auto"/>
        </w:rPr>
      </w:pPr>
      <w:r>
        <w:rPr>
          <w:rFonts w:ascii="Arial" w:cs="Arial" w:eastAsia="Arial" w:hAnsi="Arial"/>
          <w:sz w:val="18"/>
          <w:szCs w:val="18"/>
          <w:color w:val="auto"/>
        </w:rPr>
        <w:t>On January 10, 2022, we received a deficiency letter from the Listing Qualifications Department, or the Staff, of Nasdaq notifying us that, for the prior 30 consecutive business days, the bid price for our common stock had closed below the $1.00 per share minimum bid price requirement for continued inclusion on Nasdaq pursuant to Nasdaq Listing Rule 5450(a)(1), or the Bid Price Requirement.</w:t>
      </w:r>
    </w:p>
    <w:p>
      <w:pPr>
        <w:spacing w:after="0" w:line="76" w:lineRule="exact"/>
        <w:rPr>
          <w:sz w:val="20"/>
          <w:szCs w:val="20"/>
          <w:color w:val="auto"/>
        </w:rPr>
      </w:pPr>
    </w:p>
    <w:p>
      <w:pPr>
        <w:ind w:right="80" w:firstLine="554"/>
        <w:spacing w:after="0" w:line="257" w:lineRule="auto"/>
        <w:rPr>
          <w:sz w:val="20"/>
          <w:szCs w:val="20"/>
          <w:color w:val="auto"/>
        </w:rPr>
      </w:pPr>
      <w:r>
        <w:rPr>
          <w:rFonts w:ascii="Arial" w:cs="Arial" w:eastAsia="Arial" w:hAnsi="Arial"/>
          <w:sz w:val="18"/>
          <w:szCs w:val="18"/>
          <w:color w:val="auto"/>
        </w:rPr>
        <w:t>In accordance with Nasdaq Listing Rule 5810(c)(3)(A), or the Compliance Period Rule, we were provided a period of 180 calendar days, or until July 11, 2022, or the Compliance Date, to regain compliance with the Bid Price Requirement. If, at any time before the Compliance Date, the bid price for our common stock closed at $1.00 or more for a minimum of 10 consecutive business days as required under the Compliance Period Rule, the Staff would provide written notification to us that we had regained compliance with the Bid Price Requirement, unless the Staff chose to exercise its discretion to extend this ten-day period pursuant to Nasdaq Listing Rule 5810(c)(3)(H).</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9" w:name="page80"/>
    <w:bookmarkEnd w:id="79"/>
    <w:p>
      <w:pPr>
        <w:ind w:left="560"/>
        <w:spacing w:after="0"/>
        <w:rPr>
          <w:sz w:val="20"/>
          <w:szCs w:val="20"/>
          <w:color w:val="auto"/>
        </w:rPr>
      </w:pPr>
      <w:r>
        <w:rPr>
          <w:rFonts w:ascii="Arial" w:cs="Arial" w:eastAsia="Arial" w:hAnsi="Arial"/>
          <w:sz w:val="16"/>
          <w:szCs w:val="16"/>
          <w:color w:val="auto"/>
        </w:rPr>
        <w:t>On March 16, 2022, we received a letter from the Staff indicating that we had regained compliance with the Bid Price Requirement as of such date.</w:t>
      </w:r>
    </w:p>
    <w:p>
      <w:pPr>
        <w:spacing w:after="0" w:line="140"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Although we were able to regain compliance with the Bid Price Requirement within the manner and time period prescribed by Nasdaq, 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jc w:val="both"/>
        <w:ind w:firstLine="554"/>
        <w:spacing w:after="0" w:line="263" w:lineRule="auto"/>
        <w:rPr>
          <w:sz w:val="20"/>
          <w:szCs w:val="20"/>
          <w:color w:val="auto"/>
        </w:rPr>
      </w:pPr>
      <w:r>
        <w:rPr>
          <w:rFonts w:ascii="Arial" w:cs="Arial" w:eastAsia="Arial" w:hAnsi="Arial"/>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76" w:lineRule="exact"/>
        <w:rPr>
          <w:sz w:val="20"/>
          <w:szCs w:val="20"/>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results of clinical trials of Haduvio or any future product candidates;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Haduvio or any future product candidates or competitors’ products and product candidates;</w:t>
      </w:r>
    </w:p>
    <w:p>
      <w:pPr>
        <w:spacing w:after="0" w:line="144" w:lineRule="exact"/>
        <w:rPr>
          <w:rFonts w:ascii="Arial" w:cs="Arial" w:eastAsia="Arial" w:hAnsi="Arial"/>
          <w:sz w:val="18"/>
          <w:szCs w:val="18"/>
          <w:color w:val="auto"/>
        </w:rPr>
      </w:pPr>
    </w:p>
    <w:p>
      <w:pPr>
        <w:ind w:left="960" w:right="900" w:hanging="399"/>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related to any of our development programs;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our efforts to discover, develop, acquire or in-license additional product candidates;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estimated financial results or development timelines;</w:t>
      </w:r>
    </w:p>
    <w:p>
      <w:pPr>
        <w:spacing w:after="0" w:line="144" w:lineRule="exact"/>
        <w:rPr>
          <w:rFonts w:ascii="Arial" w:cs="Arial" w:eastAsia="Arial" w:hAnsi="Arial"/>
          <w:sz w:val="18"/>
          <w:szCs w:val="18"/>
          <w:color w:val="auto"/>
        </w:rPr>
      </w:pPr>
    </w:p>
    <w:p>
      <w:pPr>
        <w:ind w:left="960" w:right="100" w:hanging="399"/>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 including with respect to the substantial additional capital that we will need to raise by June 30, 2022 to satisfy the Milestone Conditions;</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 the U.S. and other countries;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0" w:name="page81"/>
    <w:bookmarkEnd w:id="80"/>
    <w:p>
      <w:pPr>
        <w:ind w:left="960" w:right="180" w:hanging="399"/>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recent adverse changes in the domestic and international financial markets and the impacts of the COVID-19 pandemic;</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obligations in connection with the SVB Term Loan;</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our listing on the Nasdaq Global Market;</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factors and considerations described in this “Risk Factors” section.</w:t>
      </w:r>
    </w:p>
    <w:p>
      <w:pPr>
        <w:spacing w:after="0" w:line="144" w:lineRule="exact"/>
        <w:rPr>
          <w:sz w:val="20"/>
          <w:szCs w:val="20"/>
          <w:color w:val="auto"/>
        </w:rPr>
      </w:pPr>
    </w:p>
    <w:p>
      <w:pPr>
        <w:ind w:firstLine="554"/>
        <w:spacing w:after="0" w:line="263" w:lineRule="auto"/>
        <w:rPr>
          <w:sz w:val="20"/>
          <w:szCs w:val="20"/>
          <w:color w:val="auto"/>
        </w:rPr>
      </w:pPr>
      <w:r>
        <w:rPr>
          <w:rFonts w:ascii="Arial" w:cs="Arial" w:eastAsia="Arial" w:hAnsi="Arial"/>
          <w:sz w:val="18"/>
          <w:szCs w:val="18"/>
          <w:color w:val="auto"/>
        </w:rPr>
        <w:t>In addition, the COVID-19 pandemic has negatively affected the stock market and investor sentiment. The price and volatility of our common stock may be disproportionately affected as investors may favor traditional profit-making industries and companies during such times of market uncertainty and instability.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240" w:firstLine="554"/>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right="40" w:firstLine="554"/>
        <w:spacing w:after="0" w:line="25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including by us, employees and significant stockholders, could negatively affect our stock price.</w:t>
      </w:r>
    </w:p>
    <w:p>
      <w:pPr>
        <w:spacing w:after="0" w:line="140" w:lineRule="exact"/>
        <w:rPr>
          <w:sz w:val="20"/>
          <w:szCs w:val="20"/>
          <w:color w:val="auto"/>
        </w:rPr>
      </w:pPr>
    </w:p>
    <w:p>
      <w:pPr>
        <w:ind w:right="260" w:firstLine="554"/>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16" w:lineRule="exact"/>
        <w:rPr>
          <w:sz w:val="20"/>
          <w:szCs w:val="20"/>
          <w:color w:val="auto"/>
        </w:rPr>
      </w:pPr>
    </w:p>
    <w:p>
      <w:pPr>
        <w:ind w:right="140" w:firstLine="554"/>
        <w:spacing w:after="0" w:line="263" w:lineRule="auto"/>
        <w:rPr>
          <w:sz w:val="20"/>
          <w:szCs w:val="20"/>
          <w:color w:val="auto"/>
        </w:rPr>
      </w:pPr>
      <w:r>
        <w:rPr>
          <w:rFonts w:ascii="Arial" w:cs="Arial" w:eastAsia="Arial" w:hAnsi="Arial"/>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76" w:lineRule="exact"/>
        <w:rPr>
          <w:sz w:val="20"/>
          <w:szCs w:val="20"/>
          <w:color w:val="auto"/>
        </w:rPr>
      </w:pPr>
    </w:p>
    <w:p>
      <w:pPr>
        <w:jc w:val="both"/>
        <w:ind w:right="100" w:firstLine="554"/>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16" w:lineRule="exact"/>
        <w:rPr>
          <w:sz w:val="20"/>
          <w:szCs w:val="20"/>
          <w:color w:val="auto"/>
        </w:rPr>
      </w:pPr>
    </w:p>
    <w:p>
      <w:pPr>
        <w:ind w:right="60" w:firstLine="554"/>
        <w:spacing w:after="0" w:line="286" w:lineRule="auto"/>
        <w:rPr>
          <w:sz w:val="20"/>
          <w:szCs w:val="20"/>
          <w:color w:val="auto"/>
        </w:rPr>
      </w:pPr>
      <w:r>
        <w:rPr>
          <w:rFonts w:ascii="Arial" w:cs="Arial" w:eastAsia="Arial" w:hAnsi="Arial"/>
          <w:sz w:val="17"/>
          <w:szCs w:val="17"/>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57" w:lineRule="exact"/>
        <w:rPr>
          <w:sz w:val="20"/>
          <w:szCs w:val="20"/>
          <w:color w:val="auto"/>
        </w:rPr>
      </w:pPr>
    </w:p>
    <w:p>
      <w:pPr>
        <w:ind w:firstLine="554"/>
        <w:spacing w:after="0" w:line="271" w:lineRule="auto"/>
        <w:rPr>
          <w:sz w:val="20"/>
          <w:szCs w:val="20"/>
          <w:color w:val="auto"/>
        </w:rPr>
      </w:pPr>
      <w:r>
        <w:rPr>
          <w:rFonts w:ascii="Arial" w:cs="Arial" w:eastAsia="Arial" w:hAnsi="Arial"/>
          <w:sz w:val="17"/>
          <w:szCs w:val="17"/>
          <w:color w:val="auto"/>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In June 2020, we entered into the ATM Sales Agreement, pursuant to which, from time to time, we may offer and sell under the ATM Sales Agreement up to $12.0 million of the common stock registered under the Shelf Registration Statement pursuant to one or more “at-the-market” offerings. As of March 17, 2022, we had sold 3,583,394 shares of common stock for an aggregate purchase price of $11.0 million, before deducting estimated commissions and allocated fees of $0.8 million,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spacing w:after="0" w:line="70" w:lineRule="exact"/>
        <w:rPr>
          <w:sz w:val="20"/>
          <w:szCs w:val="20"/>
          <w:color w:val="auto"/>
        </w:rPr>
      </w:pPr>
    </w:p>
    <w:p>
      <w:pPr>
        <w:ind w:right="20" w:firstLine="554"/>
        <w:spacing w:after="0" w:line="259" w:lineRule="auto"/>
        <w:rPr>
          <w:sz w:val="20"/>
          <w:szCs w:val="20"/>
          <w:color w:val="auto"/>
        </w:rPr>
      </w:pPr>
      <w:r>
        <w:rPr>
          <w:rFonts w:ascii="Arial" w:cs="Arial" w:eastAsia="Arial" w:hAnsi="Arial"/>
          <w:sz w:val="18"/>
          <w:szCs w:val="18"/>
          <w:color w:val="auto"/>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1" w:name="page82"/>
    <w:bookmarkEnd w:id="81"/>
    <w:p>
      <w:pPr>
        <w:spacing w:after="0" w:line="268" w:lineRule="auto"/>
        <w:rPr>
          <w:sz w:val="20"/>
          <w:szCs w:val="20"/>
          <w:color w:val="auto"/>
        </w:rPr>
      </w:pPr>
      <w:r>
        <w:rPr>
          <w:rFonts w:ascii="Arial" w:cs="Arial" w:eastAsia="Arial" w:hAnsi="Arial"/>
          <w:sz w:val="17"/>
          <w:szCs w:val="17"/>
          <w:color w:val="auto"/>
        </w:rPr>
        <w:t>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Beneficial Ownership Limitation. The Initial Private Placement Investor may resell all, some or none of the shares of common stock registered pursuant to the Initial Private Placement Form S-3 at any time or in its discretion, subject to the Beneficial Ownership Limitations. As of February 10, 2022, the pre-funded warrants have been exercised in full.</w:t>
      </w:r>
    </w:p>
    <w:p>
      <w:pPr>
        <w:spacing w:after="0" w:line="74" w:lineRule="exact"/>
        <w:rPr>
          <w:sz w:val="20"/>
          <w:szCs w:val="20"/>
          <w:color w:val="auto"/>
        </w:rPr>
      </w:pPr>
    </w:p>
    <w:p>
      <w:pPr>
        <w:ind w:right="20" w:firstLine="554"/>
        <w:spacing w:after="0" w:line="257" w:lineRule="auto"/>
        <w:rPr>
          <w:sz w:val="20"/>
          <w:szCs w:val="20"/>
          <w:color w:val="auto"/>
        </w:rPr>
      </w:pPr>
      <w:r>
        <w:rPr>
          <w:rFonts w:ascii="Arial" w:cs="Arial" w:eastAsia="Arial" w:hAnsi="Arial"/>
          <w:sz w:val="18"/>
          <w:szCs w:val="18"/>
          <w:color w:val="auto"/>
        </w:rPr>
        <w:t>Similarly, on October 18, 2021, we issued to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NEA will be able to resell all, some or none of the shares of common stock registered pursuant to the Second Private Placement Form S-3 at any time or in its discretion.</w:t>
      </w:r>
    </w:p>
    <w:p>
      <w:pPr>
        <w:spacing w:after="0" w:line="80" w:lineRule="exact"/>
        <w:rPr>
          <w:sz w:val="20"/>
          <w:szCs w:val="20"/>
          <w:color w:val="auto"/>
        </w:rPr>
      </w:pPr>
    </w:p>
    <w:p>
      <w:pPr>
        <w:ind w:firstLine="554"/>
        <w:spacing w:after="0" w:line="257" w:lineRule="auto"/>
        <w:rPr>
          <w:sz w:val="20"/>
          <w:szCs w:val="20"/>
          <w:color w:val="auto"/>
        </w:rPr>
      </w:pPr>
      <w:r>
        <w:rPr>
          <w:rFonts w:ascii="Arial" w:cs="Arial" w:eastAsia="Arial" w:hAnsi="Arial"/>
          <w:sz w:val="18"/>
          <w:szCs w:val="18"/>
          <w:color w:val="auto"/>
        </w:rPr>
        <w:t>Sales of substantial amounts of shares of our common stock or other securities by our stockholders, by us under the Shelf Registration Statement, whether pursuant to the ATM Sales Agreement or otherwise, by Lincoln Park pursuant to the Form S-1, by the private placement investors pursuant to the Initial Private Placement Form S-3 or the Second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spacing w:after="0" w:line="8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68" w:lineRule="exact"/>
        <w:rPr>
          <w:sz w:val="20"/>
          <w:szCs w:val="20"/>
          <w:color w:val="auto"/>
        </w:rPr>
      </w:pPr>
    </w:p>
    <w:p>
      <w:pPr>
        <w:ind w:firstLine="554"/>
        <w:spacing w:after="0" w:line="306" w:lineRule="auto"/>
        <w:rPr>
          <w:sz w:val="20"/>
          <w:szCs w:val="20"/>
          <w:color w:val="auto"/>
        </w:rPr>
      </w:pPr>
      <w:r>
        <w:rPr>
          <w:rFonts w:ascii="Arial" w:cs="Arial" w:eastAsia="Arial" w:hAnsi="Arial"/>
          <w:sz w:val="15"/>
          <w:szCs w:val="15"/>
          <w:color w:val="auto"/>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have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As discussed above, the common stock warrants issued to the Initial Private Placement Investor are subject to Beneficial Ownership Limitations. As of March 17, 2022, all of the warrants issued to the Initial Private Placement Investor and NEA in the private placements other than the pre-funded warrants remained outstanding. Although the Initial Private Placement Investor’s warrants are subject to the Beneficial Ownership Limitations, upon exercise in full of the warrants, the shares issuable upon exercise would represent a significant portion of our outstanding common stock. As a result, the Initial Private Placement Investor and NEA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and/or NEA on the other hand, concerning potential competitive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2" w:name="page83"/>
    <w:bookmarkEnd w:id="82"/>
    <w:p>
      <w:pPr>
        <w:ind w:right="60"/>
        <w:spacing w:after="0" w:line="277" w:lineRule="auto"/>
        <w:rPr>
          <w:sz w:val="20"/>
          <w:szCs w:val="20"/>
          <w:color w:val="auto"/>
        </w:rPr>
      </w:pPr>
      <w:r>
        <w:rPr>
          <w:rFonts w:ascii="Arial" w:cs="Arial" w:eastAsia="Arial" w:hAnsi="Arial"/>
          <w:sz w:val="18"/>
          <w:szCs w:val="18"/>
          <w:color w:val="auto"/>
        </w:rPr>
        <w:t>business activities, business opportunities, the issuance of additional securities and other matters. In addition, sales of these shares could cause the market price of our common stock to decline significantly.</w:t>
      </w:r>
    </w:p>
    <w:p>
      <w:pPr>
        <w:spacing w:after="0" w:line="62" w:lineRule="exact"/>
        <w:rPr>
          <w:sz w:val="20"/>
          <w:szCs w:val="20"/>
          <w:color w:val="auto"/>
        </w:rPr>
      </w:pPr>
    </w:p>
    <w:p>
      <w:pPr>
        <w:ind w:right="60" w:firstLine="554"/>
        <w:spacing w:after="0" w:line="268" w:lineRule="auto"/>
        <w:rPr>
          <w:sz w:val="20"/>
          <w:szCs w:val="20"/>
          <w:color w:val="auto"/>
        </w:rPr>
      </w:pPr>
      <w:r>
        <w:rPr>
          <w:rFonts w:ascii="Arial" w:cs="Arial" w:eastAsia="Arial" w:hAnsi="Arial"/>
          <w:sz w:val="17"/>
          <w:szCs w:val="17"/>
          <w:color w:val="auto"/>
        </w:rPr>
        <w:t>Furthermore, in the event of a sale of our company, whether by merger, sale of all or substantially all of our assets or otherwise, the Initial Private Placement Investor and NEA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p>
    <w:p>
      <w:pPr>
        <w:spacing w:after="0" w:line="76" w:lineRule="exact"/>
        <w:rPr>
          <w:sz w:val="20"/>
          <w:szCs w:val="20"/>
          <w:color w:val="auto"/>
        </w:rPr>
      </w:pPr>
    </w:p>
    <w:p>
      <w:pPr>
        <w:ind w:right="260" w:firstLine="554"/>
        <w:spacing w:after="0" w:line="277" w:lineRule="auto"/>
        <w:rPr>
          <w:sz w:val="20"/>
          <w:szCs w:val="20"/>
          <w:color w:val="auto"/>
        </w:rPr>
      </w:pPr>
      <w:r>
        <w:rPr>
          <w:rFonts w:ascii="Arial" w:cs="Arial" w:eastAsia="Arial" w:hAnsi="Arial"/>
          <w:sz w:val="18"/>
          <w:szCs w:val="18"/>
          <w:color w:val="auto"/>
        </w:rPr>
        <w:t>Given the amount and terms of these warrants, we may find it more difficult to raise additional equity capital on favorable terms or at all while these warrants are outstanding.</w:t>
      </w:r>
    </w:p>
    <w:p>
      <w:pPr>
        <w:spacing w:after="0" w:line="6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Ownership of our common stock is concentrated among our executive officers and directors and their affiliates and our significant stockholders, who have significant influence over our business, which may prevent new investors from influencing significant corporate decisions.</w:t>
      </w:r>
    </w:p>
    <w:p>
      <w:pPr>
        <w:spacing w:after="0" w:line="16" w:lineRule="exact"/>
        <w:rPr>
          <w:sz w:val="20"/>
          <w:szCs w:val="20"/>
          <w:color w:val="auto"/>
        </w:rPr>
      </w:pPr>
    </w:p>
    <w:p>
      <w:pPr>
        <w:ind w:right="400" w:firstLine="554"/>
        <w:spacing w:after="0" w:line="279" w:lineRule="auto"/>
        <w:rPr>
          <w:sz w:val="20"/>
          <w:szCs w:val="20"/>
          <w:color w:val="auto"/>
        </w:rPr>
      </w:pPr>
      <w:r>
        <w:rPr>
          <w:rFonts w:ascii="Arial" w:cs="Arial" w:eastAsia="Arial" w:hAnsi="Arial"/>
          <w:sz w:val="17"/>
          <w:szCs w:val="17"/>
          <w:color w:val="auto"/>
        </w:rPr>
        <w:t>Our executive officers and directors, their respective affiliates, and other holders of 10% or more of our common stock beneficially own, in the aggregate, shares representing approximately 51.4% of our common stock as of March 17, 2022. As a result, our executive officers and directors and their affiliates and our significant stockholders acting together would be able to control all matters submitted to our stockholders for approval, as well as our management and affairs. This concentration of ownership control may:</w:t>
      </w:r>
    </w:p>
    <w:p>
      <w:pPr>
        <w:spacing w:after="0" w:line="63" w:lineRule="exact"/>
        <w:rPr>
          <w:sz w:val="20"/>
          <w:szCs w:val="20"/>
          <w:color w:val="auto"/>
        </w:rPr>
      </w:pPr>
    </w:p>
    <w:p>
      <w:pPr>
        <w:ind w:left="960" w:hanging="399"/>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44" w:lineRule="exact"/>
        <w:rPr>
          <w:rFonts w:ascii="Arial" w:cs="Arial" w:eastAsia="Arial" w:hAnsi="Arial"/>
          <w:sz w:val="18"/>
          <w:szCs w:val="18"/>
          <w:color w:val="auto"/>
        </w:rPr>
      </w:pPr>
    </w:p>
    <w:p>
      <w:pPr>
        <w:ind w:left="960" w:right="240" w:hanging="399"/>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62" w:lineRule="exact"/>
        <w:rPr>
          <w:sz w:val="20"/>
          <w:szCs w:val="20"/>
          <w:color w:val="auto"/>
        </w:rPr>
      </w:pPr>
    </w:p>
    <w:p>
      <w:pPr>
        <w:ind w:right="180" w:firstLine="554"/>
        <w:spacing w:after="0" w:line="286" w:lineRule="auto"/>
        <w:rPr>
          <w:sz w:val="20"/>
          <w:szCs w:val="20"/>
          <w:color w:val="auto"/>
        </w:rPr>
      </w:pPr>
      <w:r>
        <w:rPr>
          <w:rFonts w:ascii="Arial" w:cs="Arial" w:eastAsia="Arial" w:hAnsi="Arial"/>
          <w:sz w:val="17"/>
          <w:szCs w:val="17"/>
          <w:color w:val="auto"/>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spacing w:after="0" w:line="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ind w:firstLine="554"/>
        <w:spacing w:after="0" w:line="275" w:lineRule="auto"/>
        <w:rPr>
          <w:sz w:val="20"/>
          <w:szCs w:val="20"/>
          <w:color w:val="auto"/>
        </w:rPr>
      </w:pPr>
      <w:r>
        <w:rPr>
          <w:rFonts w:ascii="Arial" w:cs="Arial" w:eastAsia="Arial" w:hAnsi="Arial"/>
          <w:sz w:val="17"/>
          <w:szCs w:val="17"/>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right="60" w:firstLine="554"/>
        <w:spacing w:after="0" w:line="30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ind w:right="220"/>
        <w:spacing w:after="0" w:line="290" w:lineRule="auto"/>
        <w:rPr>
          <w:sz w:val="20"/>
          <w:szCs w:val="20"/>
          <w:color w:val="auto"/>
        </w:rPr>
      </w:pPr>
      <w:r>
        <w:rPr>
          <w:rFonts w:ascii="Arial" w:cs="Arial" w:eastAsia="Arial" w:hAnsi="Arial"/>
          <w:sz w:val="16"/>
          <w:szCs w:val="16"/>
          <w:color w:val="auto"/>
        </w:rPr>
        <w:t>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5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62" w:lineRule="exact"/>
        <w:rPr>
          <w:sz w:val="20"/>
          <w:szCs w:val="20"/>
          <w:color w:val="auto"/>
        </w:rPr>
      </w:pPr>
    </w:p>
    <w:p>
      <w:pPr>
        <w:ind w:right="40" w:firstLine="554"/>
        <w:spacing w:after="0" w:line="267" w:lineRule="auto"/>
        <w:rPr>
          <w:sz w:val="20"/>
          <w:szCs w:val="20"/>
          <w:color w:val="auto"/>
        </w:rPr>
      </w:pPr>
      <w:r>
        <w:rPr>
          <w:rFonts w:ascii="Arial" w:cs="Arial" w:eastAsia="Arial" w:hAnsi="Arial"/>
          <w:sz w:val="17"/>
          <w:szCs w:val="17"/>
          <w:color w:val="auto"/>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firstLine="554"/>
        <w:spacing w:after="0" w:line="268" w:lineRule="auto"/>
        <w:rPr>
          <w:sz w:val="20"/>
          <w:szCs w:val="20"/>
          <w:color w:val="auto"/>
        </w:rPr>
      </w:pPr>
      <w:r>
        <w:rPr>
          <w:rFonts w:ascii="Arial" w:cs="Arial" w:eastAsia="Arial" w:hAnsi="Arial"/>
          <w:sz w:val="17"/>
          <w:szCs w:val="17"/>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76"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4" w:name="page85"/>
    <w:bookmarkEnd w:id="84"/>
    <w:p>
      <w:pPr>
        <w:ind w:right="20" w:firstLine="554"/>
        <w:spacing w:after="0" w:line="268" w:lineRule="auto"/>
        <w:rPr>
          <w:sz w:val="20"/>
          <w:szCs w:val="20"/>
          <w:color w:val="auto"/>
        </w:rPr>
      </w:pPr>
      <w:r>
        <w:rPr>
          <w:rFonts w:ascii="Arial" w:cs="Arial" w:eastAsia="Arial" w:hAnsi="Arial"/>
          <w:sz w:val="17"/>
          <w:szCs w:val="17"/>
          <w:color w:val="auto"/>
        </w:rPr>
        <w:t>As of December 31, 2021, we had federal and state net operating loss carryforwards of $169.7 million and federal research and development tax credit carryforwards of $4.6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“ownership change” under Section 382 of the IRC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w:t>
      </w:r>
    </w:p>
    <w:p>
      <w:pPr>
        <w:spacing w:after="0" w:line="74" w:lineRule="exact"/>
        <w:rPr>
          <w:sz w:val="20"/>
          <w:szCs w:val="20"/>
          <w:color w:val="auto"/>
        </w:rPr>
      </w:pPr>
    </w:p>
    <w:p>
      <w:pPr>
        <w:ind w:firstLine="554"/>
        <w:spacing w:after="0" w:line="272" w:lineRule="auto"/>
        <w:rPr>
          <w:sz w:val="20"/>
          <w:szCs w:val="20"/>
          <w:color w:val="auto"/>
        </w:rPr>
      </w:pPr>
      <w:r>
        <w:rPr>
          <w:rFonts w:ascii="Arial" w:cs="Arial" w:eastAsia="Arial" w:hAnsi="Arial"/>
          <w:sz w:val="17"/>
          <w:szCs w:val="17"/>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160" w:firstLine="554"/>
        <w:spacing w:after="0" w:line="270" w:lineRule="auto"/>
        <w:rPr>
          <w:sz w:val="20"/>
          <w:szCs w:val="20"/>
          <w:color w:val="auto"/>
        </w:rPr>
      </w:pPr>
      <w:r>
        <w:rPr>
          <w:rFonts w:ascii="Arial" w:cs="Arial" w:eastAsia="Arial" w:hAnsi="Arial"/>
          <w:sz w:val="17"/>
          <w:szCs w:val="17"/>
          <w:color w:val="auto"/>
        </w:rPr>
        <w:t>Recent changes in tax law may adversely affect our business or financial condition. On December 22, 2017, the U.S. government enacted the Tax Act, which significantly reformed the IRC.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73" w:lineRule="exact"/>
        <w:rPr>
          <w:sz w:val="20"/>
          <w:szCs w:val="20"/>
          <w:color w:val="auto"/>
        </w:rPr>
      </w:pPr>
    </w:p>
    <w:p>
      <w:pPr>
        <w:ind w:right="80" w:firstLine="554"/>
        <w:spacing w:after="0" w:line="293" w:lineRule="auto"/>
        <w:rPr>
          <w:sz w:val="20"/>
          <w:szCs w:val="20"/>
          <w:color w:val="auto"/>
        </w:rPr>
      </w:pPr>
      <w:r>
        <w:rPr>
          <w:rFonts w:ascii="Arial" w:cs="Arial" w:eastAsia="Arial" w:hAnsi="Arial"/>
          <w:sz w:val="16"/>
          <w:szCs w:val="16"/>
          <w:color w:val="auto"/>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56" w:lineRule="exact"/>
        <w:rPr>
          <w:sz w:val="20"/>
          <w:szCs w:val="20"/>
          <w:color w:val="auto"/>
        </w:rPr>
      </w:pPr>
    </w:p>
    <w:p>
      <w:pPr>
        <w:ind w:right="60" w:firstLine="554"/>
        <w:spacing w:after="0" w:line="259" w:lineRule="auto"/>
        <w:rPr>
          <w:sz w:val="20"/>
          <w:szCs w:val="20"/>
          <w:color w:val="auto"/>
        </w:rPr>
      </w:pPr>
      <w:r>
        <w:rPr>
          <w:rFonts w:ascii="Arial" w:cs="Arial" w:eastAsia="Arial" w:hAnsi="Arial"/>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us. In addition, it is uncertain if and to what extent various states will conform to the Tax Act, the FFCR Act or the CARES Act.</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5" w:name="page86"/>
    <w:bookmarkEnd w:id="85"/>
    <w:p>
      <w:pPr>
        <w:ind w:right="140" w:firstLine="554"/>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960" w:hanging="399"/>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44" w:lineRule="exact"/>
        <w:rPr>
          <w:rFonts w:ascii="Arial" w:cs="Arial" w:eastAsia="Arial" w:hAnsi="Arial"/>
          <w:sz w:val="18"/>
          <w:szCs w:val="18"/>
          <w:color w:val="auto"/>
        </w:rPr>
      </w:pPr>
    </w:p>
    <w:p>
      <w:pPr>
        <w:ind w:left="960" w:right="280" w:hanging="399"/>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960" w:right="420" w:hanging="399"/>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44" w:lineRule="exact"/>
        <w:rPr>
          <w:rFonts w:ascii="Arial" w:cs="Arial" w:eastAsia="Arial" w:hAnsi="Arial"/>
          <w:sz w:val="18"/>
          <w:szCs w:val="18"/>
          <w:color w:val="auto"/>
        </w:rPr>
      </w:pPr>
    </w:p>
    <w:p>
      <w:pPr>
        <w:ind w:left="960" w:right="260" w:hanging="399"/>
        <w:spacing w:after="0" w:line="263"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960" w:right="280" w:hanging="399"/>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62"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63" w:lineRule="exact"/>
        <w:rPr>
          <w:sz w:val="20"/>
          <w:szCs w:val="20"/>
          <w:color w:val="auto"/>
        </w:rPr>
      </w:pPr>
    </w:p>
    <w:p>
      <w:pPr>
        <w:ind w:firstLine="554"/>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2" w:lineRule="exact"/>
        <w:rPr>
          <w:sz w:val="20"/>
          <w:szCs w:val="20"/>
          <w:color w:val="auto"/>
        </w:rPr>
      </w:pPr>
    </w:p>
    <w:p>
      <w:pPr>
        <w:ind w:right="120" w:firstLine="8"/>
        <w:spacing w:after="0" w:line="252"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86" w:lineRule="exact"/>
        <w:rPr>
          <w:sz w:val="20"/>
          <w:szCs w:val="20"/>
          <w:color w:val="auto"/>
        </w:rPr>
      </w:pPr>
    </w:p>
    <w:p>
      <w:pPr>
        <w:jc w:val="both"/>
        <w:ind w:right="80" w:firstLine="554"/>
        <w:spacing w:after="0" w:line="263"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6" w:name="page87"/>
    <w:bookmarkEnd w:id="86"/>
    <w:p>
      <w:pPr>
        <w:ind w:right="120"/>
        <w:spacing w:after="0" w:line="277" w:lineRule="auto"/>
        <w:rPr>
          <w:sz w:val="20"/>
          <w:szCs w:val="20"/>
          <w:color w:val="auto"/>
        </w:rPr>
      </w:pPr>
      <w:r>
        <w:rPr>
          <w:rFonts w:ascii="Arial" w:cs="Arial" w:eastAsia="Arial" w:hAnsi="Arial"/>
          <w:sz w:val="18"/>
          <w:szCs w:val="18"/>
          <w:color w:val="auto"/>
        </w:rPr>
        <w:t>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b w:val="1"/>
          <w:bCs w:val="1"/>
          <w:i w:val="1"/>
          <w:iCs w:val="1"/>
          <w:color w:val="auto"/>
        </w:rPr>
        <w:t>We face risks related to health epidemics and other widespread outbreaks of contagious disease, including the COVID-19 pandemic, which has delayed our ability to complete our ongoing clinical trials, disrupted our business operations and may further delay our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p>
      <w:pPr>
        <w:spacing w:after="0" w:line="32" w:lineRule="exact"/>
        <w:rPr>
          <w:sz w:val="20"/>
          <w:szCs w:val="20"/>
          <w:color w:val="auto"/>
        </w:rPr>
      </w:pPr>
    </w:p>
    <w:p>
      <w:pPr>
        <w:ind w:right="220" w:firstLine="554"/>
        <w:spacing w:after="0" w:line="277" w:lineRule="auto"/>
        <w:rPr>
          <w:sz w:val="20"/>
          <w:szCs w:val="20"/>
          <w:color w:val="auto"/>
        </w:rPr>
      </w:pPr>
      <w:r>
        <w:rPr>
          <w:rFonts w:ascii="Arial" w:cs="Arial" w:eastAsia="Arial" w:hAnsi="Arial"/>
          <w:sz w:val="18"/>
          <w:szCs w:val="18"/>
          <w:color w:val="auto"/>
        </w:rPr>
        <w:t>Significant outbreaks of contagious diseases, such as COVID-19, and other adverse public health developments, could have a material impact on our business operations and operating results.</w:t>
      </w:r>
    </w:p>
    <w:p>
      <w:pPr>
        <w:spacing w:after="0" w:line="62" w:lineRule="exact"/>
        <w:rPr>
          <w:sz w:val="20"/>
          <w:szCs w:val="20"/>
          <w:color w:val="auto"/>
        </w:rPr>
      </w:pPr>
    </w:p>
    <w:p>
      <w:pPr>
        <w:ind w:firstLine="554"/>
        <w:spacing w:after="0" w:line="286" w:lineRule="auto"/>
        <w:rPr>
          <w:sz w:val="20"/>
          <w:szCs w:val="20"/>
          <w:color w:val="auto"/>
        </w:rPr>
      </w:pPr>
      <w:r>
        <w:rPr>
          <w:rFonts w:ascii="Arial" w:cs="Arial" w:eastAsia="Arial" w:hAnsi="Arial"/>
          <w:sz w:val="16"/>
          <w:szCs w:val="16"/>
          <w:color w:val="auto"/>
        </w:rPr>
        <w:t>The COVID-19 pandemic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in our ongoing Phase 2b/3 PRISM trial, new subject screening and most enrollment was temporarily halted in March 2020 due to the COVID-19 pandemic. After resuming screening and enrollment, multiple sites in the Phase 2b/3 PRISM trial required some remote monitoring of subject data, although all sites are now allowing in-person monitoring visits. We also experienced slower recruitment activities in the Phase 2b/3 PRISM trial worldwide through the latter part of 2020 and the beginning of 2021 due to the resurgence of COVID-19. In addition, the clinical sites in our ongoing Phase 2 CANAL trial for chronic cough in patients with IPF experienced delays in the enrollment and treatment of subjects in the trial due to the vulnerability of IPF patients to COVID-19 and as a result, we amended the protocol for the trial to reduce the number of in-person subject visits and procedures. Although both the Phase 2 CANAL and Phase 2b/3 PRISM trials have now ended enrollment, the COVID-19 pandemic could still adversely affect our ability to retain subjects,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or potential inability of subjects to comply with clinical trial protocols if quarantines or travel restrictions impede subject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w:t>
      </w:r>
    </w:p>
    <w:p>
      <w:pPr>
        <w:spacing w:after="0" w:line="59" w:lineRule="exact"/>
        <w:rPr>
          <w:sz w:val="20"/>
          <w:szCs w:val="20"/>
          <w:color w:val="auto"/>
        </w:rPr>
      </w:pPr>
    </w:p>
    <w:p>
      <w:pPr>
        <w:ind w:right="60" w:firstLine="554"/>
        <w:spacing w:after="0" w:line="257" w:lineRule="auto"/>
        <w:rPr>
          <w:sz w:val="20"/>
          <w:szCs w:val="20"/>
          <w:color w:val="auto"/>
        </w:rPr>
      </w:pPr>
      <w:r>
        <w:rPr>
          <w:rFonts w:ascii="Arial" w:cs="Arial" w:eastAsia="Arial" w:hAnsi="Arial"/>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have taken temporary precautionary measures intended to help minimize the risk of the virus to our employees, including allowing employees to work remotely part of the week, which could negatively affect our business.</w:t>
      </w:r>
    </w:p>
    <w:p>
      <w:pPr>
        <w:spacing w:after="0" w:line="80" w:lineRule="exact"/>
        <w:rPr>
          <w:sz w:val="20"/>
          <w:szCs w:val="20"/>
          <w:color w:val="auto"/>
        </w:rPr>
      </w:pPr>
    </w:p>
    <w:p>
      <w:pPr>
        <w:ind w:right="40" w:firstLine="554"/>
        <w:spacing w:after="0" w:line="257" w:lineRule="auto"/>
        <w:rPr>
          <w:sz w:val="20"/>
          <w:szCs w:val="20"/>
          <w:color w:val="auto"/>
        </w:rPr>
      </w:pPr>
      <w:r>
        <w:rPr>
          <w:rFonts w:ascii="Arial" w:cs="Arial" w:eastAsia="Arial" w:hAnsi="Arial"/>
          <w:sz w:val="18"/>
          <w:szCs w:val="18"/>
          <w:color w:val="auto"/>
        </w:rPr>
        <w:t>We cannot presently predict the scope and severity of the disruptions we may experience or continue to experience as a result of the COVID-19 pandemic.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40" w:firstLine="554"/>
        <w:spacing w:after="0" w:line="286" w:lineRule="auto"/>
        <w:rPr>
          <w:sz w:val="20"/>
          <w:szCs w:val="20"/>
          <w:color w:val="auto"/>
        </w:rPr>
      </w:pPr>
      <w:r>
        <w:rPr>
          <w:rFonts w:ascii="Arial" w:cs="Arial" w:eastAsia="Arial" w:hAnsi="Arial"/>
          <w:sz w:val="17"/>
          <w:szCs w:val="17"/>
          <w:color w:val="auto"/>
        </w:rPr>
        <w:t>Our headquarters is currently located in New Haven, Connecticut, and consists of approximately 5,600 square feet of leased office space under a lease that expires in February 2023 under which we have an option to extend the lease by an additional year. We believe that our existing facilities are adequate for our current needs; however, we may require additional space and facilities as our business expands.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subject to any material legal proceedings.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186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4220" w:firstLine="554"/>
        <w:spacing w:after="0" w:line="375" w:lineRule="auto"/>
        <w:rPr>
          <w:sz w:val="20"/>
          <w:szCs w:val="20"/>
          <w:color w:val="auto"/>
        </w:rPr>
      </w:pPr>
      <w:r>
        <w:rPr>
          <w:rFonts w:ascii="Arial" w:cs="Arial" w:eastAsia="Arial" w:hAnsi="Arial"/>
          <w:sz w:val="18"/>
          <w:szCs w:val="18"/>
          <w:color w:val="auto"/>
        </w:rPr>
        <w:t xml:space="preserve">Our common stock is listed on the Nasdaq Stock Market LLC under the symbol “TRVI.” </w:t>
      </w:r>
      <w:r>
        <w:rPr>
          <w:rFonts w:ascii="Arial" w:cs="Arial" w:eastAsia="Arial" w:hAnsi="Arial"/>
          <w:sz w:val="18"/>
          <w:szCs w:val="18"/>
          <w:b w:val="1"/>
          <w:bCs w:val="1"/>
          <w:color w:val="auto"/>
        </w:rPr>
        <w:t>Stockholders</w:t>
      </w:r>
    </w:p>
    <w:p>
      <w:pPr>
        <w:spacing w:after="0" w:line="1" w:lineRule="exact"/>
        <w:rPr>
          <w:sz w:val="20"/>
          <w:szCs w:val="20"/>
          <w:color w:val="auto"/>
        </w:rPr>
      </w:pPr>
    </w:p>
    <w:p>
      <w:pPr>
        <w:ind w:right="80" w:firstLine="554"/>
        <w:spacing w:after="0" w:line="342" w:lineRule="auto"/>
        <w:rPr>
          <w:sz w:val="20"/>
          <w:szCs w:val="20"/>
          <w:color w:val="auto"/>
        </w:rPr>
      </w:pPr>
      <w:r>
        <w:rPr>
          <w:rFonts w:ascii="Arial" w:cs="Arial" w:eastAsia="Arial" w:hAnsi="Arial"/>
          <w:sz w:val="16"/>
          <w:szCs w:val="16"/>
          <w:color w:val="auto"/>
        </w:rPr>
        <w:t>As of March 17, 2022, there were approximately 19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60" w:firstLine="554"/>
        <w:spacing w:after="0" w:line="273" w:lineRule="auto"/>
        <w:rPr>
          <w:sz w:val="20"/>
          <w:szCs w:val="20"/>
          <w:color w:val="auto"/>
        </w:rPr>
      </w:pPr>
      <w:r>
        <w:rPr>
          <w:rFonts w:ascii="Arial" w:cs="Arial" w:eastAsia="Arial" w:hAnsi="Arial"/>
          <w:sz w:val="17"/>
          <w:szCs w:val="17"/>
          <w:color w:val="auto"/>
        </w:rPr>
        <w:t>We have never declared or paid cash dividends on our common stock and we do not intend to pay any cash dividends in the foreseeable future. We currently intend to retain all available funds and any future earnings to finance the operation, development and growth of our business. In addition, the terms of the SVB Term Loan preclude us from paying dividends and the terms of any future debt or other financing that we may obtain may also preclude us from declaring or paying dividends on our common stock.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w:t>
      </w:r>
    </w:p>
    <w:p>
      <w:pPr>
        <w:spacing w:after="0" w:line="121" w:lineRule="exact"/>
        <w:rPr>
          <w:sz w:val="20"/>
          <w:szCs w:val="20"/>
          <w:color w:val="auto"/>
        </w:rPr>
      </w:pPr>
    </w:p>
    <w:p>
      <w:pPr>
        <w:ind w:right="60" w:firstLine="554"/>
        <w:spacing w:after="0" w:line="263" w:lineRule="auto"/>
        <w:rPr>
          <w:sz w:val="20"/>
          <w:szCs w:val="20"/>
          <w:color w:val="auto"/>
        </w:rPr>
      </w:pPr>
      <w:r>
        <w:rPr>
          <w:rFonts w:ascii="Arial" w:cs="Arial" w:eastAsia="Arial" w:hAnsi="Arial"/>
          <w:sz w:val="18"/>
          <w:szCs w:val="18"/>
          <w:color w:val="auto"/>
        </w:rPr>
        <w:t>The information concerning our equity compensation plan is incorporated by reference from the information in our Proxy Statement for our 2022 Annual Meeting of Stockholders, which we will file with the SEC within 120 days of the end of the fiscal year to which this Annual Report on Form 10-K relates.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May 9, 2019, we closed our IPO, in which we issued and sold 5,500,000 shares of common stock at a public offering price of $10.00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gross proceeds to us from our IPO offering were $55.0 million.</w:t>
      </w:r>
    </w:p>
    <w:p>
      <w:pPr>
        <w:spacing w:after="0" w:line="103" w:lineRule="exact"/>
        <w:rPr>
          <w:sz w:val="20"/>
          <w:szCs w:val="20"/>
          <w:color w:val="auto"/>
        </w:rPr>
      </w:pPr>
    </w:p>
    <w:p>
      <w:pPr>
        <w:ind w:right="60" w:firstLine="554"/>
        <w:spacing w:after="0" w:line="311" w:lineRule="auto"/>
        <w:rPr>
          <w:sz w:val="20"/>
          <w:szCs w:val="20"/>
          <w:color w:val="auto"/>
        </w:rPr>
      </w:pPr>
      <w:r>
        <w:rPr>
          <w:rFonts w:ascii="Arial" w:cs="Arial" w:eastAsia="Arial" w:hAnsi="Arial"/>
          <w:sz w:val="16"/>
          <w:szCs w:val="16"/>
          <w:color w:val="auto"/>
        </w:rPr>
        <w:t>All the shares of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spacing w:after="0" w:line="41" w:lineRule="exact"/>
        <w:rPr>
          <w:sz w:val="20"/>
          <w:szCs w:val="20"/>
          <w:color w:val="auto"/>
        </w:rPr>
      </w:pPr>
    </w:p>
    <w:p>
      <w:pPr>
        <w:ind w:right="60" w:firstLine="554"/>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62" w:lineRule="exact"/>
        <w:rPr>
          <w:sz w:val="20"/>
          <w:szCs w:val="20"/>
          <w:color w:val="auto"/>
        </w:rPr>
      </w:pPr>
    </w:p>
    <w:p>
      <w:pPr>
        <w:ind w:right="380" w:firstLine="554"/>
        <w:spacing w:after="0" w:line="308" w:lineRule="auto"/>
        <w:rPr>
          <w:sz w:val="20"/>
          <w:szCs w:val="20"/>
          <w:color w:val="auto"/>
        </w:rPr>
      </w:pPr>
      <w:r>
        <w:rPr>
          <w:rFonts w:ascii="Arial" w:cs="Arial" w:eastAsia="Arial" w:hAnsi="Arial"/>
          <w:sz w:val="17"/>
          <w:szCs w:val="17"/>
          <w:color w:val="auto"/>
        </w:rPr>
        <w:t>As of December 31, 2021, we have used all of the net proceeds from the IPO to fund the development of Haduvio for the treatment of pruritus associated with prurigo nodularis and the treatment of chronic cough in patients with IPF and for general corporate purposes.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54"/>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Some of the statements contained in this discussion and analysis or set forth elsewhere in this Annual Report on Form 10-K,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88" w:name="page89"/>
    <w:bookmarkEnd w:id="88"/>
    <w:p>
      <w:pPr>
        <w:ind w:right="440"/>
        <w:spacing w:after="0" w:line="277" w:lineRule="auto"/>
        <w:rPr>
          <w:sz w:val="20"/>
          <w:szCs w:val="20"/>
          <w:color w:val="auto"/>
        </w:rPr>
      </w:pPr>
      <w:r>
        <w:rPr>
          <w:rFonts w:ascii="Arial" w:cs="Arial" w:eastAsia="Arial" w:hAnsi="Arial"/>
          <w:sz w:val="18"/>
          <w:szCs w:val="18"/>
          <w:i w:val="1"/>
          <w:iCs w:val="1"/>
          <w:color w:val="auto"/>
        </w:rPr>
        <w:t>discussed elsewhere in this Annual Report on Form 10-K, particularly including those risks identified in Part I-Item 1A “Risk Factors” and our other filings with the SEC.</w:t>
      </w:r>
    </w:p>
    <w:p>
      <w:pPr>
        <w:spacing w:after="0" w:line="62" w:lineRule="exact"/>
        <w:rPr>
          <w:sz w:val="20"/>
          <w:szCs w:val="20"/>
          <w:color w:val="auto"/>
        </w:rPr>
      </w:pPr>
    </w:p>
    <w:p>
      <w:pPr>
        <w:ind w:right="60" w:firstLine="554"/>
        <w:spacing w:after="0" w:line="289"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on Form 10-K. Statements made herein are as of the date of the filing of this Annual Report on Form 10-K with the SEC and should not be relied upon as of any subsequent date. Even if our results of operations, financial condition and liquidity, and the development of the industry in which we operate are consistent with the forward-looking statements contained in this Annual Report on Form 10-K,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58" w:lineRule="exact"/>
        <w:rPr>
          <w:sz w:val="20"/>
          <w:szCs w:val="20"/>
          <w:color w:val="auto"/>
        </w:rPr>
      </w:pPr>
    </w:p>
    <w:p>
      <w:pPr>
        <w:ind w:right="440" w:firstLine="554"/>
        <w:spacing w:after="0" w:line="375" w:lineRule="auto"/>
        <w:rPr>
          <w:sz w:val="20"/>
          <w:szCs w:val="20"/>
          <w:color w:val="auto"/>
        </w:rPr>
      </w:pPr>
      <w:r>
        <w:rPr>
          <w:rFonts w:ascii="Arial" w:cs="Arial" w:eastAsia="Arial" w:hAnsi="Arial"/>
          <w:sz w:val="18"/>
          <w:szCs w:val="18"/>
          <w:i w:val="1"/>
          <w:iCs w:val="1"/>
          <w:color w:val="auto"/>
        </w:rPr>
        <w:t xml:space="preserve">We caution readers not to place undue reliance on any forward-looking statements made by us, which speak only as of the date they are made.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ind w:right="400" w:firstLine="554"/>
        <w:spacing w:after="0" w:line="263"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the investigational therapy Haduvio (nalbuphine ER) to treat serious neurologically mediated conditions. We are developing Haduvio for the treatment of chronic pruritus associated with prurigo nodularis and chronic cough in patients with idiopathic pulmonary fibrosis, or IPF.</w:t>
      </w:r>
    </w:p>
    <w:p>
      <w:pPr>
        <w:spacing w:after="0" w:line="76" w:lineRule="exact"/>
        <w:rPr>
          <w:sz w:val="20"/>
          <w:szCs w:val="20"/>
          <w:color w:val="auto"/>
        </w:rPr>
      </w:pPr>
    </w:p>
    <w:p>
      <w:pPr>
        <w:ind w:right="80" w:firstLine="554"/>
        <w:spacing w:after="0" w:line="287" w:lineRule="auto"/>
        <w:rPr>
          <w:sz w:val="20"/>
          <w:szCs w:val="20"/>
          <w:color w:val="auto"/>
        </w:rPr>
      </w:pPr>
      <w:r>
        <w:rPr>
          <w:rFonts w:ascii="Arial" w:cs="Arial" w:eastAsia="Arial" w:hAnsi="Arial"/>
          <w:sz w:val="16"/>
          <w:szCs w:val="16"/>
          <w:color w:val="auto"/>
        </w:rPr>
        <w:t>We are conducting a Phase 2b/3 clinical trial of Haduvio, which we refer to as the Phase 2b/3 PRISM trial, in patients with severe pruritus associated with prurigo nodularis. The Phase 2b/3 PRISM trial is a randomized, double-blind, placebo controlled, two-arm treatment study that is designed to evaluate the safety and anti-pruritic efficacy of Haduvio in patients in the United States and Europe. In accordance with the protocol for the Phase 2b/3 PRISM trial, we conducted a sample size re-estimation, or SSRE, analysis in July 2020, following such time as approximately 45% of the initial targeted number of subjects in the trial were evaluable for the primary endpoint. Based on the analysis, the independent Data Monitoring Committee, or DMC, recommended that the Phase 2b/3 PRISM trial should continue and that the trial size should increase from an initial enrollment target of 240 to 360 subjects, which maintains the statistical power for the primary endpoint. Based on the DMC’s recommendation, we increased the planned trial size to 360 subjects. We completed enrollment in the trial on January 31, 2022. We expect to report top-line data in the second quarter of 2022. If the Phase 2b/3 PRISM trial is successful, we expect that we will use the Phase 2b/3 PRISM trial and an additional Phase 3 clinical trial that we believe we will need to conduct to support the submission of a new drug application, or NDA, to the U.S. Food and Drug Administration, or FDA, a marketing authorization application, or MAA, to the European Medicines Agency, or EMA, and an MAA to the Medicines and Healthcare Products Regulatory Agency in the United Kingdom, or MHRA, for Haduvio for the treatment of pruritus associated with prurigo nodularis.</w:t>
      </w:r>
    </w:p>
    <w:p>
      <w:pPr>
        <w:spacing w:after="0" w:line="60" w:lineRule="exact"/>
        <w:rPr>
          <w:sz w:val="20"/>
          <w:szCs w:val="20"/>
          <w:color w:val="auto"/>
        </w:rPr>
      </w:pPr>
    </w:p>
    <w:p>
      <w:pPr>
        <w:ind w:firstLine="554"/>
        <w:spacing w:after="0" w:line="268" w:lineRule="auto"/>
        <w:rPr>
          <w:sz w:val="20"/>
          <w:szCs w:val="20"/>
          <w:color w:val="auto"/>
        </w:rPr>
      </w:pPr>
      <w:r>
        <w:rPr>
          <w:rFonts w:ascii="Arial" w:cs="Arial" w:eastAsia="Arial" w:hAnsi="Arial"/>
          <w:sz w:val="17"/>
          <w:szCs w:val="17"/>
          <w:color w:val="auto"/>
        </w:rPr>
        <w:t>We are also conducting a Phase 2 clinical trial of Haduvio for chronic cough in patients with IPF, which we refer to as the Phase 2 CANAL trial. The Phase 2 CANAL trial is a randomized, double-blind, placebo controlled, two-treatment, two-period, crossover study that is designed to evaluate the efficacy, safety, tolerability and dosing of Haduvio for chronic cough in patients with IPF. This trial is designed to enroll approximately 60 subjects with a goal to have 44 study completers. We are conducting the trial at multiple sites in the United Kingdom. In February 2022, we conducted an interim statistical analysis for this trial. The interim analysis (N=26) was statistically significant on the primary efficacy endpoint demonstrating a 52% placebo-adjusted reduction in the geometric mean percent change in daytime cough events (p&lt;0.0001, conditional power 100%) for Haduvio. P-value is a conventional statistical method for measuring the statistical significance of clinical results. A p-value of less than 0.05 is generally considered to represent statistical significance, meaning that there is a less than five percent likelihood that the observed results occurred by chance. The interim analysis was conducted by an independent statistical team according to the pre-specified endpoint in the protocol. In March 2022, we concluded enrollment early for our Phase 2 CANAL trial following the statistically significant efficacy results from the interim analysis. Because the trial achieved statistical significance in the interim analysis, sites were notified that they could enroll eligible subjects already in screening but that no additional recruitment was required. Approximately 40 subjects in total were enrolled in the study. We expect to report efficacy and safety data for the full set of subjects for this trial in the third quarter of 2022.</w:t>
      </w:r>
    </w:p>
    <w:p>
      <w:pPr>
        <w:spacing w:after="0" w:line="78" w:lineRule="exact"/>
        <w:rPr>
          <w:sz w:val="20"/>
          <w:szCs w:val="20"/>
          <w:color w:val="auto"/>
        </w:rPr>
      </w:pPr>
    </w:p>
    <w:p>
      <w:pPr>
        <w:ind w:right="260" w:firstLine="554"/>
        <w:spacing w:after="0" w:line="342" w:lineRule="auto"/>
        <w:rPr>
          <w:sz w:val="20"/>
          <w:szCs w:val="20"/>
          <w:color w:val="auto"/>
        </w:rPr>
      </w:pPr>
      <w:r>
        <w:rPr>
          <w:rFonts w:ascii="Arial" w:cs="Arial" w:eastAsia="Arial" w:hAnsi="Arial"/>
          <w:sz w:val="16"/>
          <w:szCs w:val="16"/>
          <w:color w:val="auto"/>
        </w:rPr>
        <w:t>We are currently focusing our financial and operational resources on completing the Phase 2b/3 PRISM and the Phase 2 CANAL trials. After we receive top-line data from both of these trials we will evaluate additional indications for which we may choose to pursue the development of Haduvio.</w:t>
      </w:r>
    </w:p>
    <w:p>
      <w:pPr>
        <w:spacing w:after="0" w:line="16" w:lineRule="exact"/>
        <w:rPr>
          <w:sz w:val="20"/>
          <w:szCs w:val="20"/>
          <w:color w:val="auto"/>
        </w:rPr>
      </w:pPr>
    </w:p>
    <w:p>
      <w:pPr>
        <w:ind w:right="220" w:firstLine="554"/>
        <w:spacing w:after="0" w:line="259" w:lineRule="auto"/>
        <w:rPr>
          <w:sz w:val="20"/>
          <w:szCs w:val="20"/>
          <w:color w:val="auto"/>
        </w:rPr>
      </w:pPr>
      <w:r>
        <w:rPr>
          <w:rFonts w:ascii="Arial" w:cs="Arial" w:eastAsia="Arial" w:hAnsi="Arial"/>
          <w:sz w:val="18"/>
          <w:szCs w:val="18"/>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December 31, 2021, we had an accumulated deficit of $180.9 million, primarily as a result of research and development and general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9" w:name="page90"/>
    <w:bookmarkEnd w:id="89"/>
    <w:p>
      <w:pPr>
        <w:spacing w:after="0" w:line="263" w:lineRule="auto"/>
        <w:rPr>
          <w:sz w:val="20"/>
          <w:szCs w:val="20"/>
          <w:color w:val="auto"/>
        </w:rPr>
      </w:pPr>
      <w:r>
        <w:rPr>
          <w:rFonts w:ascii="Arial" w:cs="Arial" w:eastAsia="Arial" w:hAnsi="Arial"/>
          <w:sz w:val="18"/>
          <w:szCs w:val="18"/>
          <w:color w:val="auto"/>
        </w:rPr>
        <w:t>administrative expenses. We do not expect to generate product revenue unless and until we obtain marketing approval for and commercialize Haduvio for the treatment of pruritus associated with prurigo nodularis or chronic cough in patients with IPF and we can provide no assurance that we will ever generate significant revenue or profits.</w:t>
      </w:r>
    </w:p>
    <w:p>
      <w:pPr>
        <w:spacing w:after="0" w:line="76" w:lineRule="exact"/>
        <w:rPr>
          <w:sz w:val="20"/>
          <w:szCs w:val="20"/>
          <w:color w:val="auto"/>
        </w:rPr>
      </w:pPr>
    </w:p>
    <w:p>
      <w:pPr>
        <w:ind w:right="140" w:firstLine="554"/>
        <w:spacing w:after="0" w:line="279" w:lineRule="auto"/>
        <w:rPr>
          <w:sz w:val="20"/>
          <w:szCs w:val="20"/>
          <w:color w:val="auto"/>
        </w:rPr>
      </w:pPr>
      <w:r>
        <w:rPr>
          <w:rFonts w:ascii="Arial" w:cs="Arial" w:eastAsia="Arial" w:hAnsi="Arial"/>
          <w:sz w:val="17"/>
          <w:szCs w:val="17"/>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63" w:lineRule="exact"/>
        <w:rPr>
          <w:sz w:val="20"/>
          <w:szCs w:val="20"/>
          <w:color w:val="auto"/>
        </w:rPr>
      </w:pPr>
    </w:p>
    <w:p>
      <w:pPr>
        <w:ind w:right="80" w:firstLine="554"/>
        <w:spacing w:after="0" w:line="293" w:lineRule="auto"/>
        <w:rPr>
          <w:sz w:val="20"/>
          <w:szCs w:val="20"/>
          <w:color w:val="auto"/>
        </w:rPr>
      </w:pPr>
      <w:r>
        <w:rPr>
          <w:rFonts w:ascii="Arial" w:cs="Arial" w:eastAsia="Arial" w:hAnsi="Arial"/>
          <w:sz w:val="16"/>
          <w:szCs w:val="16"/>
          <w:color w:val="auto"/>
        </w:rPr>
        <w:t>In June 2020, we entered into a sales agreement with SVB Leerink LLC, or SVB Leerink, which we refer to as the ATM Sales Agreement, under which we may issue and sell shares of common stock, from time to time, having an aggregate offering price of up to $12.0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December 31, 2021 we had issued and sold an aggregate of 3,583,394 shares of common stock for gross proceeds of $11.0 million, before deducting estimated commissions and allocated fees of $0.8 million.</w:t>
      </w:r>
    </w:p>
    <w:p>
      <w:pPr>
        <w:spacing w:after="0" w:line="56" w:lineRule="exact"/>
        <w:rPr>
          <w:sz w:val="20"/>
          <w:szCs w:val="20"/>
          <w:color w:val="auto"/>
        </w:rPr>
      </w:pPr>
    </w:p>
    <w:p>
      <w:pPr>
        <w:ind w:right="20" w:firstLine="554"/>
        <w:spacing w:after="0" w:line="290" w:lineRule="auto"/>
        <w:rPr>
          <w:sz w:val="20"/>
          <w:szCs w:val="20"/>
          <w:color w:val="auto"/>
        </w:rPr>
      </w:pPr>
      <w:r>
        <w:rPr>
          <w:rFonts w:ascii="Arial" w:cs="Arial" w:eastAsia="Arial" w:hAnsi="Arial"/>
          <w:sz w:val="16"/>
          <w:szCs w:val="16"/>
          <w:color w:val="auto"/>
        </w:rPr>
        <w:t>In August 2020, we entered into a loan and security agreement, or the SVB Loan Agreement, with Silicon Valley Bank, or SVB pursuant to which SVB provided a term loan, or the SVB Term Loan, to us in the original principal amount of $14.0 million. On the first business day of each month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In July 2021, we entered into an amendment to the SVB Loan Agreement with SVB, which we refer to as the Loan Amendment, that modified the conditions under which we will be required to cash collateralize the outstanding amounts owed to them under the SVB Loan Agreement. For further discussion of the SVB Term Loan and the Loan Amendment, see “—Liquidity and Capital Resources”.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October 5, 2021 and October 18, 2021, we issued and sold in two private placements, or the October 2021 Private Placements, in the aggregate</w:t>
      </w:r>
    </w:p>
    <w:p>
      <w:pPr>
        <w:spacing w:after="0" w:line="46" w:lineRule="exact"/>
        <w:rPr>
          <w:sz w:val="20"/>
          <w:szCs w:val="20"/>
          <w:color w:val="auto"/>
        </w:rPr>
      </w:pPr>
    </w:p>
    <w:p>
      <w:pPr>
        <w:ind w:right="340" w:firstLine="8"/>
        <w:spacing w:after="0" w:line="268" w:lineRule="auto"/>
        <w:tabs>
          <w:tab w:leader="none" w:pos="2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As of February 10, 2022, all of the pre-funded warrants had been exercised. Of the accompanying common stock warrants, warrants to purchase an aggregate of 9,151,122 shares will expire in April 2025 and warrants to purchase an aggregate of 9,151,122 shares will expire in October 2028. The accompanying common stock warrants have an exercise price of $1.37 per share and became exercisable immediately upon issuance.</w:t>
      </w:r>
    </w:p>
    <w:p>
      <w:pPr>
        <w:spacing w:after="0" w:line="100" w:lineRule="exact"/>
        <w:rPr>
          <w:sz w:val="20"/>
          <w:szCs w:val="20"/>
          <w:color w:val="auto"/>
        </w:rPr>
      </w:pPr>
    </w:p>
    <w:p>
      <w:pPr>
        <w:ind w:right="60" w:firstLine="554"/>
        <w:spacing w:after="0" w:line="290" w:lineRule="auto"/>
        <w:rPr>
          <w:sz w:val="20"/>
          <w:szCs w:val="20"/>
          <w:color w:val="auto"/>
        </w:rPr>
      </w:pPr>
      <w:r>
        <w:rPr>
          <w:rFonts w:ascii="Arial" w:cs="Arial" w:eastAsia="Arial" w:hAnsi="Arial"/>
          <w:sz w:val="16"/>
          <w:szCs w:val="16"/>
          <w:color w:val="auto"/>
        </w:rPr>
        <w:t xml:space="preserve">As of December 31, 2021, we had cash and cash equivalents of $36.8 million. We believe that our existing cash and cash equivalents will not enable us to fund our operating expenses and capital expenditure requirements for 12 months from the date of issuance of the Consolidated Financial Statements included in this Annual Report on Form 10-K. After considering various risks and uncertainties as prescribed by Accounting Standards Update No. 2014-15, </w:t>
      </w:r>
      <w:r>
        <w:rPr>
          <w:rFonts w:ascii="Arial" w:cs="Arial" w:eastAsia="Arial" w:hAnsi="Arial"/>
          <w:sz w:val="16"/>
          <w:szCs w:val="16"/>
          <w:i w:val="1"/>
          <w:iCs w:val="1"/>
          <w:color w:val="auto"/>
        </w:rPr>
        <w:t>Disclosures of Uncertainties about an Entity’s Ability to Continue as a Going Concern (Subtopic 205-40)</w:t>
      </w:r>
      <w:r>
        <w:rPr>
          <w:rFonts w:ascii="Arial" w:cs="Arial" w:eastAsia="Arial" w:hAnsi="Arial"/>
          <w:sz w:val="16"/>
          <w:szCs w:val="16"/>
          <w:color w:val="auto"/>
        </w:rPr>
        <w:t>, we concluded that there is substantial doubt about our ability to continue as a going concern as of the date of issuance of the Consolidated Financial Statements included in this Annual Report on Form 10-K without additional capital. We have based our estimate as to how long we expect our existing cash and cash equivalents to continue to fund our operations on assumptions that may prove to be wrong and we could use our available capital resources sooner than we expect. See “—Liquidity and Capital Resources.” Our future viability beyond that point is dependent on our ability to raise additional capital to finance our operations.</w:t>
      </w:r>
    </w:p>
    <w:p>
      <w:pPr>
        <w:spacing w:after="0" w:line="57" w:lineRule="exact"/>
        <w:rPr>
          <w:sz w:val="20"/>
          <w:szCs w:val="20"/>
          <w:color w:val="auto"/>
        </w:rPr>
      </w:pPr>
    </w:p>
    <w:p>
      <w:pPr>
        <w:ind w:firstLine="554"/>
        <w:spacing w:after="0" w:line="271" w:lineRule="auto"/>
        <w:rPr>
          <w:sz w:val="20"/>
          <w:szCs w:val="20"/>
          <w:color w:val="auto"/>
        </w:rPr>
      </w:pPr>
      <w:r>
        <w:rPr>
          <w:rFonts w:ascii="Arial" w:cs="Arial" w:eastAsia="Arial" w:hAnsi="Arial"/>
          <w:sz w:val="17"/>
          <w:szCs w:val="17"/>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and the additional Phase 3 clinical trial we believe we will be required to conduct to support the submission of an NDA to the FDA for Haduvio for the treatment of pruritus associated with prurigo nodularis, our ongoing Phase 2 CANAL trial and the next trial we plan to conduct for Haduvio for the treatment of chronic cough associated with IPF which we intend to design as a Phase 2b/3 trial. We also expect to incur substantial expenditures in the foreseeable future related to the development and validation of our commercial manufacturing process for Haduvio and other development activities. In addition, we may continue to incur additional expenses as a result of the COVID-19 pandemic and related clinical trial delays and interruptions.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ind w:right="20" w:firstLine="554"/>
        <w:spacing w:after="0" w:line="296"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the COVID-19 Pandemic</w:t>
      </w:r>
    </w:p>
    <w:p>
      <w:pPr>
        <w:spacing w:after="0" w:line="117" w:lineRule="exact"/>
        <w:rPr>
          <w:sz w:val="20"/>
          <w:szCs w:val="20"/>
          <w:color w:val="auto"/>
        </w:rPr>
      </w:pPr>
    </w:p>
    <w:p>
      <w:pPr>
        <w:ind w:right="40" w:firstLine="554"/>
        <w:spacing w:after="0" w:line="253" w:lineRule="auto"/>
        <w:rPr>
          <w:sz w:val="20"/>
          <w:szCs w:val="20"/>
          <w:color w:val="auto"/>
        </w:rPr>
      </w:pPr>
      <w:r>
        <w:rPr>
          <w:rFonts w:ascii="Arial" w:cs="Arial" w:eastAsia="Arial" w:hAnsi="Arial"/>
          <w:sz w:val="18"/>
          <w:szCs w:val="18"/>
          <w:color w:val="auto"/>
        </w:rPr>
        <w:t>The COVID-19 pandemic and government measures taken in response thereto have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both our Phase 2b/3 PRISM and Phase 2 CANAL trials.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w:t>
      </w:r>
    </w:p>
    <w:p>
      <w:pPr>
        <w:spacing w:after="0" w:line="86" w:lineRule="exact"/>
        <w:rPr>
          <w:sz w:val="20"/>
          <w:szCs w:val="20"/>
          <w:color w:val="auto"/>
        </w:rPr>
      </w:pPr>
    </w:p>
    <w:p>
      <w:pPr>
        <w:jc w:val="both"/>
        <w:ind w:right="300" w:firstLine="554"/>
        <w:spacing w:after="0" w:line="263" w:lineRule="auto"/>
        <w:rPr>
          <w:sz w:val="20"/>
          <w:szCs w:val="20"/>
          <w:color w:val="auto"/>
        </w:rPr>
      </w:pPr>
      <w:r>
        <w:rPr>
          <w:rFonts w:ascii="Arial" w:cs="Arial" w:eastAsia="Arial" w:hAnsi="Arial"/>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76" w:lineRule="exact"/>
        <w:rPr>
          <w:sz w:val="20"/>
          <w:szCs w:val="20"/>
          <w:color w:val="auto"/>
        </w:rPr>
      </w:pPr>
    </w:p>
    <w:p>
      <w:pPr>
        <w:ind w:right="360" w:firstLine="554"/>
        <w:spacing w:after="0" w:line="277" w:lineRule="auto"/>
        <w:rPr>
          <w:sz w:val="20"/>
          <w:szCs w:val="20"/>
          <w:color w:val="auto"/>
        </w:rPr>
      </w:pPr>
      <w:r>
        <w:rPr>
          <w:rFonts w:ascii="Arial" w:cs="Arial" w:eastAsia="Arial" w:hAnsi="Arial"/>
          <w:sz w:val="18"/>
          <w:szCs w:val="18"/>
          <w:color w:val="auto"/>
        </w:rPr>
        <w:t>We have taken precautionary measures intended to help minimize the risk of the virus to our employees, including allowing employees to work remotely part of the week.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54"/>
        <w:spacing w:after="0" w:line="296" w:lineRule="auto"/>
        <w:rPr>
          <w:sz w:val="20"/>
          <w:szCs w:val="20"/>
          <w:color w:val="auto"/>
        </w:rPr>
      </w:pPr>
      <w:r>
        <w:rPr>
          <w:rFonts w:ascii="Arial" w:cs="Arial" w:eastAsia="Arial" w:hAnsi="Arial"/>
          <w:sz w:val="16"/>
          <w:szCs w:val="16"/>
          <w:color w:val="auto"/>
        </w:rPr>
        <w:t>All our research and development expenses consist of expenses incurred in connection with the development of Haduvio. These expenses include personnel-related costs, including stock-based compensation, consulting costs, contract manufacturing costs and fees paid to clinical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53" w:lineRule="exact"/>
        <w:rPr>
          <w:sz w:val="20"/>
          <w:szCs w:val="20"/>
          <w:color w:val="auto"/>
        </w:rPr>
      </w:pPr>
    </w:p>
    <w:p>
      <w:pPr>
        <w:ind w:right="20" w:firstLine="554"/>
        <w:spacing w:after="0" w:line="291" w:lineRule="auto"/>
        <w:rPr>
          <w:sz w:val="20"/>
          <w:szCs w:val="20"/>
          <w:color w:val="auto"/>
        </w:rPr>
      </w:pPr>
      <w:r>
        <w:rPr>
          <w:rFonts w:ascii="Arial" w:cs="Arial" w:eastAsia="Arial" w:hAnsi="Arial"/>
          <w:sz w:val="16"/>
          <w:szCs w:val="16"/>
          <w:color w:val="auto"/>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whether as a result of the COVID-19 pandemic or otherwise, we could be required to expend significant additional financial resources and time on our development program. Furthermore, we are unable to predict when or if, Haduvio will receive regulatory approval in the U.S. or elsewhere with any certainty.</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554"/>
        <w:spacing w:after="0" w:line="263"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76" w:lineRule="exact"/>
        <w:rPr>
          <w:sz w:val="20"/>
          <w:szCs w:val="20"/>
          <w:color w:val="auto"/>
        </w:rPr>
      </w:pPr>
    </w:p>
    <w:p>
      <w:pPr>
        <w:ind w:right="1000" w:firstLine="554"/>
        <w:spacing w:after="0" w:line="277"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and expanded infrastructure.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Fair Value of Term Loan Derivative Liability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1" w:name="page92"/>
    <w:bookmarkEnd w:id="91"/>
    <w:p>
      <w:pPr>
        <w:ind w:right="40" w:firstLine="554"/>
        <w:spacing w:after="0" w:line="255" w:lineRule="auto"/>
        <w:rPr>
          <w:sz w:val="20"/>
          <w:szCs w:val="20"/>
          <w:color w:val="auto"/>
        </w:rPr>
      </w:pPr>
      <w:r>
        <w:rPr>
          <w:rFonts w:ascii="Arial" w:cs="Arial" w:eastAsia="Arial" w:hAnsi="Arial"/>
          <w:sz w:val="18"/>
          <w:szCs w:val="18"/>
          <w:color w:val="auto"/>
        </w:rPr>
        <w:t xml:space="preserve">In connection with the SVB Term Loan, upon the occurrence of the Phase 3 Event, as described below, the interest rate on the SVB Term Loan will increase by 2.00%. This contingent interest rate increase represents a free-standing financial instrument. Accordingly, we accounted for the contingent interest rate increase as a derivative under Accounting Standards Codification, or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and therefore, we recorded a term loan derivative liability for the contingent interest rate increase at its fair value. We adjust this liability to fair value at each reporting date it remains outstanding. We recognized changes in the fair value of this term loan derivative in our statements of operations as a component of other income (expense), net.</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right="60" w:firstLine="554"/>
        <w:spacing w:after="0" w:line="263" w:lineRule="auto"/>
        <w:rPr>
          <w:sz w:val="20"/>
          <w:szCs w:val="20"/>
          <w:color w:val="auto"/>
        </w:rPr>
      </w:pPr>
      <w:r>
        <w:rPr>
          <w:rFonts w:ascii="Arial" w:cs="Arial" w:eastAsia="Arial" w:hAnsi="Arial"/>
          <w:sz w:val="18"/>
          <w:szCs w:val="18"/>
          <w:color w:val="auto"/>
        </w:rPr>
        <w:t>Other expense consists of the value of the shares of our common stock that we issued to Lincoln Park Capital Fund, LLC, or Lincoln Park, as a commitment fee as consideration for Lincoln Park’s commitment to purchase shares of our common stock under the common stock purchase agreement, or the LPC Purchase Agreement, we entered into with Lincoln Park in June 2021.</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consists of interest earned from money market funds on our 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554"/>
        <w:spacing w:after="0" w:line="269" w:lineRule="auto"/>
        <w:rPr>
          <w:sz w:val="20"/>
          <w:szCs w:val="20"/>
          <w:color w:val="auto"/>
        </w:rPr>
      </w:pPr>
      <w:r>
        <w:rPr>
          <w:rFonts w:ascii="Arial" w:cs="Arial" w:eastAsia="Arial" w:hAnsi="Arial"/>
          <w:sz w:val="17"/>
          <w:szCs w:val="17"/>
          <w:color w:val="auto"/>
        </w:rPr>
        <w:t>In August 2020, we entered into the SVB Loan Agreement under which we borrowed $14.0 million under a term loan or the SVB Term Loan. In connection with the SVB Term Loan, we recognize interest expense which includes amortization of deferred financing charges, accretion of loan discount-financing costs, accrual of the final payment fee, amortization of the term loan discount-interest and the stated interest on the SVB Term Loan. The SVB Term Loan bears interest at a floating rate per annum equal to the greater of (A) the prime rate plus 1.00% and (B) 4.25%. If SVB receives evidence satisfactory to it that we have (i) received positive data for the Phase 2b/3 PRISM trial sufficient to advance Haduvio into a second Phase 3 clinical trial for chronic pruritus associated with prurigo nodularis and (ii) raised sufficient financing to fund such Phase 3 clinical trial and our operations, which we refer to together as the Phase 3 Event, the interest rate under the SVB Term Loan will be adjusted to a floating rate equal to the greater of (A) the prime rate plus 3.00% and (B) 6.25%. The SVB Term Loan required interest-only payments until March 2022.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22,984</w:t>
            </w:r>
          </w:p>
        </w:tc>
        <w:tc>
          <w:tcPr>
            <w:tcW w:w="8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22,328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(669)</w:t>
            </w:r>
          </w:p>
        </w:tc>
      </w:tr>
      <w:tr>
        <w:trPr>
          <w:trHeight w:val="223"/>
        </w:trPr>
        <w:tc>
          <w:tcPr>
            <w:tcW w:w="5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32,489</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 (expense) income: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w:t>
            </w: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(746)</w:t>
            </w:r>
          </w:p>
        </w:tc>
      </w:tr>
      <w:tr>
        <w:trPr>
          <w:trHeight w:val="223"/>
        </w:trPr>
        <w:tc>
          <w:tcPr>
            <w:tcW w:w="5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net</w:t>
            </w:r>
          </w:p>
        </w:tc>
        <w:tc>
          <w:tcPr>
            <w:tcW w:w="1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w:t>
            </w:r>
          </w:p>
        </w:tc>
        <w:tc>
          <w:tcPr>
            <w:tcW w:w="1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1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15,764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4,439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1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4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46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22,984</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54"/>
        <w:spacing w:after="0" w:line="296" w:lineRule="auto"/>
        <w:rPr>
          <w:sz w:val="20"/>
          <w:szCs w:val="20"/>
          <w:color w:val="auto"/>
        </w:rPr>
      </w:pPr>
      <w:r>
        <w:rPr>
          <w:rFonts w:ascii="Arial" w:cs="Arial" w:eastAsia="Arial" w:hAnsi="Arial"/>
          <w:sz w:val="16"/>
          <w:szCs w:val="16"/>
          <w:color w:val="auto"/>
        </w:rPr>
        <w:t>Research and development expenses for the year ended December 31, 2021 increased $0.7 million, or 2.9%, to $23.0 million from $22.3 million for the year ended December 31, 2020, primarily due to an increase in personnel-related expenses as a result of an increase in our employee headcount, including an increase in stock-based compensation associated with the increase in employee headcount. Costs associated with our clinical trials also increased along with consulting and professional fees. These increases were partially offset by decreased purchases of clinical trial supplies. For the years ended December 31, 2021 and 2020, all of our research and development expenses related to our development activity for Haduvio.</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60" w:firstLine="554"/>
        <w:spacing w:after="0" w:line="263" w:lineRule="auto"/>
        <w:rPr>
          <w:sz w:val="20"/>
          <w:szCs w:val="20"/>
          <w:color w:val="auto"/>
        </w:rPr>
      </w:pPr>
      <w:r>
        <w:rPr>
          <w:rFonts w:ascii="Arial" w:cs="Arial" w:eastAsia="Arial" w:hAnsi="Arial"/>
          <w:sz w:val="18"/>
          <w:szCs w:val="18"/>
          <w:color w:val="auto"/>
        </w:rPr>
        <w:t>General and administrative expenses for the year ended December 31, 2021 decreased $0.7 million, or 6.6%, to $9.5 million from $10.2 million for the year ended December 31, 2020. The decrease was primarily due to decreased market research costs as well as lower stock-based compensation expense as a result of employee turnover, which were partially offset by higher legal and other professional fees.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60" w:firstLine="554"/>
        <w:spacing w:after="0" w:line="291" w:lineRule="auto"/>
        <w:rPr>
          <w:sz w:val="20"/>
          <w:szCs w:val="20"/>
          <w:color w:val="auto"/>
        </w:rPr>
      </w:pPr>
      <w:r>
        <w:rPr>
          <w:rFonts w:ascii="Arial" w:cs="Arial" w:eastAsia="Arial" w:hAnsi="Arial"/>
          <w:sz w:val="16"/>
          <w:szCs w:val="16"/>
          <w:color w:val="auto"/>
        </w:rPr>
        <w:t>Other expense, net for the year ended December 31, 2021 increased to $1.5 million from other expense, net of $0.3 million for the year ended December 31, 2020. This change was primarily due to a $0.7 million increase in interest expense due to a full twelve months of recognition of interest expense on the SVB Term Loan as the SVB Term Loan was entered into in August 2020, as well as an increase of $0.4 million related to the value of the shares of our common stock that we issued to Lincoln Park as consideration for Lincoln Park’s commitment to purchase shares of our common stock under the LPC Purchase Agreement. Also contributing to the change was a decrease in interest income of $0.2 million, primarily due to lower market interest rates and lower average cash balances. These changes in interest expense and interest income were partially offset by an increase in income of $0.1 million attributable to income being recognized in the year ended December 31, 2021 for the change in fair value of the term loan derivative liability.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54"/>
        <w:spacing w:after="0" w:line="257"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Prior to the completion of our initial public offering, or the IPO, and concurrent private placement in May 2019, we financed our operations primarily through private placements of our preferred stock and convertible notes as well as borrowings under our prior term loan. From inception to our IPO, we raised an aggregate of $102.2 million in gross proceeds from sales of our preferred stock and convertible notes and borrowed $15.0 million under our prior term loan.</w:t>
      </w:r>
    </w:p>
    <w:p>
      <w:pPr>
        <w:spacing w:after="0" w:line="80" w:lineRule="exact"/>
        <w:rPr>
          <w:sz w:val="20"/>
          <w:szCs w:val="20"/>
          <w:color w:val="auto"/>
        </w:rPr>
      </w:pPr>
    </w:p>
    <w:p>
      <w:pPr>
        <w:ind w:right="420" w:firstLine="554"/>
        <w:spacing w:after="0" w:line="286" w:lineRule="auto"/>
        <w:rPr>
          <w:sz w:val="20"/>
          <w:szCs w:val="20"/>
          <w:color w:val="auto"/>
        </w:rPr>
      </w:pPr>
      <w:r>
        <w:rPr>
          <w:rFonts w:ascii="Arial" w:cs="Arial" w:eastAsia="Arial" w:hAnsi="Arial"/>
          <w:sz w:val="17"/>
          <w:szCs w:val="17"/>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57" w:lineRule="exact"/>
        <w:rPr>
          <w:sz w:val="20"/>
          <w:szCs w:val="20"/>
          <w:color w:val="auto"/>
        </w:rPr>
      </w:pPr>
    </w:p>
    <w:p>
      <w:pPr>
        <w:ind w:right="40" w:firstLine="554"/>
        <w:spacing w:after="0" w:line="255" w:lineRule="auto"/>
        <w:rPr>
          <w:sz w:val="20"/>
          <w:szCs w:val="20"/>
          <w:color w:val="auto"/>
        </w:rPr>
      </w:pPr>
      <w:r>
        <w:rPr>
          <w:rFonts w:ascii="Arial" w:cs="Arial" w:eastAsia="Arial" w:hAnsi="Arial"/>
          <w:sz w:val="18"/>
          <w:szCs w:val="18"/>
          <w:color w:val="auto"/>
        </w:rPr>
        <w:t>In June 2020, we entered into the ATM Sales Agreement, under which we may issue and sell shares of common stock, from time to time, having an aggregate offering price of up to $12.0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December 31, 2021, we had issued and sold an aggregate of 3,583,394 shares of common stock for gross proceeds of $11.0 million, before deducting estimated commissions and allocated fees of $0.8 million.</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SVB Loan Agreement</w:t>
      </w:r>
    </w:p>
    <w:p>
      <w:pPr>
        <w:spacing w:after="0" w:line="117" w:lineRule="exact"/>
        <w:rPr>
          <w:sz w:val="20"/>
          <w:szCs w:val="20"/>
          <w:color w:val="auto"/>
        </w:rPr>
      </w:pPr>
    </w:p>
    <w:p>
      <w:pPr>
        <w:ind w:firstLine="554"/>
        <w:spacing w:after="0" w:line="263" w:lineRule="auto"/>
        <w:rPr>
          <w:sz w:val="20"/>
          <w:szCs w:val="20"/>
          <w:color w:val="auto"/>
        </w:rPr>
      </w:pPr>
      <w:r>
        <w:rPr>
          <w:rFonts w:ascii="Arial" w:cs="Arial" w:eastAsia="Arial" w:hAnsi="Arial"/>
          <w:sz w:val="18"/>
          <w:szCs w:val="18"/>
          <w:color w:val="auto"/>
        </w:rPr>
        <w:t>In August 2020, we entered into the SVB Loan Agreement with SVB, pursuant to which SVB provided the SVB Term Loan in the original principal amount of $14.0 million. The proceeds from the SVB Term Loan may be used by us for working capital and general corporate purposes. The SVB Term Loan bears interest at a floating rate per annum equal to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3" w:name="page94"/>
    <w:bookmarkEnd w:id="93"/>
    <w:p>
      <w:pPr>
        <w:ind w:right="20"/>
        <w:spacing w:after="0" w:line="267" w:lineRule="auto"/>
        <w:rPr>
          <w:sz w:val="20"/>
          <w:szCs w:val="20"/>
          <w:color w:val="auto"/>
        </w:rPr>
      </w:pPr>
      <w:r>
        <w:rPr>
          <w:rFonts w:ascii="Arial" w:cs="Arial" w:eastAsia="Arial" w:hAnsi="Arial"/>
          <w:sz w:val="17"/>
          <w:szCs w:val="17"/>
          <w:color w:val="auto"/>
        </w:rPr>
        <w:t>greater of (A) the prime rate plus 1.00% and (B) 4.25%. If SVB receives evidence satisfactory to it that we have (i) received positive data for the Phase 2b/3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 (B) 6.25%. On the first business day of each month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spacing w:after="0" w:line="82" w:lineRule="exact"/>
        <w:rPr>
          <w:sz w:val="20"/>
          <w:szCs w:val="20"/>
          <w:color w:val="auto"/>
        </w:rPr>
      </w:pPr>
    </w:p>
    <w:p>
      <w:pPr>
        <w:ind w:right="80" w:firstLine="554"/>
        <w:spacing w:after="0" w:line="287" w:lineRule="auto"/>
        <w:rPr>
          <w:sz w:val="20"/>
          <w:szCs w:val="20"/>
          <w:color w:val="auto"/>
        </w:rPr>
      </w:pPr>
      <w:r>
        <w:rPr>
          <w:rFonts w:ascii="Arial" w:cs="Arial" w:eastAsia="Arial" w:hAnsi="Arial"/>
          <w:sz w:val="16"/>
          <w:szCs w:val="16"/>
          <w:color w:val="auto"/>
        </w:rPr>
        <w:t>On July 6, 2021, we and SVB entered into the Loan Amendment. The Loan Amendment modifies the conditions under which we are required to cash collateralize outstanding amounts owed to SVB under the SVB Loan Agreement. Under the Loan Amendment, if we fail to receive positive data in our Phase 2b/3 PRISM trial or, prior to June 30, 2022, fail to raise sufficient net proceeds from the sale of equity securities to finance our planned second Phase 3 clinical trial of Haduvio for prurigo nodularis and our ongoing operations, each of which we refer to as a Milestone Condition, we will be required to deposit unrestricted and unencumbered cash equal to 100% of the principal amount of the SVB Term Loan then outstanding in a cash collateral account with SVB, which can be used by SVB to prepay the SVB Term Loan at any time. In addition, the Loan Amendment provides that if we fail to maintain at least $20.0 million in unrestricted and unencumbered cash in our accounts with SVB at any time prior to the satisfaction of all the Milestone Conditions, we will be required to cash collateralize all outstanding amounts owed to SVB under the SVB Loan Agreement. We would also have been required to cash collateralize all outstanding amounts owed to SVB under the SVB Loan Agreement if we did not raise at least $15.0 million in net proceeds from the sale of equity securities during the period from June 1, 2021 through October 31, 2021. We satisfied this equity funding condition through a combination of equity issuances under our ATM Sales Agreement and the proceeds from the October 2021 Private Placements.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17" w:lineRule="exact"/>
        <w:rPr>
          <w:sz w:val="20"/>
          <w:szCs w:val="20"/>
          <w:color w:val="auto"/>
        </w:rPr>
      </w:pPr>
    </w:p>
    <w:p>
      <w:pPr>
        <w:ind w:firstLine="554"/>
        <w:spacing w:after="0" w:line="289" w:lineRule="auto"/>
        <w:rPr>
          <w:sz w:val="20"/>
          <w:szCs w:val="20"/>
          <w:color w:val="auto"/>
        </w:rPr>
      </w:pPr>
      <w:r>
        <w:rPr>
          <w:rFonts w:ascii="Arial" w:cs="Arial" w:eastAsia="Arial" w:hAnsi="Arial"/>
          <w:sz w:val="16"/>
          <w:szCs w:val="16"/>
          <w:color w:val="auto"/>
        </w:rPr>
        <w:t>On October 5, 2021 and October 18, 2021, we issued and sold in two private placements in the aggregate (i) 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was exercisable until exercised in full. As of February 10, 2022, all of the pre-funded warrants had been exercised. Of the accompanying common stock warrants, warrants to purchase an aggregate of 9,151,122 shares will expire in April 2025 and warrants to purchase an aggregate of 9,151,122 shares will expire in October 2028. The accompanying common stock warrants have an exercise price of $1.37 per share and became exercisable immediately upon issuance.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Purchase Agreement</w:t>
      </w:r>
    </w:p>
    <w:p>
      <w:pPr>
        <w:spacing w:after="0" w:line="117" w:lineRule="exact"/>
        <w:rPr>
          <w:sz w:val="20"/>
          <w:szCs w:val="20"/>
          <w:color w:val="auto"/>
        </w:rPr>
      </w:pPr>
    </w:p>
    <w:p>
      <w:pPr>
        <w:ind w:right="40" w:firstLine="554"/>
        <w:spacing w:after="0" w:line="296" w:lineRule="auto"/>
        <w:rPr>
          <w:sz w:val="20"/>
          <w:szCs w:val="20"/>
          <w:color w:val="auto"/>
        </w:rPr>
      </w:pPr>
      <w:r>
        <w:rPr>
          <w:rFonts w:ascii="Arial" w:cs="Arial" w:eastAsia="Arial" w:hAnsi="Arial"/>
          <w:sz w:val="16"/>
          <w:szCs w:val="16"/>
          <w:color w:val="auto"/>
        </w:rPr>
        <w:t>On June 18, 2021, we entered into the LPC Purchase Agreement with Lincoln Park for an equity line financing. The LPC Purchase Agreement provides that, subject to the terms and conditions set forth therein, we have the right, but not the obligation, to sell to Lincoln Park and Lincoln Park is obligated to purchase up to $15.0 million of shares of common stock at our sole discretion, over a 24-month period commencing on July 23, 2021. We filed a registration statement on Form S-1 covering the resale of shares of common stock that are issued to Lincoln Park under the LPC Purchase Agreement, which was declared effective on July 14, 2021. As part of the LPC Purchase Agreement, we issued 170,088 shares of our common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4" w:name="page95"/>
    <w:bookmarkEnd w:id="94"/>
    <w:p>
      <w:pPr>
        <w:ind w:right="40"/>
        <w:spacing w:after="0" w:line="342" w:lineRule="auto"/>
        <w:rPr>
          <w:sz w:val="20"/>
          <w:szCs w:val="20"/>
          <w:color w:val="auto"/>
        </w:rPr>
      </w:pPr>
      <w:r>
        <w:rPr>
          <w:rFonts w:ascii="Arial" w:cs="Arial" w:eastAsia="Arial" w:hAnsi="Arial"/>
          <w:sz w:val="16"/>
          <w:szCs w:val="16"/>
          <w:color w:val="auto"/>
        </w:rPr>
        <w:t>stock to Lincoln Park as consideration for its commitment to purchase shares of our common stock under the LPC Purchase Agreement. Under the terms of the October 2021 Private Placements, we agreed to not issue or sell additional shares under the LPC Purchase Agreement on or prior to April 6, 2023.</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40" w:firstLine="554"/>
        <w:spacing w:after="0" w:line="277" w:lineRule="auto"/>
        <w:rPr>
          <w:sz w:val="20"/>
          <w:szCs w:val="20"/>
          <w:color w:val="auto"/>
        </w:rPr>
      </w:pPr>
      <w:r>
        <w:rPr>
          <w:rFonts w:ascii="Arial" w:cs="Arial" w:eastAsia="Arial" w:hAnsi="Arial"/>
          <w:sz w:val="18"/>
          <w:szCs w:val="18"/>
          <w:color w:val="auto"/>
        </w:rPr>
        <w:t>As of December 31, 2021, we had cash and cash equivalents of $36.8 million. Our cash and cash equivalents are primarily held in money market accounts. The following table summarizes our cash flows for each of the periods presented below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Twelve Months Ended December 31,</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4440" w:type="dxa"/>
            <w:vAlign w:val="bottom"/>
          </w:tcPr>
          <w:p>
            <w:pPr>
              <w:spacing w:after="0"/>
              <w:rPr>
                <w:sz w:val="19"/>
                <w:szCs w:val="19"/>
                <w:color w:val="auto"/>
              </w:rPr>
            </w:pPr>
          </w:p>
        </w:tc>
        <w:tc>
          <w:tcPr>
            <w:tcW w:w="224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(28,946)</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(29,000)</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20,775</w:t>
            </w:r>
          </w:p>
        </w:tc>
        <w:tc>
          <w:tcPr>
            <w:tcW w:w="2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16,720</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4,055</w:t>
            </w:r>
          </w:p>
        </w:tc>
        <w:tc>
          <w:tcPr>
            <w:tcW w:w="120" w:type="dxa"/>
            <w:vAlign w:val="bottom"/>
            <w:shd w:val="clear" w:color="auto" w:fill="CFF0FC"/>
          </w:tcPr>
          <w:p>
            <w:pPr>
              <w:spacing w:after="0"/>
              <w:rPr>
                <w:sz w:val="19"/>
                <w:szCs w:val="19"/>
                <w:color w:val="auto"/>
              </w:rPr>
            </w:pPr>
          </w:p>
        </w:tc>
      </w:tr>
      <w:tr>
        <w:trPr>
          <w:trHeight w:val="223"/>
        </w:trPr>
        <w:tc>
          <w:tcPr>
            <w:tcW w:w="4440" w:type="dxa"/>
            <w:vAlign w:val="bottom"/>
          </w:tcPr>
          <w:p>
            <w:pPr>
              <w:ind w:left="260"/>
              <w:spacing w:after="0"/>
              <w:rPr>
                <w:sz w:val="20"/>
                <w:szCs w:val="20"/>
                <w:color w:val="auto"/>
              </w:rPr>
            </w:pPr>
            <w:r>
              <w:rPr>
                <w:rFonts w:ascii="Arial" w:cs="Arial" w:eastAsia="Arial" w:hAnsi="Arial"/>
                <w:sz w:val="18"/>
                <w:szCs w:val="18"/>
                <w:color w:val="auto"/>
              </w:rPr>
              <w:t>Net decrease in cash and cash equivalents</w:t>
            </w:r>
          </w:p>
        </w:tc>
        <w:tc>
          <w:tcPr>
            <w:tcW w:w="118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554"/>
        <w:spacing w:after="0" w:line="288" w:lineRule="auto"/>
        <w:rPr>
          <w:sz w:val="20"/>
          <w:szCs w:val="20"/>
          <w:color w:val="auto"/>
        </w:rPr>
      </w:pPr>
      <w:r>
        <w:rPr>
          <w:rFonts w:ascii="Arial" w:cs="Arial" w:eastAsia="Arial" w:hAnsi="Arial"/>
          <w:sz w:val="16"/>
          <w:szCs w:val="16"/>
          <w:color w:val="auto"/>
        </w:rPr>
        <w:t>During the year ended December 31, 2021, operating activities used $28.9 million of net cash, resulting from our net loss of $33.9 million, partially offset by changes in our operating assets and liabilities of $1.5 million and non-cash charges of $3.5 million. Changes in our operating assets and liabilities for the year ended December 31, 2021 consisted of a $0.3 million decrease in prepaid expenses and other current assets, a $0.8 million increase in accounts payable and a $0.3 million decrease in accrued expenses. The decrease in prepaid expenses and other current assets was primarily due to the return of a deposit associated with the completion for one of our clinical trials. The increase in accounts payable was primarily due to timing of vendor invoices. The decrease in accrued expenses and other liabilities was primarily due to decreased accruals related to non-income-based taxes and accrued consulting and professional fees partially offset by increased accruals for research, development and clinical trial work performed by our CROs. The non-cash charges for the year ended December 31, 2021 consisted primarily of stock-based compensation expense of $2.5 million, $0.6 million of accretion/accrual of term loan discounts and debt issuance costs and $0.4 million of other expense associated with the value of the shares of our common stock that we issued to Lincoln Park as consideration for Lincoln Park’s commitment to purchase shares of our common stock under the LPC Purchase Agreement.</w:t>
      </w:r>
    </w:p>
    <w:p>
      <w:pPr>
        <w:spacing w:after="0" w:line="60" w:lineRule="exact"/>
        <w:rPr>
          <w:sz w:val="20"/>
          <w:szCs w:val="20"/>
          <w:color w:val="auto"/>
        </w:rPr>
      </w:pPr>
    </w:p>
    <w:p>
      <w:pPr>
        <w:ind w:right="60" w:firstLine="554"/>
        <w:spacing w:after="0" w:line="290" w:lineRule="auto"/>
        <w:rPr>
          <w:sz w:val="20"/>
          <w:szCs w:val="20"/>
          <w:color w:val="auto"/>
        </w:rPr>
      </w:pPr>
      <w:r>
        <w:rPr>
          <w:rFonts w:ascii="Arial" w:cs="Arial" w:eastAsia="Arial" w:hAnsi="Arial"/>
          <w:sz w:val="16"/>
          <w:szCs w:val="16"/>
          <w:color w:val="auto"/>
        </w:rPr>
        <w:t>During the year ended December 31, 2020, operating activities used $29.0 million of cash, resulting from our net loss of $32.8 million, partially offset by changes in our operating assets and liabilities of $1.1 million and non-cash charges of $2.7 million. Changes in our operating assets and liabilities for the year ended December 31, 2020 consisted of a $0.7 million decrease in prepaid expenses and other current assets, a $0.4 million increase in accounts payable and a $0.1 million decrease in accrued expenses. The decrease in prepaid expenses and other current assets was due to a refund of prepayments made to one of our vendors, which we received in the first quarter of 2020 and the application of such prepaid amounts to clinical trial activity in 2020 offset by additional prepayments made to one of our vendors, which were paid back to us in the first quarter of 2021. The increase in accounts payable was primarily due to timing of vendor invoices. The non-cash charges for the year ended December 31, 2020 consisted primarily of stock-based compensation expense of $2.4 million and $0.2 million of accretion/accrual of term loan discounts and debt issuance costs.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00" w:firstLine="554"/>
        <w:spacing w:after="0" w:line="277" w:lineRule="auto"/>
        <w:rPr>
          <w:sz w:val="20"/>
          <w:szCs w:val="20"/>
          <w:color w:val="auto"/>
        </w:rPr>
      </w:pPr>
      <w:r>
        <w:rPr>
          <w:rFonts w:ascii="Arial" w:cs="Arial" w:eastAsia="Arial" w:hAnsi="Arial"/>
          <w:sz w:val="18"/>
          <w:szCs w:val="18"/>
          <w:color w:val="auto"/>
        </w:rPr>
        <w:t>During the years ended December 31, 2021 and 2020, we used an insignificant amount of cash in investing activities, consisting of purchases of property and equipment.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00" w:firstLine="554"/>
        <w:spacing w:after="0" w:line="259" w:lineRule="auto"/>
        <w:rPr>
          <w:sz w:val="20"/>
          <w:szCs w:val="20"/>
          <w:color w:val="auto"/>
        </w:rPr>
      </w:pPr>
      <w:r>
        <w:rPr>
          <w:rFonts w:ascii="Arial" w:cs="Arial" w:eastAsia="Arial" w:hAnsi="Arial"/>
          <w:sz w:val="18"/>
          <w:szCs w:val="18"/>
          <w:color w:val="auto"/>
        </w:rPr>
        <w:t>During the year ended December 31, 2021, net cash provided by financing activities was $20.8 million, primarily consisting of net cash proceeds from our October 2021 Private Placements of $13.7 million and cash proceeds of $7.5 million, net of commissions, from sales of our common stock under the ATM Sales Agreement, partially offset by payments of offering costs of $0.4 million and payments of financing costs of $0.1 million associated with the First Amendment to the SVB Loan Agreement.</w:t>
      </w:r>
    </w:p>
    <w:p>
      <w:pPr>
        <w:spacing w:after="0" w:line="79" w:lineRule="exact"/>
        <w:rPr>
          <w:sz w:val="20"/>
          <w:szCs w:val="20"/>
          <w:color w:val="auto"/>
        </w:rPr>
      </w:pPr>
    </w:p>
    <w:p>
      <w:pPr>
        <w:ind w:right="100" w:firstLine="554"/>
        <w:spacing w:after="0" w:line="263" w:lineRule="auto"/>
        <w:rPr>
          <w:sz w:val="20"/>
          <w:szCs w:val="20"/>
          <w:color w:val="auto"/>
        </w:rPr>
      </w:pPr>
      <w:r>
        <w:rPr>
          <w:rFonts w:ascii="Arial" w:cs="Arial" w:eastAsia="Arial" w:hAnsi="Arial"/>
          <w:sz w:val="18"/>
          <w:szCs w:val="18"/>
          <w:color w:val="auto"/>
        </w:rPr>
        <w:t>During the year ended December 31, 2020, net cash provided by financing activities was $16.7 million, primarily consisting of cash proceeds from the SVB Term Loan of $14.0 million and cash proceeds of $3.1 million, net of commissions, from sales of our common stock under the ATM Sales Agreement.</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00" w:firstLine="554"/>
        <w:spacing w:after="0" w:line="277" w:lineRule="auto"/>
        <w:rPr>
          <w:sz w:val="20"/>
          <w:szCs w:val="20"/>
          <w:color w:val="auto"/>
        </w:rPr>
      </w:pPr>
      <w:r>
        <w:rPr>
          <w:rFonts w:ascii="Arial" w:cs="Arial" w:eastAsia="Arial" w:hAnsi="Arial"/>
          <w:sz w:val="18"/>
          <w:szCs w:val="18"/>
          <w:color w:val="auto"/>
        </w:rPr>
        <w:t>We expect to incur substantial expenditures in the foreseeable future as we advance Haduvio through clinical development, the regulatory approval process and, if approved, commercial launch activities. Specifically, in the near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5" w:name="page96"/>
    <w:bookmarkEnd w:id="95"/>
    <w:p>
      <w:pPr>
        <w:ind w:right="20"/>
        <w:spacing w:after="0" w:line="270" w:lineRule="auto"/>
        <w:rPr>
          <w:sz w:val="20"/>
          <w:szCs w:val="20"/>
          <w:color w:val="auto"/>
        </w:rPr>
      </w:pPr>
      <w:r>
        <w:rPr>
          <w:rFonts w:ascii="Arial" w:cs="Arial" w:eastAsia="Arial" w:hAnsi="Arial"/>
          <w:sz w:val="17"/>
          <w:szCs w:val="17"/>
          <w:color w:val="auto"/>
        </w:rPr>
        <w:t>we expect to incur substantial expenses relating to our ongoing Phase 2b/3 PRISM trial, the additional Phase 3 clinical trial we believe we will need to conduct to support the submission of an NDA to the FDA and MAAs to the EMA and MHRA for Haduvio for the treatment of pruritus associated with prurigo nodularis, our ongoing Phase 2 CANAL trial and our next clinical trial that we intend to design to be a Phase 2b/3 trial as well as any additional clinical trials required to support the submission of an NDA to the FDA and MAAs to the EMA and MHRA for Haduvio for the treatment of chronic cough associated with IPF. Generally, regulatory authorities require two adequate and well-controlled studies for approval. We also expect to incur substantial expenditures in the foreseeable future related to the costs of commercialization activities, including manufacturing capabilities, for Haduvio and other development activities. In addition, we have incurred and may continue to incur additional expenses as a result of the COVID-19 pandemic and resulting clinical trial delays and interruptions. Furthermore, we expect to continue to incur additional costs associated with operating as a public company, including significant legal, accounting, investor relations and other expenses.</w:t>
      </w:r>
    </w:p>
    <w:p>
      <w:pPr>
        <w:spacing w:after="0" w:line="73" w:lineRule="exact"/>
        <w:rPr>
          <w:sz w:val="20"/>
          <w:szCs w:val="20"/>
          <w:color w:val="auto"/>
        </w:rPr>
      </w:pPr>
    </w:p>
    <w:p>
      <w:pPr>
        <w:ind w:right="20" w:firstLine="554"/>
        <w:spacing w:after="0" w:line="27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63" w:lineRule="exact"/>
        <w:rPr>
          <w:sz w:val="20"/>
          <w:szCs w:val="20"/>
          <w:color w:val="auto"/>
        </w:rPr>
      </w:pPr>
    </w:p>
    <w:p>
      <w:pPr>
        <w:ind w:left="960" w:right="380" w:hanging="399"/>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Haduvio, including our ongoing Phase 2b/3 PRISM trial and our ongoing Phase 2 CANAL trial, as well as any future product candidates;</w:t>
      </w:r>
    </w:p>
    <w:p>
      <w:pPr>
        <w:spacing w:after="0" w:line="62" w:lineRule="exact"/>
        <w:rPr>
          <w:rFonts w:ascii="Arial" w:cs="Arial" w:eastAsia="Arial" w:hAnsi="Arial"/>
          <w:sz w:val="18"/>
          <w:szCs w:val="18"/>
          <w:color w:val="auto"/>
        </w:rPr>
      </w:pPr>
    </w:p>
    <w:p>
      <w:pPr>
        <w:ind w:left="960" w:right="400" w:hanging="399"/>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960" w:right="160" w:hanging="399"/>
        <w:spacing w:after="0" w:line="308" w:lineRule="auto"/>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outcome, timing and costs of clinical and nonclinical trials and of seeking regulatory approvals, including the costs of supportive clinical studies such as our planned human abuse liability, or HAL, study and a potential Thorough QT, or TQT, study;</w:t>
      </w:r>
    </w:p>
    <w:p>
      <w:pPr>
        <w:spacing w:after="0" w:line="38" w:lineRule="exact"/>
        <w:rPr>
          <w:rFonts w:ascii="Arial" w:cs="Arial" w:eastAsia="Arial" w:hAnsi="Arial"/>
          <w:sz w:val="17"/>
          <w:szCs w:val="17"/>
          <w:color w:val="auto"/>
        </w:rPr>
      </w:pPr>
    </w:p>
    <w:p>
      <w:pPr>
        <w:ind w:left="960" w:right="460" w:hanging="399"/>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960" w:right="320" w:hanging="399"/>
        <w:spacing w:after="0" w:line="259"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the treatment of chronic cough in patients with IPF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8" w:lineRule="exact"/>
        <w:rPr>
          <w:rFonts w:ascii="Arial" w:cs="Arial" w:eastAsia="Arial" w:hAnsi="Arial"/>
          <w:sz w:val="18"/>
          <w:szCs w:val="18"/>
          <w:color w:val="auto"/>
        </w:rPr>
      </w:pPr>
    </w:p>
    <w:p>
      <w:pPr>
        <w:ind w:left="960" w:hanging="399"/>
        <w:spacing w:after="0" w:line="263"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receipt of marketing approvals, revenue, if any, received from commercial sales of Haduvio for the treatment of pruritus associated with prurigo nodularis or for the treatment of chronic cough in patients with IPF or for any other serious neurologically mediated conditions or from any future product candidates;</w:t>
      </w:r>
    </w:p>
    <w:p>
      <w:pPr>
        <w:spacing w:after="0" w:line="75" w:lineRule="exact"/>
        <w:rPr>
          <w:rFonts w:ascii="Arial" w:cs="Arial" w:eastAsia="Arial" w:hAnsi="Arial"/>
          <w:sz w:val="18"/>
          <w:szCs w:val="18"/>
          <w:color w:val="auto"/>
        </w:rPr>
      </w:pPr>
    </w:p>
    <w:p>
      <w:pPr>
        <w:ind w:left="960" w:right="40" w:hanging="399"/>
        <w:spacing w:after="0" w:line="263"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the treatment of chronic cough in patients with IPF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960" w:right="140" w:hanging="399"/>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960" w:right="240" w:hanging="399"/>
        <w:spacing w:after="0" w:line="263"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potential obligation to make milestone payments to Endo, which would become due upon the successful completion of the first Phase 3 clinical trial of a licensed product candidate, the marketing approval of a licensed product in the United States and to pay mid-single digit royalties on the net sales of the product;</w:t>
      </w:r>
    </w:p>
    <w:p>
      <w:pPr>
        <w:spacing w:after="0" w:line="75" w:lineRule="exact"/>
        <w:rPr>
          <w:rFonts w:ascii="Arial" w:cs="Arial" w:eastAsia="Arial" w:hAnsi="Arial"/>
          <w:sz w:val="18"/>
          <w:szCs w:val="18"/>
          <w:color w:val="auto"/>
        </w:rPr>
      </w:pPr>
    </w:p>
    <w:p>
      <w:pPr>
        <w:ind w:left="960" w:hanging="399"/>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67" w:lineRule="exact"/>
        <w:rPr>
          <w:rFonts w:ascii="Arial" w:cs="Arial" w:eastAsia="Arial" w:hAnsi="Arial"/>
          <w:sz w:val="16"/>
          <w:szCs w:val="16"/>
          <w:color w:val="auto"/>
        </w:rPr>
      </w:pPr>
    </w:p>
    <w:p>
      <w:pPr>
        <w:ind w:left="960" w:right="240" w:hanging="399"/>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960" w:hanging="399"/>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44" w:lineRule="exact"/>
        <w:rPr>
          <w:rFonts w:ascii="Arial" w:cs="Arial" w:eastAsia="Arial" w:hAnsi="Arial"/>
          <w:sz w:val="18"/>
          <w:szCs w:val="18"/>
          <w:color w:val="auto"/>
        </w:rPr>
      </w:pPr>
    </w:p>
    <w:p>
      <w:pPr>
        <w:ind w:left="960" w:hanging="399"/>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6" w:name="page97"/>
    <w:bookmarkEnd w:id="96"/>
    <w:p>
      <w:pPr>
        <w:ind w:left="960" w:hanging="399"/>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impact of the COVID-19 pandemic on the scope, progress, timing, costs and results of our ongoing and planned clinical trials of Haduvio.</w:t>
      </w:r>
    </w:p>
    <w:p>
      <w:pPr>
        <w:spacing w:after="0" w:line="167" w:lineRule="exact"/>
        <w:rPr>
          <w:sz w:val="20"/>
          <w:szCs w:val="20"/>
          <w:color w:val="auto"/>
        </w:rPr>
      </w:pPr>
    </w:p>
    <w:p>
      <w:pPr>
        <w:ind w:right="20" w:firstLine="554"/>
        <w:spacing w:after="0" w:line="293" w:lineRule="auto"/>
        <w:rPr>
          <w:sz w:val="20"/>
          <w:szCs w:val="20"/>
          <w:color w:val="auto"/>
        </w:rPr>
      </w:pPr>
      <w:r>
        <w:rPr>
          <w:rFonts w:ascii="Arial" w:cs="Arial" w:eastAsia="Arial" w:hAnsi="Arial"/>
          <w:sz w:val="16"/>
          <w:szCs w:val="16"/>
          <w:color w:val="auto"/>
        </w:rPr>
        <w:t>We believe that our existing cash and cash equivalents, including the proceeds from our October 2021 Private Placements, will enable us to fund our operating expenses and capital expenditure requirements into the fourth quarter of 2022, without giving effect to the rights of SVB under the SVB Loan Agreement if we fail to achieve either of the Milestone Conditions or fail to maintain at least $20.0 million in unrestricted and unencumbered cash in our accounts with SVB at any time prior to the satisfaction of the Milestone Conditions. If we fail to achieve any of the Milestone Conditions or to maintain the minimum cash requirement and SVB cash collateralizes the amounts then owed to SVB under the SVB Loan Agreement or uses such amounts to prepay the SVB Term Loan, the period for which we will be able to fund our operating expenses and capital expenditure requirements will be significantly shorter.</w:t>
      </w:r>
    </w:p>
    <w:p>
      <w:pPr>
        <w:spacing w:after="0" w:line="56" w:lineRule="exact"/>
        <w:rPr>
          <w:sz w:val="20"/>
          <w:szCs w:val="20"/>
          <w:color w:val="auto"/>
        </w:rPr>
      </w:pPr>
    </w:p>
    <w:p>
      <w:pPr>
        <w:ind w:right="100" w:firstLine="554"/>
        <w:spacing w:after="0" w:line="259"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spacing w:after="0" w:line="79" w:lineRule="exact"/>
        <w:rPr>
          <w:sz w:val="20"/>
          <w:szCs w:val="20"/>
          <w:color w:val="auto"/>
        </w:rPr>
      </w:pPr>
    </w:p>
    <w:p>
      <w:pPr>
        <w:ind w:firstLine="554"/>
        <w:spacing w:after="0" w:line="285" w:lineRule="auto"/>
        <w:rPr>
          <w:sz w:val="20"/>
          <w:szCs w:val="20"/>
          <w:color w:val="auto"/>
        </w:rPr>
      </w:pPr>
      <w:r>
        <w:rPr>
          <w:rFonts w:ascii="Arial" w:cs="Arial" w:eastAsia="Arial" w:hAnsi="Arial"/>
          <w:sz w:val="16"/>
          <w:szCs w:val="16"/>
          <w:color w:val="auto"/>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the treatment of pruritus associated with prurigo nodularis or for the treatment of chronic cough in patients with IPF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We are also bound by certain contractual terms and obligations that may limit or otherwise impact our ability to raise additional funding in the near-term including, but not limited to, provisions in the October 2021 Private Placements prohibiting us from obtaining additional financing through a variable rate transaction such as an equity line of credit.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or additional equity that we raise may contain terms that could adversely affect our common stockholders.</w:t>
      </w:r>
    </w:p>
    <w:p>
      <w:pPr>
        <w:spacing w:after="0" w:line="63" w:lineRule="exact"/>
        <w:rPr>
          <w:sz w:val="20"/>
          <w:szCs w:val="20"/>
          <w:color w:val="auto"/>
        </w:rPr>
      </w:pPr>
    </w:p>
    <w:p>
      <w:pPr>
        <w:jc w:val="both"/>
        <w:ind w:right="100" w:firstLine="554"/>
        <w:spacing w:after="0" w:line="311" w:lineRule="auto"/>
        <w:rPr>
          <w:sz w:val="20"/>
          <w:szCs w:val="20"/>
          <w:color w:val="auto"/>
        </w:rPr>
      </w:pPr>
      <w:r>
        <w:rPr>
          <w:rFonts w:ascii="Arial" w:cs="Arial" w:eastAsia="Arial" w:hAnsi="Arial"/>
          <w:sz w:val="16"/>
          <w:szCs w:val="16"/>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20" w:firstLine="554"/>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4" w:lineRule="exact"/>
        <w:rPr>
          <w:sz w:val="20"/>
          <w:szCs w:val="20"/>
          <w:color w:val="auto"/>
        </w:rPr>
      </w:pPr>
    </w:p>
    <w:p>
      <w:pPr>
        <w:ind w:right="280" w:firstLine="554"/>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7" w:name="page98"/>
    <w:bookmarkEnd w:id="97"/>
    <w:p>
      <w:pPr>
        <w:ind w:right="80" w:firstLine="554"/>
        <w:spacing w:after="0" w:line="263" w:lineRule="auto"/>
        <w:rPr>
          <w:sz w:val="20"/>
          <w:szCs w:val="20"/>
          <w:color w:val="auto"/>
        </w:rPr>
      </w:pPr>
      <w:r>
        <w:rPr>
          <w:rFonts w:ascii="Arial" w:cs="Arial" w:eastAsia="Arial" w:hAnsi="Arial"/>
          <w:sz w:val="18"/>
          <w:szCs w:val="18"/>
          <w:color w:val="auto"/>
        </w:rPr>
        <w:t>Research and development costs are expensed as incurred. Nonrefundable advance payments for goods or services that will be used or rendered for future research and development activities are deferred and capitalized and recognized as an expense as the goods are delivered or the related services are performed.</w:t>
      </w:r>
    </w:p>
    <w:p>
      <w:pPr>
        <w:spacing w:after="0" w:line="76" w:lineRule="exact"/>
        <w:rPr>
          <w:sz w:val="20"/>
          <w:szCs w:val="20"/>
          <w:color w:val="auto"/>
        </w:rPr>
      </w:pPr>
    </w:p>
    <w:p>
      <w:pPr>
        <w:ind w:right="60" w:firstLine="554"/>
        <w:spacing w:after="0" w:line="293" w:lineRule="auto"/>
        <w:rPr>
          <w:sz w:val="20"/>
          <w:szCs w:val="20"/>
          <w:color w:val="auto"/>
        </w:rPr>
      </w:pPr>
      <w:r>
        <w:rPr>
          <w:rFonts w:ascii="Arial" w:cs="Arial" w:eastAsia="Arial" w:hAnsi="Arial"/>
          <w:sz w:val="16"/>
          <w:szCs w:val="16"/>
          <w:color w:val="auto"/>
        </w:rPr>
        <w:t>We have entered into agreements with CROs, contract manufacturing organizations and other companies that provide services in connection with our research and development activities. Our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our consolidated balance sheet. If the actual timing of the performance of services or the level of effort varies from the original estimates, we will adjust the accrual accordingly. Payments made to CROs, contract manufacturing organizations and other companies under these arrangements in advance of the performance of the related services are recorded as prepaid expenses.</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60" w:firstLine="554"/>
        <w:spacing w:after="0" w:line="273" w:lineRule="auto"/>
        <w:rPr>
          <w:sz w:val="20"/>
          <w:szCs w:val="20"/>
          <w:color w:val="auto"/>
        </w:rPr>
      </w:pPr>
      <w:r>
        <w:rPr>
          <w:rFonts w:ascii="Arial" w:cs="Arial" w:eastAsia="Arial" w:hAnsi="Arial"/>
          <w:sz w:val="17"/>
          <w:szCs w:val="17"/>
          <w:color w:val="auto"/>
        </w:rPr>
        <w:t xml:space="preserve">We account for stock-based compensation arrangements with employees and non-employees for consultancy services in accordance with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or ASC 718. ASC 718 requires the recognition of compensation expense, using a fair value-based method, for costs related to all</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payments, including stock options. Our determination of the fair value of stock options on the date of grant utilizes the Black-Scholes option pricing model for stock options with time-based vesting and is impacted by our common stock price as well as changes in assumptions regarding a number of complex and subjective variables. These variables include the expected term that options will remain outstanding, expected common stock price volatility over the term of the option awards, risk-free interest rates and expected dividends.</w:t>
      </w:r>
    </w:p>
    <w:p>
      <w:pPr>
        <w:spacing w:after="0" w:line="70" w:lineRule="exact"/>
        <w:rPr>
          <w:sz w:val="20"/>
          <w:szCs w:val="20"/>
          <w:color w:val="auto"/>
        </w:rPr>
      </w:pPr>
    </w:p>
    <w:p>
      <w:pPr>
        <w:ind w:right="60" w:firstLine="554"/>
        <w:spacing w:after="0" w:line="308" w:lineRule="auto"/>
        <w:rPr>
          <w:sz w:val="20"/>
          <w:szCs w:val="20"/>
          <w:color w:val="auto"/>
        </w:rPr>
      </w:pPr>
      <w:r>
        <w:rPr>
          <w:rFonts w:ascii="Arial" w:cs="Arial" w:eastAsia="Arial" w:hAnsi="Arial"/>
          <w:sz w:val="17"/>
          <w:szCs w:val="17"/>
          <w:color w:val="auto"/>
        </w:rPr>
        <w:t>The fair value of an option award is recognized over the period during which the optionee is required to provide services in exchange for the option award, known as the requisite service period (usually the vesting period) on a straight-line basis. Forfeitures are accounted for as they occur.</w:t>
      </w:r>
    </w:p>
    <w:p>
      <w:pPr>
        <w:spacing w:after="0" w:line="38" w:lineRule="exact"/>
        <w:rPr>
          <w:sz w:val="20"/>
          <w:szCs w:val="20"/>
          <w:color w:val="auto"/>
        </w:rPr>
      </w:pPr>
    </w:p>
    <w:p>
      <w:pPr>
        <w:ind w:firstLine="554"/>
        <w:spacing w:after="0" w:line="286" w:lineRule="auto"/>
        <w:rPr>
          <w:sz w:val="20"/>
          <w:szCs w:val="20"/>
          <w:color w:val="auto"/>
        </w:rPr>
      </w:pPr>
      <w:r>
        <w:rPr>
          <w:rFonts w:ascii="Arial" w:cs="Arial" w:eastAsia="Arial" w:hAnsi="Arial"/>
          <w:sz w:val="17"/>
          <w:szCs w:val="17"/>
          <w:color w:val="auto"/>
        </w:rPr>
        <w:t>Estimating the fair value of equity-settled awards as of the grant date using valuation models, such as the Black-Scholes option pricing model, is affected by assumptions regarding a number of complex variables. Changes in the assumptions can materially affect the fair value and ultimately how much stock-based compensation expense is recognized. These inputs are subjective and generally require analysis and judgment to develop.</w:t>
      </w:r>
    </w:p>
    <w:p>
      <w:pPr>
        <w:spacing w:after="0" w:line="57" w:lineRule="exact"/>
        <w:rPr>
          <w:sz w:val="20"/>
          <w:szCs w:val="20"/>
          <w:color w:val="auto"/>
        </w:rPr>
      </w:pPr>
    </w:p>
    <w:p>
      <w:pPr>
        <w:jc w:val="both"/>
        <w:ind w:right="20" w:firstLine="554"/>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assumption represents the weighted average period that the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elected to use the “simplified method” for estimating the expected term of the options, whereby the expected term equals the arithmetic average of the vesting term and the original contractual term of the option.</w:t>
      </w:r>
    </w:p>
    <w:p>
      <w:pPr>
        <w:spacing w:after="0" w:line="76" w:lineRule="exact"/>
        <w:rPr>
          <w:sz w:val="20"/>
          <w:szCs w:val="20"/>
          <w:color w:val="auto"/>
        </w:rPr>
      </w:pPr>
    </w:p>
    <w:p>
      <w:pPr>
        <w:ind w:right="320" w:firstLine="554"/>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all stock options granted to date, the volatility data was estimated based on a study of publicly traded industry peer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purposes of identifying these peer companies, we considered the industry, stage of development, size and financial leverage of potential comparable companies.</w:t>
      </w:r>
    </w:p>
    <w:p>
      <w:pPr>
        <w:spacing w:after="0" w:line="76" w:lineRule="exact"/>
        <w:rPr>
          <w:sz w:val="20"/>
          <w:szCs w:val="20"/>
          <w:color w:val="auto"/>
        </w:rPr>
      </w:pPr>
    </w:p>
    <w:p>
      <w:pPr>
        <w:ind w:right="380" w:firstLine="554"/>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Black-Scholes valuation model calls for a single expected dividend yield as an input. We currently have no history or</w:t>
      </w:r>
      <w:r>
        <w:rPr>
          <w:rFonts w:ascii="Arial" w:cs="Arial" w:eastAsia="Arial" w:hAnsi="Arial"/>
          <w:sz w:val="18"/>
          <w:szCs w:val="18"/>
          <w:i w:val="1"/>
          <w:iCs w:val="1"/>
          <w:color w:val="auto"/>
        </w:rPr>
        <w:t xml:space="preserve"> </w:t>
      </w:r>
      <w:r>
        <w:rPr>
          <w:rFonts w:ascii="Arial" w:cs="Arial" w:eastAsia="Arial" w:hAnsi="Arial"/>
          <w:sz w:val="18"/>
          <w:szCs w:val="18"/>
          <w:color w:val="auto"/>
        </w:rPr>
        <w:t>expectation of paying cash dividends on our common stock.</w:t>
      </w:r>
    </w:p>
    <w:p>
      <w:pPr>
        <w:spacing w:after="0" w:line="62" w:lineRule="exact"/>
        <w:rPr>
          <w:sz w:val="20"/>
          <w:szCs w:val="20"/>
          <w:color w:val="auto"/>
        </w:rPr>
      </w:pPr>
    </w:p>
    <w:p>
      <w:pPr>
        <w:ind w:right="300" w:firstLine="554"/>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available on U.S. Treasury zero-coupon issues similar in duration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equity-settled award.</w:t>
      </w:r>
    </w:p>
    <w:p>
      <w:pPr>
        <w:spacing w:after="0" w:line="62" w:lineRule="exact"/>
        <w:rPr>
          <w:sz w:val="20"/>
          <w:szCs w:val="20"/>
          <w:color w:val="auto"/>
        </w:rPr>
      </w:pPr>
    </w:p>
    <w:p>
      <w:pPr>
        <w:ind w:right="140" w:firstLine="554"/>
        <w:spacing w:after="0" w:line="277" w:lineRule="auto"/>
        <w:rPr>
          <w:sz w:val="20"/>
          <w:szCs w:val="20"/>
          <w:color w:val="auto"/>
        </w:rPr>
      </w:pPr>
      <w:r>
        <w:rPr>
          <w:rFonts w:ascii="Arial" w:cs="Arial" w:eastAsia="Arial" w:hAnsi="Arial"/>
          <w:sz w:val="18"/>
          <w:szCs w:val="18"/>
          <w:color w:val="auto"/>
        </w:rPr>
        <w:t>We will continue to use judgment in evaluating the expected volatility, expected terms and interest rates utilized for our stock-based compensation expense calculations on a prospective basis.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54"/>
        <w:spacing w:after="0" w:line="275" w:lineRule="auto"/>
        <w:rPr>
          <w:sz w:val="20"/>
          <w:szCs w:val="20"/>
          <w:color w:val="auto"/>
        </w:rPr>
      </w:pPr>
      <w:r>
        <w:rPr>
          <w:rFonts w:ascii="Arial" w:cs="Arial" w:eastAsia="Arial" w:hAnsi="Arial"/>
          <w:sz w:val="17"/>
          <w:szCs w:val="17"/>
          <w:color w:val="auto"/>
        </w:rPr>
        <w:t>We provide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bases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w:t>
      </w:r>
    </w:p>
    <w:p>
      <w:pPr>
        <w:spacing w:after="0" w:line="68" w:lineRule="exact"/>
        <w:rPr>
          <w:sz w:val="20"/>
          <w:szCs w:val="20"/>
          <w:color w:val="auto"/>
        </w:rPr>
      </w:pPr>
    </w:p>
    <w:p>
      <w:pPr>
        <w:ind w:right="160" w:firstLine="554"/>
        <w:spacing w:after="0" w:line="301" w:lineRule="auto"/>
        <w:rPr>
          <w:sz w:val="20"/>
          <w:szCs w:val="20"/>
          <w:color w:val="auto"/>
        </w:rPr>
      </w:pPr>
      <w:r>
        <w:rPr>
          <w:rFonts w:ascii="Arial" w:cs="Arial" w:eastAsia="Arial" w:hAnsi="Arial"/>
          <w:sz w:val="16"/>
          <w:szCs w:val="16"/>
          <w:color w:val="auto"/>
        </w:rPr>
        <w:t xml:space="preserve">We account for uncertain tax positions in accordance with ASC 740,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or ASC 740. 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8" w:name="page99"/>
    <w:bookmarkEnd w:id="98"/>
    <w:p>
      <w:pPr>
        <w:ind w:right="220"/>
        <w:spacing w:after="0" w:line="286" w:lineRule="auto"/>
        <w:rPr>
          <w:sz w:val="20"/>
          <w:szCs w:val="20"/>
          <w:color w:val="auto"/>
        </w:rPr>
      </w:pPr>
      <w:r>
        <w:rPr>
          <w:rFonts w:ascii="Arial" w:cs="Arial" w:eastAsia="Arial" w:hAnsi="Arial"/>
          <w:sz w:val="17"/>
          <w:szCs w:val="17"/>
          <w:color w:val="auto"/>
        </w:rPr>
        <w:t>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40" w:firstLine="554"/>
        <w:spacing w:after="0" w:line="257" w:lineRule="auto"/>
        <w:rPr>
          <w:sz w:val="20"/>
          <w:szCs w:val="20"/>
          <w:color w:val="auto"/>
        </w:rPr>
      </w:pPr>
      <w:r>
        <w:rPr>
          <w:rFonts w:ascii="Arial" w:cs="Arial" w:eastAsia="Arial" w:hAnsi="Arial"/>
          <w:sz w:val="18"/>
          <w:szCs w:val="18"/>
          <w:color w:val="auto"/>
        </w:rPr>
        <w:t xml:space="preserve">We determine the accounting classification of warrants that are issued, as either liability or equity, by first assessing whether the warrants meet liability classification 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then in accordance with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depending on the specific terms of the warrant agreement. Under ASC 480, warrants are considered liability classified if the warrants are</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mandatorily redeemable, obligate the issuer to settle the warrants or the underlying shares by paying cash or other assets, or must or may require settlement by issuing a variable number of shares.</w:t>
      </w:r>
    </w:p>
    <w:p>
      <w:pPr>
        <w:spacing w:after="0" w:line="80" w:lineRule="exact"/>
        <w:rPr>
          <w:sz w:val="20"/>
          <w:szCs w:val="20"/>
          <w:color w:val="auto"/>
        </w:rPr>
      </w:pPr>
    </w:p>
    <w:p>
      <w:pPr>
        <w:ind w:right="140" w:firstLine="554"/>
        <w:spacing w:after="0" w:line="254" w:lineRule="auto"/>
        <w:rPr>
          <w:sz w:val="20"/>
          <w:szCs w:val="20"/>
          <w:color w:val="auto"/>
        </w:rPr>
      </w:pPr>
      <w:r>
        <w:rPr>
          <w:rFonts w:ascii="Arial" w:cs="Arial" w:eastAsia="Arial" w:hAnsi="Arial"/>
          <w:sz w:val="18"/>
          <w:szCs w:val="18"/>
          <w:color w:val="auto"/>
        </w:rPr>
        <w:t>If warrants do not meet liability classification under ASC 480, we assess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we assess whether the warrants are indexed to our common stock and whether the warrants are classified as equity under ASC 815 or other applicable GAAP. After all relevant assessments are made, we conclude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For equity classified warrants, no changes in fair value are recognized after the issuance date.</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0" w:firstLine="554"/>
        <w:spacing w:after="0" w:line="255" w:lineRule="auto"/>
        <w:rPr>
          <w:sz w:val="20"/>
          <w:szCs w:val="20"/>
          <w:color w:val="auto"/>
        </w:rPr>
      </w:pPr>
      <w:r>
        <w:rPr>
          <w:rFonts w:ascii="Arial" w:cs="Arial" w:eastAsia="Arial" w:hAnsi="Arial"/>
          <w:sz w:val="18"/>
          <w:szCs w:val="18"/>
          <w:color w:val="auto"/>
        </w:rPr>
        <w:t>Our financial instruments have consisted of cash and cash equivalents, tax credit and other receivables, accounts payable, accrued expenses, term loans, term loan derivative liability and warrants to acquire our common stock. Fair value estimates of these instruments are made at a specific point in time, based on relevant market information. The carrying amounts of cash and cash equivalents, tax credit and other receivables, accounts payable and accrued expenses are generally considered to be representative of their respective fair values because of the short-term nature of those instruments. The carrying amount of the term loan approximates its fair value due to its floating market-based interest rate. The fair value of the term loan derivative liability is estimated utilizing a probability-weighted cash flow approach.</w:t>
      </w:r>
    </w:p>
    <w:p>
      <w:pPr>
        <w:spacing w:after="0" w:line="84" w:lineRule="exact"/>
        <w:rPr>
          <w:sz w:val="20"/>
          <w:szCs w:val="20"/>
          <w:color w:val="auto"/>
        </w:rPr>
      </w:pPr>
    </w:p>
    <w:p>
      <w:pPr>
        <w:ind w:firstLine="554"/>
        <w:spacing w:after="0" w:line="259" w:lineRule="auto"/>
        <w:rPr>
          <w:sz w:val="20"/>
          <w:szCs w:val="20"/>
          <w:color w:val="auto"/>
        </w:rPr>
      </w:pPr>
      <w:r>
        <w:rPr>
          <w:rFonts w:ascii="Arial" w:cs="Arial" w:eastAsia="Arial" w:hAnsi="Arial"/>
          <w:sz w:val="18"/>
          <w:szCs w:val="18"/>
          <w:color w:val="auto"/>
        </w:rPr>
        <w:t xml:space="preserve">Current accounting guidance defines fair value, establishes a framework for measuring fair value in accordance with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w:t>
      </w:r>
      <w:r>
        <w:rPr>
          <w:rFonts w:ascii="Arial" w:cs="Arial" w:eastAsia="Arial" w:hAnsi="Arial"/>
          <w:sz w:val="18"/>
          <w:szCs w:val="18"/>
          <w:color w:val="auto"/>
        </w:rPr>
        <w:t>, and requires certain disclosures about fair value measurements. The valuation techniques included in the guidance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observable and unobservable inputs. Observable inputs reflect readily obtainable data from independent sources, while unobservable inputs reflect market assumptions and are classified into the following fair value hierarchy:</w:t>
      </w:r>
    </w:p>
    <w:p>
      <w:pPr>
        <w:spacing w:after="0" w:line="79" w:lineRule="exact"/>
        <w:rPr>
          <w:sz w:val="20"/>
          <w:szCs w:val="20"/>
          <w:color w:val="auto"/>
        </w:rPr>
      </w:pPr>
    </w:p>
    <w:p>
      <w:pPr>
        <w:ind w:left="960" w:hanging="399"/>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rFonts w:ascii="Arial" w:cs="Arial" w:eastAsia="Arial" w:hAnsi="Arial"/>
          <w:sz w:val="18"/>
          <w:szCs w:val="18"/>
          <w:color w:val="auto"/>
        </w:rPr>
      </w:pPr>
    </w:p>
    <w:p>
      <w:pPr>
        <w:ind w:left="960" w:right="20" w:hanging="399"/>
        <w:spacing w:after="0" w:line="263"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5" w:lineRule="exact"/>
        <w:rPr>
          <w:rFonts w:ascii="Arial" w:cs="Arial" w:eastAsia="Arial" w:hAnsi="Arial"/>
          <w:sz w:val="18"/>
          <w:szCs w:val="18"/>
          <w:color w:val="auto"/>
        </w:rPr>
      </w:pPr>
    </w:p>
    <w:p>
      <w:pPr>
        <w:ind w:left="960" w:right="120" w:hanging="399"/>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160" w:firstLine="554"/>
        <w:spacing w:after="0" w:line="257" w:lineRule="auto"/>
        <w:rPr>
          <w:sz w:val="20"/>
          <w:szCs w:val="20"/>
          <w:color w:val="auto"/>
        </w:rPr>
      </w:pPr>
      <w:r>
        <w:rPr>
          <w:rFonts w:ascii="Arial" w:cs="Arial" w:eastAsia="Arial" w:hAnsi="Arial"/>
          <w:sz w:val="18"/>
          <w:szCs w:val="18"/>
          <w:color w:val="auto"/>
        </w:rPr>
        <w:t>The Jumpstart Our Business Startups Act of 2012, as amended, or JOBS Act, permits emerging growth companies such as us to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80" w:firstLine="554"/>
        <w:spacing w:after="0" w:line="277" w:lineRule="auto"/>
        <w:rPr>
          <w:sz w:val="20"/>
          <w:szCs w:val="20"/>
          <w:color w:val="auto"/>
        </w:rPr>
      </w:pPr>
      <w:r>
        <w:rPr>
          <w:rFonts w:ascii="Arial" w:cs="Arial" w:eastAsia="Arial" w:hAnsi="Arial"/>
          <w:sz w:val="18"/>
          <w:szCs w:val="18"/>
          <w:color w:val="auto"/>
        </w:rPr>
        <w:t xml:space="preserve">On January 1, 2021, we adopted Accounting Standards Update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simplifies the accounting for income taxes. The adoption of the new guidance did not materially affect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9" w:name="page100"/>
    <w:bookmarkEnd w:id="99"/>
    <w:p>
      <w:pPr>
        <w:ind w:right="480" w:firstLine="554"/>
        <w:spacing w:after="0" w:line="277" w:lineRule="auto"/>
        <w:rPr>
          <w:sz w:val="20"/>
          <w:szCs w:val="20"/>
          <w:color w:val="auto"/>
        </w:rPr>
      </w:pPr>
      <w:r>
        <w:rPr>
          <w:rFonts w:ascii="Arial" w:cs="Arial" w:eastAsia="Arial" w:hAnsi="Arial"/>
          <w:sz w:val="18"/>
          <w:szCs w:val="18"/>
          <w:color w:val="auto"/>
        </w:rPr>
        <w:t>There have been no new pronouncements issued during the year ended December 31, 2021, which could be expected to materially impact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200" w:firstLine="554"/>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 of Part IV of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54"/>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2021.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55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right="280" w:firstLine="554"/>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2021.</w:t>
      </w:r>
    </w:p>
    <w:p>
      <w:pPr>
        <w:spacing w:after="0" w:line="63" w:lineRule="exact"/>
        <w:rPr>
          <w:sz w:val="20"/>
          <w:szCs w:val="20"/>
          <w:color w:val="auto"/>
        </w:rPr>
      </w:pPr>
    </w:p>
    <w:p>
      <w:pPr>
        <w:ind w:right="300" w:firstLine="554"/>
        <w:spacing w:after="0" w:line="342" w:lineRule="auto"/>
        <w:rPr>
          <w:sz w:val="20"/>
          <w:szCs w:val="20"/>
          <w:color w:val="auto"/>
        </w:rPr>
      </w:pPr>
      <w:r>
        <w:rPr>
          <w:rFonts w:ascii="Arial" w:cs="Arial" w:eastAsia="Arial" w:hAnsi="Arial"/>
          <w:sz w:val="16"/>
          <w:szCs w:val="16"/>
          <w:color w:val="auto"/>
        </w:rPr>
        <w:t>This Annual Report on Form 10-K does not include an attestation report of our independent registered public accounting firm regarding internal control over financial reporting due to an exemption established by the Jumpstart Our Business Startups Act of 2012 for emerging growth companies.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54"/>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December 31, 2021 that has materially affected, or is reasonably likely to materially affect, our internal control over financial reporting.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ind w:left="5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460" w:firstLine="554"/>
        <w:spacing w:after="0" w:line="277"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2022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80" w:firstLine="554"/>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2022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60" w:firstLine="554"/>
        <w:spacing w:after="0" w:line="277"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2022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60" w:firstLine="554"/>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2022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460" w:firstLine="554"/>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2022 Annual Meeting of Stockholders and is incorporated herein by reference.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following documents are included on pages F-1 through F-21 attached hereto and are filed as part of this Annual Report on Form 10-K.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gridSpan w:val="8"/>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00042)</w:t>
            </w:r>
          </w:p>
        </w:tc>
        <w:tc>
          <w:tcPr>
            <w:tcW w:w="2840" w:type="dxa"/>
            <w:vAlign w:val="bottom"/>
          </w:tcPr>
          <w:p>
            <w:pPr>
              <w:ind w:left="2600"/>
              <w:spacing w:after="0"/>
              <w:rPr>
                <w:sz w:val="20"/>
                <w:szCs w:val="20"/>
                <w:color w:val="auto"/>
              </w:rPr>
            </w:pPr>
            <w:r>
              <w:rPr>
                <w:rFonts w:ascii="Arial" w:cs="Arial" w:eastAsia="Arial" w:hAnsi="Arial"/>
                <w:sz w:val="18"/>
                <w:szCs w:val="18"/>
                <w:color w:val="auto"/>
                <w:w w:val="81"/>
              </w:rPr>
              <w:t>F-2</w:t>
            </w:r>
          </w:p>
        </w:tc>
      </w:tr>
      <w:tr>
        <w:trPr>
          <w:trHeight w:val="438"/>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154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90"/>
        </w:trPr>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Consolidated Balance Sheets</w:t>
              </w:r>
            </w:hyperlink>
          </w:p>
        </w:tc>
        <w:tc>
          <w:tcPr>
            <w:tcW w:w="6280" w:type="dxa"/>
            <w:vAlign w:val="bottom"/>
            <w:gridSpan w:val="7"/>
          </w:tcPr>
          <w:p>
            <w:pPr>
              <w:spacing w:after="0"/>
              <w:rPr>
                <w:sz w:val="16"/>
                <w:szCs w:val="16"/>
                <w:color w:val="auto"/>
              </w:rPr>
            </w:pPr>
          </w:p>
        </w:tc>
        <w:tc>
          <w:tcPr>
            <w:tcW w:w="2840" w:type="dxa"/>
            <w:vAlign w:val="bottom"/>
          </w:tcPr>
          <w:p>
            <w:pPr>
              <w:ind w:left="2600"/>
              <w:spacing w:after="0" w:line="190" w:lineRule="exact"/>
              <w:rPr>
                <w:sz w:val="20"/>
                <w:szCs w:val="20"/>
                <w:color w:val="auto"/>
              </w:rPr>
            </w:pPr>
            <w:r>
              <w:rPr>
                <w:rFonts w:ascii="Arial" w:cs="Arial" w:eastAsia="Arial" w:hAnsi="Arial"/>
                <w:sz w:val="18"/>
                <w:szCs w:val="18"/>
                <w:color w:val="auto"/>
                <w:w w:val="81"/>
              </w:rPr>
              <w:t>F-3</w:t>
            </w:r>
          </w:p>
        </w:tc>
      </w:tr>
      <w:tr>
        <w:trPr>
          <w:trHeight w:val="196"/>
        </w:trPr>
        <w:tc>
          <w:tcPr>
            <w:tcW w:w="8380" w:type="dxa"/>
            <w:vAlign w:val="bottom"/>
            <w:gridSpan w:val="8"/>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Operations</w:t>
              </w:r>
            </w:hyperlink>
          </w:p>
        </w:tc>
        <w:tc>
          <w:tcPr>
            <w:tcW w:w="2840" w:type="dxa"/>
            <w:vAlign w:val="bottom"/>
          </w:tcPr>
          <w:p>
            <w:pPr>
              <w:ind w:left="260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Consolidated Statements of Stockholders’ Equity</w:t>
              </w:r>
            </w:hyperlink>
          </w:p>
        </w:tc>
        <w:tc>
          <w:tcPr>
            <w:tcW w:w="4820" w:type="dxa"/>
            <w:vAlign w:val="bottom"/>
            <w:gridSpan w:val="3"/>
          </w:tcPr>
          <w:p>
            <w:pPr>
              <w:spacing w:after="0"/>
              <w:rPr>
                <w:sz w:val="17"/>
                <w:szCs w:val="17"/>
                <w:color w:val="auto"/>
              </w:rPr>
            </w:pPr>
          </w:p>
        </w:tc>
        <w:tc>
          <w:tcPr>
            <w:tcW w:w="2840" w:type="dxa"/>
            <w:vAlign w:val="bottom"/>
          </w:tcPr>
          <w:p>
            <w:pPr>
              <w:ind w:left="260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Consolidated Statements of Cash Flows</w:t>
              </w:r>
            </w:hyperlink>
          </w:p>
        </w:tc>
        <w:tc>
          <w:tcPr>
            <w:tcW w:w="5500" w:type="dxa"/>
            <w:vAlign w:val="bottom"/>
            <w:gridSpan w:val="5"/>
          </w:tcPr>
          <w:p>
            <w:pPr>
              <w:spacing w:after="0"/>
              <w:rPr>
                <w:sz w:val="17"/>
                <w:szCs w:val="17"/>
                <w:color w:val="auto"/>
              </w:rPr>
            </w:pPr>
          </w:p>
        </w:tc>
        <w:tc>
          <w:tcPr>
            <w:tcW w:w="2840" w:type="dxa"/>
            <w:vAlign w:val="bottom"/>
          </w:tcPr>
          <w:p>
            <w:pPr>
              <w:ind w:left="260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Notes to Consolidated Financial Statements</w:t>
              </w:r>
            </w:hyperlink>
          </w:p>
        </w:tc>
        <w:tc>
          <w:tcPr>
            <w:tcW w:w="5220" w:type="dxa"/>
            <w:vAlign w:val="bottom"/>
            <w:gridSpan w:val="4"/>
          </w:tcPr>
          <w:p>
            <w:pPr>
              <w:spacing w:after="0"/>
              <w:rPr>
                <w:sz w:val="17"/>
                <w:szCs w:val="17"/>
                <w:color w:val="auto"/>
              </w:rPr>
            </w:pPr>
          </w:p>
        </w:tc>
        <w:tc>
          <w:tcPr>
            <w:tcW w:w="2840" w:type="dxa"/>
            <w:vAlign w:val="bottom"/>
          </w:tcPr>
          <w:p>
            <w:pPr>
              <w:ind w:left="2600"/>
              <w:spacing w:after="0" w:line="196" w:lineRule="exact"/>
              <w:rPr>
                <w:sz w:val="20"/>
                <w:szCs w:val="20"/>
                <w:color w:val="auto"/>
              </w:rPr>
            </w:pPr>
            <w:r>
              <w:rPr>
                <w:rFonts w:ascii="Arial" w:cs="Arial" w:eastAsia="Arial" w:hAnsi="Arial"/>
                <w:sz w:val="18"/>
                <w:szCs w:val="18"/>
                <w:color w:val="auto"/>
                <w:w w:val="81"/>
              </w:rPr>
              <w:t>F-7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540" w:firstLine="554"/>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540" w:type="dxa"/>
            <w:vAlign w:val="bottom"/>
            <w:gridSpan w:val="8"/>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5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80" w:type="dxa"/>
            <w:vAlign w:val="bottom"/>
            <w:tcBorders>
              <w:top w:val="single" w:sz="8" w:color="auto"/>
            </w:tcBorders>
          </w:tcPr>
          <w:p>
            <w:pPr>
              <w:jc w:val="right"/>
              <w:ind w:right="655"/>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10120" w:type="dxa"/>
            <w:vAlign w:val="bottom"/>
            <w:tcBorders>
              <w:top w:val="single" w:sz="8" w:color="auto"/>
            </w:tcBorders>
            <w:gridSpan w:val="10"/>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Restated Certificate of Incorporation of Trevi Therapeutics, Inc. (incorporated by reference to Exhibit 3.1 to the Registrant’s Current Report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on Form 8-K (File No. 001-38886) filed with the SEC on May 9, 2019)</w:t>
              </w:r>
            </w:hyperlink>
          </w:p>
        </w:tc>
        <w:tc>
          <w:tcPr>
            <w:tcW w:w="492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ind w:right="655"/>
              <w:spacing w:after="0" w:line="196" w:lineRule="exact"/>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7"/>
                <w:szCs w:val="17"/>
                <w:color w:val="auto"/>
              </w:rPr>
            </w:pPr>
          </w:p>
        </w:tc>
        <w:tc>
          <w:tcPr>
            <w:tcW w:w="10120" w:type="dxa"/>
            <w:vAlign w:val="bottom"/>
            <w:gridSpan w:val="10"/>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Amended and Restated Bylaws of Trevi Therapeutics, Inc. (incorporated by reference to Exhibit 3.2 to the Registrant’s Current Report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Form 8-K (File No. 001-38886) filed with the SEC on May 9, 2019)</w:t>
              </w:r>
            </w:hyperlink>
          </w:p>
        </w:tc>
        <w:tc>
          <w:tcPr>
            <w:tcW w:w="4980" w:type="dxa"/>
            <w:vAlign w:val="bottom"/>
            <w:tcBorders>
              <w:top w:val="single" w:sz="8" w:color="0000EE"/>
            </w:tcBorders>
            <w:gridSpan w:val="4"/>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ind w:right="655"/>
              <w:spacing w:after="0" w:line="196"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Specimen Stock Certificate evidencing the shares of common stock (incorporated by reference to Exhibit 4.1 to the Registrant’s Registration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Statement on Form S-1 (File No. 333-230745) filed with the SEC on April 5, 2019)</w:t>
              </w:r>
            </w:hyperlink>
          </w:p>
        </w:tc>
        <w:tc>
          <w:tcPr>
            <w:tcW w:w="4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ind w:right="655"/>
              <w:spacing w:after="0" w:line="196" w:lineRule="exact"/>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7"/>
                <w:szCs w:val="17"/>
                <w:color w:val="auto"/>
              </w:rPr>
            </w:pPr>
          </w:p>
        </w:tc>
        <w:tc>
          <w:tcPr>
            <w:tcW w:w="10120" w:type="dxa"/>
            <w:vAlign w:val="bottom"/>
            <w:gridSpan w:val="10"/>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Description of Registrant’s Securities (incorporated by referred to Exhibit 4.2 to the Registrant’s Annual Report on Form 10-K (File No.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001-38886) filed with the SEC on March 16, 2020)</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right"/>
              <w:ind w:right="655"/>
              <w:spacing w:after="0" w:line="196" w:lineRule="exact"/>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17"/>
                <w:szCs w:val="17"/>
                <w:color w:val="auto"/>
              </w:rPr>
            </w:pPr>
          </w:p>
        </w:tc>
        <w:tc>
          <w:tcPr>
            <w:tcW w:w="10120" w:type="dxa"/>
            <w:vAlign w:val="bottom"/>
            <w:gridSpan w:val="10"/>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Form of Pre-Funded Warrant dated October 5, 2021 (incorporated by reference to Exhibit 4.1 to the Registrant’s Current Report on Form 8-</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K (File No. 001-38886) filed with the SEC on October 1, 2021)</w:t>
              </w:r>
            </w:hyperlink>
          </w:p>
        </w:tc>
        <w:tc>
          <w:tcPr>
            <w:tcW w:w="5460" w:type="dxa"/>
            <w:vAlign w:val="bottom"/>
            <w:tcBorders>
              <w:top w:val="single" w:sz="8" w:color="0000EE"/>
            </w:tcBorders>
            <w:gridSpan w:val="6"/>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3"/>
          </w:tcPr>
          <w:p>
            <w:pPr>
              <w:ind w:left="44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4.4</w:t>
            </w:r>
          </w:p>
        </w:tc>
        <w:tc>
          <w:tcPr>
            <w:tcW w:w="10120" w:type="dxa"/>
            <w:vAlign w:val="bottom"/>
            <w:gridSpan w:val="44"/>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Form of 7-Year Common Stock Warrant dated October 5, 2021 (incorporated by reference to Exhibit 4.2 to the Registrant’s Current Report</w:t>
              </w:r>
            </w:hyperlink>
          </w:p>
        </w:tc>
      </w:tr>
      <w:tr>
        <w:trPr>
          <w:trHeight w:val="196"/>
        </w:trPr>
        <w:tc>
          <w:tcPr>
            <w:tcW w:w="1120" w:type="dxa"/>
            <w:vAlign w:val="bottom"/>
          </w:tcPr>
          <w:p>
            <w:pPr>
              <w:spacing w:after="0"/>
              <w:rPr>
                <w:sz w:val="17"/>
                <w:szCs w:val="17"/>
                <w:color w:val="auto"/>
              </w:rPr>
            </w:pPr>
          </w:p>
        </w:tc>
        <w:tc>
          <w:tcPr>
            <w:tcW w:w="1000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on Form 8-K (File No. 001-38886) filed with the SEC on October 1, 2021)</w:t>
              </w:r>
            </w:hyperlink>
          </w:p>
        </w:tc>
        <w:tc>
          <w:tcPr>
            <w:tcW w:w="120" w:type="dxa"/>
            <w:vAlign w:val="bottom"/>
            <w:gridSpan w:val="5"/>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96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Form of 3.5-Year Common Stock Warrant dated October 5, 2021 (incorporated by reference to Exhibit 4.3 to the Registrant’s Current</w:t>
              </w:r>
            </w:hyperlink>
          </w:p>
        </w:tc>
        <w:tc>
          <w:tcPr>
            <w:tcW w:w="500" w:type="dxa"/>
            <w:vAlign w:val="bottom"/>
            <w:gridSpan w:val="1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Report on Form 8-K (File No. 001-38886) filed with the SEC on October 1, 2021)</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0100" w:type="dxa"/>
            <w:vAlign w:val="bottom"/>
            <w:tcBorders>
              <w:bottom w:val="single" w:sz="8" w:color="0000EE"/>
            </w:tcBorders>
            <w:gridSpan w:val="43"/>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Form of 7-Year Common Stock Warrant dated October 18, 2021 (incorporated by reference to Exhibit 4.1 to the Registrant’s Current Report</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4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on Form 8-K (File No. 001-38886) filed with the SEC on October 19, 2021)</w:t>
              </w:r>
            </w:hyperlink>
          </w:p>
        </w:tc>
        <w:tc>
          <w:tcPr>
            <w:tcW w:w="4640" w:type="dxa"/>
            <w:vAlign w:val="bottom"/>
            <w:gridSpan w:val="3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97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Form of 3.5-Year Common Stock Warrant dated October 18, 2021 (incorporated by reference to Exhibit 4.2 to the Registrant’s Current</w:t>
              </w:r>
            </w:hyperlink>
          </w:p>
        </w:tc>
        <w:tc>
          <w:tcPr>
            <w:tcW w:w="420" w:type="dxa"/>
            <w:vAlign w:val="bottom"/>
            <w:gridSpan w:val="1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0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Report on Form 8-K (File No. 001-38886) filed with the SEC on October 19, 2021)</w:t>
              </w:r>
            </w:hyperlink>
          </w:p>
        </w:tc>
        <w:tc>
          <w:tcPr>
            <w:tcW w:w="4100" w:type="dxa"/>
            <w:vAlign w:val="bottom"/>
            <w:gridSpan w:val="31"/>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0120" w:type="dxa"/>
            <w:vAlign w:val="bottom"/>
            <w:gridSpan w:val="44"/>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Second Amended and Restated Investors’ Rights Agreement dated as of July 14, 2017 (incorporated by reference to Exhibit 10.1 to the</w:t>
              </w:r>
            </w:hyperlink>
          </w:p>
        </w:tc>
      </w:tr>
      <w:tr>
        <w:trPr>
          <w:trHeight w:val="196"/>
        </w:trPr>
        <w:tc>
          <w:tcPr>
            <w:tcW w:w="1120" w:type="dxa"/>
            <w:vAlign w:val="bottom"/>
          </w:tcPr>
          <w:p>
            <w:pPr>
              <w:spacing w:after="0"/>
              <w:rPr>
                <w:sz w:val="17"/>
                <w:szCs w:val="17"/>
                <w:color w:val="auto"/>
              </w:rPr>
            </w:pPr>
          </w:p>
        </w:tc>
        <w:tc>
          <w:tcPr>
            <w:tcW w:w="97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Registrant’s Registration Statement on Form S-1 (File No. 333-230745) filed with the SEC on April 5, 2019)</w:t>
              </w:r>
            </w:hyperlink>
          </w:p>
        </w:tc>
        <w:tc>
          <w:tcPr>
            <w:tcW w:w="400" w:type="dxa"/>
            <w:vAlign w:val="bottom"/>
            <w:gridSpan w:val="1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990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2012 Stock Incentive Plan, as amended (incorporated by reference to Exhibit 10.2 to the Registrant’s Registration Statement on Form S-1</w:t>
              </w:r>
            </w:hyperlink>
          </w:p>
        </w:tc>
        <w:tc>
          <w:tcPr>
            <w:tcW w:w="22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(File No. 333-230745) filed with the SEC on April 5, 2019)</w:t>
              </w:r>
            </w:hyperlink>
          </w:p>
        </w:tc>
        <w:tc>
          <w:tcPr>
            <w:tcW w:w="5820" w:type="dxa"/>
            <w:vAlign w:val="bottom"/>
            <w:gridSpan w:val="3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0120" w:type="dxa"/>
            <w:vAlign w:val="bottom"/>
            <w:gridSpan w:val="44"/>
          </w:tcPr>
          <w:p>
            <w:pPr>
              <w:spacing w:after="0" w:line="196"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Form of Nonstatutory Stock Option Agreement under the 2012 Stock Incentive Plan (incorporated by reference to Exhibit 10.3 to the</w:t>
              </w:r>
            </w:hyperlink>
          </w:p>
        </w:tc>
      </w:tr>
      <w:tr>
        <w:trPr>
          <w:trHeight w:val="196"/>
        </w:trPr>
        <w:tc>
          <w:tcPr>
            <w:tcW w:w="1120" w:type="dxa"/>
            <w:vAlign w:val="bottom"/>
          </w:tcPr>
          <w:p>
            <w:pPr>
              <w:spacing w:after="0"/>
              <w:rPr>
                <w:sz w:val="17"/>
                <w:szCs w:val="17"/>
                <w:color w:val="auto"/>
              </w:rPr>
            </w:pPr>
          </w:p>
        </w:tc>
        <w:tc>
          <w:tcPr>
            <w:tcW w:w="95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Registrant’s Registration Statement on Form S-1 (File No. 333-230745) filed with the SEC on April 5, 2019)</w:t>
              </w:r>
            </w:hyperlink>
          </w:p>
        </w:tc>
        <w:tc>
          <w:tcPr>
            <w:tcW w:w="540" w:type="dxa"/>
            <w:vAlign w:val="bottom"/>
            <w:gridSpan w:val="19"/>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0120" w:type="dxa"/>
            <w:vAlign w:val="bottom"/>
            <w:gridSpan w:val="44"/>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2019 Stock Incentive Plan (incorporated by reference to Exhibit 10.4 to the Registrant’s Registration Statement on Form S-1 (File No. 333-</w:t>
              </w:r>
            </w:hyperlink>
          </w:p>
        </w:tc>
      </w:tr>
      <w:tr>
        <w:trPr>
          <w:trHeight w:val="196"/>
        </w:trPr>
        <w:tc>
          <w:tcPr>
            <w:tcW w:w="1120" w:type="dxa"/>
            <w:vAlign w:val="bottom"/>
          </w:tcPr>
          <w:p>
            <w:pPr>
              <w:spacing w:after="0"/>
              <w:rPr>
                <w:sz w:val="17"/>
                <w:szCs w:val="17"/>
                <w:color w:val="auto"/>
              </w:rPr>
            </w:pPr>
          </w:p>
        </w:tc>
        <w:tc>
          <w:tcPr>
            <w:tcW w:w="1002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230745) filed with the SEC on April 5, 2019)</w:t>
              </w:r>
            </w:hyperlink>
          </w:p>
        </w:tc>
        <w:tc>
          <w:tcPr>
            <w:tcW w:w="10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0120" w:type="dxa"/>
            <w:vAlign w:val="bottom"/>
            <w:gridSpan w:val="44"/>
          </w:tcPr>
          <w:p>
            <w:pPr>
              <w:spacing w:after="0" w:line="196" w:lineRule="exact"/>
              <w:rPr>
                <w:rFonts w:ascii="Arial" w:cs="Arial" w:eastAsia="Arial" w:hAnsi="Arial"/>
                <w:sz w:val="18"/>
                <w:szCs w:val="18"/>
                <w:color w:val="0000EE"/>
                <w:w w:val="96"/>
              </w:rPr>
            </w:pPr>
            <w:hyperlink r:id="rId140">
              <w:r>
                <w:rPr>
                  <w:rFonts w:ascii="Arial" w:cs="Arial" w:eastAsia="Arial" w:hAnsi="Arial"/>
                  <w:sz w:val="18"/>
                  <w:szCs w:val="18"/>
                  <w:color w:val="0000EE"/>
                  <w:w w:val="96"/>
                </w:rPr>
                <w:t>Form of Stock Option Agreement under the 2019 Stock Incentive Plan (incorporated by reference to Exhibit 10.5 to the Registrant’s</w:t>
              </w:r>
            </w:hyperlink>
          </w:p>
        </w:tc>
      </w:tr>
      <w:tr>
        <w:trPr>
          <w:trHeight w:val="196"/>
        </w:trPr>
        <w:tc>
          <w:tcPr>
            <w:tcW w:w="11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Registration Statement on Form S-1 (File No. 333-230745) filed with the SEC on April 5, 2019)</w:t>
              </w:r>
            </w:hyperlink>
          </w:p>
        </w:tc>
        <w:tc>
          <w:tcPr>
            <w:tcW w:w="2560" w:type="dxa"/>
            <w:vAlign w:val="bottom"/>
            <w:tcBorders>
              <w:top w:val="single" w:sz="8" w:color="0000EE"/>
            </w:tcBorders>
            <w:gridSpan w:val="9"/>
          </w:tcPr>
          <w:p>
            <w:pPr>
              <w:spacing w:after="0"/>
              <w:rPr>
                <w:sz w:val="17"/>
                <w:szCs w:val="17"/>
                <w:color w:val="auto"/>
              </w:rPr>
            </w:pPr>
          </w:p>
        </w:tc>
        <w:tc>
          <w:tcPr>
            <w:tcW w:w="620" w:type="dxa"/>
            <w:vAlign w:val="bottom"/>
            <w:gridSpan w:val="20"/>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0100" w:type="dxa"/>
            <w:vAlign w:val="bottom"/>
            <w:tcBorders>
              <w:bottom w:val="single" w:sz="8" w:color="0000EE"/>
            </w:tcBorders>
            <w:gridSpan w:val="43"/>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2019 Employee Stock Purchase Plan (incorporated by reference to Exhibit 10.6 to the Registrant’s Registration Statement on Form S-1 (File</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No. 333-230745) filed with the SEC on April 5, 2019)</w:t>
              </w:r>
            </w:hyperlink>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3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Non-Employee Director Compensation Policy</w:t>
              </w:r>
            </w:hyperlink>
          </w:p>
        </w:tc>
        <w:tc>
          <w:tcPr>
            <w:tcW w:w="6220" w:type="dxa"/>
            <w:vAlign w:val="bottom"/>
            <w:gridSpan w:val="36"/>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10120" w:type="dxa"/>
            <w:vAlign w:val="bottom"/>
            <w:gridSpan w:val="44"/>
          </w:tcPr>
          <w:p>
            <w:pPr>
              <w:spacing w:after="0"/>
              <w:rPr>
                <w:rFonts w:ascii="Arial" w:cs="Arial" w:eastAsia="Arial" w:hAnsi="Arial"/>
                <w:sz w:val="18"/>
                <w:szCs w:val="18"/>
                <w:color w:val="0000EE"/>
                <w:w w:val="93"/>
              </w:rPr>
            </w:pPr>
            <w:hyperlink r:id="rId143">
              <w:r>
                <w:rPr>
                  <w:rFonts w:ascii="Arial" w:cs="Arial" w:eastAsia="Arial" w:hAnsi="Arial"/>
                  <w:sz w:val="18"/>
                  <w:szCs w:val="18"/>
                  <w:color w:val="0000EE"/>
                  <w:w w:val="93"/>
                </w:rPr>
                <w:t>Trevi Therapeutics, Inc. Executive Separation Benefits and Retention Plan (incorporated by reference to Exhibit 10.1 to the Registrant’s</w:t>
              </w:r>
            </w:hyperlink>
          </w:p>
        </w:tc>
      </w:tr>
      <w:tr>
        <w:trPr>
          <w:trHeight w:val="196"/>
        </w:trPr>
        <w:tc>
          <w:tcPr>
            <w:tcW w:w="112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Current Report on Form 8-K (File No. 001-38886) filed with the SEC on September 24, 2019)</w:t>
              </w:r>
            </w:hyperlink>
          </w:p>
        </w:tc>
        <w:tc>
          <w:tcPr>
            <w:tcW w:w="2980" w:type="dxa"/>
            <w:vAlign w:val="bottom"/>
            <w:tcBorders>
              <w:top w:val="single" w:sz="8" w:color="0000EE"/>
            </w:tcBorders>
            <w:gridSpan w:val="19"/>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960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Employment Agreement, dated December 4, 2012, by and between the Registrant and Jennifer L. Good (incorporated by reference to</w:t>
              </w:r>
            </w:hyperlink>
          </w:p>
        </w:tc>
        <w:tc>
          <w:tcPr>
            <w:tcW w:w="520" w:type="dxa"/>
            <w:vAlign w:val="bottom"/>
            <w:gridSpan w:val="1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Exhibit 10.8 to the Registrant’s Registration Statement on Form S-1 (File No. 333-230745) filed with the SEC on April 5, 2019)</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12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0120" w:type="dxa"/>
            <w:vAlign w:val="bottom"/>
            <w:gridSpan w:val="44"/>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Offer Letter, dated December 4, 2012, by and between the Registrant and Thomas R. Sciascia (incorporated by referred to Exhibit 10.10 to</w:t>
              </w:r>
            </w:hyperlink>
          </w:p>
        </w:tc>
      </w:tr>
      <w:tr>
        <w:trPr>
          <w:trHeight w:val="196"/>
        </w:trPr>
        <w:tc>
          <w:tcPr>
            <w:tcW w:w="112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the Registrant’s Annual Report on Form 10-K (File No. 001-38886) filed with the SEC on March 16, 2020)</w:t>
              </w:r>
            </w:hyperlink>
          </w:p>
        </w:tc>
        <w:tc>
          <w:tcPr>
            <w:tcW w:w="2240" w:type="dxa"/>
            <w:vAlign w:val="bottom"/>
            <w:tcBorders>
              <w:top w:val="single" w:sz="8" w:color="0000EE"/>
            </w:tcBorders>
            <w:gridSpan w:val="21"/>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0120" w:type="dxa"/>
            <w:vAlign w:val="bottom"/>
            <w:gridSpan w:val="44"/>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Offer Letter, dated April 23, 2018, by and between the Registrant and Christopher J. Seiter (incorporated by reference to Exhibit 10.9 to the</w:t>
              </w:r>
            </w:hyperlink>
          </w:p>
        </w:tc>
      </w:tr>
      <w:tr>
        <w:trPr>
          <w:trHeight w:val="196"/>
        </w:trPr>
        <w:tc>
          <w:tcPr>
            <w:tcW w:w="1120" w:type="dxa"/>
            <w:vAlign w:val="bottom"/>
          </w:tcPr>
          <w:p>
            <w:pPr>
              <w:spacing w:after="0"/>
              <w:rPr>
                <w:sz w:val="17"/>
                <w:szCs w:val="17"/>
                <w:color w:val="auto"/>
              </w:rPr>
            </w:pPr>
          </w:p>
        </w:tc>
        <w:tc>
          <w:tcPr>
            <w:tcW w:w="1004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Registrant’s Registration Statement on Form S-1 (File No. 333-230745) filed with the SEC on April 5, 2019)”</w:t>
              </w:r>
            </w:hyperlink>
          </w:p>
        </w:tc>
        <w:tc>
          <w:tcPr>
            <w:tcW w:w="8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120" w:type="dxa"/>
            <w:vAlign w:val="bottom"/>
            <w:gridSpan w:val="11"/>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0120" w:type="dxa"/>
            <w:vAlign w:val="bottom"/>
            <w:gridSpan w:val="44"/>
          </w:tcPr>
          <w:p>
            <w:pPr>
              <w:spacing w:after="0" w:line="196" w:lineRule="exact"/>
              <w:rPr>
                <w:rFonts w:ascii="Arial" w:cs="Arial" w:eastAsia="Arial" w:hAnsi="Arial"/>
                <w:sz w:val="18"/>
                <w:szCs w:val="18"/>
                <w:color w:val="0000EE"/>
                <w:w w:val="97"/>
              </w:rPr>
            </w:pPr>
            <w:hyperlink r:id="rId147">
              <w:r>
                <w:rPr>
                  <w:rFonts w:ascii="Arial" w:cs="Arial" w:eastAsia="Arial" w:hAnsi="Arial"/>
                  <w:sz w:val="18"/>
                  <w:szCs w:val="18"/>
                  <w:color w:val="0000EE"/>
                  <w:w w:val="97"/>
                </w:rPr>
                <w:t>Offer Letter, dated June 17, 2021, by and between the Registrant and Lisa Delfini (incorporated by reference to Exhibit 10.5 to the</w:t>
              </w:r>
            </w:hyperlink>
          </w:p>
        </w:tc>
      </w:tr>
      <w:tr>
        <w:trPr>
          <w:trHeight w:val="196"/>
        </w:trPr>
        <w:tc>
          <w:tcPr>
            <w:tcW w:w="1120" w:type="dxa"/>
            <w:vAlign w:val="bottom"/>
          </w:tcPr>
          <w:p>
            <w:pPr>
              <w:spacing w:after="0"/>
              <w:rPr>
                <w:sz w:val="17"/>
                <w:szCs w:val="17"/>
                <w:color w:val="auto"/>
              </w:rPr>
            </w:pPr>
          </w:p>
        </w:tc>
        <w:tc>
          <w:tcPr>
            <w:tcW w:w="93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Registrant’s Quarterly Report on Form 10-Q (File No. 001-38886) filed with the SEC on August 12, 2021)</w:t>
              </w:r>
            </w:hyperlink>
          </w:p>
        </w:tc>
        <w:tc>
          <w:tcPr>
            <w:tcW w:w="740" w:type="dxa"/>
            <w:vAlign w:val="bottom"/>
            <w:gridSpan w:val="21"/>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120" w:type="dxa"/>
            <w:vAlign w:val="bottom"/>
            <w:gridSpan w:val="11"/>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0120" w:type="dxa"/>
            <w:vAlign w:val="bottom"/>
            <w:gridSpan w:val="44"/>
          </w:tcPr>
          <w:p>
            <w:pPr>
              <w:spacing w:after="0" w:line="196" w:lineRule="exact"/>
              <w:rPr>
                <w:rFonts w:ascii="Arial" w:cs="Arial" w:eastAsia="Arial" w:hAnsi="Arial"/>
                <w:sz w:val="18"/>
                <w:szCs w:val="18"/>
                <w:color w:val="0000EE"/>
                <w:w w:val="93"/>
              </w:rPr>
            </w:pPr>
            <w:hyperlink r:id="rId148">
              <w:r>
                <w:rPr>
                  <w:rFonts w:ascii="Arial" w:cs="Arial" w:eastAsia="Arial" w:hAnsi="Arial"/>
                  <w:sz w:val="18"/>
                  <w:szCs w:val="18"/>
                  <w:color w:val="0000EE"/>
                  <w:w w:val="93"/>
                </w:rPr>
                <w:t>Form of Indemnification Agreement between the Registrant and each of its directors and executive officers (incorporated by reference to</w:t>
              </w:r>
            </w:hyperlink>
          </w:p>
        </w:tc>
      </w:tr>
      <w:tr>
        <w:trPr>
          <w:trHeight w:val="196"/>
        </w:trPr>
        <w:tc>
          <w:tcPr>
            <w:tcW w:w="11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Exhibit 10.12 to the Registrant’s Registration Statement on Form S-1 (File No. 333-230745) filed with the SEC on April 5, 2019)</w:t>
              </w:r>
            </w:hyperlink>
          </w:p>
        </w:tc>
        <w:tc>
          <w:tcPr>
            <w:tcW w:w="520" w:type="dxa"/>
            <w:vAlign w:val="bottom"/>
            <w:tcBorders>
              <w:top w:val="single" w:sz="8" w:color="0000EE"/>
            </w:tcBorders>
            <w:gridSpan w:val="12"/>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0120" w:type="dxa"/>
            <w:vAlign w:val="bottom"/>
            <w:gridSpan w:val="44"/>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Indenture of Lease, dated February 6, 2013, by and between First Niagara Bank, N.A. and the Registrant (incorporated by reference to</w:t>
              </w:r>
            </w:hyperlink>
          </w:p>
        </w:tc>
      </w:tr>
      <w:tr>
        <w:trPr>
          <w:trHeight w:val="196"/>
        </w:trPr>
        <w:tc>
          <w:tcPr>
            <w:tcW w:w="11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Exhibit 10.13 to the Registrant’s Registration Statement on Form S-1 (File No. 333-230745) filed with the SEC on April 5, 2019)</w:t>
              </w:r>
            </w:hyperlink>
          </w:p>
        </w:tc>
        <w:tc>
          <w:tcPr>
            <w:tcW w:w="340" w:type="dxa"/>
            <w:vAlign w:val="bottom"/>
            <w:tcBorders>
              <w:top w:val="single" w:sz="8" w:color="0000EE"/>
            </w:tcBorders>
            <w:gridSpan w:val="6"/>
          </w:tcPr>
          <w:p>
            <w:pPr>
              <w:spacing w:after="0"/>
              <w:rPr>
                <w:sz w:val="17"/>
                <w:szCs w:val="17"/>
                <w:color w:val="auto"/>
              </w:rPr>
            </w:pPr>
          </w:p>
        </w:tc>
        <w:tc>
          <w:tcPr>
            <w:tcW w:w="460" w:type="dxa"/>
            <w:vAlign w:val="bottom"/>
            <w:gridSpan w:val="16"/>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996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First Amendment to Lease, dated December 5, 2017, by and between the Registrant and 195 Church Street Associates, LLC (incorporated</w:t>
              </w:r>
            </w:hyperlink>
          </w:p>
        </w:tc>
        <w:tc>
          <w:tcPr>
            <w:tcW w:w="16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by reference to Exhibit 10.14 to the Registrant’s Registration Statement on Form S-1 (File No. 333-230745) filed with the SEC on April 5,</w:t>
              </w:r>
            </w:hyperlink>
          </w:p>
        </w:tc>
      </w:tr>
      <w:tr>
        <w:trPr>
          <w:trHeight w:val="196"/>
        </w:trPr>
        <w:tc>
          <w:tcPr>
            <w:tcW w:w="112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2019)</w:t>
              </w:r>
            </w:hyperlink>
          </w:p>
        </w:tc>
        <w:tc>
          <w:tcPr>
            <w:tcW w:w="1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0120" w:type="dxa"/>
            <w:vAlign w:val="bottom"/>
            <w:gridSpan w:val="44"/>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Exclusive License Agreement, dated as of May 13, 2011, by and between the Registrant and Penwest Pharmaceuticals Co. (incorporated by</w:t>
              </w:r>
            </w:hyperlink>
          </w:p>
        </w:tc>
      </w:tr>
      <w:tr>
        <w:trPr>
          <w:trHeight w:val="196"/>
        </w:trPr>
        <w:tc>
          <w:tcPr>
            <w:tcW w:w="1120" w:type="dxa"/>
            <w:vAlign w:val="bottom"/>
          </w:tcPr>
          <w:p>
            <w:pPr>
              <w:spacing w:after="0"/>
              <w:rPr>
                <w:sz w:val="17"/>
                <w:szCs w:val="17"/>
                <w:color w:val="auto"/>
              </w:rPr>
            </w:pPr>
          </w:p>
        </w:tc>
        <w:tc>
          <w:tcPr>
            <w:tcW w:w="10040" w:type="dxa"/>
            <w:vAlign w:val="bottom"/>
            <w:tcBorders>
              <w:top w:val="single" w:sz="8" w:color="0000EE"/>
            </w:tcBorders>
            <w:gridSpan w:val="41"/>
          </w:tcPr>
          <w:p>
            <w:pPr>
              <w:spacing w:after="0" w:line="196" w:lineRule="exact"/>
              <w:rPr>
                <w:rFonts w:ascii="Arial" w:cs="Arial" w:eastAsia="Arial" w:hAnsi="Arial"/>
                <w:sz w:val="18"/>
                <w:szCs w:val="18"/>
                <w:color w:val="0000EE"/>
                <w:w w:val="94"/>
              </w:rPr>
            </w:pPr>
            <w:hyperlink r:id="rId151">
              <w:r>
                <w:rPr>
                  <w:rFonts w:ascii="Arial" w:cs="Arial" w:eastAsia="Arial" w:hAnsi="Arial"/>
                  <w:sz w:val="18"/>
                  <w:szCs w:val="18"/>
                  <w:color w:val="0000EE"/>
                  <w:w w:val="94"/>
                </w:rPr>
                <w:t>reference to Exhibit 10.15 to the Registrant’s Registration Statement on Form S-1 (File No. 333-230745) filed with the SEC on April 5,</w:t>
              </w:r>
            </w:hyperlink>
          </w:p>
        </w:tc>
        <w:tc>
          <w:tcPr>
            <w:tcW w:w="8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1">
              <w:r>
                <w:rPr>
                  <w:rFonts w:ascii="Arial" w:cs="Arial" w:eastAsia="Arial" w:hAnsi="Arial"/>
                  <w:sz w:val="18"/>
                  <w:szCs w:val="18"/>
                  <w:color w:val="0000EE"/>
                  <w:w w:val="86"/>
                </w:rPr>
                <w:t>2019)</w:t>
              </w:r>
            </w:hyperlink>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994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Share Purchase Agreement, dated as of May 6, 2019, by and between the Registrant and New Enterprise Associates 16, L.P. (incorporated</w:t>
              </w:r>
            </w:hyperlink>
          </w:p>
        </w:tc>
        <w:tc>
          <w:tcPr>
            <w:tcW w:w="18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by reference to Exhibit 10.17 to Amendment No. 3 to Registrant’s Registration Statement on Form S-1 (File No. 333-230745) filed with the</w:t>
              </w:r>
            </w:hyperlink>
          </w:p>
        </w:tc>
      </w:tr>
      <w:tr>
        <w:trPr>
          <w:trHeight w:val="196"/>
        </w:trPr>
        <w:tc>
          <w:tcPr>
            <w:tcW w:w="1120" w:type="dxa"/>
            <w:vAlign w:val="bottom"/>
          </w:tcPr>
          <w:p>
            <w:pPr>
              <w:spacing w:after="0"/>
              <w:rPr>
                <w:sz w:val="17"/>
                <w:szCs w:val="17"/>
                <w:color w:val="auto"/>
              </w:rPr>
            </w:pPr>
          </w:p>
        </w:tc>
        <w:tc>
          <w:tcPr>
            <w:tcW w:w="1006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SEC on May 7, 2019)</w:t>
              </w:r>
            </w:hyperlink>
          </w:p>
        </w:tc>
        <w:tc>
          <w:tcPr>
            <w:tcW w:w="60" w:type="dxa"/>
            <w:vAlign w:val="bottom"/>
            <w:gridSpan w:val="2"/>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97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Loan and Security Agreement, dated as of August 13, 2020, between Silicon Valley Bank and Trevi Therapeutics, Inc. (incorporated by</w:t>
              </w:r>
            </w:hyperlink>
          </w:p>
        </w:tc>
        <w:tc>
          <w:tcPr>
            <w:tcW w:w="360" w:type="dxa"/>
            <w:vAlign w:val="bottom"/>
            <w:gridSpan w:val="1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referred to Exhibit 10.1 to the Registrant’s Quarterly Report on Form 10-Q (File No. 001-38886) filed with the SEC on November 12, 2020)</w:t>
              </w:r>
            </w:hyperlink>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91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First Amendment to Loan and Security Agreement, dated July 6, 2021, by and between Silicon Valley Bank and the Registrant</w:t>
              </w:r>
            </w:hyperlink>
          </w:p>
        </w:tc>
        <w:tc>
          <w:tcPr>
            <w:tcW w:w="980" w:type="dxa"/>
            <w:vAlign w:val="bottom"/>
            <w:tcBorders>
              <w:top w:val="single" w:sz="8" w:color="0000EE"/>
            </w:tcBorders>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(incorporated by reference to Exhibit 99.1 to the Registrant’s Current Report on Form 8-K (File No. 001-38886) filed with the SEC on July</w:t>
              </w:r>
            </w:hyperlink>
          </w:p>
        </w:tc>
      </w:tr>
      <w:tr>
        <w:trPr>
          <w:trHeight w:val="196"/>
        </w:trPr>
        <w:tc>
          <w:tcPr>
            <w:tcW w:w="11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154">
              <w:r>
                <w:rPr>
                  <w:rFonts w:ascii="Arial" w:cs="Arial" w:eastAsia="Arial" w:hAnsi="Arial"/>
                  <w:sz w:val="18"/>
                  <w:szCs w:val="18"/>
                  <w:color w:val="0000EE"/>
                  <w:w w:val="86"/>
                </w:rPr>
                <w:t>7, 2021</w:t>
              </w:r>
            </w:hyperlink>
          </w:p>
        </w:tc>
        <w:tc>
          <w:tcPr>
            <w:tcW w:w="8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0120" w:type="dxa"/>
            <w:vAlign w:val="bottom"/>
            <w:gridSpan w:val="44"/>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Second Amendment to Loan and Security Agreement, dated August 13, 2021, by and between Silicon Valley Bank and the Registrant</w:t>
              </w:r>
            </w:hyperlink>
          </w:p>
        </w:tc>
      </w:tr>
      <w:tr>
        <w:trPr>
          <w:trHeight w:val="20"/>
        </w:trPr>
        <w:tc>
          <w:tcPr>
            <w:tcW w:w="112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8200" w:type="dxa"/>
            <w:vAlign w:val="bottom"/>
            <w:gridSpan w:val="23"/>
            <w:shd w:val="clear" w:color="auto" w:fill="0000EE"/>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(incorporated by reference to Exhibit 10.2 to the Registrant’s Quarterly Report on Form 10-Q (File No. 001-38886) filed with the SEC on</w:t>
              </w:r>
            </w:hyperlink>
          </w:p>
        </w:tc>
      </w:tr>
      <w:tr>
        <w:trPr>
          <w:trHeight w:val="196"/>
        </w:trPr>
        <w:tc>
          <w:tcPr>
            <w:tcW w:w="1120" w:type="dxa"/>
            <w:vAlign w:val="bottom"/>
          </w:tcPr>
          <w:p>
            <w:pPr>
              <w:spacing w:after="0"/>
              <w:rPr>
                <w:sz w:val="17"/>
                <w:szCs w:val="17"/>
                <w:color w:val="auto"/>
              </w:rPr>
            </w:pPr>
          </w:p>
        </w:tc>
        <w:tc>
          <w:tcPr>
            <w:tcW w:w="990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November 10, 2021</w:t>
              </w:r>
            </w:hyperlink>
          </w:p>
        </w:tc>
        <w:tc>
          <w:tcPr>
            <w:tcW w:w="220" w:type="dxa"/>
            <w:vAlign w:val="bottom"/>
            <w:gridSpan w:val="9"/>
          </w:tcPr>
          <w:p>
            <w:pPr>
              <w:spacing w:after="0"/>
              <w:rPr>
                <w:sz w:val="17"/>
                <w:szCs w:val="17"/>
                <w:color w:val="auto"/>
              </w:rPr>
            </w:pPr>
          </w:p>
        </w:tc>
      </w:tr>
      <w:tr>
        <w:trPr>
          <w:trHeight w:val="452"/>
        </w:trPr>
        <w:tc>
          <w:tcPr>
            <w:tcW w:w="1120" w:type="dxa"/>
            <w:vAlign w:val="bottom"/>
          </w:tcPr>
          <w:p>
            <w:pPr>
              <w:spacing w:after="0"/>
              <w:rPr>
                <w:sz w:val="24"/>
                <w:szCs w:val="24"/>
                <w:color w:val="auto"/>
              </w:rPr>
            </w:pPr>
          </w:p>
        </w:tc>
        <w:tc>
          <w:tcPr>
            <w:tcW w:w="1420" w:type="dxa"/>
            <w:vAlign w:val="bottom"/>
            <w:tcBorders>
              <w:top w:val="single" w:sz="8" w:color="0000EE"/>
            </w:tcBorders>
            <w:gridSpan w:val="4"/>
          </w:tcPr>
          <w:p>
            <w:pPr>
              <w:spacing w:after="0"/>
              <w:rPr>
                <w:sz w:val="24"/>
                <w:szCs w:val="24"/>
                <w:color w:val="auto"/>
              </w:rPr>
            </w:pPr>
          </w:p>
        </w:tc>
        <w:tc>
          <w:tcPr>
            <w:tcW w:w="3960" w:type="dxa"/>
            <w:vAlign w:val="bottom"/>
            <w:gridSpan w:val="6"/>
          </w:tcPr>
          <w:p>
            <w:pPr>
              <w:jc w:val="right"/>
              <w:ind w:right="7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10.21</w:t>
            </w:r>
          </w:p>
        </w:tc>
        <w:tc>
          <w:tcPr>
            <w:tcW w:w="10040" w:type="dxa"/>
            <w:vAlign w:val="bottom"/>
            <w:gridSpan w:val="17"/>
          </w:tcPr>
          <w:p>
            <w:pPr>
              <w:spacing w:after="0"/>
              <w:rPr>
                <w:rFonts w:ascii="Arial" w:cs="Arial" w:eastAsia="Arial" w:hAnsi="Arial"/>
                <w:sz w:val="18"/>
                <w:szCs w:val="18"/>
                <w:color w:val="0000EE"/>
                <w:w w:val="94"/>
              </w:rPr>
            </w:pPr>
            <w:hyperlink r:id="rId158">
              <w:r>
                <w:rPr>
                  <w:rFonts w:ascii="Arial" w:cs="Arial" w:eastAsia="Arial" w:hAnsi="Arial"/>
                  <w:sz w:val="18"/>
                  <w:szCs w:val="18"/>
                  <w:color w:val="0000EE"/>
                  <w:w w:val="94"/>
                </w:rPr>
                <w:t>Purchase Agreement, dated as of June 18, 2021, by and between the Registrant and Lincoln Park Capital Fund, LLC (incorporated by</w:t>
              </w:r>
            </w:hyperlink>
          </w:p>
        </w:tc>
      </w:tr>
      <w:tr>
        <w:trPr>
          <w:trHeight w:val="196"/>
        </w:trPr>
        <w:tc>
          <w:tcPr>
            <w:tcW w:w="112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reference to Exhibit 99.1 to the Registrant’s Current Report on Form 8-K (File No. 001-38886) filed with the SEC on June 21, 2021)</w:t>
              </w:r>
            </w:hyperlink>
          </w:p>
        </w:tc>
        <w:tc>
          <w:tcPr>
            <w:tcW w:w="40" w:type="dxa"/>
            <w:vAlign w:val="bottom"/>
            <w:tcBorders>
              <w:top w:val="single" w:sz="8" w:color="0000EE"/>
            </w:tcBorders>
          </w:tcPr>
          <w:p>
            <w:pPr>
              <w:spacing w:after="0"/>
              <w:rPr>
                <w:sz w:val="17"/>
                <w:szCs w:val="17"/>
                <w:color w:val="auto"/>
              </w:rPr>
            </w:pPr>
          </w:p>
        </w:tc>
        <w:tc>
          <w:tcPr>
            <w:tcW w:w="440" w:type="dxa"/>
            <w:vAlign w:val="bottom"/>
            <w:gridSpan w:val="6"/>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91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Registration Rights Agreement, dated as of June 18, 2021, by and between the Registrant and Lincoln Park Capital Fund, LLC</w:t>
              </w:r>
            </w:hyperlink>
          </w:p>
        </w:tc>
        <w:tc>
          <w:tcPr>
            <w:tcW w:w="92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(incorporated by reference to Exhibit 99.2 to the Registrant’s Current Report on Form 8-K (File No. 001-38886) filed with the SEC on June</w:t>
              </w:r>
            </w:hyperlink>
          </w:p>
        </w:tc>
      </w:tr>
      <w:tr>
        <w:trPr>
          <w:trHeight w:val="196"/>
        </w:trPr>
        <w:tc>
          <w:tcPr>
            <w:tcW w:w="11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59">
              <w:r>
                <w:rPr>
                  <w:rFonts w:ascii="Arial" w:cs="Arial" w:eastAsia="Arial" w:hAnsi="Arial"/>
                  <w:sz w:val="18"/>
                  <w:szCs w:val="18"/>
                  <w:color w:val="0000EE"/>
                  <w:w w:val="86"/>
                </w:rPr>
                <w:t>21, 2021)</w:t>
              </w:r>
            </w:hyperlink>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98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Form of Securities Purchase Agreement dated September 30, 2021 (incorporated by reference to Exhibit 99.1 to the Registrant’s Current</w:t>
              </w:r>
            </w:hyperlink>
          </w:p>
        </w:tc>
        <w:tc>
          <w:tcPr>
            <w:tcW w:w="22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Report on Form 8-K (File No. 001-38886) filed with the SEC on October 1, 2021)</w:t>
              </w:r>
            </w:hyperlink>
          </w:p>
        </w:tc>
      </w:tr>
      <w:tr>
        <w:trPr>
          <w:trHeight w:val="20"/>
        </w:trPr>
        <w:tc>
          <w:tcPr>
            <w:tcW w:w="1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10040" w:type="dxa"/>
            <w:vAlign w:val="bottom"/>
            <w:gridSpan w:val="17"/>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Form of Registration Rights Agreement dated September 30, 2021 (incorporated by reference to Exhibit 99.2 to the Registrant’s Current</w:t>
              </w:r>
            </w:hyperlink>
          </w:p>
        </w:tc>
      </w:tr>
      <w:tr>
        <w:trPr>
          <w:trHeight w:val="196"/>
        </w:trPr>
        <w:tc>
          <w:tcPr>
            <w:tcW w:w="1120" w:type="dxa"/>
            <w:vAlign w:val="bottom"/>
          </w:tcPr>
          <w:p>
            <w:pPr>
              <w:spacing w:after="0"/>
              <w:rPr>
                <w:sz w:val="17"/>
                <w:szCs w:val="17"/>
                <w:color w:val="auto"/>
              </w:rPr>
            </w:pPr>
          </w:p>
        </w:tc>
        <w:tc>
          <w:tcPr>
            <w:tcW w:w="9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Report on Form 8-K (File No. 001-38886) filed with the SEC on October 1, 2021)</w:t>
              </w:r>
            </w:hyperlink>
          </w:p>
        </w:tc>
        <w:tc>
          <w:tcPr>
            <w:tcW w:w="24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96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Form of Securities Purchase Agreement dated October 15, 2021 (incorporated by reference to Exhibit 99.1 to the Registrant’s Current</w:t>
              </w:r>
            </w:hyperlink>
          </w:p>
        </w:tc>
        <w:tc>
          <w:tcPr>
            <w:tcW w:w="40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0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Report on Form 8-K (File No. 001-38886) filed with the SEC on October 19, 2021)</w:t>
              </w:r>
            </w:hyperlink>
          </w:p>
        </w:tc>
        <w:tc>
          <w:tcPr>
            <w:tcW w:w="4020" w:type="dxa"/>
            <w:vAlign w:val="bottom"/>
            <w:gridSpan w:val="10"/>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96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Form of Registration Rights Agreement dated October 15, 2021 (incorporated by reference to Exhibit 99.2 to the Registrant’s Current</w:t>
              </w:r>
            </w:hyperlink>
          </w:p>
        </w:tc>
        <w:tc>
          <w:tcPr>
            <w:tcW w:w="42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0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Report on Form 8-K (File No. 001-38886) filed with the SEC on October 19, 2021)</w:t>
              </w:r>
            </w:hyperlink>
          </w:p>
        </w:tc>
        <w:tc>
          <w:tcPr>
            <w:tcW w:w="4020" w:type="dxa"/>
            <w:vAlign w:val="bottom"/>
            <w:gridSpan w:val="10"/>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95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List of Subsidiaries (incorporated by reference to Exhibit 21.1 to the Registrant’s Registration Statement on Form S-1 (File No. 333-</w:t>
              </w:r>
            </w:hyperlink>
          </w:p>
        </w:tc>
        <w:tc>
          <w:tcPr>
            <w:tcW w:w="50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230745) filed with the SEC on April 5, 2019)</w:t>
              </w:r>
            </w:hyperlink>
          </w:p>
        </w:tc>
      </w:tr>
      <w:tr>
        <w:trPr>
          <w:trHeight w:val="20"/>
        </w:trPr>
        <w:tc>
          <w:tcPr>
            <w:tcW w:w="1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56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26">
              <w:r>
                <w:rPr>
                  <w:rFonts w:ascii="Arial" w:cs="Arial" w:eastAsia="Arial" w:hAnsi="Arial"/>
                  <w:sz w:val="18"/>
                  <w:szCs w:val="18"/>
                  <w:color w:val="0000EE"/>
                  <w:w w:val="91"/>
                </w:rPr>
                <w:t>Consent of Ernst &amp; Young LLP, independent registered public accounting firm</w:t>
              </w:r>
            </w:hyperlink>
          </w:p>
        </w:tc>
        <w:tc>
          <w:tcPr>
            <w:tcW w:w="4380" w:type="dxa"/>
            <w:vAlign w:val="bottom"/>
            <w:gridSpan w:val="1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040" w:type="dxa"/>
            <w:vAlign w:val="bottom"/>
            <w:gridSpan w:val="17"/>
          </w:tcPr>
          <w:p>
            <w:pPr>
              <w:spacing w:after="0" w:line="196" w:lineRule="exact"/>
              <w:rPr>
                <w:rFonts w:ascii="Arial" w:cs="Arial" w:eastAsia="Arial" w:hAnsi="Arial"/>
                <w:sz w:val="18"/>
                <w:szCs w:val="18"/>
                <w:color w:val="0000EE"/>
                <w:w w:val="95"/>
              </w:rPr>
            </w:pPr>
            <w:hyperlink w:anchor="page127">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112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7"/>
          </w:tcPr>
          <w:p>
            <w:pPr>
              <w:spacing w:after="0"/>
              <w:rPr>
                <w:sz w:val="17"/>
                <w:szCs w:val="17"/>
                <w:color w:val="auto"/>
              </w:rPr>
            </w:pPr>
          </w:p>
        </w:tc>
        <w:tc>
          <w:tcPr>
            <w:tcW w:w="440" w:type="dxa"/>
            <w:vAlign w:val="bottom"/>
            <w:gridSpan w:val="6"/>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5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48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Adopted Pursuant to Section 302 of the Sarbanes-Oxley Act of 2002.</w:t>
              </w:r>
            </w:hyperlink>
          </w:p>
        </w:tc>
        <w:tc>
          <w:tcPr>
            <w:tcW w:w="5060" w:type="dxa"/>
            <w:vAlign w:val="bottom"/>
            <w:gridSpan w:val="1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30">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r>
      <w:tr>
        <w:trPr>
          <w:trHeight w:val="196"/>
        </w:trPr>
        <w:tc>
          <w:tcPr>
            <w:tcW w:w="11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30">
              <w:r>
                <w:rPr>
                  <w:rFonts w:ascii="Arial" w:cs="Arial" w:eastAsia="Arial" w:hAnsi="Arial"/>
                  <w:sz w:val="18"/>
                  <w:szCs w:val="18"/>
                  <w:color w:val="0000EE"/>
                  <w:w w:val="91"/>
                </w:rPr>
                <w:t>Act of 2002.</w:t>
              </w:r>
            </w:hyperlink>
          </w:p>
        </w:tc>
        <w:tc>
          <w:tcPr>
            <w:tcW w:w="9140" w:type="dxa"/>
            <w:vAlign w:val="bottom"/>
            <w:gridSpan w:val="1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Act of 2002.</w:t>
              </w:r>
            </w:hyperlink>
          </w:p>
        </w:tc>
        <w:tc>
          <w:tcPr>
            <w:tcW w:w="9140" w:type="dxa"/>
            <w:vAlign w:val="bottom"/>
            <w:gridSpan w:val="15"/>
          </w:tcPr>
          <w:p>
            <w:pPr>
              <w:spacing w:after="0"/>
              <w:rPr>
                <w:sz w:val="17"/>
                <w:szCs w:val="17"/>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10040" w:type="dxa"/>
            <w:vAlign w:val="bottom"/>
            <w:gridSpan w:val="17"/>
          </w:tcPr>
          <w:p>
            <w:pPr>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8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155" w:lineRule="exact"/>
        <w:rPr>
          <w:sz w:val="20"/>
          <w:szCs w:val="20"/>
          <w:color w:val="auto"/>
        </w:rPr>
      </w:pPr>
    </w:p>
    <w:p>
      <w:pPr>
        <w:ind w:left="560" w:hanging="552"/>
        <w:spacing w:after="0"/>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50" w:lineRule="exact"/>
        <w:rPr>
          <w:sz w:val="20"/>
          <w:szCs w:val="20"/>
          <w:color w:val="auto"/>
        </w:rPr>
      </w:pPr>
    </w:p>
    <w:p>
      <w:pPr>
        <w:ind w:left="560" w:right="500" w:hanging="552"/>
        <w:spacing w:after="0" w:line="277"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filed separately with the Securities and Exchange Commission.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55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TREVI THERAPEUTICS, INC.</w:t>
      </w:r>
    </w:p>
    <w:p>
      <w:pPr>
        <w:spacing w:after="0" w:line="252" w:lineRule="exact"/>
        <w:rPr>
          <w:sz w:val="20"/>
          <w:szCs w:val="20"/>
          <w:color w:val="auto"/>
        </w:rPr>
      </w:pPr>
    </w:p>
    <w:p>
      <w:pPr>
        <w:spacing w:after="0"/>
        <w:tabs>
          <w:tab w:leader="none" w:pos="5640" w:val="left"/>
          <w:tab w:leader="none" w:pos="798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Jennifer Good</w:t>
      </w:r>
    </w:p>
    <w:p>
      <w:pPr>
        <w:spacing w:after="0" w:line="2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51" w:lineRule="exact"/>
        <w:rPr>
          <w:sz w:val="20"/>
          <w:szCs w:val="20"/>
          <w:color w:val="auto"/>
        </w:rPr>
      </w:pPr>
    </w:p>
    <w:p>
      <w:pPr>
        <w:ind w:right="200" w:firstLine="55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3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Jennifer Good</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President and Chief Executive Officer, 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Jennifer Good</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440" w:type="dxa"/>
            <w:vAlign w:val="bottom"/>
          </w:tcPr>
          <w:p>
            <w:pPr>
              <w:spacing w:after="0"/>
              <w:rPr>
                <w:sz w:val="19"/>
                <w:szCs w:val="19"/>
                <w:color w:val="auto"/>
              </w:rPr>
            </w:pPr>
          </w:p>
        </w:tc>
      </w:tr>
      <w:tr>
        <w:trPr>
          <w:trHeight w:val="44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Lisa Delfini</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3"/>
              </w:rPr>
              <w:t>Lisa Delfini</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Financial Officer)</w:t>
            </w:r>
          </w:p>
        </w:tc>
        <w:tc>
          <w:tcPr>
            <w:tcW w:w="2440" w:type="dxa"/>
            <w:vAlign w:val="bottom"/>
          </w:tcPr>
          <w:p>
            <w:pPr>
              <w:spacing w:after="0"/>
              <w:rPr>
                <w:sz w:val="19"/>
                <w:szCs w:val="19"/>
                <w:color w:val="auto"/>
              </w:rPr>
            </w:pPr>
          </w:p>
        </w:tc>
      </w:tr>
      <w:tr>
        <w:trPr>
          <w:trHeight w:val="44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Christopher Galletta</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Controller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Christopher Galletta</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440" w:type="dxa"/>
            <w:vAlign w:val="bottom"/>
          </w:tcPr>
          <w:p>
            <w:pPr>
              <w:spacing w:after="0"/>
              <w:rPr>
                <w:sz w:val="19"/>
                <w:szCs w:val="19"/>
                <w:color w:val="auto"/>
              </w:rPr>
            </w:pPr>
          </w:p>
        </w:tc>
      </w:tr>
      <w:tr>
        <w:trPr>
          <w:trHeight w:val="44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Meeker, M.D.</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Chairman of the Board</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5"/>
              </w:rPr>
              <w:t>David Meeker, M.D.</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53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James V. Cassella, Ph.D.</w:t>
            </w:r>
          </w:p>
        </w:tc>
        <w:tc>
          <w:tcPr>
            <w:tcW w:w="120" w:type="dxa"/>
            <w:vAlign w:val="bottom"/>
          </w:tcPr>
          <w:p>
            <w:pPr>
              <w:spacing w:after="0"/>
              <w:rPr>
                <w:sz w:val="24"/>
                <w:szCs w:val="24"/>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James V. Cassella, Ph.D.</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Dominick Colangelo</w:t>
            </w:r>
          </w:p>
        </w:tc>
        <w:tc>
          <w:tcPr>
            <w:tcW w:w="120" w:type="dxa"/>
            <w:vAlign w:val="bottom"/>
          </w:tcPr>
          <w:p>
            <w:pPr>
              <w:spacing w:after="0"/>
              <w:rPr>
                <w:sz w:val="24"/>
                <w:szCs w:val="24"/>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Dominick Colangelo</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53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Michael Heffernan</w:t>
            </w:r>
          </w:p>
        </w:tc>
        <w:tc>
          <w:tcPr>
            <w:tcW w:w="120" w:type="dxa"/>
            <w:vAlign w:val="bottom"/>
          </w:tcPr>
          <w:p>
            <w:pPr>
              <w:spacing w:after="0"/>
              <w:rPr>
                <w:sz w:val="24"/>
                <w:szCs w:val="24"/>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4"/>
              </w:rPr>
              <w:t>Michael Heffernan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53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Edward Mathers</w:t>
            </w:r>
          </w:p>
        </w:tc>
        <w:tc>
          <w:tcPr>
            <w:tcW w:w="120" w:type="dxa"/>
            <w:vAlign w:val="bottom"/>
          </w:tcPr>
          <w:p>
            <w:pPr>
              <w:spacing w:after="0"/>
              <w:rPr>
                <w:sz w:val="24"/>
                <w:szCs w:val="24"/>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4"/>
              </w:rPr>
              <w:t>Edward Mathers</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53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Anne VanLent</w:t>
            </w:r>
          </w:p>
        </w:tc>
        <w:tc>
          <w:tcPr>
            <w:tcW w:w="120" w:type="dxa"/>
            <w:vAlign w:val="bottom"/>
          </w:tcPr>
          <w:p>
            <w:pPr>
              <w:spacing w:after="0"/>
              <w:rPr>
                <w:sz w:val="24"/>
                <w:szCs w:val="24"/>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17,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Anne VanLent</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ind w:left="4700"/>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680" w:type="dxa"/>
            <w:vAlign w:val="bottom"/>
            <w:gridSpan w:val="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Report of Independent Registered Public Accounting Firm</w:t>
              </w:r>
            </w:hyperlink>
          </w:p>
        </w:tc>
        <w:tc>
          <w:tcPr>
            <w:tcW w:w="6220" w:type="dxa"/>
            <w:vAlign w:val="bottom"/>
          </w:tcPr>
          <w:p>
            <w:pPr>
              <w:ind w:left="5640"/>
              <w:spacing w:after="0"/>
              <w:rPr>
                <w:sz w:val="20"/>
                <w:szCs w:val="20"/>
                <w:color w:val="auto"/>
              </w:rPr>
            </w:pPr>
            <w:r>
              <w:rPr>
                <w:rFonts w:ascii="Arial" w:cs="Arial" w:eastAsia="Arial" w:hAnsi="Arial"/>
                <w:sz w:val="18"/>
                <w:szCs w:val="18"/>
                <w:color w:val="auto"/>
              </w:rPr>
              <w:t>F-2</w:t>
            </w:r>
          </w:p>
        </w:tc>
      </w:tr>
      <w:tr>
        <w:trPr>
          <w:trHeight w:val="438"/>
        </w:trPr>
        <w:tc>
          <w:tcPr>
            <w:tcW w:w="340" w:type="dxa"/>
            <w:vAlign w:val="bottom"/>
          </w:tcPr>
          <w:p>
            <w:pPr>
              <w:spacing w:after="0"/>
              <w:rPr>
                <w:sz w:val="24"/>
                <w:szCs w:val="24"/>
                <w:color w:val="auto"/>
              </w:rPr>
            </w:pPr>
          </w:p>
        </w:tc>
        <w:tc>
          <w:tcPr>
            <w:tcW w:w="4200" w:type="dxa"/>
            <w:vAlign w:val="bottom"/>
            <w:tcBorders>
              <w:top w:val="single" w:sz="8" w:color="0000EE"/>
            </w:tcBorders>
            <w:gridSpan w:val="6"/>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48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190"/>
        </w:trPr>
        <w:tc>
          <w:tcPr>
            <w:tcW w:w="340" w:type="dxa"/>
            <w:vAlign w:val="bottom"/>
          </w:tcPr>
          <w:p>
            <w:pPr>
              <w:spacing w:after="0"/>
              <w:rPr>
                <w:sz w:val="16"/>
                <w:szCs w:val="16"/>
                <w:color w:val="auto"/>
              </w:rPr>
            </w:pPr>
          </w:p>
        </w:tc>
        <w:tc>
          <w:tcPr>
            <w:tcW w:w="4680" w:type="dxa"/>
            <w:vAlign w:val="bottom"/>
            <w:gridSpan w:val="7"/>
          </w:tcPr>
          <w:p>
            <w:pPr>
              <w:spacing w:after="0" w:line="190"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Balance Sheets</w:t>
              </w:r>
            </w:hyperlink>
          </w:p>
        </w:tc>
        <w:tc>
          <w:tcPr>
            <w:tcW w:w="6220" w:type="dxa"/>
            <w:vAlign w:val="bottom"/>
          </w:tcPr>
          <w:p>
            <w:pPr>
              <w:ind w:left="5640"/>
              <w:spacing w:after="0" w:line="190" w:lineRule="exact"/>
              <w:rPr>
                <w:sz w:val="20"/>
                <w:szCs w:val="20"/>
                <w:color w:val="auto"/>
              </w:rPr>
            </w:pPr>
            <w:r>
              <w:rPr>
                <w:rFonts w:ascii="Arial" w:cs="Arial" w:eastAsia="Arial" w:hAnsi="Arial"/>
                <w:sz w:val="18"/>
                <w:szCs w:val="18"/>
                <w:color w:val="auto"/>
              </w:rPr>
              <w:t>F-3</w:t>
            </w:r>
          </w:p>
        </w:tc>
      </w:tr>
      <w:tr>
        <w:trPr>
          <w:trHeight w:val="20"/>
        </w:trPr>
        <w:tc>
          <w:tcPr>
            <w:tcW w:w="3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680" w:type="dxa"/>
            <w:vAlign w:val="bottom"/>
            <w:gridSpan w:val="7"/>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Operations</w:t>
              </w:r>
            </w:hyperlink>
          </w:p>
        </w:tc>
        <w:tc>
          <w:tcPr>
            <w:tcW w:w="6220" w:type="dxa"/>
            <w:vAlign w:val="bottom"/>
          </w:tcPr>
          <w:p>
            <w:pPr>
              <w:ind w:left="5640"/>
              <w:spacing w:after="0" w:line="196" w:lineRule="exact"/>
              <w:rPr>
                <w:sz w:val="20"/>
                <w:szCs w:val="20"/>
                <w:color w:val="auto"/>
              </w:rPr>
            </w:pPr>
            <w:r>
              <w:rPr>
                <w:rFonts w:ascii="Arial" w:cs="Arial" w:eastAsia="Arial" w:hAnsi="Arial"/>
                <w:sz w:val="18"/>
                <w:szCs w:val="18"/>
                <w:color w:val="auto"/>
              </w:rPr>
              <w:t>F-4</w:t>
            </w:r>
          </w:p>
        </w:tc>
      </w:tr>
      <w:tr>
        <w:trPr>
          <w:trHeight w:val="20"/>
        </w:trPr>
        <w:tc>
          <w:tcPr>
            <w:tcW w:w="3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680" w:type="dxa"/>
            <w:vAlign w:val="bottom"/>
            <w:gridSpan w:val="7"/>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Stockholders’ Equity</w:t>
              </w:r>
            </w:hyperlink>
          </w:p>
        </w:tc>
        <w:tc>
          <w:tcPr>
            <w:tcW w:w="6220" w:type="dxa"/>
            <w:vAlign w:val="bottom"/>
          </w:tcPr>
          <w:p>
            <w:pPr>
              <w:ind w:left="5640"/>
              <w:spacing w:after="0" w:line="196" w:lineRule="exact"/>
              <w:rPr>
                <w:sz w:val="20"/>
                <w:szCs w:val="20"/>
                <w:color w:val="auto"/>
              </w:rPr>
            </w:pPr>
            <w:r>
              <w:rPr>
                <w:rFonts w:ascii="Arial" w:cs="Arial" w:eastAsia="Arial" w:hAnsi="Arial"/>
                <w:sz w:val="18"/>
                <w:szCs w:val="18"/>
                <w:color w:val="auto"/>
              </w:rPr>
              <w:t>F-5</w:t>
            </w:r>
          </w:p>
        </w:tc>
      </w:tr>
      <w:tr>
        <w:trPr>
          <w:trHeight w:val="196"/>
        </w:trPr>
        <w:tc>
          <w:tcPr>
            <w:tcW w:w="340" w:type="dxa"/>
            <w:vAlign w:val="bottom"/>
          </w:tcPr>
          <w:p>
            <w:pPr>
              <w:spacing w:after="0"/>
              <w:rPr>
                <w:sz w:val="17"/>
                <w:szCs w:val="17"/>
                <w:color w:val="auto"/>
              </w:rPr>
            </w:pPr>
          </w:p>
        </w:tc>
        <w:tc>
          <w:tcPr>
            <w:tcW w:w="35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Consolidated Statements of Cash Flows</w:t>
              </w:r>
            </w:hyperlink>
          </w:p>
        </w:tc>
        <w:tc>
          <w:tcPr>
            <w:tcW w:w="1140" w:type="dxa"/>
            <w:vAlign w:val="bottom"/>
            <w:gridSpan w:val="2"/>
          </w:tcPr>
          <w:p>
            <w:pPr>
              <w:spacing w:after="0"/>
              <w:rPr>
                <w:sz w:val="17"/>
                <w:szCs w:val="17"/>
                <w:color w:val="auto"/>
              </w:rPr>
            </w:pPr>
          </w:p>
        </w:tc>
        <w:tc>
          <w:tcPr>
            <w:tcW w:w="6220" w:type="dxa"/>
            <w:vAlign w:val="bottom"/>
          </w:tcPr>
          <w:p>
            <w:pPr>
              <w:ind w:left="5640"/>
              <w:spacing w:after="0" w:line="196" w:lineRule="exact"/>
              <w:rPr>
                <w:sz w:val="20"/>
                <w:szCs w:val="20"/>
                <w:color w:val="auto"/>
              </w:rPr>
            </w:pPr>
            <w:r>
              <w:rPr>
                <w:rFonts w:ascii="Arial" w:cs="Arial" w:eastAsia="Arial" w:hAnsi="Arial"/>
                <w:sz w:val="18"/>
                <w:szCs w:val="18"/>
                <w:color w:val="auto"/>
              </w:rPr>
              <w:t>F-6</w:t>
            </w:r>
          </w:p>
        </w:tc>
      </w:tr>
      <w:tr>
        <w:trPr>
          <w:trHeight w:val="20"/>
        </w:trPr>
        <w:tc>
          <w:tcPr>
            <w:tcW w:w="3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680" w:type="dxa"/>
            <w:vAlign w:val="bottom"/>
            <w:gridSpan w:val="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Notes to Consolidated Financial Statements</w:t>
              </w:r>
            </w:hyperlink>
          </w:p>
        </w:tc>
        <w:tc>
          <w:tcPr>
            <w:tcW w:w="6220" w:type="dxa"/>
            <w:vAlign w:val="bottom"/>
          </w:tcPr>
          <w:p>
            <w:pPr>
              <w:ind w:left="5640"/>
              <w:spacing w:after="0" w:line="196" w:lineRule="exact"/>
              <w:rPr>
                <w:sz w:val="20"/>
                <w:szCs w:val="20"/>
                <w:color w:val="auto"/>
              </w:rPr>
            </w:pPr>
            <w:r>
              <w:rPr>
                <w:rFonts w:ascii="Arial" w:cs="Arial" w:eastAsia="Arial" w:hAnsi="Arial"/>
                <w:sz w:val="18"/>
                <w:szCs w:val="18"/>
                <w:color w:val="auto"/>
              </w:rPr>
              <w:t>F-7</w:t>
            </w:r>
          </w:p>
        </w:tc>
      </w:tr>
      <w:tr>
        <w:trPr>
          <w:trHeight w:val="682"/>
        </w:trPr>
        <w:tc>
          <w:tcPr>
            <w:tcW w:w="34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20" w:type="dxa"/>
            <w:vAlign w:val="bottom"/>
          </w:tcPr>
          <w:p>
            <w:pPr>
              <w:ind w:left="480"/>
              <w:spacing w:after="0"/>
              <w:rPr>
                <w:sz w:val="20"/>
                <w:szCs w:val="20"/>
                <w:color w:val="auto"/>
              </w:rPr>
            </w:pPr>
            <w:r>
              <w:rPr>
                <w:rFonts w:ascii="Arial" w:cs="Arial" w:eastAsia="Arial" w:hAnsi="Arial"/>
                <w:sz w:val="18"/>
                <w:szCs w:val="18"/>
                <w:color w:val="auto"/>
              </w:rPr>
              <w:t>F-1</w:t>
            </w:r>
          </w:p>
        </w:tc>
      </w:tr>
      <w:tr>
        <w:trPr>
          <w:trHeight w:val="115"/>
        </w:trPr>
        <w:tc>
          <w:tcPr>
            <w:tcW w:w="3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5" w:name="page106"/>
    <w:bookmarkEnd w:id="10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Trevi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audited the accompanying consolidated balance sheets of Trevi Therapeutics, Inc. (the Company) as of December 31, 2021 and 2020, the related consolidated statements of operations</w:t>
      </w:r>
      <w:r>
        <w:rPr>
          <w:rFonts w:ascii="Arial" w:cs="Arial" w:eastAsia="Arial" w:hAnsi="Arial"/>
          <w:sz w:val="18"/>
          <w:szCs w:val="18"/>
          <w:b w:val="1"/>
          <w:bCs w:val="1"/>
          <w:color w:val="auto"/>
        </w:rPr>
        <w:t>,</w:t>
      </w:r>
      <w:r>
        <w:rPr>
          <w:rFonts w:ascii="Arial" w:cs="Arial" w:eastAsia="Arial" w:hAnsi="Arial"/>
          <w:sz w:val="18"/>
          <w:szCs w:val="18"/>
          <w:color w:val="auto"/>
        </w:rPr>
        <w:t xml:space="preserve">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-556895</wp:posOffset>
            </wp:positionV>
            <wp:extent cx="2540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suffered recurring losses from operations, has negative cash flows from operations, an accumulated deficit,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8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Current 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36,830</w:t>
            </w:r>
          </w:p>
        </w:tc>
        <w:tc>
          <w:tcPr>
            <w:tcW w:w="160" w:type="dxa"/>
            <w:vAlign w:val="bottom"/>
          </w:tcPr>
          <w:p>
            <w:pPr>
              <w:spacing w:after="0"/>
              <w:rPr>
                <w:sz w:val="18"/>
                <w:szCs w:val="18"/>
                <w:color w:val="auto"/>
              </w:rPr>
            </w:pP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45,001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Prepaid expenses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Other current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37,957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46,269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Property, equipment and leasehold improvements, net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38,475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47,131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2,849</w:t>
            </w:r>
          </w:p>
        </w:tc>
        <w:tc>
          <w:tcPr>
            <w:tcW w:w="160" w:type="dxa"/>
            <w:vAlign w:val="bottom"/>
          </w:tcPr>
          <w:p>
            <w:pPr>
              <w:spacing w:after="0"/>
              <w:rPr>
                <w:sz w:val="18"/>
                <w:szCs w:val="18"/>
                <w:color w:val="auto"/>
              </w:rPr>
            </w:pP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expenses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Term loan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Term loan derivative liability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Operating lease liability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7"/>
                <w:szCs w:val="17"/>
                <w:color w:val="auto"/>
              </w:rPr>
              <w:t>Term loan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8,652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lease liability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21,400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80" w:type="dxa"/>
            <w:vAlign w:val="bottom"/>
          </w:tcPr>
          <w:p>
            <w:pPr>
              <w:spacing w:after="0"/>
              <w:rPr>
                <w:sz w:val="20"/>
                <w:szCs w:val="20"/>
                <w:color w:val="auto"/>
              </w:rPr>
            </w:pPr>
            <w:r>
              <w:rPr>
                <w:rFonts w:ascii="Arial" w:cs="Arial" w:eastAsia="Arial" w:hAnsi="Arial"/>
                <w:sz w:val="17"/>
                <w:szCs w:val="17"/>
                <w:color w:val="auto"/>
              </w:rPr>
              <w:t>Commitments and contingencies (Note 11)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tcPr>
          <w:p>
            <w:pPr>
              <w:ind w:left="260"/>
              <w:spacing w:after="0"/>
              <w:rPr>
                <w:sz w:val="20"/>
                <w:szCs w:val="20"/>
                <w:color w:val="auto"/>
              </w:rPr>
            </w:pPr>
            <w:r>
              <w:rPr>
                <w:rFonts w:ascii="Arial" w:cs="Arial" w:eastAsia="Arial" w:hAnsi="Arial"/>
                <w:sz w:val="17"/>
                <w:szCs w:val="17"/>
                <w:color w:val="auto"/>
                <w:w w:val="93"/>
              </w:rPr>
              <w:t>Preferred stock: $0.001 par value; 5,000,000 shares authorized at December 31, 2021 and December 31,</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680" w:type="dxa"/>
            <w:vAlign w:val="bottom"/>
          </w:tcPr>
          <w:p>
            <w:pPr>
              <w:ind w:left="260"/>
              <w:spacing w:after="0"/>
              <w:rPr>
                <w:sz w:val="20"/>
                <w:szCs w:val="20"/>
                <w:color w:val="auto"/>
              </w:rPr>
            </w:pPr>
            <w:r>
              <w:rPr>
                <w:rFonts w:ascii="Arial" w:cs="Arial" w:eastAsia="Arial" w:hAnsi="Arial"/>
                <w:sz w:val="17"/>
                <w:szCs w:val="17"/>
                <w:color w:val="auto"/>
              </w:rPr>
              <w:t>2020; no shares issued or outstanding at December 31, 2021 or December 31, 2020.</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4"/>
              </w:rPr>
              <w:t>Common stock: $0.001 par value; 200,000,000 shares authorized at December 31, 2021 and December</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7"/>
              </w:rPr>
              <w:t>31, 2020; and 28,505,804 and 18,546,786 shares issued and outstanding at December 31, 2021 and</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December 31, 2020, respectively.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197,963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174,240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(180,917)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(146,977)</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17,075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27,282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38,475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47,131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4520" w:type="dxa"/>
            <w:vAlign w:val="bottom"/>
            <w:tcBorders>
              <w:bottom w:val="single" w:sz="8" w:color="CFF0FC"/>
            </w:tcBorders>
          </w:tcPr>
          <w:p>
            <w:pPr>
              <w:spacing w:after="0"/>
              <w:rPr>
                <w:sz w:val="13"/>
                <w:szCs w:val="13"/>
                <w:color w:val="auto"/>
              </w:rPr>
            </w:pPr>
          </w:p>
        </w:tc>
        <w:tc>
          <w:tcPr>
            <w:tcW w:w="32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22,984</w:t>
            </w:r>
          </w:p>
        </w:tc>
        <w:tc>
          <w:tcPr>
            <w:tcW w:w="180" w:type="dxa"/>
            <w:vAlign w:val="bottom"/>
          </w:tcPr>
          <w:p>
            <w:pPr>
              <w:spacing w:after="0"/>
              <w:rPr>
                <w:sz w:val="19"/>
                <w:szCs w:val="19"/>
                <w:color w:val="auto"/>
              </w:rPr>
            </w:pP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Other (expense) income:</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3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net</w:t>
            </w:r>
          </w:p>
        </w:tc>
        <w:tc>
          <w:tcPr>
            <w:tcW w:w="3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w:t>
            </w:r>
          </w:p>
        </w:tc>
        <w:tc>
          <w:tcPr>
            <w:tcW w:w="3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2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(33,940)</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Basic and diluted net loss per common share outstanding</w:t>
            </w:r>
          </w:p>
        </w:tc>
        <w:tc>
          <w:tcPr>
            <w:tcW w:w="3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w w:val="91"/>
              </w:rPr>
              <w:t>Weighted average common shares used in net loss per share</w:t>
            </w:r>
          </w:p>
        </w:tc>
        <w:tc>
          <w:tcPr>
            <w:tcW w:w="3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vMerge w:val="continue"/>
          </w:tcPr>
          <w:p>
            <w:pPr>
              <w:spacing w:after="0"/>
              <w:rPr>
                <w:sz w:val="17"/>
                <w:szCs w:val="17"/>
                <w:color w:val="auto"/>
              </w:rPr>
            </w:pPr>
          </w:p>
        </w:tc>
        <w:tc>
          <w:tcPr>
            <w:tcW w:w="3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3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22,841,481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18,059,011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60" w:type="dxa"/>
            <w:vAlign w:val="bottom"/>
            <w:vMerge w:val="restart"/>
          </w:tcPr>
          <w:p>
            <w:pPr>
              <w:jc w:val="right"/>
              <w:ind w:right="1150"/>
              <w:spacing w:after="0"/>
              <w:rPr>
                <w:sz w:val="20"/>
                <w:szCs w:val="20"/>
                <w:color w:val="auto"/>
              </w:rPr>
            </w:pPr>
            <w:r>
              <w:rPr>
                <w:rFonts w:ascii="Arial" w:cs="Arial" w:eastAsia="Arial" w:hAnsi="Arial"/>
                <w:sz w:val="18"/>
                <w:szCs w:val="18"/>
                <w:color w:val="auto"/>
                <w:w w:val="96"/>
              </w:rPr>
              <w:t>See accompanying notes.</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tcPr>
          <w:p>
            <w:pPr>
              <w:spacing w:after="0"/>
              <w:rPr>
                <w:sz w:val="17"/>
                <w:szCs w:val="17"/>
                <w:color w:val="auto"/>
              </w:rPr>
            </w:pPr>
          </w:p>
        </w:tc>
        <w:tc>
          <w:tcPr>
            <w:tcW w:w="32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4520" w:type="dxa"/>
            <w:vAlign w:val="bottom"/>
          </w:tcPr>
          <w:p>
            <w:pPr>
              <w:spacing w:after="0"/>
              <w:rPr>
                <w:sz w:val="24"/>
                <w:szCs w:val="24"/>
                <w:color w:val="auto"/>
              </w:rPr>
            </w:pPr>
          </w:p>
        </w:tc>
        <w:tc>
          <w:tcPr>
            <w:tcW w:w="3600" w:type="dxa"/>
            <w:vAlign w:val="bottom"/>
            <w:gridSpan w:val="2"/>
          </w:tcPr>
          <w:p>
            <w:pPr>
              <w:jc w:val="right"/>
              <w:ind w:right="2307"/>
              <w:spacing w:after="0"/>
              <w:rPr>
                <w:sz w:val="20"/>
                <w:szCs w:val="20"/>
                <w:color w:val="auto"/>
              </w:rPr>
            </w:pPr>
            <w:r>
              <w:rPr>
                <w:rFonts w:ascii="Arial" w:cs="Arial" w:eastAsia="Arial" w:hAnsi="Arial"/>
                <w:sz w:val="18"/>
                <w:szCs w:val="18"/>
                <w:color w:val="auto"/>
              </w:rPr>
              <w:t>F-4</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40" w:type="dxa"/>
            <w:vAlign w:val="bottom"/>
            <w:gridSpan w:val="3"/>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0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Paid-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128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68"/>
              <w:spacing w:after="0" w:line="155" w:lineRule="exact"/>
              <w:rPr>
                <w:sz w:val="20"/>
                <w:szCs w:val="20"/>
                <w:color w:val="auto"/>
              </w:rPr>
            </w:pPr>
            <w:r>
              <w:rPr>
                <w:rFonts w:ascii="Arial" w:cs="Arial" w:eastAsia="Arial" w:hAnsi="Arial"/>
                <w:sz w:val="14"/>
                <w:szCs w:val="14"/>
                <w:b w:val="1"/>
                <w:bCs w:val="1"/>
                <w:color w:val="auto"/>
                <w:w w:val="95"/>
              </w:rPr>
              <w:t>in Capital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17,834,570</w:t>
            </w: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18</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168,746</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(114,219)</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54,545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from 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18,343</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Issuance of common stock from employee stock purchase plan</w:t>
            </w:r>
          </w:p>
        </w:tc>
        <w:tc>
          <w:tcPr>
            <w:tcW w:w="1080" w:type="dxa"/>
            <w:vAlign w:val="bottom"/>
          </w:tcPr>
          <w:p>
            <w:pPr>
              <w:jc w:val="right"/>
              <w:spacing w:after="0"/>
              <w:rPr>
                <w:sz w:val="20"/>
                <w:szCs w:val="20"/>
                <w:color w:val="auto"/>
              </w:rPr>
            </w:pPr>
            <w:r>
              <w:rPr>
                <w:rFonts w:ascii="Arial" w:cs="Arial" w:eastAsia="Arial" w:hAnsi="Arial"/>
                <w:sz w:val="14"/>
                <w:szCs w:val="14"/>
                <w:color w:val="auto"/>
              </w:rPr>
              <w:t>5,997</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the at-the-market sales agreement, net of</w:t>
            </w:r>
          </w:p>
        </w:tc>
        <w:tc>
          <w:tcPr>
            <w:tcW w:w="10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commissions and allocated fees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687,876</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loss</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(32,758)</w:t>
            </w:r>
          </w:p>
        </w:tc>
        <w:tc>
          <w:tcPr>
            <w:tcW w:w="1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(32,758)</w:t>
            </w:r>
          </w:p>
        </w:tc>
        <w:tc>
          <w:tcPr>
            <w:tcW w:w="0" w:type="dxa"/>
            <w:vAlign w:val="bottom"/>
          </w:tcPr>
          <w:p>
            <w:pPr>
              <w:spacing w:after="0"/>
              <w:rPr>
                <w:sz w:val="1"/>
                <w:szCs w:val="1"/>
                <w:color w:val="auto"/>
              </w:rPr>
            </w:pPr>
          </w:p>
        </w:tc>
      </w:tr>
      <w:tr>
        <w:trPr>
          <w:trHeight w:val="156"/>
        </w:trPr>
        <w:tc>
          <w:tcPr>
            <w:tcW w:w="4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2020</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18,546,786</w:t>
            </w: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19</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174,240</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(146,977)</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27,282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from employee stock purchase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42,290</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the at-the-market sales agreement, net of</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commissions and allocated fees</w:t>
            </w:r>
          </w:p>
        </w:tc>
        <w:tc>
          <w:tcPr>
            <w:tcW w:w="1080" w:type="dxa"/>
            <w:vAlign w:val="bottom"/>
          </w:tcPr>
          <w:p>
            <w:pPr>
              <w:jc w:val="right"/>
              <w:spacing w:after="0"/>
              <w:rPr>
                <w:sz w:val="20"/>
                <w:szCs w:val="20"/>
                <w:color w:val="auto"/>
              </w:rPr>
            </w:pPr>
            <w:r>
              <w:rPr>
                <w:rFonts w:ascii="Arial" w:cs="Arial" w:eastAsia="Arial" w:hAnsi="Arial"/>
                <w:sz w:val="14"/>
                <w:szCs w:val="14"/>
                <w:color w:val="auto"/>
              </w:rPr>
              <w:t>2,895,518</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7,092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to Lincoln Park Capital Fund (see Note 7)</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170,088</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line="143" w:lineRule="exact"/>
              <w:rPr>
                <w:sz w:val="20"/>
                <w:szCs w:val="20"/>
                <w:color w:val="auto"/>
              </w:rPr>
            </w:pPr>
            <w:r>
              <w:rPr>
                <w:rFonts w:ascii="Arial" w:cs="Arial" w:eastAsia="Arial" w:hAnsi="Arial"/>
                <w:sz w:val="14"/>
                <w:szCs w:val="14"/>
                <w:color w:val="auto"/>
                <w:w w:val="93"/>
              </w:rPr>
              <w:t>Issuance of common stock and warrants under private placements, less issuance</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costs</w:t>
            </w:r>
          </w:p>
        </w:tc>
        <w:tc>
          <w:tcPr>
            <w:tcW w:w="1080" w:type="dxa"/>
            <w:vAlign w:val="bottom"/>
          </w:tcPr>
          <w:p>
            <w:pPr>
              <w:jc w:val="right"/>
              <w:spacing w:after="0"/>
              <w:rPr>
                <w:sz w:val="20"/>
                <w:szCs w:val="20"/>
                <w:color w:val="auto"/>
              </w:rPr>
            </w:pPr>
            <w:r>
              <w:rPr>
                <w:rFonts w:ascii="Arial" w:cs="Arial" w:eastAsia="Arial" w:hAnsi="Arial"/>
                <w:sz w:val="14"/>
                <w:szCs w:val="14"/>
                <w:color w:val="auto"/>
              </w:rPr>
              <w:t>4,225,053</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from warrant exercise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2,626,069</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loss</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(33,940)</w:t>
            </w:r>
          </w:p>
        </w:tc>
        <w:tc>
          <w:tcPr>
            <w:tcW w:w="1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(33,940)</w:t>
            </w:r>
          </w:p>
        </w:tc>
        <w:tc>
          <w:tcPr>
            <w:tcW w:w="0" w:type="dxa"/>
            <w:vAlign w:val="bottom"/>
          </w:tcPr>
          <w:p>
            <w:pPr>
              <w:spacing w:after="0"/>
              <w:rPr>
                <w:sz w:val="1"/>
                <w:szCs w:val="1"/>
                <w:color w:val="auto"/>
              </w:rPr>
            </w:pPr>
          </w:p>
        </w:tc>
      </w:tr>
      <w:tr>
        <w:trPr>
          <w:trHeight w:val="155"/>
        </w:trPr>
        <w:tc>
          <w:tcPr>
            <w:tcW w:w="47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2021</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28,505,804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29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197,963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(180,917)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17,075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7"/>
                <w:szCs w:val="17"/>
                <w:color w:val="auto"/>
              </w:rPr>
              <w:t>Net loss</w:t>
            </w: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(33,940)</w:t>
            </w:r>
          </w:p>
        </w:tc>
        <w:tc>
          <w:tcPr>
            <w:tcW w:w="800" w:type="dxa"/>
            <w:vAlign w:val="bottom"/>
            <w:gridSpan w:val="2"/>
          </w:tcPr>
          <w:p>
            <w:pPr>
              <w:jc w:val="right"/>
              <w:ind w:right="525"/>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(32,758)</w:t>
            </w: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60"/>
              <w:spacing w:after="0"/>
              <w:rPr>
                <w:sz w:val="20"/>
                <w:szCs w:val="20"/>
                <w:color w:val="auto"/>
              </w:rPr>
            </w:pPr>
            <w:r>
              <w:rPr>
                <w:rFonts w:ascii="Arial" w:cs="Arial" w:eastAsia="Arial" w:hAnsi="Arial"/>
                <w:sz w:val="17"/>
                <w:szCs w:val="17"/>
                <w:color w:val="auto"/>
              </w:rPr>
              <w:t>Depreciation</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0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60"/>
              <w:spacing w:after="0"/>
              <w:rPr>
                <w:sz w:val="20"/>
                <w:szCs w:val="20"/>
                <w:color w:val="auto"/>
              </w:rPr>
            </w:pPr>
            <w:r>
              <w:rPr>
                <w:rFonts w:ascii="Arial" w:cs="Arial" w:eastAsia="Arial" w:hAnsi="Arial"/>
                <w:sz w:val="17"/>
                <w:szCs w:val="17"/>
                <w:color w:val="auto"/>
              </w:rPr>
              <w:t>Accretion/accrual of term loan discounts and debt issuance costs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expense related to transaction with Lincoln Park Capital Fund, LLC</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260"/>
              <w:spacing w:after="0"/>
              <w:rPr>
                <w:sz w:val="20"/>
                <w:szCs w:val="20"/>
                <w:color w:val="auto"/>
              </w:rPr>
            </w:pPr>
            <w:r>
              <w:rPr>
                <w:rFonts w:ascii="Arial" w:cs="Arial" w:eastAsia="Arial" w:hAnsi="Arial"/>
                <w:sz w:val="17"/>
                <w:szCs w:val="17"/>
                <w:color w:val="auto"/>
              </w:rPr>
              <w:t>Stock-based compensation</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7"/>
                <w:szCs w:val="17"/>
                <w:color w:val="auto"/>
              </w:rPr>
              <w:t>Changes in operating assets and liabilities: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Accounts payable</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500"/>
              <w:spacing w:after="0"/>
              <w:rPr>
                <w:sz w:val="20"/>
                <w:szCs w:val="20"/>
                <w:color w:val="auto"/>
              </w:rPr>
            </w:pPr>
            <w:r>
              <w:rPr>
                <w:rFonts w:ascii="Arial" w:cs="Arial" w:eastAsia="Arial" w:hAnsi="Arial"/>
                <w:sz w:val="17"/>
                <w:szCs w:val="17"/>
                <w:color w:val="auto"/>
              </w:rPr>
              <w:t>Accrued expenses and other liabilities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9"/>
        </w:trPr>
        <w:tc>
          <w:tcPr>
            <w:tcW w:w="73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operating activities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(28,946)</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(29,000)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80" w:type="dxa"/>
            <w:vAlign w:val="bottom"/>
            <w:shd w:val="clear" w:color="auto" w:fill="CFF0FC"/>
          </w:tcPr>
          <w:p>
            <w:pPr>
              <w:spacing w:after="0"/>
              <w:rPr>
                <w:sz w:val="20"/>
                <w:szCs w:val="20"/>
                <w:color w:val="auto"/>
              </w:rPr>
            </w:pPr>
            <w:r>
              <w:rPr>
                <w:rFonts w:ascii="Arial" w:cs="Arial" w:eastAsia="Arial" w:hAnsi="Arial"/>
                <w:sz w:val="17"/>
                <w:szCs w:val="17"/>
                <w:color w:val="auto"/>
              </w:rPr>
              <w:t>Purchases of property, equipment and leasehold improvements</w:t>
            </w: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used in investing activities</w:t>
            </w:r>
          </w:p>
        </w:tc>
        <w:tc>
          <w:tcPr>
            <w:tcW w:w="10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Financing activities: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7"/>
                <w:szCs w:val="17"/>
                <w:color w:val="auto"/>
              </w:rPr>
              <w:t>Proceeds from term loan</w:t>
            </w:r>
          </w:p>
        </w:tc>
        <w:tc>
          <w:tcPr>
            <w:tcW w:w="10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7"/>
                <w:szCs w:val="17"/>
                <w:color w:val="auto"/>
              </w:rPr>
              <w:t>Payments of financing costs of term loan</w:t>
            </w: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7"/>
                <w:szCs w:val="17"/>
                <w:color w:val="auto"/>
              </w:rPr>
              <w:t>Proceeds from at-the-market sales, net of commissions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7,505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7"/>
                <w:szCs w:val="17"/>
                <w:color w:val="auto"/>
              </w:rPr>
              <w:t>Proceeds from exercises of stock options</w:t>
            </w: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7"/>
                <w:szCs w:val="17"/>
                <w:color w:val="auto"/>
              </w:rPr>
              <w:t>Proceeds from employee stock purchase plan</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7"/>
                <w:szCs w:val="17"/>
                <w:color w:val="auto"/>
              </w:rPr>
              <w:t>Proceeds from exercises of warrants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7380" w:type="dxa"/>
            <w:vAlign w:val="bottom"/>
          </w:tcPr>
          <w:p>
            <w:pPr>
              <w:spacing w:after="0"/>
              <w:rPr>
                <w:sz w:val="20"/>
                <w:szCs w:val="20"/>
                <w:color w:val="auto"/>
              </w:rPr>
            </w:pPr>
            <w:r>
              <w:rPr>
                <w:rFonts w:ascii="Arial" w:cs="Arial" w:eastAsia="Arial" w:hAnsi="Arial"/>
                <w:sz w:val="17"/>
                <w:szCs w:val="17"/>
                <w:color w:val="auto"/>
              </w:rPr>
              <w:t>Proceeds from sale of common stock and warrants under private placement,</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80" w:type="dxa"/>
            <w:vAlign w:val="bottom"/>
          </w:tcPr>
          <w:p>
            <w:pPr>
              <w:ind w:left="140"/>
              <w:spacing w:after="0"/>
              <w:rPr>
                <w:sz w:val="20"/>
                <w:szCs w:val="20"/>
                <w:color w:val="auto"/>
              </w:rPr>
            </w:pPr>
            <w:r>
              <w:rPr>
                <w:rFonts w:ascii="Arial" w:cs="Arial" w:eastAsia="Arial" w:hAnsi="Arial"/>
                <w:sz w:val="17"/>
                <w:szCs w:val="17"/>
                <w:color w:val="auto"/>
              </w:rPr>
              <w:t>net of issuance costs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13,678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shd w:val="clear" w:color="auto" w:fill="CFF0FC"/>
          </w:tcPr>
          <w:p>
            <w:pPr>
              <w:spacing w:after="0"/>
              <w:rPr>
                <w:sz w:val="20"/>
                <w:szCs w:val="20"/>
                <w:color w:val="auto"/>
              </w:rPr>
            </w:pPr>
            <w:r>
              <w:rPr>
                <w:rFonts w:ascii="Arial" w:cs="Arial" w:eastAsia="Arial" w:hAnsi="Arial"/>
                <w:sz w:val="17"/>
                <w:szCs w:val="17"/>
                <w:color w:val="auto"/>
              </w:rPr>
              <w:t>Payments of offering costs</w:t>
            </w: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financing activities</w:t>
            </w:r>
          </w:p>
        </w:tc>
        <w:tc>
          <w:tcPr>
            <w:tcW w:w="10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20,775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FF0FC"/>
          </w:tcPr>
          <w:p>
            <w:pPr>
              <w:spacing w:after="0"/>
              <w:rPr>
                <w:sz w:val="20"/>
                <w:szCs w:val="20"/>
                <w:color w:val="auto"/>
              </w:rPr>
            </w:pPr>
            <w:r>
              <w:rPr>
                <w:rFonts w:ascii="Arial" w:cs="Arial" w:eastAsia="Arial" w:hAnsi="Arial"/>
                <w:sz w:val="17"/>
                <w:szCs w:val="17"/>
                <w:color w:val="auto"/>
              </w:rPr>
              <w:t>Net decrease in cash and cash equivalents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45,001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1040" w:type="dxa"/>
            <w:vAlign w:val="bottom"/>
            <w:tcBorders>
              <w:bottom w:val="single" w:sz="8" w:color="auto"/>
            </w:tcBorders>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36,830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45,001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380" w:type="dxa"/>
            <w:vAlign w:val="bottom"/>
            <w:shd w:val="clear" w:color="auto" w:fill="CFF0FC"/>
          </w:tcPr>
          <w:p>
            <w:pPr>
              <w:spacing w:after="0"/>
              <w:rPr>
                <w:sz w:val="20"/>
                <w:szCs w:val="20"/>
                <w:color w:val="auto"/>
              </w:rPr>
            </w:pPr>
            <w:r>
              <w:rPr>
                <w:rFonts w:ascii="Arial" w:cs="Arial" w:eastAsia="Arial" w:hAnsi="Arial"/>
                <w:sz w:val="17"/>
                <w:szCs w:val="17"/>
                <w:color w:val="auto"/>
              </w:rPr>
              <w:t>Interest paid</w:t>
            </w: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2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7"/>
                <w:szCs w:val="17"/>
                <w:color w:val="auto"/>
              </w:rPr>
              <w:t>State research tax credits exchanged for cash</w:t>
            </w: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8"/>
                <w:szCs w:val="18"/>
                <w:color w:val="auto"/>
              </w:rPr>
            </w:pPr>
          </w:p>
        </w:tc>
        <w:tc>
          <w:tcPr>
            <w:tcW w:w="800" w:type="dxa"/>
            <w:vAlign w:val="bottom"/>
            <w:gridSpan w:val="2"/>
          </w:tcPr>
          <w:p>
            <w:pPr>
              <w:jc w:val="right"/>
              <w:ind w:right="52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financing activities: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tcPr>
          <w:p>
            <w:pPr>
              <w:spacing w:after="0"/>
              <w:rPr>
                <w:sz w:val="20"/>
                <w:szCs w:val="20"/>
                <w:color w:val="auto"/>
              </w:rPr>
            </w:pPr>
            <w:r>
              <w:rPr>
                <w:rFonts w:ascii="Arial" w:cs="Arial" w:eastAsia="Arial" w:hAnsi="Arial"/>
                <w:sz w:val="17"/>
                <w:szCs w:val="17"/>
                <w:color w:val="auto"/>
              </w:rPr>
              <w:t>Offering costs included in accrued expenses</w:t>
            </w: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41</w:t>
            </w:r>
          </w:p>
        </w:tc>
        <w:tc>
          <w:tcPr>
            <w:tcW w:w="180" w:type="dxa"/>
            <w:vAlign w:val="bottom"/>
          </w:tcPr>
          <w:p>
            <w:pPr>
              <w:spacing w:after="0"/>
              <w:rPr>
                <w:sz w:val="17"/>
                <w:szCs w:val="17"/>
                <w:color w:val="auto"/>
              </w:rPr>
            </w:pPr>
          </w:p>
        </w:tc>
        <w:tc>
          <w:tcPr>
            <w:tcW w:w="800" w:type="dxa"/>
            <w:vAlign w:val="bottom"/>
            <w:gridSpan w:val="2"/>
          </w:tcPr>
          <w:p>
            <w:pPr>
              <w:jc w:val="right"/>
              <w:ind w:right="52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4720"/>
              <w:spacing w:after="0"/>
              <w:rPr>
                <w:sz w:val="20"/>
                <w:szCs w:val="20"/>
                <w:color w:val="auto"/>
              </w:rPr>
            </w:pPr>
            <w:r>
              <w:rPr>
                <w:rFonts w:ascii="Arial" w:cs="Arial" w:eastAsia="Arial" w:hAnsi="Arial"/>
                <w:sz w:val="18"/>
                <w:szCs w:val="18"/>
                <w:color w:val="auto"/>
              </w:rPr>
              <w:t>See accompanying notes.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80" w:type="dxa"/>
            <w:vAlign w:val="bottom"/>
          </w:tcPr>
          <w:p>
            <w:pPr>
              <w:ind w:left="5500"/>
              <w:spacing w:after="0"/>
              <w:rPr>
                <w:sz w:val="20"/>
                <w:szCs w:val="20"/>
                <w:color w:val="auto"/>
              </w:rPr>
            </w:pPr>
            <w:r>
              <w:rPr>
                <w:rFonts w:ascii="Arial" w:cs="Arial" w:eastAsia="Arial" w:hAnsi="Arial"/>
                <w:sz w:val="18"/>
                <w:szCs w:val="18"/>
                <w:color w:val="auto"/>
              </w:rPr>
              <w:t>F-6</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17"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right="140" w:firstLine="406"/>
        <w:spacing w:after="0" w:line="255" w:lineRule="auto"/>
        <w:rPr>
          <w:sz w:val="20"/>
          <w:szCs w:val="20"/>
          <w:color w:val="auto"/>
        </w:rPr>
      </w:pPr>
      <w:r>
        <w:rPr>
          <w:rFonts w:ascii="Arial" w:cs="Arial" w:eastAsia="Arial" w:hAnsi="Arial"/>
          <w:sz w:val="18"/>
          <w:szCs w:val="18"/>
          <w:color w:val="auto"/>
        </w:rPr>
        <w:t>Trevi Therapeutics, Inc. (“Trevi” or the “Company”) is a clinical-stage biopharmaceutical company focused on the development and commercialization of the investigational therapy Haduvio (nalbuphine ER) to treat serious neurologically mediated conditions. The Company is currently developing Haduvio for the treatment of chronic pruritus associated with prurigo nodularis and chronic cough in patients with idiopathic pulmonary fibrosis (“IPF”).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84" w:lineRule="exact"/>
        <w:rPr>
          <w:sz w:val="20"/>
          <w:szCs w:val="20"/>
          <w:color w:val="auto"/>
        </w:rPr>
      </w:pPr>
    </w:p>
    <w:p>
      <w:pPr>
        <w:ind w:firstLine="406"/>
        <w:spacing w:after="0" w:line="257" w:lineRule="auto"/>
        <w:rPr>
          <w:sz w:val="20"/>
          <w:szCs w:val="20"/>
          <w:color w:val="auto"/>
        </w:rPr>
      </w:pPr>
      <w:r>
        <w:rPr>
          <w:rFonts w:ascii="Arial" w:cs="Arial" w:eastAsia="Arial" w:hAnsi="Arial"/>
          <w:sz w:val="18"/>
          <w:szCs w:val="18"/>
          <w:color w:val="auto"/>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itch, cough and certain movement disorders. Nalbuphine’s mechanism of action also mitigates the risk of abuse associated with μ-opioid agonists because it antagonizes or blocks, the μ-opioid receptor. Parenteral nalbuphine is not classified as a controlled substance in the U.S. and most of Europe.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406"/>
        <w:spacing w:after="0" w:line="288" w:lineRule="auto"/>
        <w:rPr>
          <w:sz w:val="20"/>
          <w:szCs w:val="20"/>
          <w:color w:val="auto"/>
        </w:rPr>
      </w:pPr>
      <w:r>
        <w:rPr>
          <w:rFonts w:ascii="Arial" w:cs="Arial" w:eastAsia="Arial" w:hAnsi="Arial"/>
          <w:sz w:val="16"/>
          <w:szCs w:val="16"/>
          <w:color w:val="auto"/>
        </w:rPr>
        <w:t xml:space="preserve">In accordance with Accounting Standards Update (“ASU”) No. 2014-15, </w:t>
      </w:r>
      <w:r>
        <w:rPr>
          <w:rFonts w:ascii="Arial" w:cs="Arial" w:eastAsia="Arial" w:hAnsi="Arial"/>
          <w:sz w:val="16"/>
          <w:szCs w:val="16"/>
          <w:i w:val="1"/>
          <w:iCs w:val="1"/>
          <w:color w:val="auto"/>
        </w:rPr>
        <w:t>Disclosures of Uncertainties about an Entity’s Ability to Continue as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Going Concern (Subtopic 205-40) </w:t>
      </w:r>
      <w:r>
        <w:rPr>
          <w:rFonts w:ascii="Arial" w:cs="Arial" w:eastAsia="Arial" w:hAnsi="Arial"/>
          <w:sz w:val="16"/>
          <w:szCs w:val="16"/>
          <w:color w:val="auto"/>
        </w:rPr>
        <w:t>(“ASU No. 2014-15”), management must evaluate whether there are conditions or events, considered in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60" w:lineRule="exact"/>
        <w:rPr>
          <w:sz w:val="20"/>
          <w:szCs w:val="20"/>
          <w:color w:val="auto"/>
        </w:rPr>
      </w:pPr>
    </w:p>
    <w:p>
      <w:pPr>
        <w:ind w:right="60" w:firstLine="406"/>
        <w:spacing w:after="0" w:line="254" w:lineRule="auto"/>
        <w:rPr>
          <w:sz w:val="20"/>
          <w:szCs w:val="20"/>
          <w:color w:val="auto"/>
        </w:rPr>
      </w:pPr>
      <w:r>
        <w:rPr>
          <w:rFonts w:ascii="Arial" w:cs="Arial" w:eastAsia="Arial" w:hAnsi="Arial"/>
          <w:sz w:val="18"/>
          <w:szCs w:val="18"/>
          <w:color w:val="auto"/>
        </w:rPr>
        <w:t>The Company’s Consolidated Financial Statements have been prepared on a going concern basis, which contemplates the continuity of operations, realization of assets and the satisfaction of liabilities and commitments in the ordinary course of business. Since inception, the Company has financed its operations primarily through private placements of convertible preferred stock and convertible notes prior to its initial public offering (“IPO”), borrowings under its prior term loan facility, proceeds from its IPO and concurrent private placement completed in May 2019, sales of its common stock pursuant to the at-the-market Sales Agreement (the “ATM Sales Agreement”) (Note 7) with SVB Leerink LLC that the Company entered into in June 2020, the term loan facility with Silicon Valley Bank (“SVB”) that the Company entered into in August 2020 (Note 6) and the private placements completed in October 2021 (Note 7).</w:t>
      </w:r>
    </w:p>
    <w:p>
      <w:pPr>
        <w:spacing w:after="0" w:line="87" w:lineRule="exact"/>
        <w:rPr>
          <w:sz w:val="20"/>
          <w:szCs w:val="20"/>
          <w:color w:val="auto"/>
        </w:rPr>
      </w:pPr>
    </w:p>
    <w:p>
      <w:pPr>
        <w:ind w:firstLine="406"/>
        <w:spacing w:after="0" w:line="269" w:lineRule="auto"/>
        <w:rPr>
          <w:sz w:val="20"/>
          <w:szCs w:val="20"/>
          <w:color w:val="auto"/>
        </w:rPr>
      </w:pPr>
      <w:r>
        <w:rPr>
          <w:rFonts w:ascii="Arial" w:cs="Arial" w:eastAsia="Arial" w:hAnsi="Arial"/>
          <w:sz w:val="17"/>
          <w:szCs w:val="17"/>
          <w:color w:val="auto"/>
        </w:rPr>
        <w:t>The Company has incurred recurring losses since inception, including net losses of $33.9 million and $32.8 million for the years ended December 31, 2021 and 2020, respectively. As of December 31, 2021, the Company had cash and cash equivalents of $36.8 million compared to $45.0 million of cash and cash equivalents as of December 31, 2020. The Company has incurred losses and negative cash flows from operations and had an accumulated deficit of $180.9 million as of December 31, 2021. The Company expects to continue to incur losses for the foreseeable future. As of March 17, 2022, the date of issuance of these Consolidated Financial Statements, the Company believes that its cash and cash equivalents as of December 31, 2021, will not be sufficient to fund its operating expenses and capital expenditure requirements for 12 months from the date of issuance of these Consolidated Financial Statements, even without giving effect to the potential collateralization of the outstanding SVB term loan (Note 6) and, therefore, substantial doubt exists about the Company’s ability to continue as a going concern. The Company plans to seek to address this condition by raising additional capital to finance its operations. The future viability of the Company is dependent on its ability to raise additional capital to finance its operations. Although the Company has been successful in raising capital in the past, there is no assurance that it will be successful in obtaining such additional financing. Therefore, it is not considered probable, as defined in ASU No. 2014-15,</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that the Company’s plans to raise additional capital will alleviate the substantial doubt regarding its ability to continue as a going concern.</w:t>
      </w:r>
    </w:p>
    <w:p>
      <w:pPr>
        <w:spacing w:after="0" w:line="117" w:lineRule="exact"/>
        <w:rPr>
          <w:sz w:val="20"/>
          <w:szCs w:val="20"/>
          <w:color w:val="auto"/>
        </w:rPr>
      </w:pPr>
    </w:p>
    <w:p>
      <w:pPr>
        <w:ind w:right="120" w:firstLine="406"/>
        <w:spacing w:after="0" w:line="293" w:lineRule="auto"/>
        <w:rPr>
          <w:sz w:val="20"/>
          <w:szCs w:val="20"/>
          <w:color w:val="auto"/>
        </w:rPr>
      </w:pPr>
      <w:r>
        <w:rPr>
          <w:rFonts w:ascii="Arial" w:cs="Arial" w:eastAsia="Arial" w:hAnsi="Arial"/>
          <w:sz w:val="16"/>
          <w:szCs w:val="16"/>
          <w:color w:val="auto"/>
        </w:rPr>
        <w:t>To execute its business plans, the Company will need substantial funding to support its continuing operations and pursue its growth strategy. Until such time that the Company can generate significant revenue from product sales, if ever, the Company expects to finance its operations through the sale of common stock in public offerings and/or private placements, debt financings or other capital sources, including collaborations with other companies or other strategic transactions. The Company may not be able to obtain financing when needed on acceptable terms or at all. The terms of any financing may adversely affect the holdings or the rights of the Company’s stockholders. If the Company is unable to obtain funding, the Company could be forced to delay, reduce or abandon its product development programs or commercialization efforts, which could adversely affect its business prospects.</w:t>
      </w:r>
    </w:p>
    <w:p>
      <w:pPr>
        <w:spacing w:after="0" w:line="52" w:lineRule="exact"/>
        <w:rPr>
          <w:sz w:val="20"/>
          <w:szCs w:val="20"/>
          <w:color w:val="auto"/>
        </w:rPr>
      </w:pPr>
    </w:p>
    <w:p>
      <w:pPr>
        <w:ind w:left="420" w:right="7440" w:hanging="412"/>
        <w:spacing w:after="0" w:line="377" w:lineRule="auto"/>
        <w:tabs>
          <w:tab w:leader="none" w:pos="419"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right="620" w:firstLine="40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Trevi Therapeutics, Inc. and its wholly-owned subsidiary Trevi Therapeutics Limited. Intercompany balances and transactions have been eliminated.</w:t>
      </w:r>
    </w:p>
    <w:p>
      <w:pPr>
        <w:spacing w:after="0" w:line="62" w:lineRule="exact"/>
        <w:rPr>
          <w:sz w:val="20"/>
          <w:szCs w:val="20"/>
          <w:color w:val="auto"/>
        </w:rPr>
      </w:pPr>
    </w:p>
    <w:p>
      <w:pPr>
        <w:ind w:right="80" w:firstLine="406"/>
        <w:spacing w:after="0" w:line="279" w:lineRule="auto"/>
        <w:rPr>
          <w:sz w:val="20"/>
          <w:szCs w:val="20"/>
          <w:color w:val="auto"/>
        </w:rPr>
      </w:pPr>
      <w:r>
        <w:rPr>
          <w:rFonts w:ascii="Arial" w:cs="Arial" w:eastAsia="Arial" w:hAnsi="Arial"/>
          <w:sz w:val="17"/>
          <w:szCs w:val="17"/>
          <w:color w:val="auto"/>
        </w:rPr>
        <w:t>All amounts presented are in thousands of dollars, except share and per share amounts, unless noted otherwise. Certain prior year balances have been reclassified to conform to the current year presentation. Such reclassifications did not affect loss from operations or net loss. The Company has evaluated events occurring subsequent to December 31, 2021 for potential recognition or disclosure in the Consolidated Financial Statements and concluded there were no subsequent events that required recognition or disclosure other than those provided in Note 13.</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406"/>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U.S.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Consolidated Financial Statements include but are not limited to the recognition of research and development (“R&amp;D”) expenses, the valuation of stock-based awards and the valuation allowance of deferred tax assets resulting from net operating losses.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 The inputs into the Company’s estimates also considered the economic implications of the COVID-19 pandemic on the Company’s estimates.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classifies short-term, highly liquid investments with an original term of three months or less at the date of purchase as cash equivalents.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60" w:firstLine="406"/>
        <w:spacing w:after="0" w:line="254" w:lineRule="auto"/>
        <w:rPr>
          <w:sz w:val="20"/>
          <w:szCs w:val="20"/>
          <w:color w:val="auto"/>
        </w:rPr>
      </w:pPr>
      <w:r>
        <w:rPr>
          <w:rFonts w:ascii="Arial" w:cs="Arial" w:eastAsia="Arial" w:hAnsi="Arial"/>
          <w:sz w:val="18"/>
          <w:szCs w:val="18"/>
          <w:color w:val="auto"/>
        </w:rPr>
        <w:t>The Company’s financial instruments have consisted of cash and cash equivalents, other current assets, accounts payable, accrued expenses, term loans, term loan derivative liability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The carrying amount of the term loan approximates its fair value due to its floating market-based interest rate. The fair value of the term loan derivative liability is estimated utilizing a probability-weighted cash flow approach. The warrants to acquire the Company’s common stock are not required to be accounted for at fair value.</w:t>
      </w:r>
    </w:p>
    <w:p>
      <w:pPr>
        <w:spacing w:after="0" w:line="87" w:lineRule="exact"/>
        <w:rPr>
          <w:sz w:val="20"/>
          <w:szCs w:val="20"/>
          <w:color w:val="auto"/>
        </w:rPr>
      </w:pPr>
    </w:p>
    <w:p>
      <w:pPr>
        <w:ind w:right="180" w:firstLine="406"/>
        <w:spacing w:after="0" w:line="279" w:lineRule="auto"/>
        <w:rPr>
          <w:sz w:val="20"/>
          <w:szCs w:val="20"/>
          <w:color w:val="auto"/>
        </w:rPr>
      </w:pPr>
      <w:r>
        <w:rPr>
          <w:rFonts w:ascii="Arial" w:cs="Arial" w:eastAsia="Arial" w:hAnsi="Arial"/>
          <w:sz w:val="17"/>
          <w:szCs w:val="17"/>
          <w:color w:val="auto"/>
        </w:rPr>
        <w:t xml:space="preserve">Current accounting guidance defines fair value, establishes a framework for measuring fair value in accordance with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420" w:right="540"/>
        <w:spacing w:after="0" w:line="263"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6"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2" w:name="page113"/>
    <w:bookmarkEnd w:id="112"/>
    <w:p>
      <w:pPr>
        <w:ind w:right="160" w:firstLine="406"/>
        <w:spacing w:after="0" w:line="277" w:lineRule="auto"/>
        <w:rPr>
          <w:sz w:val="20"/>
          <w:szCs w:val="20"/>
          <w:color w:val="auto"/>
        </w:rPr>
      </w:pPr>
      <w:r>
        <w:rPr>
          <w:rFonts w:ascii="Arial" w:cs="Arial" w:eastAsia="Arial" w:hAnsi="Arial"/>
          <w:sz w:val="18"/>
          <w:szCs w:val="18"/>
          <w:color w:val="auto"/>
        </w:rPr>
        <w:t>The following table summarizes the financial assets and financial liabilities measured at fair value on a recurring basis as of December 31, 2021 and 2020, and the basis for that measurement, by level within the fair value hierarchy: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69"/>
              <w:spacing w:after="0"/>
              <w:rPr>
                <w:sz w:val="20"/>
                <w:szCs w:val="20"/>
                <w:color w:val="auto"/>
              </w:rPr>
            </w:pPr>
            <w:r>
              <w:rPr>
                <w:rFonts w:ascii="Arial" w:cs="Arial" w:eastAsia="Arial" w:hAnsi="Arial"/>
                <w:sz w:val="17"/>
                <w:szCs w:val="17"/>
                <w:b w:val="1"/>
                <w:bCs w:val="1"/>
                <w:color w:val="auto"/>
              </w:rPr>
              <w:t>Level 1</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Level 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3</w:t>
            </w:r>
          </w:p>
        </w:tc>
      </w:tr>
      <w:tr>
        <w:trPr>
          <w:trHeight w:val="212"/>
        </w:trPr>
        <w:tc>
          <w:tcPr>
            <w:tcW w:w="6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December 31, 2021</w:t>
            </w:r>
          </w:p>
        </w:tc>
        <w:tc>
          <w:tcPr>
            <w:tcW w:w="3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1120" w:type="dxa"/>
            <w:vAlign w:val="bottom"/>
            <w:tcBorders>
              <w:top w:val="single" w:sz="8" w:color="auto"/>
              <w:bottom w:val="single" w:sz="8" w:color="CFF0FC"/>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c>
          <w:tcPr>
            <w:tcW w:w="9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CFF0FC"/>
            </w:tcBorders>
          </w:tcPr>
          <w:p>
            <w:pPr>
              <w:spacing w:after="0"/>
              <w:rPr>
                <w:sz w:val="18"/>
                <w:szCs w:val="18"/>
                <w:color w:val="auto"/>
              </w:rPr>
            </w:pPr>
          </w:p>
        </w:tc>
        <w:tc>
          <w:tcPr>
            <w:tcW w:w="940" w:type="dxa"/>
            <w:vAlign w:val="bottom"/>
            <w:tcBorders>
              <w:top w:val="single" w:sz="8" w:color="auto"/>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1"/>
        </w:trPr>
        <w:tc>
          <w:tcPr>
            <w:tcW w:w="6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Financial assets carried at fair value:</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7"/>
                <w:szCs w:val="17"/>
                <w:color w:val="auto"/>
              </w:rPr>
              <w:t xml:space="preserve">Money market funds </w:t>
            </w:r>
            <w:r>
              <w:rPr>
                <w:rFonts w:ascii="Arial" w:cs="Arial" w:eastAsia="Arial" w:hAnsi="Arial"/>
                <w:sz w:val="14"/>
                <w:szCs w:val="14"/>
                <w:color w:val="auto"/>
              </w:rPr>
              <w:t>(1)</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35,835</w:t>
            </w:r>
          </w:p>
        </w:tc>
        <w:tc>
          <w:tcPr>
            <w:tcW w:w="1300" w:type="dxa"/>
            <w:vAlign w:val="bottom"/>
            <w:gridSpan w:val="2"/>
          </w:tcPr>
          <w:p>
            <w:pPr>
              <w:jc w:val="right"/>
              <w:ind w:right="715"/>
              <w:spacing w:after="0"/>
              <w:rPr>
                <w:sz w:val="20"/>
                <w:szCs w:val="20"/>
                <w:color w:val="auto"/>
              </w:rPr>
            </w:pPr>
            <w:r>
              <w:rPr>
                <w:rFonts w:ascii="Arial" w:cs="Arial" w:eastAsia="Arial" w:hAnsi="Arial"/>
                <w:sz w:val="17"/>
                <w:szCs w:val="17"/>
                <w:color w:val="auto"/>
              </w:rPr>
              <w:t>$</w:t>
            </w:r>
          </w:p>
        </w:tc>
        <w:tc>
          <w:tcPr>
            <w:tcW w:w="240" w:type="dxa"/>
            <w:vAlign w:val="bottom"/>
          </w:tcPr>
          <w:p>
            <w:pPr>
              <w:ind w:left="60"/>
              <w:spacing w:after="0"/>
              <w:rPr>
                <w:sz w:val="20"/>
                <w:szCs w:val="20"/>
                <w:color w:val="auto"/>
              </w:rPr>
            </w:pPr>
            <w:r>
              <w:rPr>
                <w:rFonts w:ascii="Arial" w:cs="Arial" w:eastAsia="Arial" w:hAnsi="Arial"/>
                <w:sz w:val="17"/>
                <w:szCs w:val="17"/>
                <w:color w:val="auto"/>
                <w:w w:val="93"/>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6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7"/>
                <w:szCs w:val="17"/>
                <w:b w:val="1"/>
                <w:bCs w:val="1"/>
                <w:color w:val="auto"/>
              </w:rPr>
              <w:t>Financial liabilities carried at fair value: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7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FF0FC"/>
          </w:tcPr>
          <w:p>
            <w:pPr>
              <w:spacing w:after="0"/>
              <w:rPr>
                <w:sz w:val="18"/>
                <w:szCs w:val="18"/>
                <w:color w:val="auto"/>
              </w:rPr>
            </w:pPr>
          </w:p>
        </w:tc>
      </w:tr>
      <w:tr>
        <w:trPr>
          <w:trHeight w:val="430"/>
        </w:trPr>
        <w:tc>
          <w:tcPr>
            <w:tcW w:w="6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December 31, 2020</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120" w:type="dxa"/>
            <w:vAlign w:val="bottom"/>
            <w:tcBorders>
              <w:bottom w:val="single" w:sz="8" w:color="CFF0FC"/>
            </w:tcBorders>
          </w:tcPr>
          <w:p>
            <w:pPr>
              <w:spacing w:after="0"/>
              <w:rPr>
                <w:sz w:val="24"/>
                <w:szCs w:val="24"/>
                <w:color w:val="auto"/>
              </w:rPr>
            </w:pPr>
          </w:p>
        </w:tc>
        <w:tc>
          <w:tcPr>
            <w:tcW w:w="40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40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11"/>
        </w:trPr>
        <w:tc>
          <w:tcPr>
            <w:tcW w:w="6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Financial assets carried at fair value:</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
        </w:trPr>
        <w:tc>
          <w:tcPr>
            <w:tcW w:w="6360" w:type="dxa"/>
            <w:vAlign w:val="bottom"/>
          </w:tcPr>
          <w:p>
            <w:pPr>
              <w:spacing w:after="0" w:line="20" w:lineRule="exact"/>
              <w:rPr>
                <w:sz w:val="20"/>
                <w:szCs w:val="20"/>
                <w:color w:val="auto"/>
              </w:rPr>
            </w:pPr>
            <w:r>
              <w:rPr>
                <w:rFonts w:ascii="Arial" w:cs="Arial" w:eastAsia="Arial" w:hAnsi="Arial"/>
                <w:sz w:val="2"/>
                <w:szCs w:val="2"/>
                <w:color w:val="auto"/>
              </w:rPr>
              <w:t>Money market funds</w:t>
            </w:r>
          </w:p>
        </w:tc>
        <w:tc>
          <w:tcPr>
            <w:tcW w:w="560" w:type="dxa"/>
            <w:vAlign w:val="bottom"/>
            <w:gridSpan w:val="2"/>
          </w:tcPr>
          <w:p>
            <w:pPr>
              <w:jc w:val="right"/>
              <w:ind w:right="180"/>
              <w:spacing w:after="0" w:line="20" w:lineRule="exact"/>
              <w:rPr>
                <w:sz w:val="20"/>
                <w:szCs w:val="20"/>
                <w:color w:val="auto"/>
              </w:rPr>
            </w:pPr>
            <w:r>
              <w:rPr>
                <w:rFonts w:ascii="Arial" w:cs="Arial" w:eastAsia="Arial" w:hAnsi="Arial"/>
                <w:sz w:val="2"/>
                <w:szCs w:val="2"/>
                <w:color w:val="auto"/>
              </w:rPr>
              <w:t>$</w:t>
            </w:r>
          </w:p>
        </w:tc>
        <w:tc>
          <w:tcPr>
            <w:tcW w:w="1120" w:type="dxa"/>
            <w:vAlign w:val="bottom"/>
          </w:tcPr>
          <w:p>
            <w:pPr>
              <w:jc w:val="right"/>
              <w:spacing w:after="0" w:line="20" w:lineRule="exact"/>
              <w:rPr>
                <w:sz w:val="20"/>
                <w:szCs w:val="20"/>
                <w:color w:val="auto"/>
              </w:rPr>
            </w:pPr>
            <w:r>
              <w:rPr>
                <w:rFonts w:ascii="Arial" w:cs="Arial" w:eastAsia="Arial" w:hAnsi="Arial"/>
                <w:sz w:val="2"/>
                <w:szCs w:val="2"/>
                <w:color w:val="auto"/>
              </w:rPr>
              <w:t>44,095</w:t>
            </w:r>
          </w:p>
        </w:tc>
        <w:tc>
          <w:tcPr>
            <w:tcW w:w="1300" w:type="dxa"/>
            <w:vAlign w:val="bottom"/>
            <w:gridSpan w:val="2"/>
          </w:tcPr>
          <w:p>
            <w:pPr>
              <w:jc w:val="right"/>
              <w:ind w:right="715"/>
              <w:spacing w:after="0" w:line="20" w:lineRule="exact"/>
              <w:rPr>
                <w:sz w:val="20"/>
                <w:szCs w:val="20"/>
                <w:color w:val="auto"/>
              </w:rPr>
            </w:pPr>
            <w:r>
              <w:rPr>
                <w:rFonts w:ascii="Arial" w:cs="Arial" w:eastAsia="Arial" w:hAnsi="Arial"/>
                <w:sz w:val="2"/>
                <w:szCs w:val="2"/>
                <w:color w:val="auto"/>
              </w:rPr>
              <w:t>$</w:t>
            </w:r>
          </w:p>
        </w:tc>
        <w:tc>
          <w:tcPr>
            <w:tcW w:w="240" w:type="dxa"/>
            <w:vAlign w:val="bottom"/>
          </w:tcPr>
          <w:p>
            <w:pPr>
              <w:ind w:left="60"/>
              <w:spacing w:after="0" w:line="20" w:lineRule="exact"/>
              <w:rPr>
                <w:sz w:val="20"/>
                <w:szCs w:val="20"/>
                <w:color w:val="auto"/>
              </w:rPr>
            </w:pPr>
            <w:r>
              <w:rPr>
                <w:rFonts w:ascii="Arial" w:cs="Arial" w:eastAsia="Arial" w:hAnsi="Arial"/>
                <w:sz w:val="2"/>
                <w:szCs w:val="2"/>
                <w:color w:val="auto"/>
              </w:rPr>
              <w:t>—</w:t>
            </w:r>
          </w:p>
        </w:tc>
        <w:tc>
          <w:tcPr>
            <w:tcW w:w="600" w:type="dxa"/>
            <w:vAlign w:val="bottom"/>
            <w:gridSpan w:val="2"/>
          </w:tcPr>
          <w:p>
            <w:pPr>
              <w:jc w:val="right"/>
              <w:ind w:right="100"/>
              <w:spacing w:after="0" w:line="20" w:lineRule="exact"/>
              <w:rPr>
                <w:sz w:val="20"/>
                <w:szCs w:val="20"/>
                <w:color w:val="auto"/>
              </w:rPr>
            </w:pPr>
            <w:r>
              <w:rPr>
                <w:rFonts w:ascii="Arial" w:cs="Arial" w:eastAsia="Arial" w:hAnsi="Arial"/>
                <w:sz w:val="2"/>
                <w:szCs w:val="2"/>
                <w:color w:val="auto"/>
              </w:rPr>
              <w:t>$</w:t>
            </w:r>
          </w:p>
        </w:tc>
        <w:tc>
          <w:tcPr>
            <w:tcW w:w="1060" w:type="dxa"/>
            <w:vAlign w:val="bottom"/>
            <w:gridSpan w:val="2"/>
          </w:tcPr>
          <w:p>
            <w:pPr>
              <w:jc w:val="right"/>
              <w:ind w:right="140"/>
              <w:spacing w:after="0" w:line="20" w:lineRule="exact"/>
              <w:rPr>
                <w:sz w:val="20"/>
                <w:szCs w:val="20"/>
                <w:color w:val="auto"/>
              </w:rPr>
            </w:pPr>
            <w:r>
              <w:rPr>
                <w:rFonts w:ascii="Arial" w:cs="Arial" w:eastAsia="Arial" w:hAnsi="Arial"/>
                <w:sz w:val="2"/>
                <w:szCs w:val="2"/>
                <w:color w:val="auto"/>
              </w:rPr>
              <w:t>—</w:t>
            </w:r>
          </w:p>
        </w:tc>
      </w:tr>
      <w:tr>
        <w:trPr>
          <w:trHeight w:val="190"/>
        </w:trPr>
        <w:tc>
          <w:tcPr>
            <w:tcW w:w="6360" w:type="dxa"/>
            <w:vAlign w:val="bottom"/>
          </w:tcPr>
          <w:p>
            <w:pPr>
              <w:ind w:left="1440"/>
              <w:spacing w:after="0"/>
              <w:rPr>
                <w:sz w:val="20"/>
                <w:szCs w:val="20"/>
                <w:color w:val="auto"/>
              </w:rPr>
            </w:pPr>
            <w:r>
              <w:rPr>
                <w:rFonts w:ascii="Arial" w:cs="Arial" w:eastAsia="Arial" w:hAnsi="Arial"/>
                <w:sz w:val="15"/>
                <w:szCs w:val="15"/>
                <w:color w:val="auto"/>
              </w:rPr>
              <w:t>(1)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6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7"/>
                <w:szCs w:val="17"/>
                <w:b w:val="1"/>
                <w:bCs w:val="1"/>
                <w:color w:val="auto"/>
              </w:rPr>
              <w:t>Financial liabilities carried at fair value: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7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FF0FC"/>
          </w:tcPr>
          <w:p>
            <w:pPr>
              <w:spacing w:after="0"/>
              <w:rPr>
                <w:sz w:val="18"/>
                <w:szCs w:val="18"/>
                <w:color w:val="auto"/>
              </w:rPr>
            </w:pPr>
          </w:p>
        </w:tc>
      </w:tr>
    </w:tbl>
    <w:p>
      <w:pPr>
        <w:spacing w:after="0" w:line="134"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Included in cash and cash equivalents on the Consolidated Balance Sheets.</w:t>
      </w:r>
    </w:p>
    <w:p>
      <w:pPr>
        <w:spacing w:after="0" w:line="11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following table represents a roll-forward of the fair value of Level 3 instruments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29571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86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9"/>
                <w:szCs w:val="19"/>
                <w:color w:val="auto"/>
              </w:rPr>
            </w:pPr>
          </w:p>
        </w:tc>
        <w:tc>
          <w:tcPr>
            <w:tcW w:w="520" w:type="dxa"/>
            <w:vAlign w:val="bottom"/>
            <w:gridSpan w:val="2"/>
          </w:tcPr>
          <w:p>
            <w:pPr>
              <w:jc w:val="right"/>
              <w:ind w:right="38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term loan derivative liability</w:t>
            </w:r>
          </w:p>
        </w:tc>
        <w:tc>
          <w:tcPr>
            <w:tcW w:w="1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56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Equipment and Leasehold Improvements</w:t>
      </w:r>
    </w:p>
    <w:p>
      <w:pPr>
        <w:spacing w:after="0" w:line="117" w:lineRule="exact"/>
        <w:rPr>
          <w:sz w:val="20"/>
          <w:szCs w:val="20"/>
          <w:color w:val="auto"/>
        </w:rPr>
      </w:pPr>
    </w:p>
    <w:p>
      <w:pPr>
        <w:ind w:right="160" w:firstLine="406"/>
        <w:spacing w:after="0" w:line="259" w:lineRule="auto"/>
        <w:rPr>
          <w:sz w:val="20"/>
          <w:szCs w:val="20"/>
          <w:color w:val="auto"/>
        </w:rPr>
      </w:pPr>
      <w:r>
        <w:rPr>
          <w:rFonts w:ascii="Arial" w:cs="Arial" w:eastAsia="Arial" w:hAnsi="Arial"/>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00" w:firstLine="406"/>
        <w:spacing w:after="0" w:line="259" w:lineRule="auto"/>
        <w:rPr>
          <w:sz w:val="20"/>
          <w:szCs w:val="20"/>
          <w:color w:val="auto"/>
        </w:rPr>
      </w:pPr>
      <w:r>
        <w:rPr>
          <w:rFonts w:ascii="Arial" w:cs="Arial" w:eastAsia="Arial" w:hAnsi="Arial"/>
          <w:sz w:val="18"/>
          <w:szCs w:val="18"/>
          <w:color w:val="auto"/>
        </w:rPr>
        <w:t xml:space="preserve">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 There was no impairment or disposal of long-lived assets during the years ended December 31, 2021 and 2020.</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300" w:firstLine="406"/>
        <w:spacing w:after="0" w:line="263" w:lineRule="auto"/>
        <w:rPr>
          <w:sz w:val="20"/>
          <w:szCs w:val="20"/>
          <w:color w:val="auto"/>
        </w:rPr>
      </w:pPr>
      <w:r>
        <w:rPr>
          <w:rFonts w:ascii="Arial" w:cs="Arial" w:eastAsia="Arial" w:hAnsi="Arial"/>
          <w:sz w:val="18"/>
          <w:szCs w:val="18"/>
          <w:color w:val="auto"/>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the Consolidated Statements of Operations.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280" w:firstLine="406"/>
        <w:spacing w:after="0" w:line="279"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operating expenses.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406"/>
        <w:spacing w:after="0" w:line="259" w:lineRule="auto"/>
        <w:rPr>
          <w:sz w:val="20"/>
          <w:szCs w:val="20"/>
          <w:color w:val="auto"/>
        </w:rPr>
      </w:pPr>
      <w:r>
        <w:rPr>
          <w:rFonts w:ascii="Arial" w:cs="Arial" w:eastAsia="Arial" w:hAnsi="Arial"/>
          <w:sz w:val="18"/>
          <w:szCs w:val="18"/>
          <w:color w:val="auto"/>
        </w:rPr>
        <w:t>All of the Company’s R&amp;D expenses consist of expenses incurred in connection with the development of Haduvio. These expenses include certain payroll and personnel expenses, including stock-based compensation, consulting costs, contract manufacturing costs and fees paid to clinical research organizations (“CROs”) to conduct certain R&amp;D activities on the Company’s behalf. The Company does not allocate its costs by each indication for which it is developing Haduvio,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3" w:name="page114"/>
    <w:bookmarkEnd w:id="113"/>
    <w:p>
      <w:pPr>
        <w:ind w:right="20"/>
        <w:spacing w:after="0" w:line="263" w:lineRule="auto"/>
        <w:rPr>
          <w:sz w:val="20"/>
          <w:szCs w:val="20"/>
          <w:color w:val="auto"/>
        </w:rPr>
      </w:pPr>
      <w:r>
        <w:rPr>
          <w:rFonts w:ascii="Arial" w:cs="Arial" w:eastAsia="Arial" w:hAnsi="Arial"/>
          <w:sz w:val="18"/>
          <w:szCs w:val="18"/>
          <w:color w:val="auto"/>
        </w:rPr>
        <w:t>as a significant amount of the Company’s development activities broadly support all indications. In addition, several of the Company’s departments support the Company’s Haduvio drug candidate development program and the Company does not identify internal costs for each potential indication. The Company expenses both internal and external R&amp;D expenses as they are incurred.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60" w:firstLine="406"/>
        <w:spacing w:after="0" w:line="272" w:lineRule="auto"/>
        <w:rPr>
          <w:sz w:val="20"/>
          <w:szCs w:val="20"/>
          <w:color w:val="auto"/>
        </w:rPr>
      </w:pPr>
      <w:r>
        <w:rPr>
          <w:rFonts w:ascii="Arial" w:cs="Arial" w:eastAsia="Arial" w:hAnsi="Arial"/>
          <w:sz w:val="17"/>
          <w:szCs w:val="17"/>
          <w:color w:val="auto"/>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120" w:firstLine="406"/>
        <w:spacing w:after="0" w:line="277" w:lineRule="auto"/>
        <w:rPr>
          <w:sz w:val="20"/>
          <w:szCs w:val="20"/>
          <w:color w:val="auto"/>
        </w:rPr>
      </w:pPr>
      <w:r>
        <w:rPr>
          <w:rFonts w:ascii="Arial" w:cs="Arial" w:eastAsia="Arial" w:hAnsi="Arial"/>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80" w:firstLine="406"/>
        <w:spacing w:after="0" w:line="257" w:lineRule="auto"/>
        <w:rPr>
          <w:sz w:val="20"/>
          <w:szCs w:val="20"/>
          <w:color w:val="auto"/>
        </w:rPr>
      </w:pPr>
      <w:r>
        <w:rPr>
          <w:rFonts w:ascii="Arial" w:cs="Arial" w:eastAsia="Arial" w:hAnsi="Arial"/>
          <w:sz w:val="18"/>
          <w:szCs w:val="18"/>
          <w:color w:val="auto"/>
        </w:rPr>
        <w:t xml:space="preserve">The Company determines the accounting classification of warrants that are issued, as either liability or equity, by first assessing whether the warrants meet liability classification 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(“ASC 480”), and then in accordance with ASC 815, </w:t>
      </w:r>
      <w:r>
        <w:rPr>
          <w:rFonts w:ascii="Arial" w:cs="Arial" w:eastAsia="Arial" w:hAnsi="Arial"/>
          <w:sz w:val="18"/>
          <w:szCs w:val="18"/>
          <w:i w:val="1"/>
          <w:iCs w:val="1"/>
          <w:color w:val="auto"/>
        </w:rPr>
        <w:t xml:space="preserve">Derivatives and Hedging </w:t>
      </w:r>
      <w:r>
        <w:rPr>
          <w:rFonts w:ascii="Arial" w:cs="Arial" w:eastAsia="Arial" w:hAnsi="Arial"/>
          <w:sz w:val="18"/>
          <w:szCs w:val="18"/>
          <w:color w:val="auto"/>
        </w:rPr>
        <w:t>(“ASC 815”), depending on the specific terms of the warrant agreement. Under ASC 480, warrants are considered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if the warrants are mandatorily redeemable, obligate the issuer to settle the warrants or the underlying shares by paying cash or other assets, or must or may require settlement by issuing variable number of shares.</w:t>
      </w:r>
    </w:p>
    <w:p>
      <w:pPr>
        <w:spacing w:after="0" w:line="80" w:lineRule="exact"/>
        <w:rPr>
          <w:sz w:val="20"/>
          <w:szCs w:val="20"/>
          <w:color w:val="auto"/>
        </w:rPr>
      </w:pPr>
    </w:p>
    <w:p>
      <w:pPr>
        <w:ind w:right="100" w:firstLine="406"/>
        <w:spacing w:after="0" w:line="271" w:lineRule="auto"/>
        <w:rPr>
          <w:sz w:val="20"/>
          <w:szCs w:val="20"/>
          <w:color w:val="auto"/>
        </w:rPr>
      </w:pPr>
      <w:r>
        <w:rPr>
          <w:rFonts w:ascii="Arial" w:cs="Arial" w:eastAsia="Arial" w:hAnsi="Arial"/>
          <w:sz w:val="17"/>
          <w:szCs w:val="17"/>
          <w:color w:val="auto"/>
        </w:rPr>
        <w:t>If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For equity classified warrants, no changes in fair value are recognized after the issuance date.</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06"/>
        <w:spacing w:after="0" w:line="271" w:lineRule="auto"/>
        <w:rPr>
          <w:sz w:val="20"/>
          <w:szCs w:val="20"/>
          <w:color w:val="auto"/>
        </w:rPr>
      </w:pPr>
      <w:r>
        <w:rPr>
          <w:rFonts w:ascii="Arial" w:cs="Arial" w:eastAsia="Arial" w:hAnsi="Arial"/>
          <w:sz w:val="17"/>
          <w:szCs w:val="17"/>
          <w:color w:val="auto"/>
        </w:rPr>
        <w:t xml:space="preserve">The Company accounts for stock-based compensation arrangements with employees and non-employees for consultancy services in accordance with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xml:space="preserve"> (“ASC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 Changes in the variables can materially affect the fair value and ultimately how much stock-based compensation expense is recognized. These inputs are subjective and generally require analysis and judgment to develop.</w:t>
      </w:r>
    </w:p>
    <w:p>
      <w:pPr>
        <w:spacing w:after="0" w:line="70" w:lineRule="exact"/>
        <w:rPr>
          <w:sz w:val="20"/>
          <w:szCs w:val="20"/>
          <w:color w:val="auto"/>
        </w:rPr>
      </w:pPr>
    </w:p>
    <w:p>
      <w:pPr>
        <w:ind w:right="200" w:firstLine="406"/>
        <w:spacing w:after="0" w:line="263" w:lineRule="auto"/>
        <w:rPr>
          <w:sz w:val="20"/>
          <w:szCs w:val="20"/>
          <w:color w:val="auto"/>
        </w:rPr>
      </w:pPr>
      <w:r>
        <w:rPr>
          <w:rFonts w:ascii="Arial" w:cs="Arial" w:eastAsia="Arial" w:hAnsi="Arial"/>
          <w:sz w:val="18"/>
          <w:szCs w:val="18"/>
          <w:color w:val="auto"/>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spacing w:after="0" w:line="76" w:lineRule="exact"/>
        <w:rPr>
          <w:sz w:val="20"/>
          <w:szCs w:val="20"/>
          <w:color w:val="auto"/>
        </w:rPr>
      </w:pPr>
    </w:p>
    <w:p>
      <w:pPr>
        <w:ind w:right="240" w:firstLine="406"/>
        <w:spacing w:after="0" w:line="263" w:lineRule="auto"/>
        <w:rPr>
          <w:sz w:val="20"/>
          <w:szCs w:val="20"/>
          <w:color w:val="auto"/>
        </w:rPr>
      </w:pPr>
      <w:r>
        <w:rPr>
          <w:rFonts w:ascii="Arial" w:cs="Arial" w:eastAsia="Arial" w:hAnsi="Arial"/>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76" w:lineRule="exact"/>
        <w:rPr>
          <w:sz w:val="20"/>
          <w:szCs w:val="20"/>
          <w:color w:val="auto"/>
        </w:rPr>
      </w:pPr>
    </w:p>
    <w:p>
      <w:pPr>
        <w:ind w:firstLine="406"/>
        <w:spacing w:after="0" w:line="277" w:lineRule="auto"/>
        <w:rPr>
          <w:sz w:val="20"/>
          <w:szCs w:val="20"/>
          <w:color w:val="auto"/>
        </w:rPr>
      </w:pPr>
      <w:r>
        <w:rPr>
          <w:rFonts w:ascii="Arial" w:cs="Arial" w:eastAsia="Arial" w:hAnsi="Arial"/>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62" w:lineRule="exact"/>
        <w:rPr>
          <w:sz w:val="20"/>
          <w:szCs w:val="20"/>
          <w:color w:val="auto"/>
        </w:rPr>
      </w:pPr>
    </w:p>
    <w:p>
      <w:pPr>
        <w:ind w:right="440" w:firstLine="406"/>
        <w:spacing w:after="0" w:line="277" w:lineRule="auto"/>
        <w:rPr>
          <w:sz w:val="20"/>
          <w:szCs w:val="20"/>
          <w:color w:val="auto"/>
        </w:rPr>
      </w:pPr>
      <w:r>
        <w:rPr>
          <w:rFonts w:ascii="Arial" w:cs="Arial" w:eastAsia="Arial" w:hAnsi="Arial"/>
          <w:sz w:val="18"/>
          <w:szCs w:val="18"/>
          <w:color w:val="auto"/>
        </w:rPr>
        <w:t>Risk-Free Interest Rate—The risk-free interest rate is based on the yield available on U.S. Treasury zero-coupon issues similar in duration to the expected term of the stock-based award.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4" w:name="page115"/>
    <w:bookmarkEnd w:id="114"/>
    <w:p>
      <w:pPr>
        <w:ind w:right="20" w:firstLine="406"/>
        <w:spacing w:after="0" w:line="279" w:lineRule="auto"/>
        <w:rPr>
          <w:sz w:val="20"/>
          <w:szCs w:val="20"/>
          <w:color w:val="auto"/>
        </w:rPr>
      </w:pPr>
      <w:r>
        <w:rPr>
          <w:rFonts w:ascii="Arial" w:cs="Arial" w:eastAsia="Arial" w:hAnsi="Arial"/>
          <w:sz w:val="17"/>
          <w:szCs w:val="17"/>
          <w:color w:val="auto"/>
        </w:rPr>
        <w:t>The fair value is recognized over the period during which an optionee is required to provide services in exchange for the stock option, known as the requisite service period (usually the vesting period) on a straight-line basis. For performance-based vesting, the fair value is also recognized on a straight-line basis over the requisite service period based on whether the performance conditions are probable. The Company reassesses the probability of achieving the performance conditions at each reporting date. Forfeitures are accounted for as they occur.</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06"/>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9" w:lineRule="exact"/>
        <w:rPr>
          <w:sz w:val="20"/>
          <w:szCs w:val="20"/>
          <w:color w:val="auto"/>
        </w:rPr>
      </w:pPr>
    </w:p>
    <w:p>
      <w:pPr>
        <w:ind w:right="180" w:firstLine="406"/>
        <w:spacing w:after="0" w:line="272" w:lineRule="auto"/>
        <w:rPr>
          <w:sz w:val="20"/>
          <w:szCs w:val="20"/>
          <w:color w:val="auto"/>
        </w:rPr>
      </w:pPr>
      <w:r>
        <w:rPr>
          <w:rFonts w:ascii="Arial" w:cs="Arial" w:eastAsia="Arial" w:hAnsi="Arial"/>
          <w:sz w:val="17"/>
          <w:szCs w:val="17"/>
          <w:color w:val="auto"/>
        </w:rPr>
        <w:t xml:space="preserve">The Company applies the provisions of ASC 740, </w:t>
      </w:r>
      <w:r>
        <w:rPr>
          <w:rFonts w:ascii="Arial" w:cs="Arial" w:eastAsia="Arial" w:hAnsi="Arial"/>
          <w:sz w:val="17"/>
          <w:szCs w:val="17"/>
          <w:i w:val="1"/>
          <w:iCs w:val="1"/>
          <w:color w:val="auto"/>
        </w:rPr>
        <w:t>Income Taxe</w:t>
      </w:r>
      <w:r>
        <w:rPr>
          <w:rFonts w:ascii="Arial" w:cs="Arial" w:eastAsia="Arial" w:hAnsi="Arial"/>
          <w:sz w:val="17"/>
          <w:szCs w:val="17"/>
          <w:color w:val="auto"/>
        </w:rPr>
        <w:t>s (“ASC 740”), which prescribes a comprehensive model for how a company should recognize, measure, present and disclose in its financial statements uncertain tax positions that the company has taken or expects to take on a tax return. These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December 31, 2021 and December 31, 2020. The Company does not have any interest or penalties accrued related to tax positions as it does not have any unrecognized tax benefits. In the event the Company determines that accrual of interest or penalties are necessary in the future, the amount will be presented as a component of interest expense.</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60" w:firstLine="406"/>
        <w:spacing w:after="0" w:line="275" w:lineRule="auto"/>
        <w:rPr>
          <w:sz w:val="20"/>
          <w:szCs w:val="20"/>
          <w:color w:val="auto"/>
        </w:rPr>
      </w:pPr>
      <w:r>
        <w:rPr>
          <w:rFonts w:ascii="Arial" w:cs="Arial" w:eastAsia="Arial" w:hAnsi="Arial"/>
          <w:sz w:val="17"/>
          <w:szCs w:val="17"/>
          <w:color w:val="auto"/>
        </w:rPr>
        <w:t xml:space="preserve">Under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68" w:lineRule="exact"/>
        <w:rPr>
          <w:sz w:val="20"/>
          <w:szCs w:val="20"/>
          <w:color w:val="auto"/>
        </w:rPr>
      </w:pPr>
    </w:p>
    <w:p>
      <w:pPr>
        <w:jc w:val="both"/>
        <w:ind w:right="100" w:firstLine="406"/>
        <w:spacing w:after="0" w:line="259" w:lineRule="auto"/>
        <w:rPr>
          <w:sz w:val="20"/>
          <w:szCs w:val="20"/>
          <w:color w:val="auto"/>
        </w:rPr>
      </w:pPr>
      <w:r>
        <w:rPr>
          <w:rFonts w:ascii="Arial" w:cs="Arial" w:eastAsia="Arial" w:hAnsi="Arial"/>
          <w:sz w:val="18"/>
          <w:szCs w:val="18"/>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Basic and Diluted Net Income (Loss) per Common Share</w:t>
      </w:r>
    </w:p>
    <w:p>
      <w:pPr>
        <w:spacing w:after="0" w:line="117" w:lineRule="exact"/>
        <w:rPr>
          <w:sz w:val="20"/>
          <w:szCs w:val="20"/>
          <w:color w:val="auto"/>
        </w:rPr>
      </w:pPr>
    </w:p>
    <w:p>
      <w:pPr>
        <w:ind w:right="180" w:firstLine="406"/>
        <w:spacing w:after="0" w:line="263" w:lineRule="auto"/>
        <w:rPr>
          <w:sz w:val="20"/>
          <w:szCs w:val="20"/>
          <w:color w:val="auto"/>
        </w:rPr>
      </w:pPr>
      <w:r>
        <w:rPr>
          <w:rFonts w:ascii="Arial" w:cs="Arial" w:eastAsia="Arial" w:hAnsi="Arial"/>
          <w:sz w:val="18"/>
          <w:szCs w:val="18"/>
          <w:color w:val="auto"/>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spacing w:after="0" w:line="76" w:lineRule="exact"/>
        <w:rPr>
          <w:sz w:val="20"/>
          <w:szCs w:val="20"/>
          <w:color w:val="auto"/>
        </w:rPr>
      </w:pPr>
    </w:p>
    <w:p>
      <w:pPr>
        <w:ind w:right="160" w:firstLine="406"/>
        <w:spacing w:after="0" w:line="263" w:lineRule="auto"/>
        <w:rPr>
          <w:sz w:val="20"/>
          <w:szCs w:val="20"/>
          <w:color w:val="auto"/>
        </w:rPr>
      </w:pPr>
      <w:r>
        <w:rPr>
          <w:rFonts w:ascii="Arial" w:cs="Arial" w:eastAsia="Arial" w:hAnsi="Arial"/>
          <w:sz w:val="18"/>
          <w:szCs w:val="18"/>
          <w:color w:val="auto"/>
        </w:rPr>
        <w:t>For all periods presented, shares issuable upon exercise of stock options and warrants to purchase shares of common stock have been excluded from the calculation because their effects would be anti-dilutive. Therefore, the weighted average common shares used to calculate both basic and diluted net loss per share are the same for each of the periods presented.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220" w:firstLine="406"/>
        <w:spacing w:after="0" w:line="277" w:lineRule="auto"/>
        <w:rPr>
          <w:sz w:val="20"/>
          <w:szCs w:val="20"/>
          <w:color w:val="auto"/>
        </w:rPr>
      </w:pPr>
      <w:r>
        <w:rPr>
          <w:rFonts w:ascii="Arial" w:cs="Arial" w:eastAsia="Arial" w:hAnsi="Arial"/>
          <w:sz w:val="18"/>
          <w:szCs w:val="18"/>
          <w:color w:val="auto"/>
        </w:rPr>
        <w:t>The Company has one reporting segment which is also the Company’s only operating segment. Management uses one measurement of profitability and does not segregate its business for internal reporting. All long-lived assets are maintained in the U.S.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500" w:firstLine="406"/>
        <w:spacing w:after="0" w:line="277" w:lineRule="auto"/>
        <w:rPr>
          <w:sz w:val="20"/>
          <w:szCs w:val="20"/>
          <w:color w:val="auto"/>
        </w:rPr>
      </w:pPr>
      <w:r>
        <w:rPr>
          <w:rFonts w:ascii="Arial" w:cs="Arial" w:eastAsia="Arial" w:hAnsi="Arial"/>
          <w:sz w:val="18"/>
          <w:szCs w:val="18"/>
          <w:color w:val="auto"/>
        </w:rPr>
        <w:t xml:space="preserve">On January 1, 2021, the Company adopted ASU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simplifies the accounting for income taxes. The adoption of the new guidance did not affect the Company’s Consolidated Financial Statements.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40" w:firstLine="406"/>
        <w:spacing w:after="0" w:line="277" w:lineRule="auto"/>
        <w:rPr>
          <w:sz w:val="20"/>
          <w:szCs w:val="20"/>
          <w:color w:val="auto"/>
        </w:rPr>
      </w:pPr>
      <w:r>
        <w:rPr>
          <w:rFonts w:ascii="Arial" w:cs="Arial" w:eastAsia="Arial" w:hAnsi="Arial"/>
          <w:sz w:val="18"/>
          <w:szCs w:val="18"/>
          <w:color w:val="auto"/>
        </w:rPr>
        <w:t>There have been no new pronouncements issued during the year ended December 31, 2021, which could be expected to materially impact the Company’s Consolidated Financial Statements.</w:t>
      </w:r>
    </w:p>
    <w:p>
      <w:pPr>
        <w:spacing w:after="0" w:line="58"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8"/>
          <w:szCs w:val="18"/>
          <w:color w:val="auto"/>
        </w:rPr>
        <w:t>Effective March 1, 2013, the Company entered into a lease for office space in New Haven, CT and commencing March 1, 2018, the Company entered into the First Amendment to the lease (collectively, the “Office Space Lease”). The leased space approximates 5,600 square feet and the Office Space Lease has a term of 60 months. The Office Space Lease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t>requires monthly payments ranging from approximately $10 to $12 through February 1, 2023 and provides for two designated months of free rent.</w:t>
      </w:r>
    </w:p>
    <w:p>
      <w:pPr>
        <w:spacing w:after="0" w:line="129" w:lineRule="exact"/>
        <w:rPr>
          <w:sz w:val="20"/>
          <w:szCs w:val="20"/>
          <w:color w:val="auto"/>
        </w:rPr>
      </w:pPr>
    </w:p>
    <w:p>
      <w:pPr>
        <w:jc w:val="both"/>
        <w:ind w:right="140" w:firstLine="406"/>
        <w:spacing w:after="0" w:line="263" w:lineRule="auto"/>
        <w:rPr>
          <w:sz w:val="20"/>
          <w:szCs w:val="20"/>
          <w:color w:val="auto"/>
        </w:rPr>
      </w:pPr>
      <w:r>
        <w:rPr>
          <w:rFonts w:ascii="Arial" w:cs="Arial" w:eastAsia="Arial" w:hAnsi="Arial"/>
          <w:sz w:val="18"/>
          <w:szCs w:val="18"/>
          <w:color w:val="auto"/>
        </w:rPr>
        <w:t>The incremental borrowing rate used on the Office Space Lease was 13.0%. The right-of-use asset also includes any lease payments related to initial direct costs and prepayments and excludes lease incentives. Lease expense is recognized on a straight-line basis over the lease term. The Company had no new leases during the years ended December 31, 2021 and 2020.</w:t>
      </w:r>
    </w:p>
    <w:p>
      <w:pPr>
        <w:spacing w:after="0" w:line="76" w:lineRule="exact"/>
        <w:rPr>
          <w:sz w:val="20"/>
          <w:szCs w:val="20"/>
          <w:color w:val="auto"/>
        </w:rPr>
      </w:pPr>
    </w:p>
    <w:p>
      <w:pPr>
        <w:ind w:right="460" w:firstLine="406"/>
        <w:spacing w:after="0" w:line="342" w:lineRule="auto"/>
        <w:rPr>
          <w:sz w:val="20"/>
          <w:szCs w:val="20"/>
          <w:color w:val="auto"/>
        </w:rPr>
      </w:pPr>
      <w:r>
        <w:rPr>
          <w:rFonts w:ascii="Arial" w:cs="Arial" w:eastAsia="Arial" w:hAnsi="Arial"/>
          <w:sz w:val="16"/>
          <w:szCs w:val="16"/>
          <w:color w:val="auto"/>
        </w:rPr>
        <w:t>The Office Space Lease is an operating lease and the remaining term as of December 31, 2021 is approximately 1.2 years. The Company has no financing leases. The following table summarizes the Company’s operating lease as presented on its Consolidated Balance Sheets: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Assets:</w:t>
            </w: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right-of-use asset</w:t>
            </w:r>
          </w:p>
        </w:tc>
        <w:tc>
          <w:tcPr>
            <w:tcW w:w="20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Liabilities:</w:t>
            </w:r>
          </w:p>
        </w:tc>
        <w:tc>
          <w:tcPr>
            <w:tcW w:w="1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 current portion</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lease liabilities, long term portion</w:t>
            </w:r>
          </w:p>
        </w:tc>
        <w:tc>
          <w:tcPr>
            <w:tcW w:w="1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1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140" w:type="dxa"/>
            <w:vAlign w:val="bottom"/>
            <w:gridSpan w:val="6"/>
          </w:tcPr>
          <w:p>
            <w:pPr>
              <w:ind w:left="420"/>
              <w:spacing w:after="0"/>
              <w:rPr>
                <w:sz w:val="20"/>
                <w:szCs w:val="20"/>
                <w:color w:val="auto"/>
              </w:rPr>
            </w:pPr>
            <w:r>
              <w:rPr>
                <w:rFonts w:ascii="Arial" w:cs="Arial" w:eastAsia="Arial" w:hAnsi="Arial"/>
                <w:sz w:val="18"/>
                <w:szCs w:val="18"/>
                <w:color w:val="auto"/>
                <w:w w:val="95"/>
              </w:rPr>
              <w:t>Future minimum lease payments from December 31, 2021 until the expiration of the operating lease are as follows: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8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Less: imputed discount rate</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operating lease liabilities</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06"/>
        <w:spacing w:after="0" w:line="263" w:lineRule="auto"/>
        <w:rPr>
          <w:sz w:val="20"/>
          <w:szCs w:val="20"/>
          <w:color w:val="auto"/>
        </w:rPr>
      </w:pPr>
      <w:r>
        <w:rPr>
          <w:rFonts w:ascii="Arial" w:cs="Arial" w:eastAsia="Arial" w:hAnsi="Arial"/>
          <w:sz w:val="18"/>
          <w:szCs w:val="18"/>
          <w:color w:val="auto"/>
        </w:rPr>
        <w:t>Lease expense under operating leases, including leases of office equipment, was $120 and $124 for the years ended December 31, 2021 and 2020, respectively. Lease payments made were $139 and $138 in the years ended December 31, 2021 and 2020, respectively, with such amounts reflected in the Consolidated Statements of Cash Flows in operating activities.</w:t>
      </w:r>
    </w:p>
    <w:p>
      <w:pPr>
        <w:spacing w:after="0" w:line="72"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Leasehold Improvements, Net</w:t>
      </w:r>
    </w:p>
    <w:p>
      <w:pPr>
        <w:spacing w:after="0" w:line="12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Property, equipment and leasehold improvements, net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7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95"/>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8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Computer, website development and office equipment</w:t>
            </w: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r>
      <w:tr>
        <w:trPr>
          <w:trHeight w:val="223"/>
        </w:trPr>
        <w:tc>
          <w:tcPr>
            <w:tcW w:w="6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4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Total property, equipment and leasehold improvements, net</w:t>
            </w: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was $50 and $47 for the years ended December 31, 2021 and 2020, respectively.</w:t>
      </w:r>
    </w:p>
    <w:p>
      <w:pPr>
        <w:spacing w:after="0" w:line="113"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20" w:type="dxa"/>
            <w:vAlign w:val="bottom"/>
            <w:tcBorders>
              <w:bottom w:val="single" w:sz="8" w:color="CFF0FC"/>
            </w:tcBorders>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Accrued R&amp;D projects</w:t>
            </w:r>
          </w:p>
        </w:tc>
        <w:tc>
          <w:tcPr>
            <w:tcW w:w="28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1,250</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Accrued consulting and professional fees</w:t>
            </w:r>
          </w:p>
        </w:tc>
        <w:tc>
          <w:tcPr>
            <w:tcW w:w="28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9"/>
                <w:szCs w:val="19"/>
                <w:color w:val="auto"/>
              </w:rPr>
            </w:pPr>
          </w:p>
        </w:tc>
      </w:tr>
      <w:tr>
        <w:trPr>
          <w:trHeight w:val="230"/>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28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tcPr>
          <w:p>
            <w:pPr>
              <w:spacing w:after="0"/>
              <w:rPr>
                <w:sz w:val="19"/>
                <w:szCs w:val="19"/>
                <w:color w:val="auto"/>
              </w:rPr>
            </w:pPr>
          </w:p>
        </w:tc>
      </w:tr>
      <w:tr>
        <w:trPr>
          <w:trHeight w:val="223"/>
        </w:trPr>
        <w:tc>
          <w:tcPr>
            <w:tcW w:w="4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accrued expenses</w:t>
            </w:r>
          </w:p>
        </w:tc>
        <w:tc>
          <w:tcPr>
            <w:tcW w:w="28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3,808</w:t>
            </w:r>
          </w:p>
        </w:tc>
        <w:tc>
          <w:tcPr>
            <w:tcW w:w="3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20" w:type="dxa"/>
            <w:vAlign w:val="bottom"/>
          </w:tcPr>
          <w:p>
            <w:pPr>
              <w:spacing w:after="0"/>
              <w:rPr>
                <w:sz w:val="24"/>
                <w:szCs w:val="24"/>
                <w:color w:val="auto"/>
              </w:rPr>
            </w:pPr>
          </w:p>
        </w:tc>
        <w:tc>
          <w:tcPr>
            <w:tcW w:w="4140" w:type="dxa"/>
            <w:vAlign w:val="bottom"/>
            <w:gridSpan w:val="2"/>
          </w:tcPr>
          <w:p>
            <w:pPr>
              <w:jc w:val="right"/>
              <w:ind w:right="2487"/>
              <w:spacing w:after="0"/>
              <w:rPr>
                <w:sz w:val="20"/>
                <w:szCs w:val="20"/>
                <w:color w:val="auto"/>
              </w:rPr>
            </w:pPr>
            <w:r>
              <w:rPr>
                <w:rFonts w:ascii="Arial" w:cs="Arial" w:eastAsia="Arial" w:hAnsi="Arial"/>
                <w:sz w:val="18"/>
                <w:szCs w:val="18"/>
                <w:color w:val="auto"/>
              </w:rPr>
              <w:t>F-12</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6" w:name="page117"/>
    <w:bookmarkEnd w:id="116"/>
    <w:p>
      <w:pPr>
        <w:ind w:left="420" w:hanging="412"/>
        <w:spacing w:after="0"/>
        <w:tabs>
          <w:tab w:leader="none" w:pos="4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Silicon Valley Bank Term Loan</w:t>
      </w:r>
    </w:p>
    <w:p>
      <w:pPr>
        <w:spacing w:after="0" w:line="117" w:lineRule="exact"/>
        <w:rPr>
          <w:sz w:val="20"/>
          <w:szCs w:val="20"/>
          <w:color w:val="auto"/>
        </w:rPr>
      </w:pPr>
    </w:p>
    <w:p>
      <w:pPr>
        <w:ind w:firstLine="406"/>
        <w:spacing w:after="0" w:line="267" w:lineRule="auto"/>
        <w:rPr>
          <w:sz w:val="20"/>
          <w:szCs w:val="20"/>
          <w:color w:val="auto"/>
        </w:rPr>
      </w:pPr>
      <w:r>
        <w:rPr>
          <w:rFonts w:ascii="Arial" w:cs="Arial" w:eastAsia="Arial" w:hAnsi="Arial"/>
          <w:sz w:val="17"/>
          <w:szCs w:val="17"/>
          <w:color w:val="auto"/>
        </w:rPr>
        <w:t>On August 13, 2020 (the “Effective Date”), the Company entered into a loan and security agreement (the “SVB Loan Agreement”) with Silicon Valley Bank, as lender (“SVB”), pursuant to which SVB provided a term loan to the Company in the original principal amount of $14.0 million (the “SVB Term Loan”). The Company may use the proceeds from the SVB Term Loan for working capital and general corporate purposes. The SVB Term Loan bears interest at a floating rate per annum equal to the greater of (A) the prime rate plus 1.00% and (B) 4.25%. If SVB receives evidence satisfactory to it that the Company has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will be adjusted to a floating rate equal to the greater of (A) the prime rate plus 3.00% and (B) 6.25% (see term loan derivative liability discussion below). On the first business day of each month, the Company will be required to make monthly interest payments and commencing on March 1, 2022, the Company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w:t>
      </w:r>
    </w:p>
    <w:p>
      <w:pPr>
        <w:spacing w:after="0" w:line="82" w:lineRule="exact"/>
        <w:rPr>
          <w:sz w:val="20"/>
          <w:szCs w:val="20"/>
          <w:color w:val="auto"/>
        </w:rPr>
      </w:pPr>
    </w:p>
    <w:p>
      <w:pPr>
        <w:ind w:firstLine="462"/>
        <w:spacing w:after="0" w:line="287" w:lineRule="auto"/>
        <w:rPr>
          <w:sz w:val="20"/>
          <w:szCs w:val="20"/>
          <w:color w:val="auto"/>
        </w:rPr>
      </w:pPr>
      <w:r>
        <w:rPr>
          <w:rFonts w:ascii="Arial" w:cs="Arial" w:eastAsia="Arial" w:hAnsi="Arial"/>
          <w:sz w:val="16"/>
          <w:szCs w:val="16"/>
          <w:color w:val="auto"/>
        </w:rPr>
        <w:t>On July 6, 2021, the Company and SVB entered into a First Amendment (the “Loan Amendment”) to the SVB Loan Agreement. The Loan Amendment modifies the conditions under which the Company is required to cash collateralize all outstanding amounts owed to SVB under the SVB Loan Agreement. Under the Loan Amendment, if the Company fails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will be required to deposit unrestricted and unencumbered cash equal to 100% of the principal amount of the SVB Term Loan then outstanding in a cash collateral account with SVB, which can be used by SVB to prepay the SVB Term Loan at any time. In addition, the Loan Amendment provides that if the Company fails to maintain at least $20.0 million in unrestricted and unencumbered cash in its accounts with SVB at any time prior to the satisfaction of all the Milestone Conditions, the Company will be required to cash collateralize all outstanding amounts owed to SVB under the SVB Loan Agreement. The Company would also have been required to cash collateralize all outstanding amounts owed to SVB under the SVB Loan Agreement if it did not raise at least $15.0 million in net proceeds from the sale of equity securities during the period from June 1, 2021 through October 31, 2021. The Company satisfied this equity funding condition through a combination of equity issuances under the Company’s ATM Sales Agreement and two private placements, which took place in October 2021 (see Note 7).</w:t>
      </w:r>
    </w:p>
    <w:p>
      <w:pPr>
        <w:spacing w:after="0" w:line="60" w:lineRule="exact"/>
        <w:rPr>
          <w:sz w:val="20"/>
          <w:szCs w:val="20"/>
          <w:color w:val="auto"/>
        </w:rPr>
      </w:pPr>
    </w:p>
    <w:p>
      <w:pPr>
        <w:ind w:right="80" w:firstLine="462"/>
        <w:spacing w:after="0" w:line="255" w:lineRule="auto"/>
        <w:rPr>
          <w:sz w:val="20"/>
          <w:szCs w:val="20"/>
          <w:color w:val="auto"/>
        </w:rPr>
      </w:pPr>
      <w:r>
        <w:rPr>
          <w:rFonts w:ascii="Arial" w:cs="Arial" w:eastAsia="Arial" w:hAnsi="Arial"/>
          <w:sz w:val="18"/>
          <w:szCs w:val="18"/>
          <w:color w:val="auto"/>
        </w:rPr>
        <w:t>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restricts the payment of dividends on the Company’s common stock.</w:t>
      </w:r>
    </w:p>
    <w:p>
      <w:pPr>
        <w:spacing w:after="0" w:line="84" w:lineRule="exact"/>
        <w:rPr>
          <w:sz w:val="20"/>
          <w:szCs w:val="20"/>
          <w:color w:val="auto"/>
        </w:rPr>
      </w:pPr>
    </w:p>
    <w:p>
      <w:pPr>
        <w:ind w:right="20" w:firstLine="462"/>
        <w:spacing w:after="0" w:line="272" w:lineRule="auto"/>
        <w:rPr>
          <w:sz w:val="20"/>
          <w:szCs w:val="20"/>
          <w:color w:val="auto"/>
        </w:rPr>
      </w:pPr>
      <w:r>
        <w:rPr>
          <w:rFonts w:ascii="Arial" w:cs="Arial" w:eastAsia="Arial" w:hAnsi="Arial"/>
          <w:sz w:val="17"/>
          <w:szCs w:val="17"/>
          <w:color w:val="auto"/>
        </w:rPr>
        <w:t>In August 2020, in connection with the SVB Term Loan, the Company paid $57 in financing costs to a third party, which were recorded as deferred charges and will be amortized over the life of the SVB Term Loan using the effective interest method. In connection with the Loan Amendment, the Company paid $68 in financing costs to a third party, which were recorded as deferred charges and will be amortized over the remaining life of the SVB Term Loan using the effective interest method. Amortization of these deferred financing charges totaled $40 and $9 for the years ended December 31, 2021 and 2020, respectively and is included in interest expense in the Company’s Consolidated Statements of Operations. The unamortized deferred charges totaled $76 and $48 at December 31, 2021 and 2020, respectively and are included as a direct reduction of the carrying value of the term loan payable on the Company’s Consolidated Balance Sheets.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17" w:name="page118"/>
    <w:bookmarkEnd w:id="117"/>
    <w:p>
      <w:pPr>
        <w:ind w:right="260" w:firstLine="466"/>
        <w:spacing w:after="0" w:line="296" w:lineRule="auto"/>
        <w:rPr>
          <w:sz w:val="20"/>
          <w:szCs w:val="20"/>
          <w:color w:val="auto"/>
        </w:rPr>
      </w:pPr>
      <w:r>
        <w:rPr>
          <w:rFonts w:ascii="Arial" w:cs="Arial" w:eastAsia="Arial" w:hAnsi="Arial"/>
          <w:sz w:val="16"/>
          <w:szCs w:val="16"/>
          <w:color w:val="auto"/>
        </w:rPr>
        <w:t>In August 2020, in connection with the execution of the SVB Loan Agreement, the Company paid $27 in financing costs to SVB, which were recorded as loan discounts. These loan discounts are included as a reduction in the balance of the term loan payable on the Company’s Consolidated Balance Sheet and will be accreted over the life of the SVB Term Loan using the effective interest method. Accretion of these loan discounts totaled $11 and $4 for the years ended December 31, 2021 and 2020, respectively and is included in interest expense in the Company’s Consolidated Statements of Operations. At December 31, 2021 and 2020, the loan discount-financing costs unamortized balance was $12 and $23, respectively.</w:t>
      </w:r>
    </w:p>
    <w:p>
      <w:pPr>
        <w:spacing w:after="0" w:line="53" w:lineRule="exact"/>
        <w:rPr>
          <w:sz w:val="20"/>
          <w:szCs w:val="20"/>
          <w:color w:val="auto"/>
        </w:rPr>
      </w:pPr>
    </w:p>
    <w:p>
      <w:pPr>
        <w:ind w:right="380" w:firstLine="462"/>
        <w:spacing w:after="0" w:line="259" w:lineRule="auto"/>
        <w:rPr>
          <w:sz w:val="20"/>
          <w:szCs w:val="20"/>
          <w:color w:val="auto"/>
        </w:rPr>
      </w:pPr>
      <w:r>
        <w:rPr>
          <w:rFonts w:ascii="Arial" w:cs="Arial" w:eastAsia="Arial" w:hAnsi="Arial"/>
          <w:sz w:val="18"/>
          <w:szCs w:val="18"/>
          <w:color w:val="auto"/>
        </w:rPr>
        <w:t>In connection with the SVB Loan Agreement, the Company is obligated to pay a final payment fee of $1.2 million upon repayment in full of the SVB Term Loan. The final payment fee is being accrued over the life of the SVB Term Loan using the effective interest method and is included as an increase in the balance of the term loan payable on the Company’s Consolidated Balance Sheet. At December 31, 2021 and 2020, $657 and $183 was accrued for the final payment fee, respectively.</w:t>
      </w:r>
    </w:p>
    <w:p>
      <w:pPr>
        <w:spacing w:after="0" w:line="79" w:lineRule="exact"/>
        <w:rPr>
          <w:sz w:val="20"/>
          <w:szCs w:val="20"/>
          <w:color w:val="auto"/>
        </w:rPr>
      </w:pPr>
    </w:p>
    <w:p>
      <w:pPr>
        <w:ind w:right="40" w:firstLine="462"/>
        <w:spacing w:after="0" w:line="286" w:lineRule="auto"/>
        <w:rPr>
          <w:sz w:val="20"/>
          <w:szCs w:val="20"/>
          <w:color w:val="auto"/>
        </w:rPr>
      </w:pPr>
      <w:r>
        <w:rPr>
          <w:rFonts w:ascii="Arial" w:cs="Arial" w:eastAsia="Arial" w:hAnsi="Arial"/>
          <w:sz w:val="16"/>
          <w:szCs w:val="16"/>
          <w:color w:val="auto"/>
        </w:rPr>
        <w:t xml:space="preserve">Upon SVB receiving evidence satisfactory to it that the Company has (i) received positive data for the Phase 2b/3 PRISM trial sufficient to advance Haduvio into a second Phase 3 clinical trial for chronic pruritus associated with prurigo nodularis and (ii) raised sufficient financing to fund such Phase 3 clinical trial and the Company’s operations, the interest rate on the SVB Term Loan will increase by 2.00% (the “Contingent Interest Rate Increase”) as described above. The Contingent Interest Rate Increase represents a free-standing financial instrument. Accordingly, the Company accounted for the Contingent Interest Rate Increase as a derivative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therefore, recorded a term loan derivative liability for the Contingent Interest Rate Increase at its fair value of $187 on the Effective Date of the SVB Loan Agreement. The Company adjusts this liability to fair value at each reporting date it remains outstanding, with such adjustments recorded as non-cash charges in other (expense) income, net in the Company’s Consolidated Statements of Operations. The total fair value of this liability was determined to be $114 and $196 at December 31, 2021 and 2020, respectively. The change in fair value of the term loan derivative liability as of December 31, 2021 as compared to the fair value at December 31, 2020 was $82. The term loan derivative liability is presented as a current liability in the Company’s Consolidated Balance Sheet as of December 31, 2021 and as a non-current liability as of December 31, 2020. Upon recording such term loan derivative liability, the Company also recorded an offsetting term loan discount – interest, to be amortized to interest expense in the Company’s Consolidated Statements of Operations through the SVB Term Loan’s maturity date using the effective interest method. Such amortization was $74 and $29 for the years ended December 31, 2021 and 2020, respectively. At December 31, 2021 and 2020, the balance of the term loan discount – interest was $84 and $158, respectively and is included as a reduction in the balance of the term loan payable on the Company’s Consolidated Balance Sheets.</w:t>
      </w:r>
    </w:p>
    <w:p>
      <w:pPr>
        <w:spacing w:after="0" w:line="59" w:lineRule="exact"/>
        <w:rPr>
          <w:sz w:val="20"/>
          <w:szCs w:val="20"/>
          <w:color w:val="auto"/>
        </w:rPr>
      </w:pPr>
    </w:p>
    <w:p>
      <w:pPr>
        <w:ind w:right="160" w:firstLine="462"/>
        <w:spacing w:after="0" w:line="259" w:lineRule="auto"/>
        <w:rPr>
          <w:sz w:val="20"/>
          <w:szCs w:val="20"/>
          <w:color w:val="auto"/>
        </w:rPr>
      </w:pPr>
      <w:r>
        <w:rPr>
          <w:rFonts w:ascii="Arial" w:cs="Arial" w:eastAsia="Arial" w:hAnsi="Arial"/>
          <w:sz w:val="18"/>
          <w:szCs w:val="18"/>
          <w:color w:val="auto"/>
        </w:rPr>
        <w:t>Fair values of the term loan derivative liability are estimated utilizing a probability-weighted cash flow approach, including variables for the timing of the Phase 3 Event and other probability estimates. For the fair value calculations of the term loan derivative liability at December 31, 2021 and 2020, significant inputs included the Contingent Interest Rate Increase of 2.00%, a discount rate of 12.0% and the SVB Term Loan maturity date of February 1, 2024.</w:t>
      </w:r>
    </w:p>
    <w:p>
      <w:pPr>
        <w:spacing w:after="0" w:line="79" w:lineRule="exact"/>
        <w:rPr>
          <w:sz w:val="20"/>
          <w:szCs w:val="20"/>
          <w:color w:val="auto"/>
        </w:rPr>
      </w:pPr>
    </w:p>
    <w:p>
      <w:pPr>
        <w:ind w:right="60" w:firstLine="466"/>
        <w:spacing w:after="0" w:line="342" w:lineRule="auto"/>
        <w:rPr>
          <w:sz w:val="20"/>
          <w:szCs w:val="20"/>
          <w:color w:val="auto"/>
        </w:rPr>
      </w:pPr>
      <w:r>
        <w:rPr>
          <w:rFonts w:ascii="Arial" w:cs="Arial" w:eastAsia="Arial" w:hAnsi="Arial"/>
          <w:sz w:val="16"/>
          <w:szCs w:val="16"/>
          <w:color w:val="auto"/>
        </w:rPr>
        <w:t>The Company had outstanding borrowings of $14.0 million under the SVB Term Loan as of December 31, 2021 and 2020, respectively and the term loan payable balance as presented in the Company’s Consolidated Balance Sheets as of December 31, 2021 and 2020 was comprised as shown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vMerge w:val="restart"/>
          </w:tcPr>
          <w:p>
            <w:pPr>
              <w:spacing w:after="0"/>
              <w:rPr>
                <w:sz w:val="20"/>
                <w:szCs w:val="20"/>
                <w:color w:val="auto"/>
              </w:rPr>
            </w:pPr>
            <w:r>
              <w:rPr>
                <w:rFonts w:ascii="Arial" w:cs="Arial" w:eastAsia="Arial" w:hAnsi="Arial"/>
                <w:sz w:val="18"/>
                <w:szCs w:val="18"/>
                <w:color w:val="auto"/>
              </w:rPr>
              <w:t>Principal outstanding under term loan</w:t>
            </w:r>
          </w:p>
        </w:tc>
        <w:tc>
          <w:tcPr>
            <w:tcW w:w="26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vMerge w:val="continue"/>
          </w:tcPr>
          <w:p>
            <w:pPr>
              <w:spacing w:after="0"/>
              <w:rPr>
                <w:sz w:val="19"/>
                <w:szCs w:val="19"/>
                <w:color w:val="auto"/>
              </w:rPr>
            </w:pPr>
          </w:p>
        </w:tc>
        <w:tc>
          <w:tcPr>
            <w:tcW w:w="262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Term loan discount-interest</w:t>
            </w:r>
          </w:p>
        </w:tc>
        <w:tc>
          <w:tcPr>
            <w:tcW w:w="2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Term loan discount-unamortized deferred charges</w:t>
            </w:r>
          </w:p>
        </w:tc>
        <w:tc>
          <w:tcPr>
            <w:tcW w:w="2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Term loan discount-financing costs, net of accretion</w:t>
            </w:r>
          </w:p>
        </w:tc>
        <w:tc>
          <w:tcPr>
            <w:tcW w:w="2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loan-final payment fee</w:t>
            </w:r>
          </w:p>
        </w:tc>
        <w:tc>
          <w:tcPr>
            <w:tcW w:w="26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w:t>
            </w:r>
          </w:p>
        </w:tc>
        <w:tc>
          <w:tcPr>
            <w:tcW w:w="26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payable, non-current</w:t>
            </w:r>
          </w:p>
        </w:tc>
        <w:tc>
          <w:tcPr>
            <w:tcW w:w="26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0" w:type="dxa"/>
            <w:vAlign w:val="bottom"/>
          </w:tcPr>
          <w:p>
            <w:pPr>
              <w:spacing w:after="0"/>
              <w:rPr>
                <w:sz w:val="24"/>
                <w:szCs w:val="24"/>
                <w:color w:val="auto"/>
              </w:rPr>
            </w:pPr>
          </w:p>
        </w:tc>
        <w:tc>
          <w:tcPr>
            <w:tcW w:w="3040" w:type="dxa"/>
            <w:vAlign w:val="bottom"/>
            <w:gridSpan w:val="2"/>
          </w:tcPr>
          <w:p>
            <w:pPr>
              <w:jc w:val="right"/>
              <w:ind w:right="1767"/>
              <w:spacing w:after="0"/>
              <w:rPr>
                <w:sz w:val="20"/>
                <w:szCs w:val="20"/>
                <w:color w:val="auto"/>
              </w:rPr>
            </w:pPr>
            <w:r>
              <w:rPr>
                <w:rFonts w:ascii="Arial" w:cs="Arial" w:eastAsia="Arial" w:hAnsi="Arial"/>
                <w:sz w:val="18"/>
                <w:szCs w:val="18"/>
                <w:color w:val="auto"/>
              </w:rPr>
              <w:t>F-14</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8" w:name="page119"/>
    <w:bookmarkEnd w:id="118"/>
    <w:p>
      <w:pPr>
        <w:jc w:val="both"/>
        <w:ind w:right="80" w:firstLine="406"/>
        <w:spacing w:after="0" w:line="263" w:lineRule="auto"/>
        <w:rPr>
          <w:sz w:val="20"/>
          <w:szCs w:val="20"/>
          <w:color w:val="auto"/>
        </w:rPr>
      </w:pPr>
      <w:r>
        <w:rPr>
          <w:rFonts w:ascii="Arial" w:cs="Arial" w:eastAsia="Arial" w:hAnsi="Arial"/>
          <w:sz w:val="18"/>
          <w:szCs w:val="18"/>
          <w:color w:val="auto"/>
        </w:rPr>
        <w:t>Interest expense on the SVB Term Loan, which is comprised of interest payments, accretion and amortization of term loan discounts and the accrual of the final payment fee, is shown below for the years ended December 31, 2021 and 2020. As of December 31, 2021 and 2020, the interest rate applicable to borrowings under the SVB Term Loan was 4.25%.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payments</w:t>
            </w:r>
          </w:p>
        </w:tc>
        <w:tc>
          <w:tcPr>
            <w:tcW w:w="1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Accrual of the final payment fee</w:t>
            </w: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Accretion and amortization of term loan discounts</w:t>
            </w:r>
          </w:p>
        </w:tc>
        <w:tc>
          <w:tcPr>
            <w:tcW w:w="17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Borders>
              <w:bottom w:val="single" w:sz="8" w:color="auto"/>
            </w:tcBorders>
          </w:tcPr>
          <w:p>
            <w:pPr>
              <w:jc w:val="right"/>
              <w:ind w:right="9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right="9200" w:hanging="412"/>
        <w:spacing w:after="0" w:line="425" w:lineRule="auto"/>
        <w:tabs>
          <w:tab w:leader="none" w:pos="419"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ind w:right="660" w:firstLine="406"/>
        <w:spacing w:after="0" w:line="277" w:lineRule="auto"/>
        <w:rPr>
          <w:sz w:val="20"/>
          <w:szCs w:val="20"/>
          <w:color w:val="auto"/>
        </w:rPr>
      </w:pPr>
      <w:r>
        <w:rPr>
          <w:rFonts w:ascii="Arial" w:cs="Arial" w:eastAsia="Arial" w:hAnsi="Arial"/>
          <w:sz w:val="18"/>
          <w:szCs w:val="18"/>
          <w:color w:val="auto"/>
        </w:rPr>
        <w:t>As of December 31, 2021 and 2020, the Company’s restated certificate of incorporation authorized the Company to issue 5,000,000 shares of preferred stock, with a par value of $0.001 per share.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80" w:firstLine="406"/>
        <w:spacing w:after="0" w:line="277" w:lineRule="auto"/>
        <w:rPr>
          <w:sz w:val="20"/>
          <w:szCs w:val="20"/>
          <w:color w:val="auto"/>
        </w:rPr>
      </w:pPr>
      <w:r>
        <w:rPr>
          <w:rFonts w:ascii="Arial" w:cs="Arial" w:eastAsia="Arial" w:hAnsi="Arial"/>
          <w:sz w:val="18"/>
          <w:szCs w:val="18"/>
          <w:color w:val="auto"/>
        </w:rPr>
        <w:t>As of December 31, 2021 and 2020, the Company’s restated certificate of incorporation authorized the Company to issue 200,000,000 shares of common stock, with a par value of $0.001 per share.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2021 and 2020, the Company had reserved shares of common stock for future issuance as shown in the table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60" w:type="dxa"/>
            <w:vAlign w:val="bottom"/>
            <w:tcBorders>
              <w:bottom w:val="single" w:sz="8" w:color="CFF0FC"/>
            </w:tcBorders>
          </w:tcPr>
          <w:p>
            <w:pPr>
              <w:spacing w:after="0"/>
              <w:rPr>
                <w:sz w:val="14"/>
                <w:szCs w:val="14"/>
                <w:color w:val="auto"/>
              </w:rPr>
            </w:pPr>
          </w:p>
        </w:tc>
        <w:tc>
          <w:tcPr>
            <w:tcW w:w="306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2012</w:t>
            </w: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Incentive Plan</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665,720</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921,824</w:t>
            </w:r>
          </w:p>
        </w:tc>
        <w:tc>
          <w:tcPr>
            <w:tcW w:w="12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306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420" w:type="dxa"/>
            <w:vAlign w:val="bottom"/>
          </w:tcPr>
          <w:p>
            <w:pPr>
              <w:jc w:val="right"/>
              <w:spacing w:after="0"/>
              <w:rPr>
                <w:sz w:val="20"/>
                <w:szCs w:val="20"/>
                <w:color w:val="auto"/>
              </w:rPr>
            </w:pPr>
            <w:r>
              <w:rPr>
                <w:rFonts w:ascii="Arial" w:cs="Arial" w:eastAsia="Arial" w:hAnsi="Arial"/>
                <w:sz w:val="18"/>
                <w:szCs w:val="18"/>
                <w:color w:val="auto"/>
              </w:rPr>
              <w:t>3,400,489</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2,396,922</w:t>
            </w:r>
          </w:p>
        </w:tc>
        <w:tc>
          <w:tcPr>
            <w:tcW w:w="120" w:type="dxa"/>
            <w:vAlign w:val="bottom"/>
          </w:tcPr>
          <w:p>
            <w:pPr>
              <w:spacing w:after="0"/>
              <w:rPr>
                <w:sz w:val="19"/>
                <w:szCs w:val="19"/>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470,631</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327,454</w:t>
            </w:r>
          </w:p>
        </w:tc>
        <w:tc>
          <w:tcPr>
            <w:tcW w:w="120" w:type="dxa"/>
            <w:vAlign w:val="bottom"/>
            <w:shd w:val="clear" w:color="auto" w:fill="CFF0FC"/>
          </w:tcPr>
          <w:p>
            <w:pPr>
              <w:spacing w:after="0"/>
              <w:rPr>
                <w:sz w:val="19"/>
                <w:szCs w:val="19"/>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Shares to be issued upon conversion of common stock warrants and prefunded warrants</w:t>
            </w:r>
          </w:p>
        </w:tc>
        <w:tc>
          <w:tcPr>
            <w:tcW w:w="1420" w:type="dxa"/>
            <w:vAlign w:val="bottom"/>
          </w:tcPr>
          <w:p>
            <w:pPr>
              <w:jc w:val="right"/>
              <w:spacing w:after="0"/>
              <w:rPr>
                <w:sz w:val="20"/>
                <w:szCs w:val="20"/>
                <w:color w:val="auto"/>
              </w:rPr>
            </w:pPr>
            <w:r>
              <w:rPr>
                <w:rFonts w:ascii="Arial" w:cs="Arial" w:eastAsia="Arial" w:hAnsi="Arial"/>
                <w:sz w:val="18"/>
                <w:szCs w:val="18"/>
                <w:color w:val="auto"/>
              </w:rPr>
              <w:t>20,602,244</w:t>
            </w:r>
          </w:p>
        </w:tc>
        <w:tc>
          <w:tcPr>
            <w:tcW w:w="2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0"/>
              </w:rPr>
              <w:t>Shares to be issued upon sales under the LPC Purchase Agreement</w:t>
            </w:r>
          </w:p>
        </w:tc>
        <w:tc>
          <w:tcPr>
            <w:tcW w:w="30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30,000,000</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55,139,084</w:t>
            </w:r>
          </w:p>
        </w:tc>
        <w:tc>
          <w:tcPr>
            <w:tcW w:w="2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3,646,200</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ind w:right="40" w:firstLine="406"/>
        <w:spacing w:after="0" w:line="291" w:lineRule="auto"/>
        <w:rPr>
          <w:sz w:val="20"/>
          <w:szCs w:val="20"/>
          <w:color w:val="auto"/>
        </w:rPr>
      </w:pPr>
      <w:r>
        <w:rPr>
          <w:rFonts w:ascii="Arial" w:cs="Arial" w:eastAsia="Arial" w:hAnsi="Arial"/>
          <w:sz w:val="16"/>
          <w:szCs w:val="16"/>
          <w:color w:val="auto"/>
        </w:rPr>
        <w:t>In June 2020, the Company entered into the ATM Sales Agreement with SVB Leerink LLC, under which the Company may issue and sell shares of its common stock, from time to time, having an aggregate offering price of up to $12.0 million. Sales of common stock under the ATM Sales Agreement may be made by any method that is deemed an “at-the-market” offering as defined in Rule 415(a)(4) under the Securities Act of 1933, as amended. The Company is not obligated to make any sales of its common stock under the ATM Sales Agreement. The Company began making sales pursuant to the ATM Sales Agreement in July 2020, and as of December 31, 2021, the Company had issued and sold an aggregate of 3,583,394 shares of common stock for gross proceeds of $11.0 million, before deducting estimated commissions and allocated fees of $0.8 million. Under the terms of the October 2021 Private Placements, as described below, the Company agreed not to issue or sell additional shares under the ATM Sales Agreement on or prior to January 4, 2022.</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 Purchase Agreement</w:t>
      </w:r>
    </w:p>
    <w:p>
      <w:pPr>
        <w:spacing w:after="0" w:line="117" w:lineRule="exact"/>
        <w:rPr>
          <w:sz w:val="20"/>
          <w:szCs w:val="20"/>
          <w:color w:val="auto"/>
        </w:rPr>
      </w:pPr>
    </w:p>
    <w:p>
      <w:pPr>
        <w:ind w:right="80" w:firstLine="406"/>
        <w:spacing w:after="0" w:line="290" w:lineRule="auto"/>
        <w:rPr>
          <w:sz w:val="20"/>
          <w:szCs w:val="20"/>
          <w:color w:val="auto"/>
        </w:rPr>
      </w:pPr>
      <w:r>
        <w:rPr>
          <w:rFonts w:ascii="Arial" w:cs="Arial" w:eastAsia="Arial" w:hAnsi="Arial"/>
          <w:sz w:val="16"/>
          <w:szCs w:val="16"/>
          <w:color w:val="auto"/>
        </w:rPr>
        <w:t>On June 18, 2021, the Company entered into a common stock purchase agreement (“LPC Purchase Agreement”) with Lincoln Park Capital Fund, LLC (“Lincoln Park”). The LPC Purchase Agreement provides that, subject to the terms and conditions therein, the Company has the right, but not the obligation, to sell, at its discretion, to Lincoln Park up to $15.0 million of shares of common stock over a 24-month period commencing on July 23, 2021. In addition, under the LPC Purchase Agreement, the Company issued 170,088 shares of common stock to Lincoln Park as consideration for Lincoln Park’s commitment to purchase shares of the Company’s common stock under the LPC Purchase Agreement. The purchase price per share of the shares sold will be based on the market prices prevailing immediately preceding the time of sale as computed under the LPC Purchase Agreement. Lincoln Park has covenanted not to cause or engage in any manner whatsoever, any direct or indirect short selling or hedging of the Company’s common stock. The agreement may be terminated by the Company at any time, at its sole discretion, without any additional cost or penalty. Under the terms of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9" w:name="page120"/>
    <w:bookmarkEnd w:id="119"/>
    <w:p>
      <w:pPr>
        <w:ind w:right="400"/>
        <w:spacing w:after="0" w:line="277" w:lineRule="auto"/>
        <w:rPr>
          <w:sz w:val="20"/>
          <w:szCs w:val="20"/>
          <w:color w:val="auto"/>
        </w:rPr>
      </w:pPr>
      <w:r>
        <w:rPr>
          <w:rFonts w:ascii="Arial" w:cs="Arial" w:eastAsia="Arial" w:hAnsi="Arial"/>
          <w:sz w:val="18"/>
          <w:szCs w:val="18"/>
          <w:color w:val="auto"/>
        </w:rPr>
        <w:t>October 2021 Private Placements, the Company agreed to not issue or sell additional shares under the LPC Purchase Agreement on or prior to April 6, 2023.</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17" w:lineRule="exact"/>
        <w:rPr>
          <w:sz w:val="20"/>
          <w:szCs w:val="20"/>
          <w:color w:val="auto"/>
        </w:rPr>
      </w:pPr>
    </w:p>
    <w:p>
      <w:pPr>
        <w:ind w:right="100" w:firstLine="406"/>
        <w:spacing w:after="0" w:line="291" w:lineRule="auto"/>
        <w:rPr>
          <w:sz w:val="20"/>
          <w:szCs w:val="20"/>
          <w:color w:val="auto"/>
        </w:rPr>
      </w:pPr>
      <w:r>
        <w:rPr>
          <w:rFonts w:ascii="Arial" w:cs="Arial" w:eastAsia="Arial" w:hAnsi="Arial"/>
          <w:sz w:val="16"/>
          <w:szCs w:val="16"/>
          <w:color w:val="auto"/>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w:t>
      </w:r>
    </w:p>
    <w:p>
      <w:pPr>
        <w:ind w:right="60" w:firstLine="8"/>
        <w:spacing w:after="0" w:line="288" w:lineRule="auto"/>
        <w:tabs>
          <w:tab w:leader="none" w:pos="265"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Of the accompanying common stock warrants, warrants to purchase an aggregate of 7,299,270 shares will expire on April 5, 2025, and warrants to purchase an aggregate of 7,299,270 shares will expire on October 5, 2028. The accompanying common stock warrants have an exercise price of $1.37 per share and became exercisable immediately upon issuance.</w:t>
      </w:r>
    </w:p>
    <w:p>
      <w:pPr>
        <w:spacing w:after="0" w:line="60" w:lineRule="exact"/>
        <w:rPr>
          <w:sz w:val="20"/>
          <w:szCs w:val="20"/>
          <w:color w:val="auto"/>
        </w:rPr>
      </w:pPr>
    </w:p>
    <w:p>
      <w:pPr>
        <w:ind w:right="20" w:firstLine="406"/>
        <w:spacing w:after="0" w:line="272" w:lineRule="auto"/>
        <w:rPr>
          <w:sz w:val="20"/>
          <w:szCs w:val="20"/>
          <w:color w:val="auto"/>
        </w:rPr>
      </w:pPr>
      <w:r>
        <w:rPr>
          <w:rFonts w:ascii="Arial" w:cs="Arial" w:eastAsia="Arial" w:hAnsi="Arial"/>
          <w:sz w:val="17"/>
          <w:szCs w:val="17"/>
          <w:color w:val="auto"/>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Of the accompanying common stock warrants, warrants to purchase an aggregate of 1,851,852 shares of the Company’s common stock will expire on April 18, 2025, and warrants to purchase an aggregate of 1,851,852 shares of the Company’s common stock will expire on October 18, 2028. The accompanying common stock warrants have an exercise price of $1.37 per share and became exercisable immediately upon issuance.</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net proceeds from the two October private placements were $13.7 million, after deducting issuance costs of $1.1 million</w:t>
      </w:r>
      <w:r>
        <w:rPr>
          <w:rFonts w:ascii="Arial" w:cs="Arial" w:eastAsia="Arial" w:hAnsi="Arial"/>
          <w:sz w:val="16"/>
          <w:szCs w:val="16"/>
          <w:color w:val="auto"/>
        </w:rPr>
        <w: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Warrant activity, including activity related to the pre-funded warrants, for the year ended December 31, 2021 is shown in the table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Warrant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56"/>
        </w:trPr>
        <w:tc>
          <w:tcPr>
            <w:tcW w:w="656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Issued</w:t>
            </w:r>
          </w:p>
        </w:tc>
        <w:tc>
          <w:tcPr>
            <w:tcW w:w="1440" w:type="dxa"/>
            <w:vAlign w:val="bottom"/>
          </w:tcPr>
          <w:p>
            <w:pPr>
              <w:jc w:val="right"/>
              <w:spacing w:after="0"/>
              <w:rPr>
                <w:sz w:val="20"/>
                <w:szCs w:val="20"/>
                <w:color w:val="auto"/>
              </w:rPr>
            </w:pPr>
            <w:r>
              <w:rPr>
                <w:rFonts w:ascii="Arial" w:cs="Arial" w:eastAsia="Arial" w:hAnsi="Arial"/>
                <w:sz w:val="18"/>
                <w:szCs w:val="18"/>
                <w:color w:val="auto"/>
              </w:rPr>
              <w:t>23,228,313</w:t>
            </w:r>
          </w:p>
        </w:tc>
        <w:tc>
          <w:tcPr>
            <w:tcW w:w="20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(2,626,069)</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Outstanding as of December 31, 2021</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20,602,244</w:t>
            </w:r>
          </w:p>
        </w:tc>
        <w:tc>
          <w:tcPr>
            <w:tcW w:w="20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06"/>
        <w:spacing w:after="0" w:line="259" w:lineRule="auto"/>
        <w:rPr>
          <w:sz w:val="20"/>
          <w:szCs w:val="20"/>
          <w:color w:val="auto"/>
        </w:rPr>
      </w:pPr>
      <w:r>
        <w:rPr>
          <w:rFonts w:ascii="Arial" w:cs="Arial" w:eastAsia="Arial" w:hAnsi="Arial"/>
          <w:sz w:val="18"/>
          <w:szCs w:val="18"/>
          <w:color w:val="auto"/>
        </w:rPr>
        <w:t>Only pre-funded warrants were exercised in 2021. Subsequent to December 31, 2021, the remaining pre-funded warrants to purchase 2,300,000 shares of the Company’s common stock were exercised at a price of $0.001 per share. The pre-funded and common stock warrants are classified as equity in accordance with ASC 815 given that the pre-funded and common stock warrants are indexed to the Company’s own shares of common stock and meet the requirements to be classified in permanent equity.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Based Awards</w:t>
      </w:r>
    </w:p>
    <w:p>
      <w:pPr>
        <w:spacing w:after="0" w:line="117" w:lineRule="exact"/>
        <w:rPr>
          <w:sz w:val="20"/>
          <w:szCs w:val="20"/>
          <w:color w:val="auto"/>
        </w:rPr>
      </w:pPr>
    </w:p>
    <w:p>
      <w:pPr>
        <w:ind w:right="160" w:firstLine="406"/>
        <w:spacing w:after="0" w:line="259"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79" w:lineRule="exact"/>
        <w:rPr>
          <w:sz w:val="20"/>
          <w:szCs w:val="20"/>
          <w:color w:val="auto"/>
        </w:rPr>
      </w:pPr>
    </w:p>
    <w:p>
      <w:pPr>
        <w:ind w:right="80" w:firstLine="406"/>
        <w:spacing w:after="0" w:line="296" w:lineRule="auto"/>
        <w:rPr>
          <w:sz w:val="20"/>
          <w:szCs w:val="20"/>
          <w:color w:val="auto"/>
        </w:rPr>
      </w:pPr>
      <w:r>
        <w:rPr>
          <w:rFonts w:ascii="Arial" w:cs="Arial" w:eastAsia="Arial" w:hAnsi="Arial"/>
          <w:sz w:val="16"/>
          <w:szCs w:val="16"/>
          <w:color w:val="auto"/>
        </w:rPr>
        <w:t>The total number of shares of common stock that may be issued under the 2019 Plan and the 2012 Stock Incentive Plan (the “2012 Plan”) was 4,066,209 and 3,318,746 as of December 31, 2021 and 2020, respectively, of which 1,136,737 and 1,147,269 shares remained available for grant under the 2019 Plan, respectively. 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2012 Stock Incentive Plan (the “2012 Plan”) that expire, terminate or are otherwise cancelled,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0" w:name="page121"/>
    <w:bookmarkEnd w:id="120"/>
    <w:p>
      <w:pPr>
        <w:ind w:right="20"/>
        <w:spacing w:after="0" w:line="296" w:lineRule="auto"/>
        <w:rPr>
          <w:sz w:val="20"/>
          <w:szCs w:val="20"/>
          <w:color w:val="auto"/>
        </w:rPr>
      </w:pPr>
      <w:r>
        <w:rPr>
          <w:rFonts w:ascii="Arial" w:cs="Arial" w:eastAsia="Arial" w:hAnsi="Arial"/>
          <w:sz w:val="16"/>
          <w:szCs w:val="16"/>
          <w:color w:val="auto"/>
        </w:rPr>
        <w:t>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Effective January 1, 2021 and January 1, 2020, respectively, the number of shares reserved for issuance under the 2019 Plan increased, pursuant to the terms of the 2019 Plan, by an additional 741,871 shares and 713,383 shares, equal to 4% of the Company’s then-outstanding common stock.</w:t>
      </w:r>
    </w:p>
    <w:p>
      <w:pPr>
        <w:spacing w:after="0" w:line="53" w:lineRule="exact"/>
        <w:rPr>
          <w:sz w:val="20"/>
          <w:szCs w:val="20"/>
          <w:color w:val="auto"/>
        </w:rPr>
      </w:pPr>
    </w:p>
    <w:p>
      <w:pPr>
        <w:ind w:right="100" w:firstLine="406"/>
        <w:spacing w:after="0" w:line="311" w:lineRule="auto"/>
        <w:rPr>
          <w:sz w:val="20"/>
          <w:szCs w:val="20"/>
          <w:color w:val="auto"/>
        </w:rPr>
      </w:pPr>
      <w:r>
        <w:rPr>
          <w:rFonts w:ascii="Arial" w:cs="Arial" w:eastAsia="Arial" w:hAnsi="Arial"/>
          <w:sz w:val="16"/>
          <w:szCs w:val="16"/>
          <w:color w:val="auto"/>
        </w:rPr>
        <w:t>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on May 7, 2019, that no further equity-based awards may be granted under the 2012 Plan.</w:t>
      </w:r>
    </w:p>
    <w:p>
      <w:pPr>
        <w:spacing w:after="0" w:line="41" w:lineRule="exact"/>
        <w:rPr>
          <w:sz w:val="20"/>
          <w:szCs w:val="20"/>
          <w:color w:val="auto"/>
        </w:rPr>
      </w:pPr>
    </w:p>
    <w:p>
      <w:pPr>
        <w:ind w:right="140" w:firstLine="406"/>
        <w:spacing w:after="0" w:line="273" w:lineRule="auto"/>
        <w:rPr>
          <w:sz w:val="20"/>
          <w:szCs w:val="20"/>
          <w:color w:val="auto"/>
        </w:rPr>
      </w:pPr>
      <w:r>
        <w:rPr>
          <w:rFonts w:ascii="Arial" w:cs="Arial" w:eastAsia="Arial" w:hAnsi="Arial"/>
          <w:sz w:val="17"/>
          <w:szCs w:val="17"/>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As of December 31, 2021 and 2020, respectively, options to purchase 2,263,752 and 1,249,653 shares of common stock were granted and outstanding, net of cancelations, under the 2019 Plan. As of December 31, 2021 and 2020, respectively, options to purchase 665,720 and 921,824 shares of common stock were granted and outstanding, net of cancellations, under the 2012 Plan.</w:t>
      </w:r>
    </w:p>
    <w:p>
      <w:pPr>
        <w:spacing w:after="0" w:line="70" w:lineRule="exact"/>
        <w:rPr>
          <w:sz w:val="20"/>
          <w:szCs w:val="20"/>
          <w:color w:val="auto"/>
        </w:rPr>
      </w:pPr>
    </w:p>
    <w:p>
      <w:pPr>
        <w:ind w:right="180" w:firstLine="406"/>
        <w:spacing w:after="0" w:line="263" w:lineRule="auto"/>
        <w:rPr>
          <w:sz w:val="20"/>
          <w:szCs w:val="20"/>
          <w:color w:val="auto"/>
        </w:rPr>
      </w:pPr>
      <w:r>
        <w:rPr>
          <w:rFonts w:ascii="Arial" w:cs="Arial" w:eastAsia="Arial" w:hAnsi="Arial"/>
          <w:sz w:val="18"/>
          <w:szCs w:val="18"/>
          <w:color w:val="auto"/>
        </w:rPr>
        <w:t>In February 2021, the compensation committee of the Company’s board of directors approved the grant of 450,875 stock options with performance-based vesting (“PSOs”) to employees of the Company. The PSOs granted in February 2021, vest based on the timing and successful results of the Company’s PRISM or CANAL clinical trials.</w:t>
      </w:r>
    </w:p>
    <w:p>
      <w:pPr>
        <w:spacing w:after="0" w:line="76" w:lineRule="exact"/>
        <w:rPr>
          <w:sz w:val="20"/>
          <w:szCs w:val="20"/>
          <w:color w:val="auto"/>
        </w:rPr>
      </w:pPr>
    </w:p>
    <w:p>
      <w:pPr>
        <w:ind w:right="600" w:firstLine="406"/>
        <w:spacing w:after="0" w:line="258" w:lineRule="auto"/>
        <w:rPr>
          <w:sz w:val="20"/>
          <w:szCs w:val="20"/>
          <w:color w:val="auto"/>
        </w:rPr>
      </w:pPr>
      <w:r>
        <w:rPr>
          <w:rFonts w:ascii="Arial" w:cs="Arial" w:eastAsia="Arial" w:hAnsi="Arial"/>
          <w:sz w:val="18"/>
          <w:szCs w:val="18"/>
          <w:color w:val="auto"/>
        </w:rPr>
        <w:t>A summary of the Company’s combined stock option activity for the 2019 Plan and the 2012 Plan for the year ended December 31, 2021 is as follows:</w:t>
      </w:r>
    </w:p>
    <w:tbl>
      <w:tblPr>
        <w:tblLayout w:type="fixed"/>
        <w:tblInd w:w="0" w:type="dxa"/>
        <w:tblCellMar>
          <w:top w:w="0" w:type="dxa"/>
          <w:left w:w="0" w:type="dxa"/>
          <w:bottom w:w="0" w:type="dxa"/>
          <w:right w:w="0" w:type="dxa"/>
        </w:tblCellMar>
      </w:tblPr>
      <w:tr>
        <w:trPr>
          <w:trHeight w:val="141"/>
        </w:trPr>
        <w:tc>
          <w:tcPr>
            <w:tcW w:w="5620" w:type="dxa"/>
            <w:vAlign w:val="bottom"/>
          </w:tcPr>
          <w:p>
            <w:pPr>
              <w:spacing w:after="0"/>
              <w:rPr>
                <w:sz w:val="12"/>
                <w:szCs w:val="12"/>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08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95"/>
              </w:rPr>
              <w:t>Weighted</w:t>
            </w:r>
          </w:p>
        </w:tc>
        <w:tc>
          <w:tcPr>
            <w:tcW w:w="14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9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2,171,477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1,475,875</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(445,116)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Expired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(272,764)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Outstanding as of December 31, 2021</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2,929,472</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as of December 31, 2021</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1,298,540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Options unvested as of December 31, 2021</w:t>
            </w:r>
          </w:p>
        </w:tc>
        <w:tc>
          <w:tcPr>
            <w:tcW w:w="1200" w:type="dxa"/>
            <w:vAlign w:val="bottom"/>
          </w:tcPr>
          <w:p>
            <w:pPr>
              <w:jc w:val="right"/>
              <w:spacing w:after="0"/>
              <w:rPr>
                <w:sz w:val="20"/>
                <w:szCs w:val="20"/>
                <w:color w:val="auto"/>
              </w:rPr>
            </w:pPr>
            <w:r>
              <w:rPr>
                <w:rFonts w:ascii="Arial" w:cs="Arial" w:eastAsia="Arial" w:hAnsi="Arial"/>
                <w:sz w:val="18"/>
                <w:szCs w:val="18"/>
                <w:color w:val="auto"/>
              </w:rPr>
              <w:t>1,630,932</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00" w:firstLine="406"/>
        <w:spacing w:after="0" w:line="277" w:lineRule="auto"/>
        <w:rPr>
          <w:sz w:val="20"/>
          <w:szCs w:val="20"/>
          <w:color w:val="auto"/>
        </w:rPr>
      </w:pPr>
      <w:r>
        <w:rPr>
          <w:rFonts w:ascii="Arial" w:cs="Arial" w:eastAsia="Arial" w:hAnsi="Arial"/>
          <w:sz w:val="18"/>
          <w:szCs w:val="18"/>
          <w:color w:val="auto"/>
        </w:rPr>
        <w:t>The weighted average grant-date fair value per share of stock options granted was $2.28 and $3.68 for the years ended December 31, 2021 and 2020, respectively.</w:t>
      </w:r>
    </w:p>
    <w:p>
      <w:pPr>
        <w:spacing w:after="0" w:line="62" w:lineRule="exact"/>
        <w:rPr>
          <w:sz w:val="20"/>
          <w:szCs w:val="20"/>
          <w:color w:val="auto"/>
        </w:rPr>
      </w:pPr>
    </w:p>
    <w:p>
      <w:pPr>
        <w:ind w:right="680" w:firstLine="406"/>
        <w:spacing w:after="0" w:line="277" w:lineRule="auto"/>
        <w:rPr>
          <w:sz w:val="20"/>
          <w:szCs w:val="20"/>
          <w:color w:val="auto"/>
        </w:rPr>
      </w:pPr>
      <w:r>
        <w:rPr>
          <w:rFonts w:ascii="Arial" w:cs="Arial" w:eastAsia="Arial" w:hAnsi="Arial"/>
          <w:sz w:val="18"/>
          <w:szCs w:val="18"/>
          <w:color w:val="auto"/>
        </w:rPr>
        <w:t>The aggregate fair value of stock options that vested during the years ended December 31, 2021 and 2020 was $2.4 million and $2.2 million, respectively.</w:t>
      </w:r>
    </w:p>
    <w:p>
      <w:pPr>
        <w:spacing w:after="0" w:line="62" w:lineRule="exact"/>
        <w:rPr>
          <w:sz w:val="20"/>
          <w:szCs w:val="20"/>
          <w:color w:val="auto"/>
        </w:rPr>
      </w:pPr>
    </w:p>
    <w:p>
      <w:pPr>
        <w:ind w:right="200" w:firstLine="406"/>
        <w:spacing w:after="0" w:line="259"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 ended December 31, 2020 was $81. No stock options were exercised during the year ended December 31, 2021.</w:t>
      </w:r>
    </w:p>
    <w:p>
      <w:pPr>
        <w:spacing w:after="0" w:line="79" w:lineRule="exact"/>
        <w:rPr>
          <w:sz w:val="20"/>
          <w:szCs w:val="20"/>
          <w:color w:val="auto"/>
        </w:rPr>
      </w:pPr>
    </w:p>
    <w:p>
      <w:pPr>
        <w:ind w:right="320" w:firstLine="406"/>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were as follows, presented on a weighted average basis:</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0" w:type="dxa"/>
            <w:vAlign w:val="bottom"/>
            <w:tcBorders>
              <w:bottom w:val="single" w:sz="8" w:color="CFF0FC"/>
            </w:tcBorders>
          </w:tcPr>
          <w:p>
            <w:pPr>
              <w:spacing w:after="0"/>
              <w:rPr>
                <w:sz w:val="13"/>
                <w:szCs w:val="13"/>
                <w:color w:val="auto"/>
              </w:rPr>
            </w:pPr>
          </w:p>
        </w:tc>
        <w:tc>
          <w:tcPr>
            <w:tcW w:w="194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2700" w:type="dxa"/>
            <w:vAlign w:val="bottom"/>
            <w:tcBorders>
              <w:top w:val="single" w:sz="8" w:color="auto"/>
              <w:bottom w:val="single" w:sz="8" w:color="auto"/>
            </w:tcBorders>
          </w:tcPr>
          <w:p>
            <w:pPr>
              <w:jc w:val="right"/>
              <w:ind w:right="113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0.8%</w:t>
            </w:r>
          </w:p>
        </w:tc>
        <w:tc>
          <w:tcPr>
            <w:tcW w:w="2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94.0%</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r>
      <w:tr>
        <w:trPr>
          <w:trHeight w:val="229"/>
        </w:trPr>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Expected life of options (in years)</w:t>
            </w: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r>
      <w:tr>
        <w:trPr>
          <w:trHeight w:val="647"/>
        </w:trPr>
        <w:tc>
          <w:tcPr>
            <w:tcW w:w="5200" w:type="dxa"/>
            <w:vAlign w:val="bottom"/>
          </w:tcPr>
          <w:p>
            <w:pPr>
              <w:spacing w:after="0"/>
              <w:rPr>
                <w:sz w:val="24"/>
                <w:szCs w:val="24"/>
                <w:color w:val="auto"/>
              </w:rPr>
            </w:pPr>
          </w:p>
        </w:tc>
        <w:tc>
          <w:tcPr>
            <w:tcW w:w="1940" w:type="dxa"/>
            <w:vAlign w:val="bottom"/>
          </w:tcPr>
          <w:p>
            <w:pPr>
              <w:jc w:val="right"/>
              <w:ind w:right="1259"/>
              <w:spacing w:after="0"/>
              <w:rPr>
                <w:sz w:val="20"/>
                <w:szCs w:val="20"/>
                <w:color w:val="auto"/>
              </w:rPr>
            </w:pPr>
            <w:r>
              <w:rPr>
                <w:rFonts w:ascii="Arial" w:cs="Arial" w:eastAsia="Arial" w:hAnsi="Arial"/>
                <w:sz w:val="18"/>
                <w:szCs w:val="18"/>
                <w:color w:val="auto"/>
              </w:rPr>
              <w:t>F-17</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1" w:name="page122"/>
    <w:bookmarkEnd w:id="121"/>
    <w:p>
      <w:pPr>
        <w:ind w:right="360" w:firstLine="406"/>
        <w:spacing w:after="0" w:line="277" w:lineRule="auto"/>
        <w:rPr>
          <w:sz w:val="20"/>
          <w:szCs w:val="20"/>
          <w:color w:val="auto"/>
        </w:rPr>
      </w:pPr>
      <w:r>
        <w:rPr>
          <w:rFonts w:ascii="Arial" w:cs="Arial" w:eastAsia="Arial" w:hAnsi="Arial"/>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62" w:lineRule="exact"/>
        <w:rPr>
          <w:sz w:val="20"/>
          <w:szCs w:val="20"/>
          <w:color w:val="auto"/>
        </w:rPr>
      </w:pPr>
    </w:p>
    <w:p>
      <w:pPr>
        <w:ind w:right="120" w:firstLine="406"/>
        <w:spacing w:after="0" w:line="271" w:lineRule="auto"/>
        <w:rPr>
          <w:sz w:val="20"/>
          <w:szCs w:val="20"/>
          <w:color w:val="auto"/>
        </w:rPr>
      </w:pPr>
      <w:r>
        <w:rPr>
          <w:rFonts w:ascii="Arial" w:cs="Arial" w:eastAsia="Arial" w:hAnsi="Arial"/>
          <w:sz w:val="17"/>
          <w:szCs w:val="17"/>
          <w:color w:val="auto"/>
        </w:rPr>
        <w:t>The total number of shares of common stock that may be issued under the 2019 ESPP was 518,918 as of December 31, 2021, of which 470,631 shares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2021 and January 1, 2020, respectively, the aggregate number of shares of the Company’s common stock that may be issued under the 2019 ESPP increased, pursuant to the terms of the 2019 ESPP, by an additional 185,467 shares and 178,345 shares, equal to 1% of the Company’s then-outstanding common stock.</w:t>
      </w:r>
    </w:p>
    <w:p>
      <w:pPr>
        <w:spacing w:after="0" w:line="70" w:lineRule="exact"/>
        <w:rPr>
          <w:sz w:val="20"/>
          <w:szCs w:val="20"/>
          <w:color w:val="auto"/>
        </w:rPr>
      </w:pPr>
    </w:p>
    <w:p>
      <w:pPr>
        <w:ind w:right="540" w:firstLine="406"/>
        <w:spacing w:after="0" w:line="277" w:lineRule="auto"/>
        <w:rPr>
          <w:sz w:val="20"/>
          <w:szCs w:val="20"/>
          <w:color w:val="auto"/>
        </w:rPr>
      </w:pPr>
      <w:r>
        <w:rPr>
          <w:rFonts w:ascii="Arial" w:cs="Arial" w:eastAsia="Arial" w:hAnsi="Arial"/>
          <w:sz w:val="18"/>
          <w:szCs w:val="18"/>
          <w:color w:val="auto"/>
        </w:rPr>
        <w:t>The following table summarizes the classifications of stock-based compensation expenses for the 2012 Plan, the 2019 Plan and the 2019 ESPP recognized in the 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9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9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w:t>
            </w:r>
          </w:p>
        </w:tc>
        <w:tc>
          <w:tcPr>
            <w:tcW w:w="1560" w:type="dxa"/>
            <w:vAlign w:val="bottom"/>
            <w:shd w:val="clear" w:color="auto" w:fill="CFF0FC"/>
          </w:tcPr>
          <w:p>
            <w:pPr>
              <w:jc w:val="right"/>
              <w:ind w:right="14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FF0FC"/>
          </w:tcPr>
          <w:p>
            <w:pPr>
              <w:spacing w:after="0"/>
              <w:rPr>
                <w:sz w:val="19"/>
                <w:szCs w:val="19"/>
                <w:color w:val="auto"/>
              </w:rPr>
            </w:pPr>
          </w:p>
        </w:tc>
      </w:tr>
      <w:tr>
        <w:trPr>
          <w:trHeight w:val="229"/>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 expense</w:t>
            </w:r>
          </w:p>
        </w:tc>
        <w:tc>
          <w:tcPr>
            <w:tcW w:w="1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3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4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3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06"/>
        <w:spacing w:after="0" w:line="277" w:lineRule="auto"/>
        <w:rPr>
          <w:sz w:val="20"/>
          <w:szCs w:val="20"/>
          <w:color w:val="auto"/>
        </w:rPr>
      </w:pPr>
      <w:r>
        <w:rPr>
          <w:rFonts w:ascii="Arial" w:cs="Arial" w:eastAsia="Arial" w:hAnsi="Arial"/>
          <w:sz w:val="18"/>
          <w:szCs w:val="18"/>
          <w:color w:val="auto"/>
        </w:rPr>
        <w:t>As of December 31, 2021, total unrecognized compensation cost related to the unvested share-based awards was $3.8 million, which is expected to be recognized over a weighted average period of 2.1 years.</w:t>
      </w:r>
    </w:p>
    <w:p>
      <w:pPr>
        <w:spacing w:after="0" w:line="58"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406"/>
        <w:spacing w:after="0" w:line="277" w:lineRule="auto"/>
        <w:rPr>
          <w:sz w:val="20"/>
          <w:szCs w:val="20"/>
          <w:color w:val="auto"/>
        </w:rPr>
      </w:pPr>
      <w:r>
        <w:rPr>
          <w:rFonts w:ascii="Arial" w:cs="Arial" w:eastAsia="Arial" w:hAnsi="Arial"/>
          <w:sz w:val="18"/>
          <w:szCs w:val="18"/>
          <w:color w:val="auto"/>
        </w:rPr>
        <w:t>During each of the years ended December 31, 2021 and 2020, the Company recorded an income tax benefit related to state research and development tax credits of $21 and $18, respectively.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income tax (benefit) for the years ended December 31, 2021 and 2020,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77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406"/>
        <w:spacing w:after="0" w:line="277" w:lineRule="auto"/>
        <w:rPr>
          <w:sz w:val="20"/>
          <w:szCs w:val="20"/>
          <w:color w:val="auto"/>
        </w:rPr>
      </w:pPr>
      <w:r>
        <w:rPr>
          <w:rFonts w:ascii="Arial" w:cs="Arial" w:eastAsia="Arial" w:hAnsi="Arial"/>
          <w:sz w:val="18"/>
          <w:szCs w:val="18"/>
          <w:color w:val="auto"/>
        </w:rPr>
        <w:t>A reconciliation between income tax benefit and the expected tax benefit at the statutory rate for the years ended December 31, 2021 and 2020 is as follows:</w:t>
      </w:r>
    </w:p>
    <w:p>
      <w:pPr>
        <w:spacing w:after="0" w:line="27"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80" w:type="dxa"/>
            <w:vAlign w:val="bottom"/>
            <w:tcBorders>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2080" w:type="dxa"/>
            <w:vAlign w:val="bottom"/>
            <w:tcBorders>
              <w:top w:val="single" w:sz="8" w:color="auto"/>
              <w:bottom w:val="single" w:sz="8" w:color="auto"/>
            </w:tcBorders>
          </w:tcPr>
          <w:p>
            <w:pPr>
              <w:jc w:val="right"/>
              <w:ind w:right="81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4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21.0%</w:t>
            </w:r>
          </w:p>
        </w:tc>
        <w:tc>
          <w:tcPr>
            <w:tcW w:w="2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29"/>
        </w:trPr>
        <w:tc>
          <w:tcPr>
            <w:tcW w:w="7940" w:type="dxa"/>
            <w:vAlign w:val="bottom"/>
            <w:gridSpan w:val="2"/>
          </w:tcPr>
          <w:p>
            <w:pPr>
              <w:ind w:left="260"/>
              <w:spacing w:after="0"/>
              <w:rPr>
                <w:sz w:val="20"/>
                <w:szCs w:val="20"/>
                <w:color w:val="auto"/>
              </w:rPr>
            </w:pPr>
            <w:r>
              <w:rPr>
                <w:rFonts w:ascii="Arial" w:cs="Arial" w:eastAsia="Arial" w:hAnsi="Arial"/>
                <w:sz w:val="18"/>
                <w:szCs w:val="18"/>
                <w:color w:val="auto"/>
              </w:rPr>
              <w:t>State income tax benefit—net of federal tax</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Change in valuation allowance</w:t>
            </w: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(29.1)</w:t>
            </w:r>
          </w:p>
        </w:tc>
        <w:tc>
          <w:tcPr>
            <w:tcW w:w="2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(29.1)</w:t>
            </w:r>
          </w:p>
        </w:tc>
      </w:tr>
      <w:tr>
        <w:trPr>
          <w:trHeight w:val="230"/>
        </w:trPr>
        <w:tc>
          <w:tcPr>
            <w:tcW w:w="7940" w:type="dxa"/>
            <w:vAlign w:val="bottom"/>
            <w:gridSpan w:val="2"/>
          </w:tcPr>
          <w:p>
            <w:pPr>
              <w:ind w:left="260"/>
              <w:spacing w:after="0"/>
              <w:rPr>
                <w:sz w:val="20"/>
                <w:szCs w:val="20"/>
                <w:color w:val="auto"/>
              </w:rPr>
            </w:pPr>
            <w:r>
              <w:rPr>
                <w:rFonts w:ascii="Arial" w:cs="Arial" w:eastAsia="Arial" w:hAnsi="Arial"/>
                <w:sz w:val="18"/>
                <w:szCs w:val="18"/>
                <w:color w:val="auto"/>
              </w:rPr>
              <w:t>Refundable tax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R&amp;D tax credits</w:t>
            </w:r>
          </w:p>
        </w:tc>
        <w:tc>
          <w:tcPr>
            <w:tcW w:w="14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FF0FC"/>
          </w:tcPr>
          <w:p>
            <w:pPr>
              <w:spacing w:after="0"/>
              <w:rPr>
                <w:sz w:val="19"/>
                <w:szCs w:val="19"/>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4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0"/>
        </w:trPr>
        <w:tc>
          <w:tcPr>
            <w:tcW w:w="64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8"/>
        </w:trPr>
        <w:tc>
          <w:tcPr>
            <w:tcW w:w="7940" w:type="dxa"/>
            <w:vAlign w:val="bottom"/>
            <w:gridSpan w:val="2"/>
          </w:tcPr>
          <w:p>
            <w:pPr>
              <w:ind w:left="5460"/>
              <w:spacing w:after="0"/>
              <w:rPr>
                <w:sz w:val="20"/>
                <w:szCs w:val="20"/>
                <w:color w:val="auto"/>
              </w:rPr>
            </w:pPr>
            <w:r>
              <w:rPr>
                <w:rFonts w:ascii="Arial" w:cs="Arial" w:eastAsia="Arial" w:hAnsi="Arial"/>
                <w:sz w:val="18"/>
                <w:szCs w:val="18"/>
                <w:color w:val="auto"/>
              </w:rPr>
              <w:t>F-18</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6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2" w:name="page123"/>
    <w:bookmarkEnd w:id="122"/>
    <w:p>
      <w:pPr>
        <w:ind w:left="420"/>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4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December 31,</w:t>
            </w: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3"/>
        </w:trPr>
        <w:tc>
          <w:tcPr>
            <w:tcW w:w="5480" w:type="dxa"/>
            <w:vAlign w:val="bottom"/>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5480" w:type="dxa"/>
            <w:vAlign w:val="bottom"/>
            <w:tcBorders>
              <w:bottom w:val="single" w:sz="8" w:color="CFF0FC"/>
            </w:tcBorders>
          </w:tcPr>
          <w:p>
            <w:pPr>
              <w:spacing w:after="0"/>
              <w:rPr>
                <w:sz w:val="13"/>
                <w:szCs w:val="13"/>
                <w:color w:val="auto"/>
              </w:rPr>
            </w:pPr>
          </w:p>
        </w:tc>
        <w:tc>
          <w:tcPr>
            <w:tcW w:w="176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09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1760" w:type="dxa"/>
            <w:vAlign w:val="bottom"/>
            <w:shd w:val="clear" w:color="auto" w:fill="CFF0FC"/>
          </w:tcPr>
          <w:p>
            <w:pPr>
              <w:jc w:val="right"/>
              <w:ind w:right="157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45,693</w:t>
            </w: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37,048</w:t>
            </w:r>
          </w:p>
        </w:tc>
        <w:tc>
          <w:tcPr>
            <w:tcW w:w="120" w:type="dxa"/>
            <w:vAlign w:val="bottom"/>
            <w:shd w:val="clear" w:color="auto" w:fill="CFF0FC"/>
          </w:tcPr>
          <w:p>
            <w:pPr>
              <w:spacing w:after="0"/>
              <w:rPr>
                <w:sz w:val="19"/>
                <w:szCs w:val="19"/>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Federal and state tax credits</w:t>
            </w:r>
          </w:p>
        </w:tc>
        <w:tc>
          <w:tcPr>
            <w:tcW w:w="1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4,801</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19"/>
                <w:szCs w:val="19"/>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3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Deferred tax assets</w:t>
            </w:r>
          </w:p>
        </w:tc>
        <w:tc>
          <w:tcPr>
            <w:tcW w:w="1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52,731</w:t>
            </w: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42,890</w:t>
            </w:r>
          </w:p>
        </w:tc>
        <w:tc>
          <w:tcPr>
            <w:tcW w:w="120" w:type="dxa"/>
            <w:vAlign w:val="bottom"/>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(35)</w:t>
            </w:r>
          </w:p>
        </w:tc>
        <w:tc>
          <w:tcPr>
            <w:tcW w:w="70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7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7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(52,696)</w:t>
            </w:r>
          </w:p>
        </w:tc>
        <w:tc>
          <w:tcPr>
            <w:tcW w:w="70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(42,829)</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760" w:type="dxa"/>
            <w:vAlign w:val="bottom"/>
            <w:tcBorders>
              <w:top w:val="single" w:sz="8" w:color="auto"/>
              <w:bottom w:val="single" w:sz="8" w:color="auto"/>
            </w:tcBorders>
          </w:tcPr>
          <w:p>
            <w:pPr>
              <w:jc w:val="right"/>
              <w:ind w:right="15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06"/>
        <w:spacing w:after="0" w:line="289" w:lineRule="auto"/>
        <w:rPr>
          <w:sz w:val="20"/>
          <w:szCs w:val="20"/>
          <w:color w:val="auto"/>
        </w:rPr>
      </w:pPr>
      <w:r>
        <w:rPr>
          <w:rFonts w:ascii="Arial" w:cs="Arial" w:eastAsia="Arial" w:hAnsi="Arial"/>
          <w:sz w:val="16"/>
          <w:szCs w:val="16"/>
          <w:color w:val="auto"/>
        </w:rPr>
        <w:t>For the years ended December 31, 2021 and 2020, the Company generated federal and state net operating losses (“NOLs”) of approximately $32.1 million and $30.8 million, respectively. At December 31, 2021 and 2020, the federal and state net operating loss balances were approximately $169.7 million and $137.6 million, respectively. The operating losses generated prior to 2018 will expire in years 2031 through 2037, unless previously utilized. The operating losses generated in 2018 or later can be carried forward indefinitely, however will only offset 80% of taxable income in a carryforward year. The Company also generated federal R&amp;D tax credits for the years ended December 31, 2021 and 2020 of approximately $702 and $671, respectively. At December 31, 2021 and 2020, the federal R&amp;D tax credit carryforwards were approximately $4.6 million and $3.9 million, respectively. These credits will expire in years 2032 through 2041, unless previously utilized. Due to the Series A preferred stock financing in December 2012 and the shares issued in connection with the Company’s IPO in May 2019, the Company was subject to an “ownership change” under the Code Section 382. As a result, the Company’s ability to utilize approximately $91.3 million of its NOL carryforwards and approximately $3.0 million of research tax credits is limited.</w:t>
      </w:r>
    </w:p>
    <w:p>
      <w:pPr>
        <w:spacing w:after="0" w:line="58" w:lineRule="exact"/>
        <w:rPr>
          <w:sz w:val="20"/>
          <w:szCs w:val="20"/>
          <w:color w:val="auto"/>
        </w:rPr>
      </w:pPr>
    </w:p>
    <w:p>
      <w:pPr>
        <w:ind w:right="120" w:firstLine="406"/>
        <w:spacing w:after="0" w:line="255" w:lineRule="auto"/>
        <w:rPr>
          <w:sz w:val="20"/>
          <w:szCs w:val="20"/>
          <w:color w:val="auto"/>
        </w:rPr>
      </w:pPr>
      <w:r>
        <w:rPr>
          <w:rFonts w:ascii="Arial" w:cs="Arial" w:eastAsia="Arial" w:hAnsi="Arial"/>
          <w:sz w:val="18"/>
          <w:szCs w:val="18"/>
          <w:color w:val="auto"/>
        </w:rPr>
        <w:t>The Company also generated state research tax credits for the years ended December 31, 2021 and 2020 of approximately $149 and $133, respectively. The Company applied to exchange a portion of these credits for cash under a state-run program. These amounts, $21 and $18 for the years ended December 31, 2021 and 2020, respectively, were recognized as current income tax benefits in the Company’s Consolidated Statements of Operations. At each of December 31, 2021 and 2020, the Company’s Consolidated Balance Sheets reflect income tax receivables of $21 and $18 respectively, related to these credits. Because of the net operating loss and research credit carryforwards, tax years 2011 through 2020 remain open to U.S. federal and state tax examinations.</w:t>
      </w:r>
    </w:p>
    <w:p>
      <w:pPr>
        <w:spacing w:after="0" w:line="84" w:lineRule="exact"/>
        <w:rPr>
          <w:sz w:val="20"/>
          <w:szCs w:val="20"/>
          <w:color w:val="auto"/>
        </w:rPr>
      </w:pPr>
    </w:p>
    <w:p>
      <w:pPr>
        <w:ind w:right="60" w:firstLine="406"/>
        <w:spacing w:after="0" w:line="254" w:lineRule="auto"/>
        <w:rPr>
          <w:sz w:val="20"/>
          <w:szCs w:val="20"/>
          <w:color w:val="auto"/>
        </w:rPr>
      </w:pPr>
      <w:r>
        <w:rPr>
          <w:rFonts w:ascii="Arial" w:cs="Arial" w:eastAsia="Arial" w:hAnsi="Arial"/>
          <w:sz w:val="18"/>
          <w:szCs w:val="18"/>
          <w:color w:val="auto"/>
        </w:rPr>
        <w:t>Income taxes are provided using the asset/liability method, in which deferred taxes are recognized for the tax consequences of temporary differences between the financial statement carrying amounts and tax bases of existing assets and liabilities. The Company reviews deferred tax assets for recoverability on a regular basis. In assessing the need for a valuation allowance, the Company considers both positive and negative evidence related to the likelihood of realization of the deferred tax assets. The weight given to the positive and negative evidence is commensurate with the extent to which the evidence may be objectively verified. Accounting guidance states that a cumulative loss in recent years is a significant piece of negative evidence that is difficult to overcome in determining that a valuation allowance is not needed against deferred tax assets. As such, it is generally difficult for positive evidence regarding projected future taxable income exclusive of reversing taxable temporary differences to outweigh objective negative evidence of recent financial reporting losses.</w:t>
      </w:r>
    </w:p>
    <w:p>
      <w:pPr>
        <w:spacing w:after="0" w:line="84" w:lineRule="exact"/>
        <w:rPr>
          <w:sz w:val="20"/>
          <w:szCs w:val="20"/>
          <w:color w:val="auto"/>
        </w:rPr>
      </w:pPr>
    </w:p>
    <w:p>
      <w:pPr>
        <w:ind w:right="40" w:firstLine="406"/>
        <w:spacing w:after="0" w:line="279" w:lineRule="auto"/>
        <w:rPr>
          <w:sz w:val="20"/>
          <w:szCs w:val="20"/>
          <w:color w:val="auto"/>
        </w:rPr>
      </w:pPr>
      <w:r>
        <w:rPr>
          <w:rFonts w:ascii="Arial" w:cs="Arial" w:eastAsia="Arial" w:hAnsi="Arial"/>
          <w:sz w:val="17"/>
          <w:szCs w:val="17"/>
          <w:color w:val="auto"/>
        </w:rPr>
        <w:t>The Company determined that operating losses it incurred since its inception on March 17, 2011, represented negative evidence sufficient to conclude a valuation allowance was necessary. As such, the Company has recorded a valuation allowance of $52.7 million and $42.8 million at December 31, 2021 and 2020, respectively, as a reserve against its net deferred tax assets. These balances reflect increases in the valuation allowance of $9.9 million and $9.5 million in 2021 and 2020, respectively, both representing an increase in net deferred tax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3" w:name="page124"/>
    <w:bookmarkEnd w:id="123"/>
    <w:p>
      <w:pPr>
        <w:ind w:firstLine="406"/>
        <w:spacing w:after="0" w:line="269" w:lineRule="auto"/>
        <w:rPr>
          <w:sz w:val="20"/>
          <w:szCs w:val="20"/>
          <w:color w:val="auto"/>
        </w:rPr>
      </w:pPr>
      <w:r>
        <w:rPr>
          <w:rFonts w:ascii="Arial" w:cs="Arial" w:eastAsia="Arial" w:hAnsi="Arial"/>
          <w:sz w:val="17"/>
          <w:szCs w:val="17"/>
          <w:color w:val="auto"/>
        </w:rPr>
        <w:t>The Company applies the provisions of ASC 740, which prescribes a comprehensive model for how a company should recognize, measure, present, and disclose in its financial statements uncertain tax positions that the Company has taken or expects to take on a tax return. The financial statements reflect expected future tax consequences of such positions presuming the taxing authorities possess full knowledge of the position and all relevant facts. As a result of the implementation of ASC 740, the Company recognized no adjustment for unrecognized income tax benefits. The Company has not, as of yet, conducted a study of R&amp;D tax credit carryforwards. Such a study could result in an adjustment to the Company’s R&amp;D tax credit carryforwards; however, until a study is completed and any potential adjustment is known, no amounts are being presented as an uncertain tax position. A full valuation allowance has been provided against the Company’s R&amp;D tax credits and, if an adjustment is required in the future, this adjustment would be offset by a corresponding adjustment to the valuation allowance. For the years ended December 31, 2021 and 2020, the Company had no unrecognized tax benefits or related interest and penalties accrued. In the event the Company determines that accrual of interest or penalties are necessary in the future, the amount will be presented as a component of interest expense.</w:t>
      </w:r>
    </w:p>
    <w:p>
      <w:pPr>
        <w:spacing w:after="0" w:line="73"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(32,758)</w:t>
            </w:r>
          </w:p>
        </w:tc>
        <w:tc>
          <w:tcPr>
            <w:tcW w:w="100" w:type="dxa"/>
            <w:vAlign w:val="bottom"/>
            <w:shd w:val="clear" w:color="auto" w:fill="CFF0FC"/>
          </w:tcPr>
          <w:p>
            <w:pPr>
              <w:spacing w:after="0"/>
              <w:rPr>
                <w:sz w:val="19"/>
                <w:szCs w:val="19"/>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w w:val="95"/>
              </w:rPr>
              <w:t>Weighted average common shares used in net loss per share attributable to common</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basic and diluted</w:t>
            </w:r>
          </w:p>
        </w:tc>
        <w:tc>
          <w:tcPr>
            <w:tcW w:w="46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22,841,481</w:t>
            </w:r>
          </w:p>
        </w:tc>
        <w:tc>
          <w:tcPr>
            <w:tcW w:w="3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18,059,011</w:t>
            </w:r>
          </w:p>
        </w:tc>
        <w:tc>
          <w:tcPr>
            <w:tcW w:w="100" w:type="dxa"/>
            <w:vAlign w:val="bottom"/>
            <w:tcBorders>
              <w:bottom w:val="single" w:sz="8" w:color="CFF0FC"/>
            </w:tcBorders>
          </w:tcPr>
          <w:p>
            <w:pPr>
              <w:spacing w:after="0"/>
              <w:rPr>
                <w:sz w:val="20"/>
                <w:szCs w:val="20"/>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4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406"/>
        <w:spacing w:after="0" w:line="259" w:lineRule="auto"/>
        <w:rPr>
          <w:sz w:val="20"/>
          <w:szCs w:val="20"/>
          <w:color w:val="auto"/>
        </w:rPr>
      </w:pPr>
      <w:r>
        <w:rPr>
          <w:rFonts w:ascii="Arial" w:cs="Arial" w:eastAsia="Arial" w:hAnsi="Arial"/>
          <w:sz w:val="18"/>
          <w:szCs w:val="18"/>
          <w:color w:val="auto"/>
        </w:rPr>
        <w:t>Basic shares outstanding includes the weighted average effect of the Company’s pre-funded warrants, the exercise of which requires little or no consideration for the delivery of shares of common stock. The Company determined the exercise price of the warrant was nominal and, as such, have considered the 4,926,069 shares underlying the pre-funded warrants to be outstanding effective on October 5, 2021, for the purposes of calculating basic EPS.</w:t>
      </w:r>
    </w:p>
    <w:p>
      <w:pPr>
        <w:spacing w:after="0" w:line="79" w:lineRule="exact"/>
        <w:rPr>
          <w:sz w:val="20"/>
          <w:szCs w:val="20"/>
          <w:color w:val="auto"/>
        </w:rPr>
      </w:pPr>
    </w:p>
    <w:p>
      <w:pPr>
        <w:ind w:right="140" w:firstLine="406"/>
        <w:spacing w:after="0" w:line="255" w:lineRule="auto"/>
        <w:rPr>
          <w:sz w:val="20"/>
          <w:szCs w:val="20"/>
          <w:color w:val="auto"/>
        </w:rPr>
      </w:pPr>
      <w:r>
        <w:rPr>
          <w:rFonts w:ascii="Arial" w:cs="Arial" w:eastAsia="Arial" w:hAnsi="Arial"/>
          <w:sz w:val="18"/>
          <w:szCs w:val="18"/>
          <w:color w:val="auto"/>
        </w:rPr>
        <w:t>The Company’s potential dilutive securities, which include stock options and warrants,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December 31, 2021 and 2020, respectively, were excluded from the calculation of diluted net loss per share attributable to common stockholders for the periods indicated because including them would have had an anti-dilutive effect: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580" w:type="dxa"/>
            <w:vAlign w:val="bottom"/>
            <w:tcBorders>
              <w:bottom w:val="single" w:sz="8" w:color="auto"/>
            </w:tcBorders>
            <w:gridSpan w:val="3"/>
          </w:tcPr>
          <w:p>
            <w:pPr>
              <w:ind w:left="1760"/>
              <w:spacing w:after="0"/>
              <w:rPr>
                <w:sz w:val="20"/>
                <w:szCs w:val="20"/>
                <w:color w:val="auto"/>
              </w:rPr>
            </w:pPr>
            <w:r>
              <w:rPr>
                <w:rFonts w:ascii="Arial" w:cs="Arial" w:eastAsia="Arial" w:hAnsi="Arial"/>
                <w:sz w:val="14"/>
                <w:szCs w:val="14"/>
                <w:b w:val="1"/>
                <w:bCs w:val="1"/>
                <w:color w:val="auto"/>
              </w:rPr>
              <w:t>Shares as of December 31,</w:t>
            </w:r>
          </w:p>
        </w:tc>
        <w:tc>
          <w:tcPr>
            <w:tcW w:w="1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980" w:type="dxa"/>
            <w:vAlign w:val="bottom"/>
            <w:tcBorders>
              <w:bottom w:val="single" w:sz="8" w:color="CFF0FC"/>
            </w:tcBorders>
          </w:tcPr>
          <w:p>
            <w:pPr>
              <w:spacing w:after="0"/>
              <w:rPr>
                <w:sz w:val="13"/>
                <w:szCs w:val="13"/>
                <w:color w:val="auto"/>
              </w:rPr>
            </w:pPr>
          </w:p>
        </w:tc>
        <w:tc>
          <w:tcPr>
            <w:tcW w:w="2380" w:type="dxa"/>
            <w:vAlign w:val="bottom"/>
            <w:tcBorders>
              <w:bottom w:val="single" w:sz="8" w:color="auto"/>
            </w:tcBorders>
          </w:tcPr>
          <w:p>
            <w:pPr>
              <w:jc w:val="right"/>
              <w:ind w:right="977"/>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9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2,929,472</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2,171,477</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Warrants</w:t>
            </w:r>
          </w:p>
        </w:tc>
        <w:tc>
          <w:tcPr>
            <w:tcW w:w="2380" w:type="dxa"/>
            <w:vAlign w:val="bottom"/>
          </w:tcPr>
          <w:p>
            <w:pPr>
              <w:jc w:val="right"/>
              <w:spacing w:after="0"/>
              <w:rPr>
                <w:sz w:val="20"/>
                <w:szCs w:val="20"/>
                <w:color w:val="auto"/>
              </w:rPr>
            </w:pPr>
            <w:r>
              <w:rPr>
                <w:rFonts w:ascii="Arial" w:cs="Arial" w:eastAsia="Arial" w:hAnsi="Arial"/>
                <w:sz w:val="18"/>
                <w:szCs w:val="18"/>
                <w:color w:val="auto"/>
              </w:rPr>
              <w:t>20,602,244</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top w:val="single" w:sz="8" w:color="CFF0FC"/>
              <w:bottom w:val="single" w:sz="8" w:color="CFF0FC"/>
            </w:tcBorders>
            <w:shd w:val="clear" w:color="auto" w:fill="CFF0FC"/>
          </w:tcPr>
          <w:p>
            <w:pPr>
              <w:spacing w:after="0"/>
              <w:rPr>
                <w:sz w:val="19"/>
                <w:szCs w:val="19"/>
                <w:color w:val="auto"/>
              </w:rPr>
            </w:pP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23,531,716</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2,171,477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right="200" w:firstLine="406"/>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right="80" w:firstLine="406"/>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spacing w:after="0" w:line="79" w:lineRule="exact"/>
        <w:rPr>
          <w:sz w:val="20"/>
          <w:szCs w:val="20"/>
          <w:color w:val="auto"/>
        </w:rPr>
      </w:pPr>
    </w:p>
    <w:p>
      <w:pPr>
        <w:ind w:right="40" w:firstLine="406"/>
        <w:spacing w:after="0" w:line="255" w:lineRule="auto"/>
        <w:rPr>
          <w:sz w:val="20"/>
          <w:szCs w:val="20"/>
          <w:color w:val="auto"/>
        </w:rPr>
      </w:pPr>
      <w:r>
        <w:rPr>
          <w:rFonts w:ascii="Arial" w:cs="Arial" w:eastAsia="Arial" w:hAnsi="Arial"/>
          <w:sz w:val="18"/>
          <w:szCs w:val="18"/>
          <w:color w:val="auto"/>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such as the Phase 2b/3 PRISM trial, and $0.8 million, which would become due upon the marketing approval of a licensed product in the U.S.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84" w:lineRule="exact"/>
        <w:rPr>
          <w:sz w:val="20"/>
          <w:szCs w:val="20"/>
          <w:color w:val="auto"/>
        </w:rPr>
      </w:pPr>
    </w:p>
    <w:p>
      <w:pPr>
        <w:ind w:firstLine="406"/>
        <w:spacing w:after="0" w:line="257"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4" w:name="page125"/>
    <w:bookmarkEnd w:id="124"/>
    <w:p>
      <w:pPr>
        <w:jc w:val="both"/>
        <w:ind w:right="40" w:firstLine="406"/>
        <w:spacing w:after="0" w:line="263"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76" w:lineRule="exact"/>
        <w:rPr>
          <w:sz w:val="20"/>
          <w:szCs w:val="20"/>
          <w:color w:val="auto"/>
        </w:rPr>
      </w:pPr>
    </w:p>
    <w:p>
      <w:pPr>
        <w:ind w:right="200" w:firstLine="406"/>
        <w:spacing w:after="0" w:line="255" w:lineRule="auto"/>
        <w:rPr>
          <w:sz w:val="20"/>
          <w:szCs w:val="20"/>
          <w:color w:val="auto"/>
        </w:rPr>
      </w:pPr>
      <w:r>
        <w:rPr>
          <w:rFonts w:ascii="Arial" w:cs="Arial" w:eastAsia="Arial" w:hAnsi="Arial"/>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84" w:lineRule="exact"/>
        <w:rPr>
          <w:sz w:val="20"/>
          <w:szCs w:val="20"/>
          <w:color w:val="auto"/>
        </w:rPr>
      </w:pPr>
    </w:p>
    <w:p>
      <w:pPr>
        <w:ind w:right="80" w:firstLine="406"/>
        <w:spacing w:after="0" w:line="296" w:lineRule="auto"/>
        <w:rPr>
          <w:sz w:val="20"/>
          <w:szCs w:val="20"/>
          <w:color w:val="auto"/>
        </w:rPr>
      </w:pPr>
      <w:r>
        <w:rPr>
          <w:rFonts w:ascii="Arial" w:cs="Arial" w:eastAsia="Arial" w:hAnsi="Arial"/>
          <w:sz w:val="16"/>
          <w:szCs w:val="16"/>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49" w:lineRule="exact"/>
        <w:rPr>
          <w:sz w:val="20"/>
          <w:szCs w:val="20"/>
          <w:color w:val="auto"/>
        </w:rPr>
      </w:pPr>
    </w:p>
    <w:p>
      <w:pPr>
        <w:ind w:left="420" w:hanging="412"/>
        <w:spacing w:after="0"/>
        <w:tabs>
          <w:tab w:leader="none" w:pos="4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right="240" w:firstLine="406"/>
        <w:spacing w:after="0" w:line="311" w:lineRule="auto"/>
        <w:rPr>
          <w:sz w:val="20"/>
          <w:szCs w:val="20"/>
          <w:color w:val="auto"/>
        </w:rPr>
      </w:pPr>
      <w:r>
        <w:rPr>
          <w:rFonts w:ascii="Arial" w:cs="Arial" w:eastAsia="Arial" w:hAnsi="Arial"/>
          <w:sz w:val="16"/>
          <w:szCs w:val="16"/>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also has commitments under lease and licensing agreements (Note 3 and Note 10).</w:t>
      </w:r>
    </w:p>
    <w:p>
      <w:pPr>
        <w:spacing w:after="0" w:line="113"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ind w:right="40" w:firstLine="406"/>
        <w:spacing w:after="0" w:line="291" w:lineRule="auto"/>
        <w:rPr>
          <w:sz w:val="20"/>
          <w:szCs w:val="20"/>
          <w:color w:val="auto"/>
        </w:rPr>
      </w:pPr>
      <w:r>
        <w:rPr>
          <w:rFonts w:ascii="Arial" w:cs="Arial" w:eastAsia="Arial" w:hAnsi="Arial"/>
          <w:sz w:val="16"/>
          <w:szCs w:val="16"/>
          <w:color w:val="auto"/>
        </w:rPr>
        <w:t>In March 2013, the Company adopted and became a participating employer of a multiple employer defined contribution retirement plan that complies with Section 401(k) of the Code. All eligible employees of the Company are able to immediately participate in the plan (with an entry date of the first day of any month), with no minimum service requirement. The 401(k) plan provides that the Company make non-discretionary matching contributions of 50% of the first 6% of elective contributions. Participants are immediately vested in their contributions, as well as any earnings thereon. Vesting in the employer match contribution portion of their accounts, as well as any earnings thereon, is based on years of credited service, vesting over a four-year period, with 25% vesting per completed year. The Company’s expense under the 401(k) plan, representing its employer matching contributions and additional contributions in accordance with regulatory compliance requirements, totaled $96 and $68 for the years ended December 31, 2021 and 2020, respectively.</w:t>
      </w:r>
    </w:p>
    <w:p>
      <w:pPr>
        <w:spacing w:after="0" w:line="54"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10, 2022, the Company received a deficiency letter from the Listing Qualifications Department (the “Staff”) of the Nasdaq Stock Market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(“Nasdaq”) notifying the Company that, for the prior 30 consecutive business days, the bid price for the Company’s common stock had closed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per share minimum bid price requirement for continued inclusion on the Nasdaq Global Market pursuant to Nasdaq Listing Rule 5450(a)(1) (the “Bid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Requirement”).</w:t>
      </w:r>
    </w:p>
    <w:p>
      <w:pPr>
        <w:spacing w:after="0" w:line="103" w:lineRule="exact"/>
        <w:rPr>
          <w:sz w:val="20"/>
          <w:szCs w:val="20"/>
          <w:color w:val="auto"/>
        </w:rPr>
      </w:pPr>
    </w:p>
    <w:p>
      <w:pPr>
        <w:ind w:right="20" w:firstLine="462"/>
        <w:spacing w:after="0" w:line="275" w:lineRule="auto"/>
        <w:rPr>
          <w:sz w:val="20"/>
          <w:szCs w:val="20"/>
          <w:color w:val="auto"/>
        </w:rPr>
      </w:pPr>
      <w:r>
        <w:rPr>
          <w:rFonts w:ascii="Arial" w:cs="Arial" w:eastAsia="Arial" w:hAnsi="Arial"/>
          <w:sz w:val="17"/>
          <w:szCs w:val="17"/>
          <w:color w:val="auto"/>
        </w:rPr>
        <w:t>In accordance with Nasdaq Listing Rule 5810(c)(3)(A) (the “Compliance Period Rule”), the Company was provided a period of 180 calendar days, or until July 11, 2022 (the “Compliance Date”), to regain compliance with the Bid Price Requirement. If, at any time before the Compliance Date, the bid price for the Company’s common stock closed at $1.00 or more for a minimum of 10 consecutive business days as required under the Compliance Period Rule, the Staff would provide written notification to the Company that it had regained compliance with the Bid Price Requirement, unless the Staff chose to exercise its discretion to extend this ten-day period pursuant to Nasdaq Listing Rule 5810(c)(3)(H).</w:t>
      </w:r>
    </w:p>
    <w:p>
      <w:pPr>
        <w:spacing w:after="0" w:line="68" w:lineRule="exact"/>
        <w:rPr>
          <w:sz w:val="20"/>
          <w:szCs w:val="20"/>
          <w:color w:val="auto"/>
        </w:rPr>
      </w:pPr>
    </w:p>
    <w:p>
      <w:pPr>
        <w:ind w:right="280" w:firstLine="462"/>
        <w:spacing w:after="0" w:line="277" w:lineRule="auto"/>
        <w:rPr>
          <w:sz w:val="20"/>
          <w:szCs w:val="20"/>
          <w:color w:val="auto"/>
        </w:rPr>
      </w:pPr>
      <w:r>
        <w:rPr>
          <w:rFonts w:ascii="Arial" w:cs="Arial" w:eastAsia="Arial" w:hAnsi="Arial"/>
          <w:sz w:val="18"/>
          <w:szCs w:val="18"/>
          <w:color w:val="auto"/>
        </w:rPr>
        <w:t>On March 16, 2022, the Company received a letter from the Staff indicating that it had regained compliance with the Bid Price Requirement as of such date.</w:t>
      </w:r>
    </w:p>
    <w:p>
      <w:pPr>
        <w:spacing w:after="0" w:line="62" w:lineRule="exact"/>
        <w:rPr>
          <w:sz w:val="20"/>
          <w:szCs w:val="20"/>
          <w:color w:val="auto"/>
        </w:rPr>
      </w:pPr>
    </w:p>
    <w:p>
      <w:pPr>
        <w:ind w:right="360" w:firstLine="462"/>
        <w:spacing w:after="0" w:line="286" w:lineRule="auto"/>
        <w:rPr>
          <w:sz w:val="20"/>
          <w:szCs w:val="20"/>
          <w:color w:val="auto"/>
        </w:rPr>
      </w:pPr>
      <w:r>
        <w:rPr>
          <w:rFonts w:ascii="Arial" w:cs="Arial" w:eastAsia="Arial" w:hAnsi="Arial"/>
          <w:sz w:val="17"/>
          <w:szCs w:val="17"/>
          <w:color w:val="auto"/>
        </w:rPr>
        <w:t>Although the Company was able to regain compliance with the Bid Price Requirement within the manner and time period prescribed by Nasdaq, there can be no assurance that the Company will be able to maintain compliance with the Bid Price Requirement or other Nasdaq continued listing requirements in the future or that the Company will be able to regain compliance with respect to any future deficiencies.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49"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333333"/>
        </w:rPr>
        <w:t>Exhibit 23.1</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color w:val="333333"/>
        </w:rPr>
        <w:t>Consent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03" w:lineRule="exact"/>
        <w:rPr>
          <w:sz w:val="20"/>
          <w:szCs w:val="20"/>
          <w:color w:val="auto"/>
        </w:rPr>
      </w:pPr>
    </w:p>
    <w:p>
      <w:pPr>
        <w:ind w:left="1300" w:hanging="86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 (Form S-1 No. 333-257747) of Trevi Therapeutics, Inc.,</w:t>
      </w:r>
    </w:p>
    <w:p>
      <w:pPr>
        <w:spacing w:after="0" w:line="252" w:lineRule="exact"/>
        <w:rPr>
          <w:rFonts w:ascii="Arial" w:cs="Arial" w:eastAsia="Arial" w:hAnsi="Arial"/>
          <w:sz w:val="18"/>
          <w:szCs w:val="18"/>
          <w:color w:val="auto"/>
        </w:rPr>
      </w:pPr>
    </w:p>
    <w:p>
      <w:pPr>
        <w:ind w:left="1300" w:hanging="86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Statements (Form S-3 Nos. 333-239499, 333-260279 and 333-260820) of Trevi Therapeutics, Inc.,</w:t>
      </w:r>
    </w:p>
    <w:p>
      <w:pPr>
        <w:spacing w:after="0" w:line="252" w:lineRule="exact"/>
        <w:rPr>
          <w:rFonts w:ascii="Arial" w:cs="Arial" w:eastAsia="Arial" w:hAnsi="Arial"/>
          <w:sz w:val="18"/>
          <w:szCs w:val="18"/>
          <w:color w:val="auto"/>
        </w:rPr>
      </w:pPr>
    </w:p>
    <w:p>
      <w:pPr>
        <w:ind w:left="1300" w:right="260" w:hanging="860"/>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 (Form S-8 No. 333-231260) pertaining to the 2012 Stock Incentive Plan, as amended, the 2019 Stock Incentive Plan and the 2019 Employee Stock Purchase Plan of Trevi Therapeutics, Inc., and</w:t>
      </w:r>
    </w:p>
    <w:p>
      <w:pPr>
        <w:spacing w:after="0" w:line="170" w:lineRule="exact"/>
        <w:rPr>
          <w:rFonts w:ascii="Arial" w:cs="Arial" w:eastAsia="Arial" w:hAnsi="Arial"/>
          <w:sz w:val="18"/>
          <w:szCs w:val="18"/>
          <w:color w:val="auto"/>
        </w:rPr>
      </w:pPr>
    </w:p>
    <w:p>
      <w:pPr>
        <w:ind w:left="1300" w:right="740" w:hanging="860"/>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Registration Statements (Form S-8 Nos. 333-237193 and 333-257729) pertaining to the 2019 Stock Incentive Plan and the 2019 Employee Stock Purchase Plan of Trevi Therapeutics, Inc.;</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our report dated March 17, 2022, with respect to the consolidated financial statements of Trevi Therapeutics, Inc. included in this Annual Report (Form 10-K) of Trevi Therapeutics, Inc. for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March 17, 2022</w:t>
      </w:r>
    </w:p>
    <w:p>
      <w:pPr>
        <w:sectPr>
          <w:pgSz w:w="11900" w:h="16838" w:orient="portrait"/>
          <w:cols w:equalWidth="0" w:num="1">
            <w:col w:w="11240"/>
          </w:cols>
          <w:pgMar w:left="320" w:top="125" w:right="339" w:bottom="1440" w:gutter="0" w:footer="0" w:header="0"/>
        </w:sectPr>
      </w:pPr>
    </w:p>
    <w:bookmarkStart w:id="126" w:name="page127"/>
    <w:bookmarkEnd w:id="12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Trevi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80" w:right="60" w:hanging="8"/>
        <w:spacing w:after="0" w:line="263" w:lineRule="auto"/>
        <w:tabs>
          <w:tab w:leader="none" w:pos="106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80" w:right="360" w:hanging="8"/>
        <w:spacing w:after="0" w:line="263" w:lineRule="auto"/>
        <w:tabs>
          <w:tab w:leader="none" w:pos="107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80" w:right="480" w:hanging="8"/>
        <w:spacing w:after="0" w:line="342" w:lineRule="auto"/>
        <w:tabs>
          <w:tab w:leader="none" w:pos="1065"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80" w:right="160" w:hanging="8"/>
        <w:spacing w:after="0" w:line="263" w:lineRule="auto"/>
        <w:tabs>
          <w:tab w:leader="none" w:pos="107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right="700" w:hanging="8"/>
        <w:spacing w:after="0" w:line="342" w:lineRule="auto"/>
        <w:tabs>
          <w:tab w:leader="none" w:pos="1065"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880" w:right="380" w:hanging="8"/>
        <w:spacing w:after="0" w:line="308" w:lineRule="auto"/>
        <w:tabs>
          <w:tab w:leader="none" w:pos="107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6"/>
          <w:szCs w:val="16"/>
          <w:color w:val="auto"/>
        </w:rPr>
        <w:t>By:  /s/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Lisa Delfini, certify that:</w:t>
      </w:r>
    </w:p>
    <w:p>
      <w:pPr>
        <w:spacing w:after="0" w:line="225"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Trevi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40" w:firstLine="6"/>
        <w:spacing w:after="0" w:line="263" w:lineRule="auto"/>
        <w:tabs>
          <w:tab w:leader="none" w:pos="1025"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40" w:right="380" w:firstLine="6"/>
        <w:spacing w:after="0" w:line="263" w:lineRule="auto"/>
        <w:tabs>
          <w:tab w:leader="none" w:pos="10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40" w:right="500" w:firstLine="6"/>
        <w:spacing w:after="0" w:line="342" w:lineRule="auto"/>
        <w:tabs>
          <w:tab w:leader="none" w:pos="1025"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40" w:right="180" w:firstLine="6"/>
        <w:spacing w:after="0" w:line="263" w:lineRule="auto"/>
        <w:tabs>
          <w:tab w:leader="none" w:pos="10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40" w:right="720" w:firstLine="6"/>
        <w:spacing w:after="0" w:line="342" w:lineRule="auto"/>
        <w:tabs>
          <w:tab w:leader="none" w:pos="1025"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840" w:right="400" w:firstLine="6"/>
        <w:spacing w:after="0" w:line="277" w:lineRule="auto"/>
        <w:tabs>
          <w:tab w:leader="none" w:pos="10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80" w:val="left"/>
          <w:tab w:leader="none" w:pos="620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31889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Lisa Delfini</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5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In connection with the Annual Report on Form 10-K of Trevi Therapeutics, Inc. (the “Company”) for the period ended December 31, 2021,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1120" w:hanging="248"/>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right="520" w:hanging="8"/>
        <w:spacing w:after="0" w:line="277" w:lineRule="auto"/>
        <w:tabs>
          <w:tab w:leader="none" w:pos="11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864"/>
        <w:spacing w:after="0" w:line="259" w:lineRule="auto"/>
        <w:rPr>
          <w:sz w:val="20"/>
          <w:szCs w:val="20"/>
          <w:color w:val="auto"/>
        </w:rPr>
      </w:pPr>
      <w:r>
        <w:rPr>
          <w:rFonts w:ascii="Arial" w:cs="Arial" w:eastAsia="Arial" w:hAnsi="Arial"/>
          <w:sz w:val="18"/>
          <w:szCs w:val="18"/>
          <w:color w:val="auto"/>
        </w:rPr>
        <w:t>In connection with the Annual Report on Form 10-K of Trevi Therapeutics, Inc. (the “Company”) for the period ended December 31, 2021,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1120" w:hanging="248"/>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right="520" w:hanging="8"/>
        <w:spacing w:after="0" w:line="277" w:lineRule="auto"/>
        <w:tabs>
          <w:tab w:leader="none" w:pos="11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Lisa Delfini</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4"/>
    </w:lvl>
  </w:abstractNum>
  <w:abstractNum w:abstractNumId="42">
    <w:nsid w:val="275AC794"/>
    <w:multiLevelType w:val="hybridMultilevel"/>
    <w:lvl w:ilvl="0">
      <w:lvlJc w:val="left"/>
      <w:lvlText w:val="(%1)"/>
      <w:numFmt w:val="lowerRoman"/>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2"/>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3"/>
    </w:lvl>
  </w:abstractNum>
  <w:abstractNum w:abstractNumId="53">
    <w:nsid w:val="3F6AB60F"/>
    <w:multiLevelType w:val="hybridMultilevel"/>
    <w:lvl w:ilvl="0">
      <w:lvlJc w:val="left"/>
      <w:lvlText w:val="%1."/>
      <w:numFmt w:val="decimal"/>
      <w:start w:val="4"/>
    </w:lvl>
  </w:abstractNum>
  <w:abstractNum w:abstractNumId="54">
    <w:nsid w:val="61574095"/>
    <w:multiLevelType w:val="hybridMultilevel"/>
    <w:lvl w:ilvl="0">
      <w:lvlJc w:val="left"/>
      <w:lvlText w:val="%1."/>
      <w:numFmt w:val="decimal"/>
      <w:start w:val="5"/>
    </w:lvl>
  </w:abstractNum>
  <w:abstractNum w:abstractNumId="55">
    <w:nsid w:val="7E0C57B1"/>
    <w:multiLevelType w:val="hybridMultilevel"/>
    <w:lvl w:ilvl="0">
      <w:lvlJc w:val="left"/>
      <w:lvlText w:val="%1."/>
      <w:numFmt w:val="decimal"/>
      <w:start w:val="6"/>
    </w:lvl>
  </w:abstractNum>
  <w:abstractNum w:abstractNumId="56">
    <w:nsid w:val="77AE35EB"/>
    <w:multiLevelType w:val="hybridMultilevel"/>
    <w:lvl w:ilvl="0">
      <w:lvlJc w:val="left"/>
      <w:lvlText w:val="%1."/>
      <w:numFmt w:val="decimal"/>
      <w:start w:val="7"/>
    </w:lvl>
  </w:abstractNum>
  <w:abstractNum w:abstractNumId="57">
    <w:nsid w:val="579BE4F1"/>
    <w:multiLevelType w:val="hybridMultilevel"/>
    <w:lvl w:ilvl="0">
      <w:lvlJc w:val="left"/>
      <w:lvlText w:val="(%1)"/>
      <w:numFmt w:val="lowerRoman"/>
      <w:start w:val="2"/>
    </w:lvl>
  </w:abstractNum>
  <w:abstractNum w:abstractNumId="58">
    <w:nsid w:val="310C50B3"/>
    <w:multiLevelType w:val="hybridMultilevel"/>
    <w:lvl w:ilvl="0">
      <w:lvlJc w:val="left"/>
      <w:lvlText w:val="%1."/>
      <w:numFmt w:val="decimal"/>
      <w:start w:val="8"/>
    </w:lvl>
  </w:abstractNum>
  <w:abstractNum w:abstractNumId="59">
    <w:nsid w:val="5FF87E05"/>
    <w:multiLevelType w:val="hybridMultilevel"/>
    <w:lvl w:ilvl="0">
      <w:lvlJc w:val="left"/>
      <w:lvlText w:val="%1."/>
      <w:numFmt w:val="decimal"/>
      <w:start w:val="9"/>
    </w:lvl>
  </w:abstractNum>
  <w:abstractNum w:abstractNumId="60">
    <w:nsid w:val="2F305DEF"/>
    <w:multiLevelType w:val="hybridMultilevel"/>
    <w:lvl w:ilvl="0">
      <w:lvlJc w:val="left"/>
      <w:lvlText w:val="%1."/>
      <w:numFmt w:val="decimal"/>
      <w:start w:val="10"/>
    </w:lvl>
  </w:abstractNum>
  <w:abstractNum w:abstractNumId="61">
    <w:nsid w:val="25A70BF7"/>
    <w:multiLevelType w:val="hybridMultilevel"/>
    <w:lvl w:ilvl="0">
      <w:lvlJc w:val="left"/>
      <w:lvlText w:val="%1."/>
      <w:numFmt w:val="decimal"/>
      <w:start w:val="11"/>
    </w:lvl>
  </w:abstractNum>
  <w:abstractNum w:abstractNumId="62">
    <w:nsid w:val="1DBABF00"/>
    <w:multiLevelType w:val="hybridMultilevel"/>
    <w:lvl w:ilvl="0">
      <w:lvlJc w:val="left"/>
      <w:lvlText w:val="%1."/>
      <w:numFmt w:val="decimal"/>
      <w:start w:val="12"/>
    </w:lvl>
  </w:abstractNum>
  <w:abstractNum w:abstractNumId="63">
    <w:nsid w:val="4AD084E9"/>
    <w:multiLevelType w:val="hybridMultilevel"/>
    <w:lvl w:ilvl="0">
      <w:lvlJc w:val="left"/>
      <w:lvlText w:val="%1."/>
      <w:numFmt w:val="decimal"/>
      <w:start w:val="13"/>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125" Type="http://schemas.openxmlformats.org/officeDocument/2006/relationships/hyperlink" Target="http://www.sec.gov/Archives/edgar/data/1563880/000119312519142949/d740290dex31.htm" TargetMode="External"/><Relationship Id="rId126" Type="http://schemas.openxmlformats.org/officeDocument/2006/relationships/hyperlink" Target="http://www.sec.gov/Archives/edgar/data/1563880/000119312519142949/d740290dex32.htm" TargetMode="External"/><Relationship Id="rId127" Type="http://schemas.openxmlformats.org/officeDocument/2006/relationships/hyperlink" Target="http://www.sec.gov/Archives/edgar/data/1563880/000119312519099340/d643194dex41.htm" TargetMode="External"/><Relationship Id="rId128" Type="http://schemas.openxmlformats.org/officeDocument/2006/relationships/hyperlink" Target="http://www.sec.gov/Archives/edgar/data/1563880/000156459020010996/trvi-ex42_203.htm" TargetMode="External"/><Relationship Id="rId129" Type="http://schemas.openxmlformats.org/officeDocument/2006/relationships/hyperlink" Target="http://www.sec.gov/Archives/edgar/data/1563880/000119312521288912/d208387dex41.htm" TargetMode="External"/><Relationship Id="rId132" Type="http://schemas.openxmlformats.org/officeDocument/2006/relationships/hyperlink" Target="http://www.sec.gov/Archives/edgar/data/1563880/000119312521288912/d208387dex42.htm" TargetMode="External"/><Relationship Id="rId133" Type="http://schemas.openxmlformats.org/officeDocument/2006/relationships/hyperlink" Target="http://www.sec.gov/Archives/edgar/data/1563880/000119312521288912/d208387dex43.htm" TargetMode="External"/><Relationship Id="rId134" Type="http://schemas.openxmlformats.org/officeDocument/2006/relationships/hyperlink" Target="http://www.sec.gov/Archives/edgar/data/1563880/000119312521301603/d540031dex41.htm" TargetMode="External"/><Relationship Id="rId135" Type="http://schemas.openxmlformats.org/officeDocument/2006/relationships/hyperlink" Target="http://www.sec.gov/Archives/edgar/data/1563880/000119312521301603/d540031dex42.htm" TargetMode="External"/><Relationship Id="rId136" Type="http://schemas.openxmlformats.org/officeDocument/2006/relationships/hyperlink" Target="http://www.sec.gov/Archives/edgar/data/1563880/000119312519099340/d643194dex101.htm" TargetMode="External"/><Relationship Id="rId137" Type="http://schemas.openxmlformats.org/officeDocument/2006/relationships/hyperlink" Target="http://www.sec.gov/Archives/edgar/data/1563880/000119312519099340/d643194dex102.htm" TargetMode="External"/><Relationship Id="rId138" Type="http://schemas.openxmlformats.org/officeDocument/2006/relationships/hyperlink" Target="http://www.sec.gov/Archives/edgar/data/1563880/000119312519099340/d643194dex103.htm" TargetMode="External"/><Relationship Id="rId139" Type="http://schemas.openxmlformats.org/officeDocument/2006/relationships/hyperlink" Target="http://www.sec.gov/Archives/edgar/data/1563880/000119312519099340/d643194dex104.htm" TargetMode="External"/><Relationship Id="rId140" Type="http://schemas.openxmlformats.org/officeDocument/2006/relationships/hyperlink" Target="http://www.sec.gov/Archives/edgar/data/1563880/000119312519099340/d643194dex105.htm" TargetMode="External"/><Relationship Id="rId141" Type="http://schemas.openxmlformats.org/officeDocument/2006/relationships/hyperlink" Target="http://www.sec.gov/Archives/edgar/data/1563880/000119312519099340/d643194dex106.htm" TargetMode="External"/><Relationship Id="rId142" Type="http://schemas.openxmlformats.org/officeDocument/2006/relationships/hyperlink" Target="http://www.sec.gov/Archives/edgar/data/1563880/000156459021015506/trvi-ex107_330.htm" TargetMode="External"/><Relationship Id="rId143" Type="http://schemas.openxmlformats.org/officeDocument/2006/relationships/hyperlink" Target="http://www.sec.gov/Archives/edgar/data/1563880/000119312519253605/d808144dex101.htm" TargetMode="External"/><Relationship Id="rId144" Type="http://schemas.openxmlformats.org/officeDocument/2006/relationships/hyperlink" Target="http://www.sec.gov/Archives/edgar/data/1563880/000119312519099340/d643194dex108.htm" TargetMode="External"/><Relationship Id="rId145" Type="http://schemas.openxmlformats.org/officeDocument/2006/relationships/hyperlink" Target="http://www.sec.gov/Archives/edgar/data/1563880/000156459020010996/trvi-ex1010_255.htm" TargetMode="External"/><Relationship Id="rId146" Type="http://schemas.openxmlformats.org/officeDocument/2006/relationships/hyperlink" Target="http://www.sec.gov/Archives/edgar/data/1563880/000119312519099340/d643194dex109.htm" TargetMode="External"/><Relationship Id="rId147" Type="http://schemas.openxmlformats.org/officeDocument/2006/relationships/hyperlink" Target="http://www.sec.gov/Archives/edgar/data/1563880/000156459021043968/trvi-ex106_190.htm" TargetMode="External"/><Relationship Id="rId148" Type="http://schemas.openxmlformats.org/officeDocument/2006/relationships/hyperlink" Target="http://www.sec.gov/Archives/edgar/data/1563880/000119312519099340/d643194dex1012.htm" TargetMode="External"/><Relationship Id="rId149" Type="http://schemas.openxmlformats.org/officeDocument/2006/relationships/hyperlink" Target="http://www.sec.gov/Archives/edgar/data/1563880/000119312519099340/d643194dex1013.htm" TargetMode="External"/><Relationship Id="rId150" Type="http://schemas.openxmlformats.org/officeDocument/2006/relationships/hyperlink" Target="http://www.sec.gov/Archives/edgar/data/1563880/000119312519099340/d643194dex1014.htm" TargetMode="External"/><Relationship Id="rId151" Type="http://schemas.openxmlformats.org/officeDocument/2006/relationships/hyperlink" Target="http://www.sec.gov/Archives/edgar/data/1563880/000119312519099340/d643194dex1015.htm" TargetMode="External"/><Relationship Id="rId152" Type="http://schemas.openxmlformats.org/officeDocument/2006/relationships/hyperlink" Target="http://www.sec.gov/Archives/edgar/data/1563880/000119312519138831/d643194dex1017.htm" TargetMode="External"/><Relationship Id="rId153" Type="http://schemas.openxmlformats.org/officeDocument/2006/relationships/hyperlink" Target="http://www.sec.gov/Archives/edgar/data/1563880/000156459020053330/trvi-ex101_80.htm" TargetMode="External"/><Relationship Id="rId154" Type="http://schemas.openxmlformats.org/officeDocument/2006/relationships/hyperlink" Target="http://www.sec.gov/Archives/edgar/data/1563880/000156459021035888/trvi-ex991_15.htm" TargetMode="External"/><Relationship Id="rId155" Type="http://schemas.openxmlformats.org/officeDocument/2006/relationships/hyperlink" Target="http://www.sec.gov/Archives/edgar/data/1563880/000156459021056183/trvi-ex101_67.htm" TargetMode="External"/><Relationship Id="rId158" Type="http://schemas.openxmlformats.org/officeDocument/2006/relationships/hyperlink" Target="http://www.sec.gov/Archives/edgar/data/1563880/000119312521195073/d195500dex991.htm" TargetMode="External"/><Relationship Id="rId159" Type="http://schemas.openxmlformats.org/officeDocument/2006/relationships/hyperlink" Target="http://www.sec.gov/Archives/edgar/data/1563880/000119312521195073/d195500dex992.htm" TargetMode="External"/><Relationship Id="rId160" Type="http://schemas.openxmlformats.org/officeDocument/2006/relationships/hyperlink" Target="http://www.sec.gov/Archives/edgar/data/1563880/000119312521288912/d208387dex991.htm" TargetMode="External"/><Relationship Id="rId161" Type="http://schemas.openxmlformats.org/officeDocument/2006/relationships/hyperlink" Target="http://www.sec.gov/Archives/edgar/data/1563880/000119312521288912/d208387dex992.htm" TargetMode="External"/><Relationship Id="rId162" Type="http://schemas.openxmlformats.org/officeDocument/2006/relationships/hyperlink" Target="http://www.sec.gov/Archives/edgar/data/1563880/000119312521301603/d540031dex991.htm" TargetMode="External"/><Relationship Id="rId163" Type="http://schemas.openxmlformats.org/officeDocument/2006/relationships/hyperlink" Target="http://www.sec.gov/Archives/edgar/data/1563880/000119312521301603/d540031dex992.htm" TargetMode="External"/><Relationship Id="rId164" Type="http://schemas.openxmlformats.org/officeDocument/2006/relationships/hyperlink" Target="http://www.sec.gov/Archives/edgar/data/1563880/000119312519099340/d64319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2022-03-17T15:40:40Z</dcterms:created>
  <dcterms:modified xsi:type="dcterms:W3CDTF">2022-03-17T15:40:40Z</dcterms:modified>
</cp:coreProperties>
</file>