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580" w:hanging="3872"/>
        <w:spacing w:after="0" w:line="391"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8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951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0"/>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7"/>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12, 2021, the registrant had 21,598,529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novel coronavirus, or COVID-19, pandemic on our clinical trials, business and operations and our response to the pandemic;</w:t>
      </w:r>
    </w:p>
    <w:p>
      <w:pPr>
        <w:spacing w:after="0" w:line="140" w:lineRule="exact"/>
        <w:rPr>
          <w:rFonts w:ascii="Arial" w:cs="Arial" w:eastAsia="Arial" w:hAnsi="Arial"/>
          <w:sz w:val="16"/>
          <w:szCs w:val="16"/>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including our Phase 2b/3 PRISM trial of Haduvio (nalbuphine ER) for the treatment of pruritus associated with prurigo nodularis;</w:t>
      </w:r>
    </w:p>
    <w:p>
      <w:pPr>
        <w:spacing w:after="0" w:line="62"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Haduvio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44"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to continue as a going concern;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25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18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nalbuphine ER investigational product and therefore plan to use that name when we refer to nalbuphine ER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RISK FACTOR SUMMARY</w:t>
      </w:r>
    </w:p>
    <w:p>
      <w:pPr>
        <w:spacing w:after="0" w:line="243"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77" w:lineRule="exact"/>
        <w:rPr>
          <w:sz w:val="20"/>
          <w:szCs w:val="20"/>
          <w:color w:val="auto"/>
        </w:rPr>
      </w:pPr>
    </w:p>
    <w:p>
      <w:pPr>
        <w:ind w:left="740" w:right="220" w:hanging="368"/>
        <w:spacing w:after="0" w:line="30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face risks related to health epidemics and other widespread outbreaks of contagious disease, including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COVID-19 has caused substantial disruption in the financial markets and economies worldwide, which could result in adverse effects on our business and operations.</w:t>
      </w:r>
    </w:p>
    <w:p>
      <w:pPr>
        <w:spacing w:after="0" w:line="157" w:lineRule="exact"/>
        <w:rPr>
          <w:rFonts w:ascii="Arial" w:cs="Arial" w:eastAsia="Arial" w:hAnsi="Arial"/>
          <w:sz w:val="16"/>
          <w:szCs w:val="16"/>
          <w:color w:val="auto"/>
        </w:rPr>
      </w:pPr>
    </w:p>
    <w:p>
      <w:pPr>
        <w:ind w:left="7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expect to continue to incur significant and increasing losses for the foreseeable future. We may never achieve or maintain profitability.</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117" w:lineRule="exact"/>
        <w:rPr>
          <w:rFonts w:ascii="Arial" w:cs="Arial" w:eastAsia="Arial" w:hAnsi="Arial"/>
          <w:sz w:val="18"/>
          <w:szCs w:val="18"/>
          <w:color w:val="auto"/>
        </w:rPr>
      </w:pPr>
    </w:p>
    <w:p>
      <w:pPr>
        <w:ind w:left="740" w:right="20" w:hanging="368"/>
        <w:spacing w:after="0" w:line="28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existing indebtedness, together with our other financial obligations and contractual commitments, could adversely affect our financial condition and restrict our future operations. For instance, if we fail to receive positive data in our Phase 2b/3 PRISM trial or fail to meet certain minimum cash or equity raise requirements under our loan facility with Silicon Valley Bank, or SVB, which loan facility we refer to as the SVB Term Loan, including raising at least $15.0 million in net proceeds from the sale of equity securities during the period from June 1, 2021 through October 31, 2021, we will be required to deposit unrestricted and unencumbered cash equal to 100% of the principal amount of the indebtedness then outstanding in a cash collateral account controlled by SVB, which can be used by SVB to prepay the SVB Term Loan at any time and would reduce the amounts available to fund working capital, capital expenditures, product development efforts and general corporate purposes.</w:t>
      </w:r>
    </w:p>
    <w:p>
      <w:pPr>
        <w:spacing w:after="0" w:line="171" w:lineRule="exact"/>
        <w:rPr>
          <w:rFonts w:ascii="Arial" w:cs="Arial" w:eastAsia="Arial" w:hAnsi="Arial"/>
          <w:sz w:val="18"/>
          <w:szCs w:val="18"/>
          <w:color w:val="auto"/>
        </w:rPr>
      </w:pPr>
    </w:p>
    <w:p>
      <w:pPr>
        <w:ind w:left="740" w:right="20" w:hanging="368"/>
        <w:spacing w:after="0" w:line="296"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 In addition, the development of Haduvio for the treatment of pruritus associated with prurigo nodularis is currently significantly more advanced than our other target indications. If we are not successful in developing and commercializing Haduvio for the treatment of pruritus associated with prurigo nodularis, our business could also be substantially harmed.</w:t>
      </w:r>
    </w:p>
    <w:p>
      <w:pPr>
        <w:spacing w:after="0" w:line="161" w:lineRule="exact"/>
        <w:rPr>
          <w:rFonts w:ascii="Arial" w:cs="Arial" w:eastAsia="Arial" w:hAnsi="Arial"/>
          <w:sz w:val="16"/>
          <w:szCs w:val="16"/>
          <w:color w:val="auto"/>
        </w:rPr>
      </w:pPr>
    </w:p>
    <w:p>
      <w:pPr>
        <w:ind w:left="740" w:hanging="368"/>
        <w:spacing w:after="0" w:line="25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difficulties in the enrollment of subjects in our clinical trials, including our Phase 2b/3 PRISM trial and our Phase 2 CANAL trial. If we experience further delays or difficulties in the enrollment of subjects in clinical trials, our receipt of necessary regulatory approvals could be delayed or prevented. Other companies are conducting clinical trials or have announced plans for future clinical trials that are seeking or are likely to seek, to enroll subjects with prurigo nodularis and subjects are generally only able to enroll in a single trial at a time. In addition, many patients use various treatments off-label to treat pruritus associated with prurigo nodularis and these patients and their physicians may be reluctant to forgo, discontinue or otherwise alter their use of such off-label therapeutic approaches to participate in our clinical trials.</w:t>
      </w:r>
    </w:p>
    <w:p>
      <w:pPr>
        <w:spacing w:after="0" w:line="19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approach to the development and commercialization of Haduvio to treat serious neurologically mediated conditions is unproven.</w:t>
      </w:r>
    </w:p>
    <w:p>
      <w:pPr>
        <w:spacing w:after="0" w:line="236" w:lineRule="exact"/>
        <w:rPr>
          <w:rFonts w:ascii="Arial" w:cs="Arial" w:eastAsia="Arial" w:hAnsi="Arial"/>
          <w:sz w:val="17"/>
          <w:szCs w:val="17"/>
          <w:color w:val="auto"/>
        </w:rPr>
      </w:pPr>
    </w:p>
    <w:p>
      <w:pPr>
        <w:ind w:left="740" w:right="2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Even if we complete the necessary preclinical studies and clinical trials, the regulatory approval process is expensive, time consuming and uncertain, which may prevent us from obtaining approvals for the commercialization of Haduvio or any future product candidate.</w:t>
      </w:r>
    </w:p>
    <w:p>
      <w:pPr>
        <w:spacing w:after="0" w:line="183"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Phase 2 clinical trial of Haduvio for the treatment of pruritus associated with prurigo nodularis may not be predictive of the results of our Phase 2b/3 PRISM trial, including due to the small subject size of the Phase 2 clinical trial,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both"/>
        <w:ind w:left="368" w:right="120"/>
        <w:spacing w:after="0" w:line="263" w:lineRule="auto"/>
        <w:rPr>
          <w:sz w:val="20"/>
          <w:szCs w:val="20"/>
          <w:color w:val="auto"/>
        </w:rPr>
      </w:pPr>
      <w:r>
        <w:rPr>
          <w:rFonts w:ascii="Arial" w:cs="Arial" w:eastAsia="Arial" w:hAnsi="Arial"/>
          <w:sz w:val="18"/>
          <w:szCs w:val="18"/>
          <w:color w:val="auto"/>
        </w:rPr>
        <w:t>discontinuation rate among subjects in the Phase 2 clinical trial, the limited number of subjects who completed treatment in the Phase 2 clinical trial and differences in the design of the Phase 2 clinical trial and the PRISM trial, including the longer treatment period for Haduvio being used in the PRISM trial.</w:t>
      </w:r>
    </w:p>
    <w:p>
      <w:pPr>
        <w:spacing w:after="0" w:line="184" w:lineRule="exact"/>
        <w:rPr>
          <w:sz w:val="20"/>
          <w:szCs w:val="20"/>
          <w:color w:val="auto"/>
        </w:rPr>
      </w:pPr>
    </w:p>
    <w:p>
      <w:pPr>
        <w:ind w:left="368" w:hanging="368"/>
        <w:spacing w:after="0" w:line="293"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p>
      <w:pPr>
        <w:spacing w:after="0" w:line="164" w:lineRule="exact"/>
        <w:rPr>
          <w:rFonts w:ascii="Arial" w:cs="Arial" w:eastAsia="Arial" w:hAnsi="Arial"/>
          <w:sz w:val="16"/>
          <w:szCs w:val="16"/>
          <w:color w:val="auto"/>
        </w:rPr>
      </w:pPr>
    </w:p>
    <w:p>
      <w:pPr>
        <w:ind w:left="368" w:right="60" w:hanging="368"/>
        <w:spacing w:after="0" w:line="273"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Many currently approved μ-opioid products are subject to restrictive marketing and distribution regulations which, if applied to Haduvio, could potentially restrict its use and harm our ability to generate profits. We plan to conduct a human abuse liability, or HAL, study to further characterize the abuse potential of oral nalbuphine. If the results of the HAL study suggest that Haduvio may carry risks of misuse, abuse or addiction or even if the trial indicates that Haduvio does not carry such risks, to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177" w:lineRule="exact"/>
        <w:rPr>
          <w:rFonts w:ascii="Arial" w:cs="Arial" w:eastAsia="Arial" w:hAnsi="Arial"/>
          <w:sz w:val="17"/>
          <w:szCs w:val="17"/>
          <w:color w:val="auto"/>
        </w:rPr>
      </w:pPr>
    </w:p>
    <w:p>
      <w:pPr>
        <w:ind w:left="368" w:right="120" w:hanging="368"/>
        <w:spacing w:after="0" w:line="308"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46"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products before or more successfully than we do.</w:t>
      </w:r>
    </w:p>
    <w:p>
      <w:pPr>
        <w:spacing w:after="0" w:line="248" w:lineRule="exact"/>
        <w:rPr>
          <w:rFonts w:ascii="Arial" w:cs="Arial" w:eastAsia="Arial" w:hAnsi="Arial"/>
          <w:sz w:val="16"/>
          <w:szCs w:val="16"/>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they do not perform satisfactorily, our business could be harmed.</w:t>
      </w:r>
    </w:p>
    <w:p>
      <w:pPr>
        <w:spacing w:after="0" w:line="225" w:lineRule="exact"/>
        <w:rPr>
          <w:rFonts w:ascii="Arial" w:cs="Arial" w:eastAsia="Arial" w:hAnsi="Arial"/>
          <w:sz w:val="18"/>
          <w:szCs w:val="18"/>
          <w:color w:val="auto"/>
        </w:rPr>
      </w:pPr>
    </w:p>
    <w:p>
      <w:pPr>
        <w:ind w:left="368" w:right="18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storage, packaging and distribution of Haduvio for clinical trials, including a single supplier for the active ingredient. We expect to continue to rely on third parties for these services in connection with our future development and commercialization efforts for Haduvio and any future product candidates.</w:t>
      </w:r>
    </w:p>
    <w:p>
      <w:pPr>
        <w:spacing w:after="0" w:line="183" w:lineRule="exact"/>
        <w:rPr>
          <w:rFonts w:ascii="Arial" w:cs="Arial" w:eastAsia="Arial" w:hAnsi="Arial"/>
          <w:sz w:val="18"/>
          <w:szCs w:val="18"/>
          <w:color w:val="auto"/>
        </w:rPr>
      </w:pPr>
    </w:p>
    <w:p>
      <w:pPr>
        <w:jc w:val="both"/>
        <w:ind w:left="368" w:right="2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under our existing and any future intellectual property licenses with third parties, including our licenses with Endo Pharmaceuticals Inc. and with Rutgers, the State University of New Jersey, we could lose license rights that are critical to our business or owe damages to the licensor of such intellectual property.</w:t>
      </w:r>
    </w:p>
    <w:p>
      <w:pPr>
        <w:spacing w:after="0" w:line="183" w:lineRule="exact"/>
        <w:rPr>
          <w:rFonts w:ascii="Arial" w:cs="Arial" w:eastAsia="Arial" w:hAnsi="Arial"/>
          <w:sz w:val="18"/>
          <w:szCs w:val="18"/>
          <w:color w:val="auto"/>
        </w:rPr>
      </w:pPr>
    </w:p>
    <w:p>
      <w:pPr>
        <w:ind w:left="368" w:right="240" w:hanging="368"/>
        <w:spacing w:after="0" w:line="259"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732155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34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6"/>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6"/>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72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Operations</w:t>
              </w:r>
            </w:hyperlink>
          </w:p>
        </w:tc>
        <w:tc>
          <w:tcPr>
            <w:tcW w:w="600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48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OTHER INFORMATION</w:t>
              </w:r>
            </w:hyperlink>
          </w:p>
        </w:tc>
        <w:tc>
          <w:tcPr>
            <w:tcW w:w="778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8"/>
                <w:szCs w:val="18"/>
                <w:color w:val="auto"/>
              </w:rPr>
            </w:pPr>
          </w:p>
        </w:tc>
        <w:tc>
          <w:tcPr>
            <w:tcW w:w="834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Unregistered Sales of Equity Securities and Use of Proceeds</w:t>
              </w:r>
            </w:hyperlink>
          </w:p>
        </w:tc>
        <w:tc>
          <w:tcPr>
            <w:tcW w:w="53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36,425</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45,001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Operating lease right-of-use asset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Security deposits and other non-current assets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Property, equipment and leasehold improvements, net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39,149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3,488</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Term loan - current portion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Term loan derivative liability - current portion</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Term loan - long term portion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 – long term portion</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lease liability - long term portion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21,413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80" w:type="dxa"/>
            <w:vAlign w:val="bottom"/>
          </w:tcPr>
          <w:p>
            <w:pPr>
              <w:spacing w:after="0"/>
              <w:rPr>
                <w:sz w:val="20"/>
                <w:szCs w:val="20"/>
                <w:color w:val="auto"/>
              </w:rPr>
            </w:pPr>
            <w:r>
              <w:rPr>
                <w:rFonts w:ascii="Arial" w:cs="Arial" w:eastAsia="Arial" w:hAnsi="Arial"/>
                <w:sz w:val="17"/>
                <w:szCs w:val="17"/>
                <w:color w:val="auto"/>
              </w:rPr>
              <w:t>Commitments and contingencies (Note 11)</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spacing w:after="0"/>
              <w:rPr>
                <w:sz w:val="20"/>
                <w:szCs w:val="20"/>
                <w:color w:val="auto"/>
              </w:rPr>
            </w:pPr>
            <w:r>
              <w:rPr>
                <w:rFonts w:ascii="Arial" w:cs="Arial" w:eastAsia="Arial" w:hAnsi="Arial"/>
                <w:sz w:val="17"/>
                <w:szCs w:val="17"/>
                <w:color w:val="auto"/>
              </w:rPr>
              <w:t>Preferred stock: $0.001 par value; 5,000,000 shares authorized at June 30, 2021</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Arial" w:cs="Arial" w:eastAsia="Arial" w:hAnsi="Arial"/>
                <w:sz w:val="17"/>
                <w:szCs w:val="17"/>
                <w:color w:val="auto"/>
              </w:rPr>
              <w:t>and December 31, 2020; no shares issued or outstanding at June 30, 2021 or</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80" w:type="dxa"/>
            <w:vAlign w:val="bottom"/>
          </w:tcPr>
          <w:p>
            <w:pPr>
              <w:ind w:left="140"/>
              <w:spacing w:after="0"/>
              <w:rPr>
                <w:sz w:val="20"/>
                <w:szCs w:val="20"/>
                <w:color w:val="auto"/>
              </w:rPr>
            </w:pPr>
            <w:r>
              <w:rPr>
                <w:rFonts w:ascii="Arial" w:cs="Arial" w:eastAsia="Arial" w:hAnsi="Arial"/>
                <w:sz w:val="17"/>
                <w:szCs w:val="17"/>
                <w:color w:val="auto"/>
              </w:rPr>
              <w:t>December 31, 2020.</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Common stock: $0.001 par value; 200,000,000 shares authorized at June 30, 2021</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December 31, 2020; and 21,459,498 and 18,546,786 shares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June 30, 2021 and December 31, 2020, respectively.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182,857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(165,142)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(146,977)</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17,736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39,149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6,498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4,921</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12,087</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(18,165)</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20,123,461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17,835,952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19,772,201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17,835,261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Paid-</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in Capital</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March 31, 2021</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19,914,407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179,013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(155,348)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w w:val="95"/>
              </w:rPr>
              <w:t>Issuance of common stock under the at-the-market sales agreement, net of</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commissions and allocated fees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1,365,871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Issuance of common stock from Employee Stock Purchase Plan</w:t>
            </w:r>
          </w:p>
        </w:tc>
        <w:tc>
          <w:tcPr>
            <w:tcW w:w="920" w:type="dxa"/>
            <w:vAlign w:val="bottom"/>
          </w:tcPr>
          <w:p>
            <w:pPr>
              <w:jc w:val="right"/>
              <w:spacing w:after="0"/>
              <w:rPr>
                <w:sz w:val="20"/>
                <w:szCs w:val="20"/>
                <w:color w:val="auto"/>
              </w:rPr>
            </w:pPr>
            <w:r>
              <w:rPr>
                <w:rFonts w:ascii="Arial" w:cs="Arial" w:eastAsia="Arial" w:hAnsi="Arial"/>
                <w:sz w:val="16"/>
                <w:szCs w:val="16"/>
                <w:color w:val="auto"/>
              </w:rPr>
              <w:t>9,132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to Lincoln Park Capital Fund (see Note 7)</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170,088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(9,794)</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(9,794)</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2021</w:t>
            </w: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21,459,498</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182,857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(165,142)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17,834,570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169,476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(122,692)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from 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Issuance of common stock from Employee Stock Purchase Plan</w:t>
            </w:r>
          </w:p>
        </w:tc>
        <w:tc>
          <w:tcPr>
            <w:tcW w:w="920" w:type="dxa"/>
            <w:vAlign w:val="bottom"/>
          </w:tcPr>
          <w:p>
            <w:pPr>
              <w:jc w:val="right"/>
              <w:spacing w:after="0"/>
              <w:rPr>
                <w:sz w:val="20"/>
                <w:szCs w:val="20"/>
                <w:color w:val="auto"/>
              </w:rPr>
            </w:pPr>
            <w:r>
              <w:rPr>
                <w:rFonts w:ascii="Arial" w:cs="Arial" w:eastAsia="Arial" w:hAnsi="Arial"/>
                <w:sz w:val="16"/>
                <w:szCs w:val="16"/>
                <w:color w:val="auto"/>
              </w:rPr>
              <w:t>1,397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(7,384)</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(7,384)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2020</w:t>
            </w: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00" w:type="dxa"/>
            <w:vAlign w:val="bottom"/>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17,851,152</w:t>
            </w:r>
          </w:p>
        </w:tc>
        <w:tc>
          <w:tcPr>
            <w:tcW w:w="28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170,095</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(130,076)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40,037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6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Paid-</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in Capital</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Deficit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2020</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18,546,786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174,240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(146,977)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w w:val="96"/>
              </w:rPr>
              <w:t>Issuance of common stock under the at-the-market sales agreement, net of</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commissions and allocated fees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2,733,492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Issuance of common stock from Employee Stock Purchase Plan</w:t>
            </w:r>
          </w:p>
        </w:tc>
        <w:tc>
          <w:tcPr>
            <w:tcW w:w="960" w:type="dxa"/>
            <w:vAlign w:val="bottom"/>
          </w:tcPr>
          <w:p>
            <w:pPr>
              <w:jc w:val="right"/>
              <w:spacing w:after="0"/>
              <w:rPr>
                <w:sz w:val="20"/>
                <w:szCs w:val="20"/>
                <w:color w:val="auto"/>
              </w:rPr>
            </w:pPr>
            <w:r>
              <w:rPr>
                <w:rFonts w:ascii="Arial" w:cs="Arial" w:eastAsia="Arial" w:hAnsi="Arial"/>
                <w:sz w:val="16"/>
                <w:szCs w:val="16"/>
                <w:color w:val="auto"/>
              </w:rPr>
              <w:t>9,132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to Lincoln Park Capital Fund (see Note 7)</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170,088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(18,165)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(18,165)</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2021</w:t>
            </w: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21,459,498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182,857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(165,142)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17,834,570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168,746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(114,219)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from 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Issuance of common stock from Employee Stock Purchase Plan</w:t>
            </w:r>
          </w:p>
        </w:tc>
        <w:tc>
          <w:tcPr>
            <w:tcW w:w="960" w:type="dxa"/>
            <w:vAlign w:val="bottom"/>
          </w:tcPr>
          <w:p>
            <w:pPr>
              <w:jc w:val="right"/>
              <w:spacing w:after="0"/>
              <w:rPr>
                <w:sz w:val="20"/>
                <w:szCs w:val="20"/>
                <w:color w:val="auto"/>
              </w:rPr>
            </w:pPr>
            <w:r>
              <w:rPr>
                <w:rFonts w:ascii="Arial" w:cs="Arial" w:eastAsia="Arial" w:hAnsi="Arial"/>
                <w:sz w:val="16"/>
                <w:szCs w:val="16"/>
                <w:color w:val="auto"/>
              </w:rPr>
              <w:t>1,397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(15,857)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(15,857)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2020</w:t>
            </w: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40" w:type="dxa"/>
            <w:vAlign w:val="bottom"/>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17,851,152</w:t>
            </w:r>
          </w:p>
        </w:tc>
        <w:tc>
          <w:tcPr>
            <w:tcW w:w="28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170,095</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(130,076)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3"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Six Months Ended</w:t>
      </w:r>
    </w:p>
    <w:p>
      <w:pPr>
        <w:jc w:val="center"/>
        <w:ind w:left="70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62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09"/>
        </w:trPr>
        <w:tc>
          <w:tcPr>
            <w:tcW w:w="62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7"/>
                <w:szCs w:val="17"/>
                <w:color w:val="auto"/>
              </w:rPr>
              <w:t>Net loss</w:t>
            </w:r>
          </w:p>
        </w:tc>
        <w:tc>
          <w:tcPr>
            <w:tcW w:w="2100" w:type="dxa"/>
            <w:vAlign w:val="bottom"/>
            <w:gridSpan w:val="2"/>
          </w:tcPr>
          <w:p>
            <w:pPr>
              <w:jc w:val="right"/>
              <w:ind w:right="987"/>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(18,165)</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(15,857)</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9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(34)</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280" w:type="dxa"/>
            <w:vAlign w:val="bottom"/>
          </w:tcPr>
          <w:p>
            <w:pPr>
              <w:ind w:left="260"/>
              <w:spacing w:after="0"/>
              <w:rPr>
                <w:sz w:val="20"/>
                <w:szCs w:val="20"/>
                <w:color w:val="auto"/>
              </w:rPr>
            </w:pPr>
            <w:r>
              <w:rPr>
                <w:rFonts w:ascii="Arial" w:cs="Arial" w:eastAsia="Arial" w:hAnsi="Arial"/>
                <w:sz w:val="17"/>
                <w:szCs w:val="17"/>
                <w:color w:val="auto"/>
              </w:rPr>
              <w:t>Accretion/accrual of term loan discounts and debt issuance costs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2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expense related to transaction with Lincoln Park Capital Fund, LLC</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28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1,463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1,319</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(592)</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payable</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1,561</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500"/>
              <w:spacing w:after="0"/>
              <w:rPr>
                <w:sz w:val="20"/>
                <w:szCs w:val="20"/>
                <w:color w:val="auto"/>
              </w:rPr>
            </w:pPr>
            <w:r>
              <w:rPr>
                <w:rFonts w:ascii="Arial" w:cs="Arial" w:eastAsia="Arial" w:hAnsi="Arial"/>
                <w:sz w:val="17"/>
                <w:szCs w:val="17"/>
                <w:color w:val="auto"/>
              </w:rPr>
              <w:t>Accrued expenses and other liabilities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(310)</w:t>
            </w: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(229)</w:t>
            </w:r>
          </w:p>
        </w:tc>
      </w:tr>
      <w:tr>
        <w:trPr>
          <w:trHeight w:val="210"/>
        </w:trPr>
        <w:tc>
          <w:tcPr>
            <w:tcW w:w="62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operating activities</w:t>
            </w:r>
          </w:p>
        </w:tc>
        <w:tc>
          <w:tcPr>
            <w:tcW w:w="9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(15,476)</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Purchases of property, equipment and leasehold improvements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w:t>
            </w:r>
          </w:p>
        </w:tc>
      </w:tr>
      <w:tr>
        <w:trPr>
          <w:trHeight w:val="209"/>
        </w:trPr>
        <w:tc>
          <w:tcPr>
            <w:tcW w:w="6280" w:type="dxa"/>
            <w:vAlign w:val="bottom"/>
          </w:tcPr>
          <w:p>
            <w:pPr>
              <w:ind w:left="74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7"/>
                <w:szCs w:val="17"/>
                <w:color w:val="auto"/>
              </w:rPr>
              <w:t>Proceeds from at-the-market sales, net of commissions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6,972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exercises of stock options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7"/>
                <w:szCs w:val="17"/>
                <w:color w:val="auto"/>
              </w:rPr>
              <w:t>Proceeds from employee stock purchase plan</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Payments of offering costs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(89)</w:t>
            </w: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w:t>
            </w:r>
          </w:p>
        </w:tc>
      </w:tr>
      <w:tr>
        <w:trPr>
          <w:trHeight w:val="209"/>
        </w:trPr>
        <w:tc>
          <w:tcPr>
            <w:tcW w:w="62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96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6,900</w:t>
            </w:r>
          </w:p>
        </w:tc>
        <w:tc>
          <w:tcPr>
            <w:tcW w:w="30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FF0FC"/>
            </w:tcBorders>
          </w:tcPr>
          <w:p>
            <w:pPr>
              <w:spacing w:after="0"/>
              <w:rPr>
                <w:sz w:val="18"/>
                <w:szCs w:val="18"/>
                <w:color w:val="auto"/>
              </w:rPr>
            </w:pPr>
          </w:p>
        </w:tc>
      </w:tr>
      <w:tr>
        <w:trPr>
          <w:trHeight w:val="210"/>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(13,133)</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9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45,001</w:t>
            </w: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57,313</w:t>
            </w:r>
          </w:p>
        </w:tc>
        <w:tc>
          <w:tcPr>
            <w:tcW w:w="100" w:type="dxa"/>
            <w:vAlign w:val="bottom"/>
            <w:tcBorders>
              <w:bottom w:val="single" w:sz="8" w:color="CFF0FC"/>
            </w:tcBorders>
          </w:tcPr>
          <w:p>
            <w:pPr>
              <w:spacing w:after="0"/>
              <w:rPr>
                <w:sz w:val="18"/>
                <w:szCs w:val="18"/>
                <w:color w:val="auto"/>
              </w:rPr>
            </w:pPr>
          </w:p>
        </w:tc>
      </w:tr>
      <w:tr>
        <w:trPr>
          <w:trHeight w:val="209"/>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9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36,425</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Trevi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Trevi Therapeutics, Inc. (“Trevi” or the “Company”) is a clinical-stage biopharmaceutical company focused on the development and commercialization of the investigational therapy Haduvio (nalbuphine ER) to treat serious neurologically mediated conditions. The Company is currently developing Haduvio for the treatment of chronic pruritus associated with prurigo nodularis and chronic cough in patients with idiopathic pulmonary fibrosis (“IPF”). The Company is also developing Haduvio in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56"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itch, cough and certain movement disorders. Nalbuphine’s mechanism of action also mitigates the risk of abuse associated with μ-opioid agonists because it antagonizes or blocks, the μ-opioid receptor. Parenteral nalbuphine is not classified as a controlled substance in the U.S. and most of Europe.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Disclosures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Going Concern (Subtopic 205-40) </w:t>
      </w:r>
      <w:r>
        <w:rPr>
          <w:rFonts w:ascii="Arial" w:cs="Arial" w:eastAsia="Arial" w:hAnsi="Arial"/>
          <w:sz w:val="16"/>
          <w:szCs w:val="16"/>
          <w:color w:val="auto"/>
        </w:rPr>
        <w:t>(“ASU No. 2014-15”), management must evaluate whether there are conditions or events, considered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6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Company’s Condensed Consolidated Financial Statements have been prepared on a going concern basis, which contemplates the continuity of operations, realization of assets and the satisfaction of liabilities and commitments in the ordinary course of business. Since inception, the Company has financed its operations primarily through private placements of convertible preferred stock and convertible notes prior to its initial public offering (“IPO”), borrowings under its prior term loan facility, proceeds from its IPO and concurrent private placement completed in May 2019, sales of its common stock pursuant to the at-the-market Sales Agreement (the “ATM Sales Agreement”) (Note 7) with SVB Leerink LLC that the Company entered into in June 2020 and the term loan facility with Silicon Valley Bank (“SVB”) that the Company entered into in August 2020. The Company has incurred recurring losses since inception, including net losses of $18.2 million for the six months ended June 30, 2021 and $32.8 million for the year ended December 31, 2020. As of June 30, 2021, the Company had cash and cash equivalents of $36.4 million compared to $45.0 million of cash and cash equivalents as of December 31, 2020. The Company has incurred losses and negative cash flows from operations and had an accumulated deficit of $165.1 million as of June 30, 2021. The Company expects to continue to generate losses for the foreseeable future.</w:t>
      </w:r>
    </w:p>
    <w:p>
      <w:pPr>
        <w:spacing w:after="0" w:line="77"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As of August 12, 2021, the date of issuance of these Condensed Consolidated Financial Statements, the Company expects that its cash and cash equivalents as of June 30, 2021 will not be sufficient to fund its current business plan including related operating expenses and capital expenditure requirements through at least 12 months from the date of issuance of these Condensed Consolidated Financial Statements. The Company plans to seek to address this condition by raising additional capital to finance its operations. The future viability of the Company is dependent on its ability to raise additional capital to finance its operations. Although the Company has been successful in raising capital in the past, there is no assurance that it will be successful in obtaining such additional financing. Therefore, it is not considered probable, as defined in ASU No. 2014-15, that the Company’s plans to raise additional capital will alleviate the substantial doubt regarding its ability to continue as a going concern.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right="120" w:firstLine="510"/>
        <w:spacing w:after="0" w:line="293" w:lineRule="auto"/>
        <w:rPr>
          <w:sz w:val="20"/>
          <w:szCs w:val="20"/>
          <w:color w:val="auto"/>
        </w:rPr>
      </w:pPr>
      <w:r>
        <w:rPr>
          <w:rFonts w:ascii="Arial" w:cs="Arial" w:eastAsia="Arial" w:hAnsi="Arial"/>
          <w:sz w:val="16"/>
          <w:szCs w:val="16"/>
          <w:color w:val="auto"/>
        </w:rPr>
        <w:t>To execute its business plans, the Company will need substantial funding to support its continuing operations and pursue its growth strategy. Until such time as the Company can generate significant revenue from product sales, if ever, the Company expects to finance its operations through the sale of common stock in public offerings and/or private placements, debt financings or other capital sources, including collaborations with other companies or other strategic transactions. The Company may not be able to obtain financing when needed on acceptable terms or at all. The terms of any financing may adversely affect the holdings or the rights of the Company’s stockholders. If the Company is unable to obtain funding, the Company could be forced to delay, reduce or abandon its product development programs or commercialization efforts, which could adversely affect its business prospects.</w:t>
      </w:r>
    </w:p>
    <w:p>
      <w:pPr>
        <w:spacing w:after="0" w:line="160" w:lineRule="exact"/>
        <w:rPr>
          <w:sz w:val="20"/>
          <w:szCs w:val="20"/>
          <w:color w:val="auto"/>
        </w:rPr>
      </w:pPr>
    </w:p>
    <w:p>
      <w:pPr>
        <w:ind w:left="520" w:right="7340" w:hanging="512"/>
        <w:spacing w:after="0" w:line="378" w:lineRule="auto"/>
        <w:tabs>
          <w:tab w:leader="none" w:pos="51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40" w:firstLine="510"/>
        <w:spacing w:after="0" w:line="254" w:lineRule="auto"/>
        <w:rPr>
          <w:sz w:val="20"/>
          <w:szCs w:val="20"/>
          <w:color w:val="auto"/>
        </w:rPr>
      </w:pPr>
      <w:r>
        <w:rPr>
          <w:rFonts w:ascii="Arial" w:cs="Arial" w:eastAsia="Arial" w:hAnsi="Arial"/>
          <w:sz w:val="18"/>
          <w:szCs w:val="18"/>
          <w:color w:val="auto"/>
        </w:rPr>
        <w:t>The accompanying unaudited interim Condensed Consolidated Financial Statements for the three and six months ended June 30, 2021 and 2020 included herein, have been prepared in accordance with accounting principles generally accepted in the U.S. (“GAAP”) for interim financial information and the rules and regulations of the Securities and Exchange Commission (“SEC”) for interim information. Certain prior year balances have been reclassified to conform to the current year presentation. Such reclassifications did not affect loss from operations or net loss.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2020 (the “Annual Report on Form 10-K”).</w:t>
      </w:r>
    </w:p>
    <w:p>
      <w:pPr>
        <w:spacing w:after="0" w:line="19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June 30, 2021 for potential recognition or disclosure in the Condensed Consolidated Financial Statements and concluded there were no subsequent events that required recognition or disclosure.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On an ongoing basis, management evaluates its estimates in light of changes in circumstances, facts and experience. Changes in estimates are recorded in the period in which they become known. Actual results could differ from those estimates. The inputs into the Company’s estimates also considered the economic implications of COVID-19 on the Company’s estimates.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The accompanying interim Condensed Consolidated Balance Sheet as of June 30, 2021 and the Condensed Consolidated Statements of Operations, the Condensed Consolidated Statements of Stockholders’ Equity and the Condensed Consolidated Statements of Cash Flows for the three and six months ended June 30, 2021 and 2020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2021 and the results of its operations and its cash flows for the three and six months ended June 30, 2021 and 2020. The results for the three and six months ended June 30, 2021 and 2020 are not necessarily indicative of results to be expected for the year ending December 31, 2021 or any other interim period or any future year or period.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The Company classifies short-term, highly liquid investments with an original term of three months or less at the date of purchase as cash equivalents.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Company’s financial instruments have consisted of cash and cash equivalents, other current assets, accounts payable, accrued expenses, term loans and term loan derivative liability (Note 6).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term loan derivative liability is recorded at fair value, which is estimated utilizing a probability-weighted cash flow approach (Note 6).</w:t>
      </w:r>
    </w:p>
    <w:p>
      <w:pPr>
        <w:spacing w:after="0" w:line="84"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6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62"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following table summarizes the financial assets and financial liabilities measured at fair value on a recurring basis and the basis for that measurement, by level within the fair value hierarchy (Note 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509"/>
              <w:spacing w:after="0"/>
              <w:rPr>
                <w:sz w:val="20"/>
                <w:szCs w:val="20"/>
                <w:color w:val="auto"/>
              </w:rPr>
            </w:pPr>
            <w:r>
              <w:rPr>
                <w:rFonts w:ascii="Arial" w:cs="Arial" w:eastAsia="Arial" w:hAnsi="Arial"/>
                <w:sz w:val="17"/>
                <w:szCs w:val="17"/>
                <w:b w:val="1"/>
                <w:bCs w:val="1"/>
                <w:color w:val="auto"/>
              </w:rPr>
              <w:t>Level 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ind w:left="240"/>
              <w:spacing w:after="0"/>
              <w:rPr>
                <w:sz w:val="20"/>
                <w:szCs w:val="20"/>
                <w:color w:val="auto"/>
              </w:rPr>
            </w:pPr>
            <w:r>
              <w:rPr>
                <w:rFonts w:ascii="Arial" w:cs="Arial" w:eastAsia="Arial" w:hAnsi="Arial"/>
                <w:sz w:val="17"/>
                <w:szCs w:val="17"/>
                <w:b w:val="1"/>
                <w:bCs w:val="1"/>
                <w:color w:val="auto"/>
              </w:rPr>
              <w:t>Level 2</w:t>
            </w:r>
          </w:p>
        </w:tc>
        <w:tc>
          <w:tcPr>
            <w:tcW w:w="32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212"/>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June 30, 2021</w:t>
            </w:r>
          </w:p>
        </w:tc>
        <w:tc>
          <w:tcPr>
            <w:tcW w:w="1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40" w:type="dxa"/>
            <w:vAlign w:val="bottom"/>
            <w:tcBorders>
              <w:top w:val="single" w:sz="8" w:color="auto"/>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40" w:type="dxa"/>
            <w:vAlign w:val="bottom"/>
            <w:tcBorders>
              <w:top w:val="single" w:sz="8" w:color="auto"/>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CFF0FC"/>
            </w:tcBorders>
          </w:tcPr>
          <w:p>
            <w:pPr>
              <w:spacing w:after="0"/>
              <w:rPr>
                <w:sz w:val="18"/>
                <w:szCs w:val="18"/>
                <w:color w:val="auto"/>
              </w:rPr>
            </w:pPr>
          </w:p>
        </w:tc>
        <w:tc>
          <w:tcPr>
            <w:tcW w:w="1360" w:type="dxa"/>
            <w:vAlign w:val="bottom"/>
            <w:tcBorders>
              <w:top w:val="single" w:sz="8" w:color="auto"/>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1"/>
        </w:trPr>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14"/>
                <w:szCs w:val="14"/>
                <w:color w:val="auto"/>
              </w:rPr>
              <w:t>(1)</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35,492</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FF0FC"/>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FF0FC"/>
          </w:tcPr>
          <w:p>
            <w:pPr>
              <w:spacing w:after="0"/>
              <w:rPr>
                <w:sz w:val="18"/>
                <w:szCs w:val="18"/>
                <w:color w:val="auto"/>
              </w:rPr>
            </w:pPr>
          </w:p>
        </w:tc>
      </w:tr>
      <w:tr>
        <w:trPr>
          <w:trHeight w:val="430"/>
        </w:trPr>
        <w:tc>
          <w:tcPr>
            <w:tcW w:w="5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December 31, 2020</w:t>
            </w:r>
          </w:p>
        </w:tc>
        <w:tc>
          <w:tcPr>
            <w:tcW w:w="18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
        </w:trPr>
        <w:tc>
          <w:tcPr>
            <w:tcW w:w="5340" w:type="dxa"/>
            <w:vAlign w:val="bottom"/>
          </w:tcPr>
          <w:p>
            <w:pPr>
              <w:spacing w:after="0" w:line="20" w:lineRule="exact"/>
              <w:rPr>
                <w:sz w:val="20"/>
                <w:szCs w:val="20"/>
                <w:color w:val="auto"/>
              </w:rPr>
            </w:pPr>
            <w:r>
              <w:rPr>
                <w:rFonts w:ascii="Arial" w:cs="Arial" w:eastAsia="Arial" w:hAnsi="Arial"/>
                <w:sz w:val="2"/>
                <w:szCs w:val="2"/>
                <w:color w:val="auto"/>
              </w:rPr>
              <w:t>Money market funds</w:t>
            </w:r>
          </w:p>
        </w:tc>
        <w:tc>
          <w:tcPr>
            <w:tcW w:w="500" w:type="dxa"/>
            <w:vAlign w:val="bottom"/>
            <w:gridSpan w:val="2"/>
          </w:tcPr>
          <w:p>
            <w:pPr>
              <w:jc w:val="right"/>
              <w:ind w:right="240"/>
              <w:spacing w:after="0" w:line="20" w:lineRule="exact"/>
              <w:rPr>
                <w:sz w:val="20"/>
                <w:szCs w:val="20"/>
                <w:color w:val="auto"/>
              </w:rPr>
            </w:pPr>
            <w:r>
              <w:rPr>
                <w:rFonts w:ascii="Arial" w:cs="Arial" w:eastAsia="Arial" w:hAnsi="Arial"/>
                <w:sz w:val="2"/>
                <w:szCs w:val="2"/>
                <w:color w:val="auto"/>
              </w:rPr>
              <w:t>$</w:t>
            </w:r>
          </w:p>
        </w:tc>
        <w:tc>
          <w:tcPr>
            <w:tcW w:w="1340" w:type="dxa"/>
            <w:vAlign w:val="bottom"/>
          </w:tcPr>
          <w:p>
            <w:pPr>
              <w:jc w:val="right"/>
              <w:spacing w:after="0" w:line="20" w:lineRule="exact"/>
              <w:rPr>
                <w:sz w:val="20"/>
                <w:szCs w:val="20"/>
                <w:color w:val="auto"/>
              </w:rPr>
            </w:pPr>
            <w:r>
              <w:rPr>
                <w:rFonts w:ascii="Arial" w:cs="Arial" w:eastAsia="Arial" w:hAnsi="Arial"/>
                <w:sz w:val="2"/>
                <w:szCs w:val="2"/>
                <w:color w:val="auto"/>
              </w:rPr>
              <w:t>44,095</w:t>
            </w:r>
          </w:p>
        </w:tc>
        <w:tc>
          <w:tcPr>
            <w:tcW w:w="620" w:type="dxa"/>
            <w:vAlign w:val="bottom"/>
            <w:gridSpan w:val="2"/>
          </w:tcPr>
          <w:p>
            <w:pPr>
              <w:jc w:val="right"/>
              <w:ind w:right="240"/>
              <w:spacing w:after="0" w:line="20" w:lineRule="exact"/>
              <w:rPr>
                <w:sz w:val="20"/>
                <w:szCs w:val="20"/>
                <w:color w:val="auto"/>
              </w:rPr>
            </w:pPr>
            <w:r>
              <w:rPr>
                <w:rFonts w:ascii="Arial" w:cs="Arial" w:eastAsia="Arial" w:hAnsi="Arial"/>
                <w:sz w:val="2"/>
                <w:szCs w:val="2"/>
                <w:color w:val="auto"/>
              </w:rPr>
              <w:t>$</w:t>
            </w:r>
          </w:p>
        </w:tc>
        <w:tc>
          <w:tcPr>
            <w:tcW w:w="1640" w:type="dxa"/>
            <w:vAlign w:val="bottom"/>
            <w:gridSpan w:val="2"/>
          </w:tcPr>
          <w:p>
            <w:pPr>
              <w:ind w:left="1160"/>
              <w:spacing w:after="0" w:line="20" w:lineRule="exact"/>
              <w:rPr>
                <w:sz w:val="20"/>
                <w:szCs w:val="20"/>
                <w:color w:val="auto"/>
              </w:rPr>
            </w:pPr>
            <w:r>
              <w:rPr>
                <w:rFonts w:ascii="Arial" w:cs="Arial" w:eastAsia="Arial" w:hAnsi="Arial"/>
                <w:sz w:val="2"/>
                <w:szCs w:val="2"/>
                <w:color w:val="auto"/>
              </w:rPr>
              <w:t>—</w:t>
            </w:r>
          </w:p>
        </w:tc>
        <w:tc>
          <w:tcPr>
            <w:tcW w:w="320" w:type="dxa"/>
            <w:vAlign w:val="bottom"/>
          </w:tcPr>
          <w:p>
            <w:pPr>
              <w:jc w:val="right"/>
              <w:ind w:right="181"/>
              <w:spacing w:after="0" w:line="20" w:lineRule="exact"/>
              <w:rPr>
                <w:sz w:val="20"/>
                <w:szCs w:val="20"/>
                <w:color w:val="auto"/>
              </w:rPr>
            </w:pPr>
            <w:r>
              <w:rPr>
                <w:rFonts w:ascii="Arial" w:cs="Arial" w:eastAsia="Arial" w:hAnsi="Arial"/>
                <w:sz w:val="2"/>
                <w:szCs w:val="2"/>
                <w:color w:val="auto"/>
              </w:rPr>
              <w:t>$</w:t>
            </w:r>
          </w:p>
        </w:tc>
        <w:tc>
          <w:tcPr>
            <w:tcW w:w="1480" w:type="dxa"/>
            <w:vAlign w:val="bottom"/>
            <w:gridSpan w:val="2"/>
          </w:tcPr>
          <w:p>
            <w:pPr>
              <w:jc w:val="right"/>
              <w:ind w:right="140"/>
              <w:spacing w:after="0" w:line="20" w:lineRule="exact"/>
              <w:rPr>
                <w:sz w:val="20"/>
                <w:szCs w:val="20"/>
                <w:color w:val="auto"/>
              </w:rPr>
            </w:pPr>
            <w:r>
              <w:rPr>
                <w:rFonts w:ascii="Arial" w:cs="Arial" w:eastAsia="Arial" w:hAnsi="Arial"/>
                <w:sz w:val="2"/>
                <w:szCs w:val="2"/>
                <w:color w:val="auto"/>
              </w:rPr>
              <w:t>—</w:t>
            </w:r>
          </w:p>
        </w:tc>
      </w:tr>
      <w:tr>
        <w:trPr>
          <w:trHeight w:val="190"/>
        </w:trPr>
        <w:tc>
          <w:tcPr>
            <w:tcW w:w="5340" w:type="dxa"/>
            <w:vAlign w:val="bottom"/>
          </w:tcPr>
          <w:p>
            <w:pPr>
              <w:ind w:left="144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5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FF0FC"/>
          </w:tcPr>
          <w:p>
            <w:pPr>
              <w:ind w:left="1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r>
    </w:tbl>
    <w:p>
      <w:pPr>
        <w:spacing w:after="0" w:line="94"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Included in cash and cash equivalents on the Condensed Consolidated Balance Sheets.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5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3000" w:type="dxa"/>
            <w:vAlign w:val="bottom"/>
            <w:gridSpan w:val="2"/>
          </w:tcPr>
          <w:p>
            <w:pPr>
              <w:jc w:val="right"/>
              <w:ind w:right="125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5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2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relating to the Company’s ATM Sales Agreement were $162 and $284 as of June 30, 2021 and December 31, 2020, respectively, excluding $508 and $105, respectively, which has been recorded as a reduction to stockholders’ equity in connection with sales under the agreement.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All of the Company’s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research and development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research and development expenses as they are incurred.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has entered into agreements with CROs, contract manufacturing organizations (“CMOs”) and other companies that provide services in connection with the Company’s research and development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non-current deposits, as applicable, and are recognized as expenses as the goods are delivered or the related services are performed.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The Company accounts for stock-based compensation arrangements with employees and non-employees for consultancy services in accordance with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ASC 718 requires the recognition of compensation expense, using a fair value based method, for costs related to all stock-based payments including stock options. The Company’s determination of the fair value of stock options on the date of grant utilizes the Black-Scholes option-pricing model for stock options with time-based and performance-based vesting and is impacted by the price of its common stock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firstLine="510"/>
        <w:spacing w:after="0" w:line="279" w:lineRule="auto"/>
        <w:rPr>
          <w:sz w:val="20"/>
          <w:szCs w:val="20"/>
          <w:color w:val="auto"/>
        </w:rPr>
      </w:pPr>
      <w:r>
        <w:rPr>
          <w:rFonts w:ascii="Arial" w:cs="Arial" w:eastAsia="Arial" w:hAnsi="Arial"/>
          <w:sz w:val="17"/>
          <w:szCs w:val="17"/>
          <w:color w:val="auto"/>
        </w:rPr>
        <w:t>The fair value is recognized over the period during which an optionee is required to provide services in exchange for the option award, known as the requisite service period (usually the vesting period) on a straight-line basis. For performance-based vesting, the fair value is also recognized on a straight-line basis over the requisite service period based on whether the performance conditions are probable. The Company reassesses the probability of achieving the performance conditions at each reporting date. Forfeitures are accounted for as they occur.</w:t>
      </w:r>
    </w:p>
    <w:p>
      <w:pPr>
        <w:spacing w:after="0" w:line="63"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variables. Changes in the assumptions can materially affect the fair value and ultimately how much stock-based compensation expense is recognized. These inputs are subjective and generally require analysis and judgment to develop.</w:t>
      </w:r>
    </w:p>
    <w:p>
      <w:pPr>
        <w:spacing w:after="0" w:line="5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Expected Term—The expected term assumption represents the weighted average period that the stock-based awards are expected to be outstanding. The Company has elected to use the “simplified method” for estimating the expected term of the options, whereby the expected term equals the arithmetic average of the vesting term and the original contractual term of the option.</w:t>
      </w:r>
    </w:p>
    <w:p>
      <w:pPr>
        <w:spacing w:after="0" w:line="7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7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6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Risk-Free Interest Rate—The risk-free interest rate is based on the yield available on U.S. Treasury zero-coupon issues similar in duration to the expected term of the equity-settled award.</w:t>
      </w:r>
    </w:p>
    <w:p>
      <w:pPr>
        <w:spacing w:after="0" w:line="62"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Prior to the Company’s IPO in May 2019, the estimated fair value of the common stock underlying the Company’s stock options was determined at each grant date by the Company’s board of directors, with input from management. All options to purchase shares of common stock were intended to be exercisable at a price per share not less than the per share fair value of the Company’s common stock underlying those options on the date of grant.</w:t>
      </w:r>
    </w:p>
    <w:p>
      <w:pPr>
        <w:spacing w:after="0" w:line="4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the absence of a public trading market for the Company’s common stock prior to the Company’s IPO in May 2019, on each grant date, the Company developed an estimate of the fair value of its common stock based on the information known to the Company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(the “Code”), the Company generally relied on valuations for up to twelve months unless the Company had experienced a material event that would have affected the estimated fair value of its common stock.</w:t>
      </w:r>
    </w:p>
    <w:p>
      <w:pPr>
        <w:spacing w:after="0" w:line="8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valuations of the Company’s common stock performed prior to the Company’s IPO in May 2019, were determined in accordance with the guidelines outlined in the American Institute of Certified Public Accountants Practice Aid, Valuation of Privately-Held-Company Equity Securities Issued as Compensation (the “Practice Aid”). The methodology to determine the fair value of common stock included estimating the fair value of the enterprise using a market approach, which estimates the fair value of the Company by including an estimation of the value of the business based on the guideline public companies under a number of different scenarios. The assumptions used to determine the estimated fair value of the Company’s common stock were based on numerous objective and subjective factors, combined with management judgment, including external market conditions affecting the pharmaceutical and biotechnology industry and trends within the industry; the Company’s stage of development; the rights, preferences and privileges of the Company’s convertible preferred stock relative to those of the Company’s common stock; the prices at which the Company sold shares of convertible preferred stock; the Company’s financial condition and operating results, including the Company’s levels of available capital resources; the progress of the Company’s research and development efforts; the stage of development and business strategy; the equity market conditions affecting comparable public companies; the general U.S. market conditions and the lack of marketability of the Company’s common stock.</w:t>
      </w:r>
    </w:p>
    <w:p>
      <w:pPr>
        <w:spacing w:after="0" w:line="64"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p>
      <w:pPr>
        <w:spacing w:after="0" w:line="2" w:lineRule="exact"/>
        <w:rPr>
          <w:sz w:val="20"/>
          <w:szCs w:val="20"/>
          <w:color w:val="auto"/>
        </w:rPr>
      </w:pPr>
    </w:p>
    <w:p>
      <w:pPr>
        <w:ind w:left="1260" w:right="20" w:hanging="375"/>
        <w:spacing w:after="0" w:line="291"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Option Pricing Method (“OPM”)—The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ind w:left="1260" w:right="60"/>
        <w:spacing w:after="0" w:line="286" w:lineRule="auto"/>
        <w:rPr>
          <w:sz w:val="20"/>
          <w:szCs w:val="20"/>
          <w:color w:val="auto"/>
        </w:rPr>
      </w:pPr>
      <w:r>
        <w:rPr>
          <w:rFonts w:ascii="Arial" w:cs="Arial" w:eastAsia="Arial" w:hAnsi="Arial"/>
          <w:sz w:val="17"/>
          <w:szCs w:val="17"/>
          <w:color w:val="auto"/>
        </w:rPr>
        <w:t>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38" w:lineRule="exact"/>
        <w:rPr>
          <w:sz w:val="20"/>
          <w:szCs w:val="20"/>
          <w:color w:val="auto"/>
        </w:rPr>
      </w:pPr>
    </w:p>
    <w:p>
      <w:pPr>
        <w:ind w:left="1260" w:right="120" w:hanging="375"/>
        <w:spacing w:after="0" w:line="296"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Probability Weighted Expected Return Method (“PWERM”)—Under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47" w:lineRule="exact"/>
        <w:rPr>
          <w:rFonts w:ascii="Arial" w:cs="Arial" w:eastAsia="Arial" w:hAnsi="Arial"/>
          <w:sz w:val="16"/>
          <w:szCs w:val="16"/>
          <w:color w:val="auto"/>
        </w:rPr>
      </w:pPr>
    </w:p>
    <w:p>
      <w:pPr>
        <w:ind w:left="1260" w:right="80" w:hanging="375"/>
        <w:spacing w:after="0" w:line="291"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Hybrid Method—The hybrid method is a PWERM where the equity value in one of the scenarios is calculated using an OPM. In the hybrid method used by the Company, it considered an IPO as the other potential future liquidity event. The equity value for the IPO scenario was determined using the guideline public company (“GPC”), method under the market approach. The relative probability of the IPO scenario was determined based on an analysis of market conditions at the time and expectations as to the timing and likely prospects of the IPO at each valuation date. In application of the GPC method, the Company considered publicly traded companies in the biopharmaceutical industry that had a similar profile to the Company’s as well as recently completed IPOs as indicators of estimated future value in an IPO. The Company then discounted that future value back to the valuation date at an appropriate discount rate.</w:t>
      </w:r>
    </w:p>
    <w:p>
      <w:pPr>
        <w:spacing w:after="0" w:line="1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determining the estimated fair value of the Company’s common stock prior to Company’s IPO in May 2019, the board of directors considered the fact that the Company’s stockholders could not freely trade the Company’s common stock in the public markets. Accordingly, the Company’s board of directors applied discounts to reflect the lack of marketability of common stock based on the weighted-average expected time to liquidity. The estimated fair value of the Company’s common stock at each grant date reflected a non-marketability discount partially based on the anticipated likelihood and timing of a future liquidity event.</w:t>
      </w:r>
    </w:p>
    <w:p>
      <w:pPr>
        <w:spacing w:after="0" w:line="8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Subsequent to the completion of the Company’s IPO in May 2019, the fair value of the Company’s common stock has been determined based on the closing price of the Company’s common stock as reported on the date of grant on the primary stock exchange on which the Company’s common stock is traded.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 xml:space="preserve">The Company applies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 xml:space="preserve">Under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Basic and diluted net loss per common share outstanding is determined by dividing net loss by the weighted average common shares outstanding during the period. For all periods presented,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On January 1, 2021, the Company adopted ASU No. 2019-12-</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the Company’s Condensed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There have been no new accounting pronouncements during the six months ended June 30, 2021, which could be expected to materially impact the Company’s unaudited Condensed Consolidated Financial Statements.</w:t>
      </w:r>
    </w:p>
    <w:p>
      <w:pPr>
        <w:spacing w:after="0" w:line="16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corporate insurance</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Prepaid other and other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Prepaid R&amp;D costs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80" w:firstLine="510"/>
        <w:spacing w:after="0" w:line="311" w:lineRule="auto"/>
        <w:rPr>
          <w:sz w:val="20"/>
          <w:szCs w:val="20"/>
          <w:color w:val="auto"/>
        </w:rPr>
      </w:pPr>
      <w:r>
        <w:rPr>
          <w:rFonts w:ascii="Arial" w:cs="Arial" w:eastAsia="Arial" w:hAnsi="Arial"/>
          <w:sz w:val="16"/>
          <w:szCs w:val="16"/>
          <w:color w:val="auto"/>
        </w:rPr>
        <w:t>Effective March 1, 2013, the Company entered into a lease for office space in New Haven, CT and commencing March 1, 2018, the Company entered into the First Amendment to the lease. The leased space is approximately 5,600 square feet and the lease has a term of 60 months. The lease requires monthly payments ranging from approximately $10 to $11 through February 1, 2023 and provides for two designated months of free rent.</w:t>
      </w:r>
    </w:p>
    <w:p>
      <w:pPr>
        <w:spacing w:after="0" w:line="41"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incremental borrowing rate used on existing leases was 13.0%. The right-of-use asset also includes any lease payments related to initial direct costs and prepayments and excludes lease incentives. Lease expense is recognized on a straight-line basis over the lease term. The Company had no new leases during the six months ended June 30, 2021.</w:t>
      </w:r>
    </w:p>
    <w:p>
      <w:pPr>
        <w:spacing w:after="0" w:line="76"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The Company’s current operating leases consist of real estate and the remaining term is approximately 1.7 years. The Company has no financing leases. The following table summarizes the Company’s operating leases as presented on its Condensed 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7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right-of-use asset</w:t>
            </w:r>
          </w:p>
        </w:tc>
        <w:tc>
          <w:tcPr>
            <w:tcW w:w="1200" w:type="dxa"/>
            <w:vAlign w:val="bottom"/>
            <w:tcBorders>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181</w:t>
            </w:r>
          </w:p>
        </w:tc>
        <w:tc>
          <w:tcPr>
            <w:tcW w:w="3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FF0FC"/>
            </w:tcBorders>
          </w:tcPr>
          <w:p>
            <w:pPr>
              <w:spacing w:after="0"/>
              <w:rPr>
                <w:sz w:val="23"/>
                <w:szCs w:val="23"/>
                <w:color w:val="auto"/>
              </w:rPr>
            </w:pP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Operating lease liabilities, current portion</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 long term portion</w:t>
            </w:r>
          </w:p>
        </w:tc>
        <w:tc>
          <w:tcPr>
            <w:tcW w:w="12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r>
      <w:tr>
        <w:trPr>
          <w:trHeight w:val="223"/>
        </w:trPr>
        <w:tc>
          <w:tcPr>
            <w:tcW w:w="744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1200" w:type="dxa"/>
            <w:vAlign w:val="bottom"/>
            <w:tcBorders>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202</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from June 30, 2021 until the expiration of the operating leases are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2260" w:type="dxa"/>
        <w:tblCellMar>
          <w:top w:w="0" w:type="dxa"/>
          <w:left w:w="0" w:type="dxa"/>
          <w:bottom w:w="0" w:type="dxa"/>
          <w:right w:w="0" w:type="dxa"/>
        </w:tblCellMar>
      </w:tblPr>
      <w:tr>
        <w:trPr>
          <w:trHeight w:val="20"/>
        </w:trPr>
        <w:tc>
          <w:tcPr>
            <w:tcW w:w="530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53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FF0FC"/>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r>
      <w:tr>
        <w:trPr>
          <w:trHeight w:val="230"/>
        </w:trPr>
        <w:tc>
          <w:tcPr>
            <w:tcW w:w="53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lease payments</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30"/>
        </w:trPr>
        <w:tc>
          <w:tcPr>
            <w:tcW w:w="53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imputed discount rate</w:t>
            </w:r>
          </w:p>
        </w:tc>
        <w:tc>
          <w:tcPr>
            <w:tcW w:w="5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Carrying value of operating lease liabilities</w:t>
            </w:r>
          </w:p>
        </w:tc>
        <w:tc>
          <w:tcPr>
            <w:tcW w:w="5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Lease expense under operating leases, including leases of office equipment, was $30 and $31 for the three months ended June 30, 2021 and 2020, respectively and $61 and $62 for the six months ended June 30, 2021 and 2020, respectively. Lease payments made in the three months ended June 30, 2021 and 2020 were $35 and $35, respectively and $69 and $80 for the six months ended June 30, 2021 and 2020, respectively, with such amounts reflected in the Condensed Consolidated Statements of Cash Flows in 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R&amp;D projects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consulting and professional fees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SVB Term Loan</w:t>
      </w:r>
    </w:p>
    <w:p>
      <w:pPr>
        <w:spacing w:after="0" w:line="225"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On August 13, 2020 (the “Effective Date”), the Company entered into a loan and security agreement (the “SVB Loan Agreement”) with SVB, as lender, pursuant to which SVB provided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will be adjusted to a floating rate equal to the greater of (A) the prime rate plus 3.00% and (B) 6.25% (see term loan derivative liability discussion below).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spacing w:after="0" w:line="8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On July 6, 2021, the Company and SVB entered into a First Amendment (the “Loan Amendment”) to the SVB Loan Agreement. The Loan Amendment modifies the conditions under which the Company is required to cash collateralize all outstanding amounts owed to SVB under the SVB Loan Agreement. Under the Loan Amendment, if the Company fails to receive positive data in its Phase 2b/3 PRISM trial or to meet certain equity raise requirements, including raising at least $15.0 million in net proceeds from the sale of equity securities during the period from June 1, 2021 through October 31, 2021 and raising by June 30, 2022, sufficient additional net proceeds from the sale of equity securities to finance its planned second phase 3 clinical trial of Haduvio for prurigo nodularis and its ongoing operations (each a “Milestone Condition”), the Company will be required to deposit unrestricted and unencumbered cash equal to 100% of the principal amount of the SVB Term Loan then outstanding in a cash collateral account with SVB, which can be used by SVB to prepay the SVB Term Loan at any time. In addition, the Loan Amendment provides that if the Company fails to maintain at least $20.0 million in unrestricted and unencumbered cash in its accounts with SVB at any time prior to the satisfaction of all the Milestone Conditions, the Company will be required to cash collateralize all outstanding amounts owed to SVB under the SVB Loan Agreement.</w:t>
      </w:r>
    </w:p>
    <w:p>
      <w:pPr>
        <w:spacing w:after="0" w:line="60"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w:t>
      </w:r>
    </w:p>
    <w:p>
      <w:pPr>
        <w:spacing w:after="0" w:line="6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August 2020, in connection with the SVB Term Loan, the Company paid $57 in financing costs to a third party, which were recorded as deferred charges and will be amortized over the life of the SVB Term Loan using the effective interest method. Amortization of these deferred financing charges totaled $5 and $11 for the three and six months ended June 30, 2021, respectively and is included in interest expense in the Company’s Condensed Consolidated Statements of Operations. The SVB Term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discount-unamortized deferred charges totaled $36 and $48 at June 30, 2021 and December 31, 2020, respectively and is included as a direct reduction of the carrying value of the term loan payable on the Company’s Condensed Consolidated Balance Sheets.</w:t>
      </w:r>
    </w:p>
    <w:p>
      <w:pPr>
        <w:spacing w:after="0" w:line="6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$2 and $5 for the three and six months ended June 30, 2021 and is included in interest expense in the Company’s Condensed Consolidated Statements of Operations. At June 30, 2021 and December 31, 2020, the loan discount-financing costs balance was $18 and $23, respectively.</w:t>
      </w:r>
    </w:p>
    <w:p>
      <w:pPr>
        <w:spacing w:after="0" w:line="53"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Sheets. At June 30, 2021 and December 31, 2020, $420 and $183 was accrued for the final payment fee, respectively.</w:t>
      </w:r>
    </w:p>
    <w:p>
      <w:pPr>
        <w:spacing w:after="0" w:line="79"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 xml:space="preserve">Upon the occurrence of the Phase 3 Event, the interest rate on the SVB Term Loan will increase by 2.00% (the “Contingent Interest Rate Increase”) as described above. The Contingent Interest Rate Increase represents a free-standing financial instrument. Accordingly, the Company accounted for the Contingent Interest Rate Increase as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therefore, recorded a term loan derivative liability for the Contingent Interest Rate Increase at its fair value of $187 on the Effective Date of the SVB Loan Agreement. The Company adjusts this liability to fair value at each reporting date it remains outstanding, with such adjustments recorded as non-cash charges in other (expense) income, net in the Company’s Condensed Consolidated Statements of Operations. The total fair value of this liability was determined to be $162 and $196 at June 30, 2021 and December 31, 2020, respectively. The change in fair value of the term loan derivative liability as of June 30, 2021 as compared to the fair value at its last measurement at December 31, 2020 date was $34. The term loan derivative liability is presented as a current liability on the Company’s Condensed Consolidated Balance Sheets as of June 30, 2021 and as a non-current liability as of December 31, 2020. Upon recording such term loan derivative liability, the Company also recorded an offsetting term loan discount – interest, to be amortized to interest expense in the Company’s Condensed Consolidated Statements of Operations through the SVB Term Loan’s maturity date using the effective interest method. Such amortization was $19 and $37 in the three and six months ended June 30, 2021, respectively. At June 30, 2021 and December 31, 2020, the balance of the term loan discount – interest was $121 and $158, respectively and is included as a reduction in the balance of the term loan payable on the Company’s Condensed Consolidated Balance Sheets.</w:t>
      </w:r>
    </w:p>
    <w:p>
      <w:pPr>
        <w:spacing w:after="0" w:line="7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Fair values of the term loan derivative liability are estimated utilizing a probability-weighted cash flow approach, including variables for the timing of the Phase 3 Event and other probability estimates. For the fair value calculations of the term loan derivative liability at June 30, 2021 and December 31, 2020, significant inputs included the Contingent Interest Rate Increase of 2.00%, a discount rate of 12.0% and the SVB Term Loan maturity date of February 1, 2024.</w:t>
      </w:r>
    </w:p>
    <w:p>
      <w:pPr>
        <w:spacing w:after="0" w:line="79" w:lineRule="exact"/>
        <w:rPr>
          <w:sz w:val="20"/>
          <w:szCs w:val="20"/>
          <w:color w:val="auto"/>
        </w:rPr>
      </w:pPr>
    </w:p>
    <w:p>
      <w:pPr>
        <w:ind w:right="360" w:firstLine="510"/>
        <w:spacing w:after="0" w:line="377" w:lineRule="auto"/>
        <w:rPr>
          <w:sz w:val="20"/>
          <w:szCs w:val="20"/>
          <w:color w:val="auto"/>
        </w:rPr>
      </w:pPr>
      <w:r>
        <w:rPr>
          <w:rFonts w:ascii="Arial" w:cs="Arial" w:eastAsia="Arial" w:hAnsi="Arial"/>
          <w:sz w:val="16"/>
          <w:szCs w:val="16"/>
          <w:color w:val="auto"/>
        </w:rPr>
        <w:t>As of June 30, 2021 the Company had outstanding borrowings of $14.0 million under the SVB Term Loan and the term loan payable balance as presented on the Company’s Condensed Consolidated Balance Sheets as of June 30, 2021 and December 31, 2020 was comprised as shown below.</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outstanding under term loan</w:t>
            </w:r>
          </w:p>
        </w:tc>
        <w:tc>
          <w:tcPr>
            <w:tcW w:w="3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Term loan discount-interest</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Term loan discount-unamortized deferred charges</w:t>
            </w:r>
          </w:p>
        </w:tc>
        <w:tc>
          <w:tcPr>
            <w:tcW w:w="3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Term loan discount-financing costs, net of accretion</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Term loan-final payment fee</w:t>
            </w:r>
          </w:p>
        </w:tc>
        <w:tc>
          <w:tcPr>
            <w:tcW w:w="30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14,245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30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2,333</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Term loan payable, non-current</w:t>
            </w:r>
          </w:p>
        </w:tc>
        <w:tc>
          <w:tcPr>
            <w:tcW w:w="30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40" w:type="dxa"/>
            <w:vAlign w:val="bottom"/>
            <w:vMerge w:val="restart"/>
          </w:tcPr>
          <w:p>
            <w:pPr>
              <w:jc w:val="right"/>
              <w:ind w:right="187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60" w:firstLine="510"/>
        <w:spacing w:after="0" w:line="263" w:lineRule="auto"/>
        <w:rPr>
          <w:sz w:val="20"/>
          <w:szCs w:val="20"/>
          <w:color w:val="auto"/>
        </w:rPr>
      </w:pPr>
      <w:r>
        <w:rPr>
          <w:rFonts w:ascii="Arial" w:cs="Arial" w:eastAsia="Arial" w:hAnsi="Arial"/>
          <w:sz w:val="18"/>
          <w:szCs w:val="18"/>
          <w:color w:val="auto"/>
        </w:rPr>
        <w:t>Interest expense on the SVB Term Loan, which is comprised of interest payments, accretion and amortization of term loan discounts and the accrual of the final payment fee, is shown below for the three and six months ended June 30, 2021. There was no such expense under the SVB Term Loan for the three and six months ended June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r>
      <w:tr>
        <w:trPr>
          <w:trHeight w:val="156"/>
        </w:trPr>
        <w:tc>
          <w:tcPr>
            <w:tcW w:w="7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jc w:val="center"/>
              <w:ind w:right="198"/>
              <w:spacing w:after="0" w:line="155"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Accretion and amortization of term loan discounts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Accrual of the final payment fee</w:t>
            </w: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14" w:lineRule="exact"/>
        <w:rPr>
          <w:sz w:val="20"/>
          <w:szCs w:val="20"/>
          <w:color w:val="auto"/>
        </w:rPr>
      </w:pPr>
    </w:p>
    <w:p>
      <w:pPr>
        <w:ind w:right="20" w:firstLine="510"/>
        <w:spacing w:after="0" w:line="261" w:lineRule="auto"/>
        <w:rPr>
          <w:sz w:val="20"/>
          <w:szCs w:val="20"/>
          <w:color w:val="auto"/>
        </w:rPr>
      </w:pPr>
      <w:r>
        <w:rPr>
          <w:rFonts w:ascii="Arial" w:cs="Arial" w:eastAsia="Arial" w:hAnsi="Arial"/>
          <w:sz w:val="18"/>
          <w:szCs w:val="18"/>
          <w:color w:val="auto"/>
        </w:rPr>
        <w:t xml:space="preserve">As of June 30, 2021 and December 31, 2020, the Company had reserved </w:t>
      </w:r>
      <w:r>
        <w:rPr>
          <w:rFonts w:ascii="Arial" w:cs="Arial" w:eastAsia="Arial" w:hAnsi="Arial"/>
          <w:sz w:val="21"/>
          <w:szCs w:val="21"/>
          <w:color w:val="auto"/>
        </w:rPr>
        <w:t>s</w:t>
      </w:r>
      <w:r>
        <w:rPr>
          <w:rFonts w:ascii="Arial" w:cs="Arial" w:eastAsia="Arial" w:hAnsi="Arial"/>
          <w:sz w:val="18"/>
          <w:szCs w:val="18"/>
          <w:color w:val="auto"/>
        </w:rPr>
        <w:t>hares of common stock for the exercise of outstanding stock options and shares of common stock remaining available for future stock-based awards under the Company’s 2012 Stock Incentive Plan, 2019 Stock Incentive Plan and 2019 Employee Stock Purchase Plan, as shown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6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885,418</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921,824</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80" w:type="dxa"/>
            <w:vAlign w:val="bottom"/>
          </w:tcPr>
          <w:p>
            <w:pPr>
              <w:jc w:val="right"/>
              <w:spacing w:after="0"/>
              <w:rPr>
                <w:sz w:val="20"/>
                <w:szCs w:val="20"/>
                <w:color w:val="auto"/>
              </w:rPr>
            </w:pPr>
            <w:r>
              <w:rPr>
                <w:rFonts w:ascii="Arial" w:cs="Arial" w:eastAsia="Arial" w:hAnsi="Arial"/>
                <w:sz w:val="18"/>
                <w:szCs w:val="18"/>
                <w:color w:val="auto"/>
              </w:rPr>
              <w:t>3,175,199</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2,396,922</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503,789</w:t>
            </w:r>
          </w:p>
        </w:tc>
        <w:tc>
          <w:tcPr>
            <w:tcW w:w="28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327,454</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4,564,406</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3,646,200</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June 2020, the Company entered into the ATM Sales Agreement,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During the three and six months ended June 30, 2021, the Company issued and sold an aggregate of 1,365,871 and 2,733,492 shares of common stock, respectively, for gross proceeds of $3.0 million and $7.4 million, respectively, before deducting estimated commissions and allocated fees of $0.2 million and $0.6 million, respectively. As of June 30, 2021, the Company had issued and sold an aggregate of 3,421,368 shares of common stock for gross proceeds of $10.6 million, before deducting estimated commissions and allocated fees of $0.8 million.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firstLine="510"/>
        <w:spacing w:after="0" w:line="289" w:lineRule="auto"/>
        <w:rPr>
          <w:sz w:val="20"/>
          <w:szCs w:val="20"/>
          <w:color w:val="auto"/>
        </w:rPr>
      </w:pPr>
      <w:r>
        <w:rPr>
          <w:rFonts w:ascii="Arial" w:cs="Arial" w:eastAsia="Arial" w:hAnsi="Arial"/>
          <w:sz w:val="16"/>
          <w:szCs w:val="16"/>
          <w:color w:val="auto"/>
        </w:rPr>
        <w:t>The total number of shares of common stock that may be issued under the 2019 Plan and the 2012 Plan was 4,060,617 as of June 30, 2021, of which 858,240 shares remained available for grant under the 2019 Plan.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Stock Incentive Plan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lesser of (a) 2,105,623 shares of common stock, (b) 4% of the number of outstanding shares of the Company’s common stock on such date and (c) an amount determined by the Company’s board of directors. Effective January 1, 2021 and January 1, 2020, respectively, the number of shares reserved for issuance under the 2019 Plan increased pursuant to the terms of the 2019 Plan by an additional 741,871 shares and 713,383 shares, equal to 4% of the Company’s then-outstanding common stock</w:t>
      </w:r>
      <w:r>
        <w:rPr>
          <w:rFonts w:ascii="Arial" w:cs="Arial" w:eastAsia="Arial" w:hAnsi="Arial"/>
          <w:sz w:val="16"/>
          <w:szCs w:val="16"/>
          <w:color w:val="FF0000"/>
        </w:rPr>
        <w:t>.</w:t>
      </w:r>
    </w:p>
    <w:p>
      <w:pPr>
        <w:spacing w:after="0" w:line="58" w:lineRule="exact"/>
        <w:rPr>
          <w:sz w:val="20"/>
          <w:szCs w:val="20"/>
          <w:color w:val="auto"/>
        </w:rPr>
      </w:pPr>
    </w:p>
    <w:p>
      <w:pPr>
        <w:ind w:right="180" w:firstLine="510"/>
        <w:spacing w:after="0" w:line="341" w:lineRule="auto"/>
        <w:rPr>
          <w:sz w:val="20"/>
          <w:szCs w:val="20"/>
          <w:color w:val="auto"/>
        </w:rPr>
      </w:pPr>
      <w:r>
        <w:rPr>
          <w:rFonts w:ascii="Arial" w:cs="Arial" w:eastAsia="Arial" w:hAnsi="Arial"/>
          <w:sz w:val="17"/>
          <w:szCs w:val="17"/>
          <w:color w:val="auto"/>
        </w:rPr>
        <w:t>The 2012 Plan was adopted by the Company’s board of directors and stockholders. The 2012 Plan provides for the issuance of stock-based awards to the Company’s employees, officers, directors, consultants and advisors. The Company’s board of directors administers the 2012 Plan.</w:t>
      </w:r>
    </w:p>
    <w:p>
      <w:pPr>
        <w:spacing w:after="0" w:line="12" w:lineRule="exact"/>
        <w:rPr>
          <w:sz w:val="20"/>
          <w:szCs w:val="20"/>
          <w:color w:val="auto"/>
        </w:rPr>
      </w:pPr>
    </w:p>
    <w:p>
      <w:pPr>
        <w:ind w:right="140" w:firstLine="510"/>
        <w:spacing w:after="0" w:line="300" w:lineRule="auto"/>
        <w:rPr>
          <w:sz w:val="20"/>
          <w:szCs w:val="20"/>
          <w:color w:val="auto"/>
        </w:rPr>
      </w:pPr>
      <w:r>
        <w:rPr>
          <w:rFonts w:ascii="Arial" w:cs="Arial" w:eastAsia="Arial" w:hAnsi="Arial"/>
          <w:sz w:val="16"/>
          <w:szCs w:val="16"/>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June 30, 2021 and December 31, 2020, respectively, options to purchase 2,316,959 shares and 1,249,653 shares of common stock were granted and outstanding, net of cancellations, under the 2019 Plan. As of June 30, 2021 and December 31, 2020, options to purchase 885,418 and 921,824 shares of common stock, respectively, were granted and outstanding, net of cancellations, under the 2012 Plan.</w:t>
      </w:r>
    </w:p>
    <w:p>
      <w:pPr>
        <w:spacing w:after="0" w:line="5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62"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In February 2021, the compensation committee of the Company’s board of directors approved the grant of stock options with performance-based vesting (“PSOs”) to employees of the Company. The PSOs granted in February 2021, vest based on the timing and successful results of the Company’s PRISM or CANAL clinical trials.</w:t>
      </w:r>
    </w:p>
    <w:p>
      <w:pPr>
        <w:spacing w:after="0" w:line="7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six months ended June 30,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55"/>
        </w:trPr>
        <w:tc>
          <w:tcPr>
            <w:tcW w:w="778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2,171,477</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1,363,875</w:t>
            </w:r>
          </w:p>
        </w:tc>
        <w:tc>
          <w:tcPr>
            <w:tcW w:w="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(331,824)</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00"/>
              <w:spacing w:after="0"/>
              <w:rPr>
                <w:sz w:val="20"/>
                <w:szCs w:val="20"/>
                <w:color w:val="auto"/>
              </w:rPr>
            </w:pPr>
            <w:r>
              <w:rPr>
                <w:rFonts w:ascii="Arial" w:cs="Arial" w:eastAsia="Arial" w:hAnsi="Arial"/>
                <w:sz w:val="18"/>
                <w:szCs w:val="18"/>
                <w:color w:val="auto"/>
              </w:rPr>
              <w:t>Expired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Outstanding as of June 30, 2021</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3,202,377</w:t>
            </w:r>
          </w:p>
        </w:tc>
        <w:tc>
          <w:tcPr>
            <w:tcW w:w="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June 30, 2021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1,393,630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Options unvested as of June 30, 2021</w:t>
            </w:r>
          </w:p>
        </w:tc>
        <w:tc>
          <w:tcPr>
            <w:tcW w:w="1520" w:type="dxa"/>
            <w:vAlign w:val="bottom"/>
          </w:tcPr>
          <w:p>
            <w:pPr>
              <w:jc w:val="right"/>
              <w:spacing w:after="0"/>
              <w:rPr>
                <w:sz w:val="20"/>
                <w:szCs w:val="20"/>
                <w:color w:val="auto"/>
              </w:rPr>
            </w:pPr>
            <w:r>
              <w:rPr>
                <w:rFonts w:ascii="Arial" w:cs="Arial" w:eastAsia="Arial" w:hAnsi="Arial"/>
                <w:sz w:val="18"/>
                <w:szCs w:val="18"/>
                <w:color w:val="auto"/>
              </w:rPr>
              <w:t>1,808,747</w:t>
            </w:r>
          </w:p>
        </w:tc>
        <w:tc>
          <w:tcPr>
            <w:tcW w:w="1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6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total number of shares of common stock that may be issued under the 2019 ESPP Plan was 518,918 as of June 30, 2021, of which 503,789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2021 and January 1, 2020, respectively, the aggregate number of shares of the Company’s common stock that may be issued under the 2019 ESPP increased, pursuant to the terms of the 2019 ESPP, by an additional 185,467 shares and 178,345 shares, equal to 1% of the Company’s then-outstanding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14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for the 2012 Plan, the 2019 Plan and the 2019 ESPP recognized in the Condensed Consolidated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and six months ended June 30, 2021 and 2020, the Company maintained a full valuation allowance on deferred tax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has not recorded a provision for income taxes.</w:t>
      </w:r>
    </w:p>
    <w:p>
      <w:pPr>
        <w:spacing w:after="0" w:line="20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(15,857)</w:t>
            </w:r>
          </w:p>
        </w:tc>
        <w:tc>
          <w:tcPr>
            <w:tcW w:w="100" w:type="dxa"/>
            <w:vAlign w:val="bottom"/>
            <w:shd w:val="clear" w:color="auto" w:fill="CFF0FC"/>
          </w:tcPr>
          <w:p>
            <w:pPr>
              <w:spacing w:after="0"/>
              <w:rPr>
                <w:sz w:val="19"/>
                <w:szCs w:val="19"/>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4"/>
              </w:rPr>
              <w:t>Weighted average common shares used in net loss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1"/>
              </w:rPr>
              <w:t>per share attributable to common stockholders, basic</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20,123,461</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17,835,952</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19,772,201</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17,835,261</w:t>
            </w:r>
          </w:p>
        </w:tc>
        <w:tc>
          <w:tcPr>
            <w:tcW w:w="100" w:type="dxa"/>
            <w:vAlign w:val="bottom"/>
            <w:tcBorders>
              <w:bottom w:val="single" w:sz="8" w:color="CFF0FC"/>
            </w:tcBorders>
          </w:tcPr>
          <w:p>
            <w:pPr>
              <w:spacing w:after="0"/>
              <w:rPr>
                <w:sz w:val="20"/>
                <w:szCs w:val="20"/>
                <w:color w:val="auto"/>
              </w:rPr>
            </w:pP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outstanding</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(0.49)</w:t>
            </w:r>
          </w:p>
        </w:tc>
        <w:tc>
          <w:tcPr>
            <w:tcW w:w="7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(0.92)</w:t>
            </w: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(0.89)</w:t>
            </w: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Company’s potential dilutive securities, which include stock options,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common shares underlying stock options, based on stock options outstanding as of June 30, 2021 and 2020, were excluded from the calculations of diluted net loss per share attributable to common stockholders for the periods indicated because including them would have had an anti-dilutive effect.</w:t>
      </w:r>
    </w:p>
    <w:p>
      <w:pPr>
        <w:spacing w:after="0" w:line="32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extended-release formulation such as Haduvio, in all fields and for any use.</w:t>
      </w:r>
    </w:p>
    <w:p>
      <w:pPr>
        <w:spacing w:after="0" w:line="79"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Under the license agreement, the Company paid Penwest a non-creditable, minimal non-refundable upfront license fee. The Company may also become obligated to make milestone payments to Endo of $0.3 million, which would become due upon the successful completion of the first Phase 3 clinical trial of a licensed product candidate, such as the Phase 2b/3 PRISM trial and $0.8 million, which would become due upon the marketing approval of a licensed product in the U.S.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firstLine="510"/>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8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76"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8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10"/>
        <w:spacing w:after="0" w:line="287" w:lineRule="auto"/>
        <w:rPr>
          <w:sz w:val="20"/>
          <w:szCs w:val="20"/>
          <w:color w:val="auto"/>
        </w:rPr>
      </w:pPr>
      <w:r>
        <w:rPr>
          <w:rFonts w:ascii="Arial" w:cs="Arial" w:eastAsia="Arial" w:hAnsi="Arial"/>
          <w:sz w:val="16"/>
          <w:szCs w:val="16"/>
          <w:color w:val="auto"/>
        </w:rPr>
        <w:t>In November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2"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$0.3 million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its affiliates and sublicensees.</w:t>
      </w:r>
    </w:p>
    <w:p>
      <w:pPr>
        <w:spacing w:after="0" w:line="83"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70"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June 2021, the Company entered into an amendment with Rutgers to extend the deadline to commence a clinical trial on nalbuphine ER for LID to December 31, 2022. The Company paid a minimal fee related to this amendment, which was recorded as R&amp;D expense during the second quarter of 2021.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November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Upon entering into the license agreement, the Company paid MentiNova an aggregate upfront payment of $0.1 million, which was recorded as R&amp;D expense in 2018, subject to specified closing adjustments. The Company may become obligated to make milestone payments to MentiNova in the aggregate of up to $1.2 million based on the achievement of certain clinical and regulatory milestones as well as tiered low single-digit royalties based on net sales of products containing nalbuphine as the sole active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300"/>
        <w:spacing w:after="0" w:line="263" w:lineRule="auto"/>
        <w:rPr>
          <w:sz w:val="20"/>
          <w:szCs w:val="20"/>
          <w:color w:val="auto"/>
        </w:rPr>
      </w:pPr>
      <w:r>
        <w:rPr>
          <w:rFonts w:ascii="Arial" w:cs="Arial" w:eastAsia="Arial" w:hAnsi="Arial"/>
          <w:sz w:val="18"/>
          <w:szCs w:val="18"/>
          <w:color w:val="auto"/>
        </w:rPr>
        <w:t>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7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lease and licensing agreements (Note 4 and Note 10).</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2020 included in our Annual Report on Form 10-K, filed with the Securities and Exchange Commission, or SEC, on March 25, 2021.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74"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58" w:lineRule="exact"/>
        <w:rPr>
          <w:sz w:val="20"/>
          <w:szCs w:val="20"/>
          <w:color w:val="auto"/>
        </w:rPr>
      </w:pPr>
    </w:p>
    <w:p>
      <w:pPr>
        <w:ind w:right="460" w:firstLine="510"/>
        <w:spacing w:after="0" w:line="375" w:lineRule="auto"/>
        <w:rPr>
          <w:sz w:val="20"/>
          <w:szCs w:val="20"/>
          <w:color w:val="auto"/>
        </w:rPr>
      </w:pPr>
      <w:r>
        <w:rPr>
          <w:rFonts w:ascii="Arial" w:cs="Arial" w:eastAsia="Arial" w:hAnsi="Arial"/>
          <w:sz w:val="18"/>
          <w:szCs w:val="18"/>
          <w:i w:val="1"/>
          <w:iCs w:val="1"/>
          <w:color w:val="auto"/>
        </w:rPr>
        <w:t xml:space="preserve">We caution readers not to place undue reliance on any forward-looking statements made by us, which speak only as of the date they are made. </w:t>
      </w:r>
      <w:r>
        <w:rPr>
          <w:rFonts w:ascii="Arial" w:cs="Arial" w:eastAsia="Arial" w:hAnsi="Arial"/>
          <w:sz w:val="18"/>
          <w:szCs w:val="18"/>
          <w:b w:val="1"/>
          <w:bCs w:val="1"/>
          <w:color w:val="auto"/>
        </w:rPr>
        <w:t>Overview</w:t>
      </w:r>
    </w:p>
    <w:p>
      <w:pPr>
        <w:spacing w:after="0" w:line="1"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(nalbuphine ER) to treat serious neurologically mediated conditions. We are developing Haduvio for the treatment of chronic pruritus associated with prurigo nodularis and chronic cough in patients with idiopathic pulmonary fibrosis, or IPF. We are also developing Haduvio in levodopa-induced dyskinesia, or LID, in patients with Parkinson’s disease.</w:t>
      </w:r>
    </w:p>
    <w:p>
      <w:pPr>
        <w:spacing w:after="0" w:line="7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conducting a Phase 2b/3 clinical trial of Haduvio, which we refer to as the Phase 2b/3 PRISM trial, in patients with severe pruritus associated with prurigo nodularis. The Phase 2b/3 PRISM trial is a randomized, double-blind, placebo controlled, two-arm treatment study that is designed to evaluate the safety and anti-pruritic efficacy of Haduvio in patients in the United States, or U.S and Europe. In accordance with the protocol for the Phase 2b/3 PRISM trial, we conducted a sample size re-estimation, or SSRE, analysis in July 2020, following such time as approximately 45% of the initial targeted number of subjects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was impacted by the novel coronavirus pandemic, or COVID-19, as new subject screening and most subject enrollment were temporarily halted in March 2020. Our sites began to restart subject screening and enrollment during May and June 2020. We have increased the number of active sites to more than 60 globally and approximately 285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20"/>
        <w:spacing w:after="0" w:line="257" w:lineRule="auto"/>
        <w:rPr>
          <w:sz w:val="20"/>
          <w:szCs w:val="20"/>
          <w:color w:val="auto"/>
        </w:rPr>
      </w:pPr>
      <w:r>
        <w:rPr>
          <w:rFonts w:ascii="Arial" w:cs="Arial" w:eastAsia="Arial" w:hAnsi="Arial"/>
          <w:sz w:val="18"/>
          <w:szCs w:val="18"/>
          <w:color w:val="auto"/>
        </w:rPr>
        <w:t>subjects have enrolled in the trial. Subject to the uncertainties associated with the COVID-19 pandemic, we expect to complete enrollment in the second half of 2021 and report top-line data in the first half of 2022. If the Phase 2b/3 PRISM trial is successful, we expect that we will use the Phase 2b/3 PRISM trial and an additional Phase 3 clinical trial that we believe we will need to conduct to support the submission of a new drug application , or NDA, to the U.S. Food and Drug Administration, or FDA, and a marketing authorization application, or MAA, to the European Medicines Agency, or EMA, for Haduvio for the treatment of pruritus associated with prurigo nodularis.</w:t>
      </w:r>
    </w:p>
    <w:p>
      <w:pPr>
        <w:spacing w:after="0" w:line="8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This trial is designed to enroll approximately 60 subjects with a goal to have 44 study completers. We are conducting the trial at multiple sites in the U.K. Due to the COVID-19 pandemic and the specific at-risk nature of IPF patients, our clinical sites halted their enrollment and treatment of subjects in this trial in March 2020. While subject screening and enrollment resumed at certain clinical trial sites in the fourth quarter of 2020, all sites in the trial paused screening again in December 2020, in response to a shelter-in-place directive from the U.K. government. This shelter-in-place directive expired in March 2021 and the remaining COVID-19 related restrictions were lifted in July 2021. The U.K. government may choose to reinstate any and/or all of the restrictions in the future depending on COVID-19 infection rates. Initial screening activity has resumed at certain sites following the lifting of the shelter-in-place directive. However, we expect that some sites may take longer to resume their trial activity as the clinical research related infrastructure was disrupted by COVID-19 and that other sites may cease to participate in the trial entirely. We amended the study protocol to reduce the number of in-person visits and procedures to facilitate this study being completed in an at-risk patient population for COVID-19. Subject to the uncertainties associated with COVID-19 and COVID-19 related restrictions in the U.K., we expect to report top-line data for this trial in the first half of 2022.</w:t>
      </w:r>
    </w:p>
    <w:p>
      <w:pPr>
        <w:spacing w:after="0" w:line="186" w:lineRule="exact"/>
        <w:rPr>
          <w:sz w:val="20"/>
          <w:szCs w:val="20"/>
          <w:color w:val="auto"/>
        </w:rPr>
      </w:pPr>
    </w:p>
    <w:p>
      <w:pPr>
        <w:ind w:right="20" w:firstLine="514"/>
        <w:spacing w:after="0" w:line="277" w:lineRule="auto"/>
        <w:rPr>
          <w:sz w:val="20"/>
          <w:szCs w:val="20"/>
          <w:color w:val="auto"/>
        </w:rPr>
      </w:pPr>
      <w:r>
        <w:rPr>
          <w:rFonts w:ascii="Arial" w:cs="Arial" w:eastAsia="Arial" w:hAnsi="Arial"/>
          <w:sz w:val="18"/>
          <w:szCs w:val="18"/>
          <w:color w:val="auto"/>
        </w:rPr>
        <w:t>With respect to LID, we have written the protocol for a Phase 2 clinical trial for LID in patients with Parkinson’s disease. We plan to determine next steps in the program once we complete the Phase 2b/3 PRISM and Phase 2 CANAL trials.</w:t>
      </w:r>
    </w:p>
    <w:p>
      <w:pPr>
        <w:spacing w:after="0" w:line="170" w:lineRule="exact"/>
        <w:rPr>
          <w:sz w:val="20"/>
          <w:szCs w:val="20"/>
          <w:color w:val="auto"/>
        </w:rPr>
      </w:pPr>
    </w:p>
    <w:p>
      <w:pPr>
        <w:ind w:right="260" w:firstLine="514"/>
        <w:spacing w:after="0" w:line="342" w:lineRule="auto"/>
        <w:rPr>
          <w:sz w:val="20"/>
          <w:szCs w:val="20"/>
          <w:color w:val="auto"/>
        </w:rPr>
      </w:pPr>
      <w:r>
        <w:rPr>
          <w:rFonts w:ascii="Arial" w:cs="Arial" w:eastAsia="Arial" w:hAnsi="Arial"/>
          <w:sz w:val="16"/>
          <w:szCs w:val="16"/>
          <w:color w:val="auto"/>
        </w:rPr>
        <w:t>We are currently focusing our financial and operational resources on completing the Phase 2b/3 PRISM and the Phase 2 CANAL trials. After we receive top-line data from both of these trials, we will evaluate additional indications for which we may choose to pursue the development of Haduvio.</w:t>
      </w:r>
    </w:p>
    <w:p>
      <w:pPr>
        <w:spacing w:after="0" w:line="16"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Since commencing operations in 2011, we have devoted substantially all our efforts and financial resources to the clinical development of Haduvio. We have not generated any revenue from product sales and, as a result, we have never been profitable and have incurred net losses in each year since commencement of our operations. As of June 30, 2021, we had an accumulated deficit of $165.1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chronic cough in patients with IPF or LID in patients with Parkinson’s disease and we can provide no assurance that we will ever generate revenue or profits.</w:t>
      </w:r>
    </w:p>
    <w:p>
      <w:pPr>
        <w:spacing w:after="0" w:line="7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June 2020, we entered into an at-the-market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or the Securities Act, as amended. We are not obligated to make any sales of our common stock under the ATM Sales Agreement. We began making sales pursuant to the ATM Sales Agreement in July 2020 and as of June 30, 2021, we had issued and sold an aggregate of 3,421,368 shares of common stock for gross proceeds of $10.6 million, before deducting estimated commissions and allocated fees of $0.8 million.</w:t>
      </w:r>
    </w:p>
    <w:p>
      <w:pPr>
        <w:spacing w:after="0" w:line="56"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we and SVB entered into an amendment to the SVB Loan Agreement, which we refer to as the Loan Amendment, that modified the conditions under which we will be required to cash collateralize the outstanding amounts owed to them under the SVB Loan Agreement. For further discussion of the SVB Term Loan and the Loan Amendment, see “—Liquidity and Capital Resources”.</w:t>
      </w:r>
    </w:p>
    <w:p>
      <w:pPr>
        <w:spacing w:after="0" w:line="7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June 2021, we entered into a common stock purchase agreement, or the LPC Purchase Agreement, with Lincoln Park Capital Fund, LLC , or Lincoln Park. The LPC Purchase Agreement provides that, subject to the terms and conditions therein, we have the right, but not the obligation, to sell, at our discretion, to Lincoln Park up to $15.0 million of shares of common stock over a 24-month period commencing on July 23, 2021. In addition, under the LPC Purchase Agreement, we issued 170,088 shares of our common stock to Lincoln Park as consideration for its commitment to purchase shares of our common stock under the LPC Purchase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120"/>
        <w:spacing w:after="0" w:line="259" w:lineRule="auto"/>
        <w:rPr>
          <w:sz w:val="20"/>
          <w:szCs w:val="20"/>
          <w:color w:val="auto"/>
        </w:rPr>
      </w:pPr>
      <w:r>
        <w:rPr>
          <w:rFonts w:ascii="Arial" w:cs="Arial" w:eastAsia="Arial" w:hAnsi="Arial"/>
          <w:sz w:val="18"/>
          <w:szCs w:val="18"/>
          <w:color w:val="auto"/>
        </w:rPr>
        <w:t>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our shares of common stock. We may terminate the LPC Purchase Agreement at any time, at our sole discretion, without any additional cost or penalty.</w:t>
      </w:r>
    </w:p>
    <w:p>
      <w:pPr>
        <w:spacing w:after="0" w:line="10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 xml:space="preserve">As of June 30, 2021, we had cash and cash equivalents of $36.4 million. We believe that our existing cash and cash equivalents will not enable us to fund our operating expenses and capital expenditure requirements for 12 months from the date of issuance of the Condensed Consolidated Financial Statements included in this Quarterly Report on Form 10-Q. After considering various risks and uncertainties as prescribed by Accounting Standards Update No. 2014-15, </w:t>
      </w:r>
      <w:r>
        <w:rPr>
          <w:rFonts w:ascii="Arial" w:cs="Arial" w:eastAsia="Arial" w:hAnsi="Arial"/>
          <w:sz w:val="18"/>
          <w:szCs w:val="18"/>
          <w:i w:val="1"/>
          <w:iCs w:val="1"/>
          <w:color w:val="auto"/>
        </w:rPr>
        <w:t>Disclosures of Uncertainties about an Entity’s Ability to Continue as a Going Concern (Subtopic 205-40)</w:t>
      </w:r>
      <w:r>
        <w:rPr>
          <w:rFonts w:ascii="Arial" w:cs="Arial" w:eastAsia="Arial" w:hAnsi="Arial"/>
          <w:sz w:val="18"/>
          <w:szCs w:val="18"/>
          <w:color w:val="auto"/>
        </w:rPr>
        <w:t xml:space="preserve"> , we concluded that there is substantial doubt about our ability to continue as a going concern as of the date of issuance of the Condensed Consolidated Financial Statements included in this Quarterly Report on Form 10-Q without additional capital. We have based our estimate as to how long we expect our existing cash and cash equivalents to continue to fund our operations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8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and the additional Phase 3 clinical trial we believe we will be required to conduct to support the submission of an NDA to the FDA for Haduvio for the treatment of pruritus associated with prurigo nodularis, our ongoing Phase 2 CANAL trial in chronic cough in patients with IPF, the development and validation of our commercial manufacturing process for Haduvio and other development activities, including potentially commencing Phase 2 clinical trials for the treatment of LID in patients with Parkinson’s disease. In addition, we may continue to incur additional expenses as a result of COVID-19 and related clinical trial delays and interruptions.</w:t>
      </w:r>
    </w:p>
    <w:p>
      <w:pPr>
        <w:spacing w:after="0" w:line="5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17" w:lineRule="exact"/>
        <w:rPr>
          <w:sz w:val="20"/>
          <w:szCs w:val="20"/>
          <w:color w:val="auto"/>
        </w:rPr>
      </w:pPr>
    </w:p>
    <w:p>
      <w:pPr>
        <w:ind w:right="80" w:firstLine="510"/>
        <w:spacing w:after="0" w:line="284" w:lineRule="auto"/>
        <w:rPr>
          <w:sz w:val="20"/>
          <w:szCs w:val="20"/>
          <w:color w:val="auto"/>
        </w:rPr>
      </w:pPr>
      <w:r>
        <w:rPr>
          <w:rFonts w:ascii="Arial" w:cs="Arial" w:eastAsia="Arial" w:hAnsi="Arial"/>
          <w:sz w:val="16"/>
          <w:szCs w:val="16"/>
          <w:color w:val="auto"/>
        </w:rPr>
        <w:t>COVID-19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subject screening and most enrollment was temporarily halted due to COVID-19 in March 2020. Many of our sites restarted subject screening and enrollment throughout May and June 2020. Furthermore, multiple sites in the Phase 2b/3 PRISM trial are requiring remote monitoring of subject data. We also experienced slower recruitment activities in the Phase 2b/3 PRISM trial worldwide through the latter part of 2020 and the beginning of 2021 due to the resurgence of COVID-</w:t>
      </w:r>
    </w:p>
    <w:p>
      <w:pPr>
        <w:spacing w:after="0" w:line="4" w:lineRule="exact"/>
        <w:rPr>
          <w:sz w:val="20"/>
          <w:szCs w:val="20"/>
          <w:color w:val="auto"/>
        </w:rPr>
      </w:pPr>
    </w:p>
    <w:p>
      <w:pPr>
        <w:ind w:firstLine="8"/>
        <w:spacing w:after="0" w:line="284" w:lineRule="auto"/>
        <w:tabs>
          <w:tab w:leader="none" w:pos="2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the clinical sites in our ongoing Phase 2 CANAL trial temporarily suspended enrollment and treatment of subjects in the trial due to the vulnerability of IPF patients to COVID-19 and as a result, we amended the protocol for the trial to reduce the number of in-person subject visits and procedures. While subject screening and enrollment for our Phase 2 CANAL trial resumed at certain clinical trial sites in the fourth quarter of 2020, all sites in the trial paused screening again in December 2020 in response to a shelter-in-place directive from the U.K. government. This shelter-in-place directive expired in March 2021 and the other COVID-19 related restrictions were lifted in July 2021. The U.K. government may choose to reinstate any and/or all of the restrictions in the future depending on COVID-19 infection rates. Initial screening activity has resumed at certain sites following the lifting of the shelter-in-place directive. However, we expect that some sites may take longer to resume their trial activity as the clinical research related infrastructure was disrupted by COVID-19 and that other sites may cease to participate in the trial entirely. COVID-19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COVID-19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7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COVID-19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7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allowing employees to work remotely part of the week and suspending non-essential travel worldwide for our employees.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All of our research and development expenses consist of expenses incurred in connection with the development of Haduvio. These expenses include personnel-related costs, including stock-based compensation, consulting costs, contract manufacturing costs and fees paid to clinical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5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COVID-19 or otherwise,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76" w:lineRule="exact"/>
        <w:rPr>
          <w:sz w:val="20"/>
          <w:szCs w:val="20"/>
          <w:color w:val="auto"/>
        </w:rPr>
      </w:pPr>
    </w:p>
    <w:p>
      <w:pPr>
        <w:ind w:right="1040" w:firstLine="510"/>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and expanded infrastructure.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Term Loan Derivative Liability</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In connection with the SVB Term Loan, upon the occurrence of the Phase 3 Event, the interest rate on the SVB Term Loan will increase by 2.00%. For further discussion of the Phase 3 Event, see “Interest Expense”. This contingent interest rate increase represents a free-standing financial instrument. Accordingly, we accounted for the contingent interest rate increase as a derivative under Accounting Standards Codification or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w:t>
      </w:r>
      <w:r>
        <w:rPr>
          <w:rFonts w:ascii="Arial" w:cs="Arial" w:eastAsia="Arial" w:hAnsi="Arial"/>
          <w:sz w:val="18"/>
          <w:szCs w:val="18"/>
          <w:color w:val="auto"/>
        </w:rPr>
        <w:t>and therefore, we recorded a term loan derivative liability for the contingent interest rate increase at its fair value. We adjust this liability to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at each reporting date it remains outstanding. We recognized changes in the fair value of this term loan derivative in our statements of operations as a component of other (expense) income, net.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Other expense consists of the value of the shares of our common stock that we issued to Lincoln Park as a commitment fee as consideration for Lincoln Park’s commitment to purchase shares of our common stock under the LPC Purchase Agreement.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In August 2020, we entered into the SVB Loan Agreement under which we borrowed $14.0 million under a term loan or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chronic pruritus associated with prurigo nodularis and (ii) raised sufficient financing to fund such Phase 3 clinical trial and our operations, which we refer to together as the Phase 3 Event, the interest rate under the SVB Term Loan will be adjusted to a floating rate equal to the greater of (A) the prime rate plus 3.00% and (B) 6.25%. The SVB Term Loan requires interest-only payments until March 2022. We will then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7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4,921</w:t>
            </w:r>
          </w:p>
        </w:tc>
        <w:tc>
          <w:tcPr>
            <w:tcW w:w="28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(9,167)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Other (expense) income: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23"/>
        </w:trPr>
        <w:tc>
          <w:tcPr>
            <w:tcW w:w="5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4"/>
                <w:szCs w:val="14"/>
                <w:b w:val="1"/>
                <w:bCs w:val="1"/>
                <w:color w:val="auto"/>
                <w:w w:val="92"/>
              </w:rPr>
              <w:t>Three Months Ended June 30,</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4,237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6,498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Research and development expenses for the three months ended June 30, 2021 increased to $6.5 million from $4.9 million for the corresponding period in 2020, primarily due to an increase in personnel-related expenses as a result of an increase in our employee headcount, increased costs associated with increased activity and enrollment in our ongoing Phase 2b/3 PRISM trial as well as increased purchases of clinical trial supplies and an increase in consulting and professional fees. These increases were partially offset by decreased expenses reflecting the completion of our Phase 1b clinical trial in patients with chronic liver disease in the first half of 2020. For the periods presented, all of our research and development expenses related to our development activity for Haduvio.</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General and administrative expenses for the three months ended June 30, 2021 increased to $2.7 million from $2.5 million for the corresponding period in 2020. The increase was primarily due to increased legal and professional fees partially offset by a reduction in personnel-related expenses.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Other (expense) income, net for the three months ended June 30, 2021 was an expense of $0.6 million compared to income of less than $0.1 million for the corresponding period in 2020. This change was due to a $0.3 million increase in interest expense due to interest expense on the SVB Term Loan recognized with no comparable expense recognized in the corresponding period in 2020 as well as an increase of $0.4 million related to the value of the shares of our common stock that we issued to Lincoln Park as consideration for Lincoln Park’s commitment to purchase shares of our common stock under the LPC Purchase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Six Months Ended 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12,087</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10,940</w:t>
            </w:r>
          </w:p>
        </w:tc>
        <w:tc>
          <w:tcPr>
            <w:tcW w:w="24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17,256</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w:t>
            </w: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19"/>
                <w:szCs w:val="19"/>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12,087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Research and development expenses for the six months ended June 30, 2021 increased to $12.1 million from $10.9 million for the corresponding period in 2020, primarily due to an increase in personnel-related expenses as a result of an increase in our employee headcount, including an increase in stock-based compensation associated with the increase in employee headcount. Consulting and professional fees were also higher. These increases were partially offset by decreased clinical development expenses related to decreased purchases of clinical trial supplies and decreased expenses reflecting the completion of our Phase 1b clinical trial in patients with chronic liver disease in the first half of 2020. These decreased clinical development expenses were partially offset by increased costs associated with increased activity and enrollment in our ongoing Phase 2b/3 PRISM trial. For the periods presented, all of our research and development expenses related to our development activity for Haduvio.</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General and administrative expenses for the six months ended June 30, 2021 increased to $5.2 million from $5.1 million for the corresponding period in 2020. The increase was primarily due to increased legal and professional fees partially offset by a reduction in personnel-related expenses.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Other (expense) income, net for the six months ended June 30, 2021 was an expense of $0.9 million compared to income of $0.2 million for the corresponding period in 2020. This change was due to a $0.6 million increase in interest expense due to interest expense on the SVB Term Loan recognized with no comparable expense recognized in the corresponding period in 2020 as well as an increase of $0.4 million related to the value of the shares of our common stock that we issued to Lincoln Park as consideration for Lincoln Park’s commitment to purchase shares of our common stock under the LPC Purchase Agreement. The overall change was also due to a decrease in interest income of $0.2 million, primarily due to lower market interest rates and lower average cash balances.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initial public offering (“IPO”) and concurrent private placement in May 2019, we financed our operations primarily through private placements of our preferred stock and convertible notes as well as borrowings under our prior term loan with Solar Capital, Ltd. and Square 1 Bank (“Solar Term Loan”). From inception to our IPO, we raised an aggregate of $102.2 million in gross proceeds from sales of our preferred stock and convertible notes and borrowed $15.0 million under the Solar Term Loan. As of June 30, 2018, all amounts owed under the Solar Term Loan had been paid in full.</w:t>
      </w:r>
    </w:p>
    <w:p>
      <w:pPr>
        <w:spacing w:after="0" w:line="84"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5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We are not obligated to make any sales of our common stock under the ATM Sales Agreement. We began making sales pursuant to the ATM Sales Agreement in July 2020 and as of June 30, 2021 we had issued and sold an aggregate of 3,421,368 shares of common stock for gross proceeds of $10.6 million, before deducting estimated commissions and allocated fees of $0.8 million.</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SVB Loan Agreement</w:t>
      </w:r>
    </w:p>
    <w:p>
      <w:pPr>
        <w:spacing w:after="0" w:line="11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In August 2020, we entered into the SVB Loan Agreement with SVB, pursuant to which SVB provided the SVB Term Loan in the original principal amount of $14.0 million. The proceeds from the SVB Term Loan may be used by us for working capital and general corporate purposes.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7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July 6, 2021, we and SVB entered into a loan amendment to the SVB Loan Agreement, or the Loan Amendment. The Loan Amendment modifies the conditions under which we are required to cash collateralize outstanding amounts owed to SVB under the SVB Loan Agreement. Under the Loan Amendment, if we fail to receive positive data in our Phase 2b/3 PRISM trial or fail to meet certain equity raise requirements, including raising at least $15.0 million in net proceeds from the sale of equity securities during the period from June 1, 2021 through October 31, 2021 and raising by June 30, 2022 sufficient additional net proceeds from the sale of equity securities to finance our planned second Phase 3 clinical trial of Haduvio for prurigo nodularis and our ongoing operations, each of which we refer to as a Milestone Condition, we will be required to deposit unrestricted and unencumbered cash equal to 100% of the principal amount of the SVB Term Loan then outstanding in a cash collateral account with SVB, which can be used by SVB to prepay the SVB Term Loan at any time. In addition, the Loan Amendment provides that if we fail to maintain at least $20.0 million in unrestricted and unencumbered cash in our accounts with SVB at any time prior to the satisfaction of all the Milestone Conditions, we will be required to cash collateralize all outstanding amounts owed to SVB under the SVB Loan Agreement.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On June 18, 2021, we entered into the LPC Purchase Agreement with Lincoln Park for an equity line financing. The LPC Purchase Agreement provides that, subject to the terms and conditions set forth therein, we have the right, but not the obligation,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9" w:name="page30"/>
    <w:bookmarkEnd w:id="29"/>
    <w:p>
      <w:pPr>
        <w:jc w:val="both"/>
        <w:ind w:right="40"/>
        <w:spacing w:after="0" w:line="263" w:lineRule="auto"/>
        <w:rPr>
          <w:sz w:val="20"/>
          <w:szCs w:val="20"/>
          <w:color w:val="auto"/>
        </w:rPr>
      </w:pPr>
      <w:r>
        <w:rPr>
          <w:rFonts w:ascii="Arial" w:cs="Arial" w:eastAsia="Arial" w:hAnsi="Arial"/>
          <w:sz w:val="18"/>
          <w:szCs w:val="18"/>
          <w:color w:val="auto"/>
        </w:rPr>
        <w:t>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w:t>
      </w:r>
    </w:p>
    <w:p>
      <w:pPr>
        <w:spacing w:after="0" w:line="76"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As part of the LPC Purchase Agreement, we issued 170,088 shares of our common stock to Lincoln Park as consideration for its commitment to purchase shares of our common stock under the LPC Purchase Agreement.</w:t>
      </w:r>
    </w:p>
    <w:p>
      <w:pPr>
        <w:spacing w:after="0" w:line="62"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Under the LPC Purchase Agreement, we may, at our discretion, direct Lincoln Park to purchase on any single business day or a Regular Purchase, up to (i) 100,000 shares of common stock if the closing sale price of our common stock is not below $7.50 per share on Nasdaq, (ii) 75,000 shares of common stock if the closing sale price of our common stock is not below $5.00 per share on Nasdaq or (iii) 50,000 shares of common stock if the closing sale price of our common stock is below $5.00 per share on Nasdaq. In any case, Lincoln Park’s commitment in any single Regular Purchase may not exceed $2,000,000.</w:t>
      </w:r>
    </w:p>
    <w:p>
      <w:pPr>
        <w:spacing w:after="0" w:line="8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purchase price per share for each such Regular Purchase will be based on prevailing market prices of our common stock immediately preceding the time of sale as computed under the LPC Purchase Agreement. Under the LPC Purchase Agreement, we may not effect any sales of shares of common stock on any purchase date that the closing sale price of our common stock on Nasdaq is less than the floor price of $0.50 per share. In addition to Regular Purchases, we may also direct Lincoln Park to purchase other amounts as accelerated purchases or as additional accelerated purchases on the terms and subject to the conditions set forth in the LPC Purchase Agreement. The net proceeds under the LPC Purchase Agreement to us will depend on the frequency of sales and the number of shares sold to Lincoln Park and prices at which we sell shares to Lincoln Park.</w:t>
      </w:r>
    </w:p>
    <w:p>
      <w:pPr>
        <w:spacing w:after="0" w:line="5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Under applicable rules of Nasdaq and pursuant to the terms of the LPC Purchase Agreement, in no event may we issue or sell to Lincoln Park under the LPC Purchase Agreement shares of our common stock in excess of 4,175,167 shares (including the 170,088 commitment shares), which represents</w:t>
      </w:r>
    </w:p>
    <w:p>
      <w:pPr>
        <w:ind w:right="60"/>
        <w:spacing w:after="0" w:line="292" w:lineRule="auto"/>
        <w:rPr>
          <w:sz w:val="20"/>
          <w:szCs w:val="20"/>
          <w:color w:val="auto"/>
        </w:rPr>
      </w:pPr>
      <w:r>
        <w:rPr>
          <w:rFonts w:ascii="Arial" w:cs="Arial" w:eastAsia="Arial" w:hAnsi="Arial"/>
          <w:sz w:val="16"/>
          <w:szCs w:val="16"/>
          <w:color w:val="auto"/>
        </w:rPr>
        <w:t>19.99% of the 20,886,283 shares of our common stock that were outstanding immediately prior to the execution of the LPC Purchase Agreement or the Exchange Cap, unless (i) we obtain stockholder approval to issue shares of our common stock in excess of the Exchange Cap or (ii) the average price of all applicable sales of our common stock to Lincoln Park under the LPC Purchase Agreement equals or exceeds $2.18 per share (which represents the closing sale price of our common stock immediately prior to the execution of the LPC Purchase Agreement), such that the issuances and sales of our common stock to Lincoln Park under the LPC Purchase Agreement would be exempt from the Exchange Cap limitation under applicable Nasdaq rules.</w:t>
      </w:r>
    </w:p>
    <w:p>
      <w:pPr>
        <w:spacing w:after="0" w:line="54"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our common stock if those shares, when aggregated with all other shares of common stock then beneficially owned by Lincoln Park and its affiliates, would result in Lincoln Park and its affiliates having beneficial ownership, at any single point in time, of more than 9.99% of the then total outstanding shares of common stock.</w:t>
      </w:r>
    </w:p>
    <w:p>
      <w:pPr>
        <w:spacing w:after="0" w:line="5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LPC Purchase Agreement contains customary representations, warranties, covenants, indemnification and termination provisions. Lincoln Park has covenanted not to cause or engage in any manner whatsoever, any direct or indirect short selling or hedging of our common stock. There are no limitations on use of proceeds, financial or business covenants, restrictions on future financings (other than restrictions on our ability to enter into additional “equity line” or a substantially similar transaction whereby a specific investor is irrevocably bound pursuant to an agreement with us to purchase securities over a period of time from us at a price based on the market price of the common stock at the time of such purchase), rights of first refusal, participation rights, penalties or liquidated damages in the LPC Purchase Agreement. The LPC Purchase Agreement may be terminated by us at any time, at our sole discretion, without any cost or penalty. During any “event of default” under the LPC Purchase Agreement, Lincoln Park does not have the right to terminate the LPC Purchase Agreement; however, we may not initiate any purchase of shares by Lincoln Park until such event of default is cured.</w:t>
      </w:r>
    </w:p>
    <w:p>
      <w:pPr>
        <w:spacing w:after="0" w:line="5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As of June 30, 2021, we had cash and cash equivalents of $36.4 million. Our cash and cash equivalents are primarily held in money market accounts.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5"/>
              </w:rPr>
              <w:t>Six Months Ended June 30,</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(15,476)</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During the six months ended June 30, 2021, operating activities used $15.5 million of net cash, resulting from our net loss of $18.2 million and partially offset by net changes in our operating assets and liabilities of $0.6 million and by non-cash charges of $2.1 million. The non-cash charges consisted primarily of stock-based compensation expense of $1.5 million, $0.4 million of other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80"/>
        <w:spacing w:after="0" w:line="297" w:lineRule="auto"/>
        <w:rPr>
          <w:sz w:val="20"/>
          <w:szCs w:val="20"/>
          <w:color w:val="auto"/>
        </w:rPr>
      </w:pPr>
      <w:r>
        <w:rPr>
          <w:rFonts w:ascii="Arial" w:cs="Arial" w:eastAsia="Arial" w:hAnsi="Arial"/>
          <w:sz w:val="16"/>
          <w:szCs w:val="16"/>
          <w:color w:val="auto"/>
        </w:rPr>
        <w:t>expense associated with the value of the shares of our common stock that we issued to Lincoln Park as consideration for Lincoln Park’s commitment to purchase shares of our common stock under the LPC Purchase Agreement and $0.3 million of accretion/accrual of term loan discounts and debt issuance costs. Changes in our operating assets and liabilities consisted of a $1.5 million increase in accounts payable, a $0.6 million increase in prepaid expenses and other current assets and a $0.3 million decrease in accrued expenses and other liabilities. The increase in accounts payable was primarily due to the timing of vendor invoices. The increase in prepaid expenses and other current assets was primarily due to an increase in prepayments of our corporate insurance policies. The decrease in accrued expenses and other liabilities was primarily due to decreased accruals for research, development and clinical trial work performed by our CROs, partially offset by an increase in accrued compensation and benefits.</w:t>
      </w:r>
    </w:p>
    <w:p>
      <w:pPr>
        <w:spacing w:after="0" w:line="5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During the six months ended June 30, 2020, operating activities used $13.1 million of cash, resulting from our net loss of $15.9 million, partially offset by changes in our operating assets and liabilities of $1.4 million, net and non-cash charges of $1.3 million. Changes in our operating assets and liabilities for the six months ended June 30, 2020 consisted of a $1.6 million increase in accounts payable, a $0.1 million decrease in prepaid expenses and other assets and a $0.2 million decrease in accrued expenses. The increase in accounts payable was primarily due to timing of CRO and other vendor invoices. The decrease in prepaid expenses and other assets was primarily due to a refund of prepayments made to one of our vendors, which we received in the first quarter of 2020 and a decrease in prepayments made with respect to research, development and clinical trial work performed by our CROs and other vendors partially offset by prepayments of our corporate insurance policies. The decrease in accrued expenses was primarily due to decreased accruals for research, development and clinical trial work performed by our CROs partially offset by increased accruals for professional fees. The non-cash charges for the six months ended June 30, 2020 consisted primarily of stock-based compensation expense of $1.3 million.</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2021 and 2020, we used an insignificant amount of cash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six months ended June 30, 2021, net cash provided by financing activities was $6.9 million, consisting of gross cash proceeds of</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$7.4 million from sales of our common stock under the ATM Sales Agreement before deducting estimated commissions and allocated fees of $0.6 million as well as cash proceeds from purchases under our 2019 Employee Stock Purchase Plan offset by payments of offering costs.</w:t>
      </w:r>
    </w:p>
    <w:p>
      <w:pPr>
        <w:spacing w:after="0" w:line="53"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During the six months ended June 30, 2020, cash used in financing activities was insignificant, consisting of payments of offering costs offset by cash proceeds from stock option exercises and purchases under our 2019 Employee Stock Purchase Plan.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including as a result of the increase in the target number of subjects to be enrolled from 240 to 360 based on the SSRE analysis, the additional Phase 3 clinical trial we believe we will need to conduct to support the submission of an NDA to the FDA and a MAA to the EMA for Haduvio for the treatment of pruritus associated with prurigo nodularis, our ongoing Phase 2 CANAL trial, the costs of commercialization activities, including manufacturing capabilities, for Haduvio and other development activities including potentially commencing Phase 2 clinical trials for the treatment of LID in patients with Parkinson’s disease. In addition, we have incurred and may continue to incur additional expenses as a result of COVID-19 and resulting clinical trial delays and interruptions. Furthermore, we expect to continue to incur additional costs associated with operating as a public company, including significant legal, accounting, investor relations and other expenses.</w:t>
      </w:r>
    </w:p>
    <w:p>
      <w:pPr>
        <w:spacing w:after="0" w:line="7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jc w:val="both"/>
        <w:ind w:left="880" w:right="2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 CANAL trial, as well as any future product candidates;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COVID-19 on the scope, progress, timing, costs and results of our ongoing and planned clinical trials of Haduvio;</w:t>
      </w:r>
    </w:p>
    <w:p>
      <w:pPr>
        <w:spacing w:after="0" w:line="144" w:lineRule="exact"/>
        <w:rPr>
          <w:rFonts w:ascii="Arial" w:cs="Arial" w:eastAsia="Arial" w:hAnsi="Arial"/>
          <w:sz w:val="18"/>
          <w:szCs w:val="18"/>
          <w:color w:val="auto"/>
        </w:rPr>
      </w:pPr>
    </w:p>
    <w:p>
      <w:pPr>
        <w:ind w:left="880" w:right="46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human abuse liability (“HAL”) study and a potential Thorough QT (“TQT”) study;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left="880" w:right="52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60" w:hanging="373"/>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2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880" w:right="3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into the second quarter of 2022, without giving effect to the rights of SVB under the SVB Loan Agreement if we fail to achieve any of the Milestone Conditions or to the impact of any equity financing that we may conduct to satisfy the equity raise requirements of the SVB Loan Agreement. If we fail to achieve any of the Milestone Conditions and SVB cash collateralizes the amounts then owed to SVB under the SVB Loan Agreement or uses such amounts to prepay the SVB Term Loan, the period for which we will be able to fund our operating expenses and capital expenditure requirements will be significantly shorter.</w:t>
      </w:r>
    </w:p>
    <w:p>
      <w:pPr>
        <w:spacing w:after="0" w:line="53"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We are required under the SVB Loan Agreement to raise in an equity financing of at least $15.0 million in net proceeds by October 31, 2021.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80"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Other than our right to cause Lincoln Park to purchase shares of our common stock under the LPC Purchase Agreement, which is subject to certain limitations and conditions, 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Haduvio for pruritus associated with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jc w:val="both"/>
        <w:ind w:right="80" w:firstLine="510"/>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believe that the following critical accounting policies are most important to understanding and evaluating our reported financial results: research and development expense; stock-based compensation expense; income tax; and fair value measurements. Our critical accounting policies are described in the notes to the consolidated financial statements and under the heading “Management’s Discussion and Analysis of Financial Condition and Results of Operations—Critical Accounting Policies and Use of Estimates” in our Annual Report on Form 10-K for the year ended December 31, 2020. During the six months ended June 30, 2021, there were no material changes to our critical accounting policies.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11 to our Condensed Consolidated Financial Statements included elsewhere in this Quarterly Report on Form 10-Q for discussion regarding our commitments and contingent commitments.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January 1, 2021, we adopted Accounting Standards Update No. 2019-12-</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There have been no new accounting pronouncements during the six months ended June 30, 2021, which could be expected to materially impact our unaudited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in her capacity as our principal executive officer and principal financial officer, evaluated the effectiveness of our disclosure controls and procedures as defined in Rules 13a-15(e) and 15d-15(e) under the Securities Exchange Act of 1934, as amended (the “Exchange Act”), as of June 30, 2021. Our disclosure controls and procedures are designed to ensure that information we are required to disclose in the reports we file or submit under the Exchange Act is accumulated and communicated to our management, including our Chief Executive Officer in her capacity as our principal executive officer and principal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2021, our management with the participation of our Chief Executive Officer in her capacity as our principal executive officer and principal financial officer, concluded that, as of such date, our disclosure controls and procedures were effective at the reasonable assurance level.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2021 that has materially affected or is reasonably likely to materially affect, our internal control over financial reporting.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We face risks related to health epidemics and other widespread outbreaks of contagious disease, including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this pandemic has caused substantial disruption in the financial markets and economies worldwide, which could result in adverse effects on our business and operations.</w:t>
      </w:r>
    </w:p>
    <w:p>
      <w:pPr>
        <w:spacing w:after="0" w:line="4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Significant outbreaks of contagious diseases, such as COVID-19 and other adverse public health developments, could have a material impact on our business operations and operating results.</w:t>
      </w:r>
    </w:p>
    <w:p>
      <w:pPr>
        <w:spacing w:after="0" w:line="170"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subject screening and most enrollment was temporarily halted in March 2020 due to COVID-19. After resuming screening and enrollment, multiple sites in the Phase 2b/3 PRISM trial have begun requiring remote monitoring of subject data. We also experienced slower recruitment activities in the Phase 2b/3 PRISM trial worldwide through the latter part of 2020 and the beginning of 2021 due to the resurgence of COVID-19. In addition, the clinical sites in our ongoing Phase 2 trial for chronic cough in patients with IPF, which we refer to as the Phase 2 CANAL trial, suspended enrollment and treatment of subjects in the trial due to the vulnerability of IPF patients to COVID-19 and as a result, we amended the protocol for the trial to reduce the number of in-person subject visits and procedures. While subject screening and enrollment for our Phase 2 CANAL trial resumed at certain clinical trial sites in the fourth quarter of 2020, all sites in the trial paused screening again in December 2020 in response to a shelter-in-place directive from the U.K. government. This shelter-in-place directive expired in March 2021 and the remaining COVID-19 related restrictions were lifted in July 2021. The U.K. government may choose to reinstate any and/or all of the restrictions in the future depending on COVID-19 infection rates. Initial screening activity has resumed at certain sites following the lifting of the shelter-in-place directive. However, we expect that some sites may take longer to resume their trial activity as the clinical research related infrastructure was disrupted by COVID-19 and that other sites may cease to participate in the trial entirely. COVID-19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subjects to enroll in trials at this time or the inability of subjects to comply with clinical trial protocols if quarantines or travel restrictions impede subject movement or interrupt healthcare services. The response to COVID-19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182"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COVID-19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part of the week and suspending non-essential travel worldwide for our employees, each of which could negatively affect our business.</w:t>
      </w:r>
    </w:p>
    <w:p>
      <w:pPr>
        <w:spacing w:after="0" w:line="1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cannot presently predict the scope and severity of the disruptions we may experience or continue to experience as a result of COVID-19.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ability to raise additional funds and has also impacted and may continue to impact, the volatility of our stock price and trading in our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incurred significant annual net losses every year since our inception. We expect to continue to incur significant and increasing net losses for at least the next several years. Our net losses were $18.2 million and $32.8 million for the six months ended June 30, 2021 and for the year ended December 31, 2020, respectively. As of June 30, 2021, we had an accumulated deficit of $165.1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IPO, borrowings under our prior term loan facility, proceeds from our IPO and concurrent private placement completed in May 2019, sales of our common stock pursuant to the ATM Sales Agreement and the SVB Term Loan.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880" w:right="180" w:hanging="373"/>
        <w:spacing w:after="0" w:line="30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develop and conduct clinical trials of Haduvio, including our ongoing Phase 2b/3 PRISM trial and our ongoing Phase 2 CANAL trial;</w:t>
      </w:r>
    </w:p>
    <w:p>
      <w:pPr>
        <w:spacing w:after="0" w:line="3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significantly increase the number of subjects in the Phase 2b/3 PRISM trial to a total of 360 subjects based on the SSRE analysis;</w:t>
      </w:r>
    </w:p>
    <w:p>
      <w:pPr>
        <w:spacing w:after="0" w:line="155" w:lineRule="exact"/>
        <w:rPr>
          <w:rFonts w:ascii="Arial" w:cs="Arial" w:eastAsia="Arial" w:hAnsi="Arial"/>
          <w:sz w:val="17"/>
          <w:szCs w:val="17"/>
          <w:color w:val="auto"/>
        </w:rPr>
      </w:pPr>
    </w:p>
    <w:p>
      <w:pPr>
        <w:jc w:val="both"/>
        <w:ind w:left="880" w:right="14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NDA with the FDA and the filing of a MAA with the EMA for Haduvio for the treatment of pruritus associated with prurigo nodularis, including completing our Phase 2b/3 PRISM trial and at least one additional Phase 3 clinical trial in this indication;</w:t>
      </w:r>
    </w:p>
    <w:p>
      <w:pPr>
        <w:spacing w:after="0" w:line="75" w:lineRule="exact"/>
        <w:rPr>
          <w:rFonts w:ascii="Arial" w:cs="Arial" w:eastAsia="Arial" w:hAnsi="Arial"/>
          <w:sz w:val="18"/>
          <w:szCs w:val="18"/>
          <w:color w:val="auto"/>
        </w:rPr>
      </w:pPr>
    </w:p>
    <w:p>
      <w:pPr>
        <w:ind w:left="880" w:right="540" w:hanging="373"/>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seek regulatory and marketing approvals for Haduvio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 and execute pediatric development plans and complete any post-approval commitments;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880" w:right="10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44"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Haduvio and for any future product candidates.</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5" w:name="page36"/>
    <w:bookmarkEnd w:id="35"/>
    <w:p>
      <w:pPr>
        <w:ind w:firstLine="510"/>
        <w:spacing w:after="0" w:line="286" w:lineRule="auto"/>
        <w:rPr>
          <w:sz w:val="20"/>
          <w:szCs w:val="20"/>
          <w:color w:val="auto"/>
        </w:rPr>
      </w:pPr>
      <w:r>
        <w:rPr>
          <w:rFonts w:ascii="Arial" w:cs="Arial" w:eastAsia="Arial" w:hAnsi="Arial"/>
          <w:sz w:val="16"/>
          <w:szCs w:val="16"/>
          <w:color w:val="auto"/>
        </w:rPr>
        <w:t>In addition, we may incur additional expenses as a result of COVID-19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95"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165"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We believe there is substantial doubt about our ability to continue as a going concern as of the date of this Quarterly Report on Form 10-Q without additional capital. See Note 1 to the Condensed Consolidated Financial Statements appearing elsewhere in this Quarterly Report on Form 10-Q for additional information on our assessment. We plan to address this condition through the sale of common stock in public offerings and/or private placements, debt financings or other capital sources, including collaborations with other companies or other strategic transactions. If we are unable to obtain such funding and continue as a going concern, we might have to liquidate our assets and the values we receive for our assets in liquidation or dissolution could be significantly lower than the values reflected in our Condensed Consolidated Financial Statements. Our lack of cash resources and our conclusion that we may be unable to continue as a going concern may materially adversely affect our share price and our ability to raise new capital or to enter into critical contractual relationships with third parties.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six months ended June 30, 2021 and the year ended December 31, 2020, we used net cash of $15.5 million and $29.0 million, respectively, in our operating activities, substantially all of which related to development activities for Haduvio. As of June 30, 2021, our cash and cash equivalents were $36.4 million. We expect our expenses to increase substantially in connection with our ongoing activities, particularly as we continue to develop and conduct clinical trials of Haduvio, including our ongoing Phase 2b/3 PRISM trial and the additional Phase 3 clinical trial we believe we will need to conduct for Haduvio for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6"/>
          <w:szCs w:val="16"/>
          <w:color w:val="auto"/>
        </w:rPr>
        <w:t>treatment of pruritus associated with prurigo nodularis and our other ongoing clinical trials, acquire or in-license rights to other potential product candidates or technologies and seek regulatory and marketing approvals for Haduvio or any future product candidate that successfully completes clinical trials, if any. In addition, we may incur additional expenses as a result of COVID-19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65"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We plan to use our existing cash and cash equivalents to fund the development of Haduvio for the treatment of pruritus associated with prurigo nodularis, for the treatment of chronic cough in patients with IPF and for working capital and other general corporate purposes. We will be required to expend significant funds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Other than our right to cause Lincoln Park to purchase shares of our common stock under the LPC Purchase Agreement, which is subject to certain limitations and conditions,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5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into the second quarter of 2022, without giving effect to the rights of SVB under the SVB Loan Agreement if we fail to achieve any of the Milestone Conditions or to the impact of any equity financing that we may conduct to satisfy the equity raise requirements of the SVB Loan Agreement. If we fail to achieve any of the Milestone Conditions and SVB cash collateralizes the amounts then owed to SVB under the SVB Loan Agreement or uses such amounts to prepay the SVB Term Loan, the period for which we will be able to fund our operating expenses and capital expenditure requirements will be significantly shorter.</w:t>
      </w:r>
    </w:p>
    <w:p>
      <w:pPr>
        <w:spacing w:after="0" w:line="53"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We are required under the SVB Loan Agreement to raise in an equity financing of at least $15 million in net proceeds by October 31, 2021.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6" w:lineRule="exact"/>
        <w:rPr>
          <w:sz w:val="20"/>
          <w:szCs w:val="20"/>
          <w:color w:val="auto"/>
        </w:rPr>
      </w:pPr>
    </w:p>
    <w:p>
      <w:pPr>
        <w:jc w:val="both"/>
        <w:ind w:left="880" w:right="40" w:hanging="373"/>
        <w:spacing w:after="0" w:line="27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 CANAL trial, as well as any future product candidates;</w:t>
      </w:r>
    </w:p>
    <w:p>
      <w:pPr>
        <w:spacing w:after="0" w:line="61"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impacts of COVID-19 on the scope, progress, timing, costs and results of our ongoing and planned clinical trials of Haduvio;</w:t>
      </w:r>
    </w:p>
    <w:p>
      <w:pPr>
        <w:spacing w:after="0" w:line="144"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HAL study and a potential TQT study;</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880" w:right="180" w:hanging="373"/>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40" w:hanging="373"/>
        <w:spacing w:after="0" w:line="26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On August 13, 2020, we entered into the SVB Loan Agreement with SVB, pursuant to which SVB provided the SVB Term Loan to us. In July 2021, we entered into the Loan Amendment.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w:t>
      </w:r>
    </w:p>
    <w:p>
      <w:pPr>
        <w:spacing w:after="0" w:line="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Additionally, under the Loan Amendment, if we fail to receive positive data in our Phase 2b/3 PRISM trial or to meet certain equity raise requirements, including raising at least $15.0 million in net proceeds from the sale of equity securities during the period from June 1, 2021 through October 31, 2021 and raising by June 30, 2022 sufficient additional net proceeds from the sale of equity securities to finance our planned second Phase 3 clinical trial of Haduvio for prurigo nodularis and our ongoing operations or the Milestone Conditions, we will be required to deposit unrestricted and unencumbered cash equal to 100% of the principal amount of the SVB Term Loan then outstanding in a cash collateral account with SVB, which can be used by SVB to prepay the SVB Term Loan at any time. In addition, if we fail to maintain at least $20.0 million in unrestricted and unencumbered cash in our accounts with SVB at any time prior to the satisfaction of all the Milestone Conditions, we will be required to cash collateralize all outstanding amounts owed to SVB under the SVB Loan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880" w:right="60" w:hanging="373"/>
        <w:spacing w:after="0" w:line="301"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p>
      <w:pPr>
        <w:spacing w:after="0" w:line="49"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52"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as discussed above, a failure to satisfy any Milestone Condition or to maintain at least $20.0 million in unrestricted and unencumbered cash in our accounts with SVB at any time prior to satisfaction of all of the Milestone Conditions could result in us having to deposit unrestricted and unencumbered cash equal to 100% of the principal amount of the SVB Term Loan then outstanding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w:t>
      </w:r>
    </w:p>
    <w:p>
      <w:pPr>
        <w:spacing w:after="0" w:line="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expect our expenses to increase substantially in connection with our planned operations, particularly as we conduct our ongoing Phase 2b/3 PRISM trial and our other ongoing clinical trials as well as the additional Phase 3 clinical trial we believe we will need to conduct for Haduvio for the treatment of pruritus associated with prurigo nodularis and develop Haduvio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195"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520"/>
        <w:spacing w:after="0"/>
        <w:rPr>
          <w:sz w:val="20"/>
          <w:szCs w:val="20"/>
          <w:color w:val="auto"/>
        </w:rPr>
      </w:pPr>
      <w:r>
        <w:rPr>
          <w:rFonts w:ascii="Arial" w:cs="Arial" w:eastAsia="Arial" w:hAnsi="Arial"/>
          <w:sz w:val="17"/>
          <w:szCs w:val="17"/>
          <w:color w:val="auto"/>
        </w:rPr>
        <w:t>We currently have no products approved for sale and are investing substantially all our efforts and financial resources to fund the development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Haduvio for multiple serious neurologically mediated conditions. Our prospects are dependent on our ability to develop, obtain marketing approval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successfully commercialize Haduvio in one or more indications as we currently have no other product candidates under development. We may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in-license rights to other potential product candidates or technologies in the future, but we are currently not developing any other product candidates.</w:t>
      </w:r>
    </w:p>
    <w:p>
      <w:pPr>
        <w:spacing w:after="0" w:line="23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most advanced program is the development of Haduvio for the treatment of pruritus associated with prurigo nodularis, as our efforts to develop Haduvio for other serious neurologically mediated conditions are only at an early stage. As a result, if our efforts to develop and commercialize Haduvio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success of Haduvio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recruiting, enrolling and retaining subjects in and completing our Phase 2b/3 PRISM trial;</w:t>
      </w:r>
    </w:p>
    <w:p>
      <w:pPr>
        <w:spacing w:after="0" w:line="144" w:lineRule="exact"/>
        <w:rPr>
          <w:rFonts w:ascii="Arial" w:cs="Arial" w:eastAsia="Arial" w:hAnsi="Arial"/>
          <w:sz w:val="18"/>
          <w:szCs w:val="18"/>
          <w:color w:val="auto"/>
        </w:rPr>
      </w:pPr>
    </w:p>
    <w:p>
      <w:pPr>
        <w:jc w:val="both"/>
        <w:ind w:left="880" w:right="80" w:hanging="373"/>
        <w:spacing w:after="0" w:line="311"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initiating and successfully recruiting, enrolling and retaining subjects in and completing additional clinical and nonclinical trials, including the additional Phase 3 clinical trial we believe we will need to conduct for Haduvio for the treatment of pruritus associated with prurigo nodularis and other supportive clinical studies such as our planned HAL study, a potential physical dependence study and a potential TQT study;</w:t>
      </w:r>
    </w:p>
    <w:p>
      <w:pPr>
        <w:spacing w:after="0" w:line="40" w:lineRule="exact"/>
        <w:rPr>
          <w:rFonts w:ascii="Arial" w:cs="Arial" w:eastAsia="Arial" w:hAnsi="Arial"/>
          <w:sz w:val="16"/>
          <w:szCs w:val="16"/>
          <w:color w:val="auto"/>
        </w:rPr>
      </w:pPr>
    </w:p>
    <w:p>
      <w:pPr>
        <w:ind w:left="880" w:right="20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144" w:lineRule="exact"/>
        <w:rPr>
          <w:rFonts w:ascii="Arial" w:cs="Arial" w:eastAsia="Arial" w:hAnsi="Arial"/>
          <w:sz w:val="18"/>
          <w:szCs w:val="18"/>
          <w:color w:val="auto"/>
        </w:rPr>
      </w:pPr>
    </w:p>
    <w:p>
      <w:pPr>
        <w:ind w:left="880" w:right="380" w:hanging="373"/>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maintaining and protecting our patents, trade secrets and regulatory exclusivity in the U.S.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establishing a focused, specialty sales organization in the U.S. and successfully launching commercial sales following any marketing approval;</w:t>
      </w:r>
    </w:p>
    <w:p>
      <w:pPr>
        <w:spacing w:after="0" w:line="167" w:lineRule="exact"/>
        <w:rPr>
          <w:rFonts w:ascii="Arial" w:cs="Arial" w:eastAsia="Arial" w:hAnsi="Arial"/>
          <w:sz w:val="16"/>
          <w:szCs w:val="16"/>
          <w:color w:val="auto"/>
        </w:rPr>
      </w:pPr>
    </w:p>
    <w:p>
      <w:pPr>
        <w:ind w:left="880" w:right="22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5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Haduvio to treat serious neurologically mediated conditions is unproven.</w:t>
      </w:r>
    </w:p>
    <w:p>
      <w:pPr>
        <w:spacing w:after="0" w:line="1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currently focused on the development and commercialization of Haduvio to treat serious neurologically mediated conditions.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and other serious neurologically mediated conditions and that Haduvio has the potential to be safe and well-tolerated, nalbuphine has not been approved in any indications other than pain. Additionally, Haduvio has not been approved in any indication, including the treatment of pruritus associated with prurigo nodularis, the lead indication for which we are pursuing clinical development of Haduvio. No therapies have been approved in the U.S. or Europe for the treatment of moderate to severe pruritus and we can provide no assurance that either Haduvio or any other future product candidate that we may seek to develop for this indication or for any other serious neurologically mediated condition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will be effective or safe, obtain regulatory approval or be commercially successful.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44"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may be larger than we anticipate, such as with the increase of the target number of enrolled subjects for our Phase 2b/3 PRISM trial from 240 to 360 subjects as a result of the SSRE analysis;</w:t>
      </w:r>
    </w:p>
    <w:p>
      <w:pPr>
        <w:spacing w:after="0" w:line="62" w:lineRule="exact"/>
        <w:rPr>
          <w:rFonts w:ascii="Arial" w:cs="Arial" w:eastAsia="Arial" w:hAnsi="Arial"/>
          <w:sz w:val="18"/>
          <w:szCs w:val="18"/>
          <w:color w:val="auto"/>
        </w:rPr>
      </w:pPr>
    </w:p>
    <w:p>
      <w:pPr>
        <w:ind w:left="880" w:right="120" w:hanging="373"/>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enrollment in these clinical trials may be slower than we anticipate, whether as a result of COVID-19 or otherwise or participants may discontinue their participation in these clinical trials at a higher rate than we anticipate, as we experienced in our Phase 2 clinical trial of Haduvio for the treatment of pruritus associated with prurigo nodularis;</w:t>
      </w:r>
    </w:p>
    <w:p>
      <w:pPr>
        <w:spacing w:after="0" w:line="75" w:lineRule="exact"/>
        <w:rPr>
          <w:rFonts w:ascii="Arial" w:cs="Arial" w:eastAsia="Arial" w:hAnsi="Arial"/>
          <w:sz w:val="18"/>
          <w:szCs w:val="18"/>
          <w:color w:val="auto"/>
        </w:rPr>
      </w:pPr>
    </w:p>
    <w:p>
      <w:pPr>
        <w:ind w:left="880" w:right="260" w:hanging="373"/>
        <w:spacing w:after="0" w:line="311"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increased the target number of enrolled subjects as a result of the SSRE analysis, enrollment has taken longer than expected and we have used and expect to continue to use additional incentive strategies to address site activation and enrollment;</w:t>
      </w:r>
    </w:p>
    <w:p>
      <w:pPr>
        <w:spacing w:after="0" w:line="40" w:lineRule="exact"/>
        <w:rPr>
          <w:rFonts w:ascii="Arial" w:cs="Arial" w:eastAsia="Arial" w:hAnsi="Arial"/>
          <w:sz w:val="16"/>
          <w:szCs w:val="16"/>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44"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880" w:right="360" w:hanging="373"/>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880" w:hanging="373"/>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880" w:right="500" w:hanging="373"/>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880" w:right="380" w:hanging="373"/>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left="880" w:right="480" w:hanging="373"/>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5" w:lineRule="exact"/>
        <w:rPr>
          <w:rFonts w:ascii="Arial" w:cs="Arial" w:eastAsia="Arial" w:hAnsi="Arial"/>
          <w:sz w:val="16"/>
          <w:szCs w:val="16"/>
          <w:color w:val="auto"/>
        </w:rPr>
      </w:pPr>
    </w:p>
    <w:p>
      <w:pPr>
        <w:ind w:left="880" w:right="2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and result in further 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COVID-19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7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55" w:lineRule="exact"/>
        <w:rPr>
          <w:rFonts w:ascii="Arial" w:cs="Arial" w:eastAsia="Arial" w:hAnsi="Arial"/>
          <w:sz w:val="17"/>
          <w:szCs w:val="17"/>
          <w:color w:val="auto"/>
        </w:rPr>
      </w:pPr>
    </w:p>
    <w:p>
      <w:pPr>
        <w:ind w:left="880" w:right="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44"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5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failure to successfully and timely complete clinical trials of Haduvio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right="40" w:firstLine="510"/>
        <w:spacing w:after="0" w:line="286" w:lineRule="auto"/>
        <w:rPr>
          <w:sz w:val="20"/>
          <w:szCs w:val="20"/>
          <w:color w:val="auto"/>
        </w:rPr>
      </w:pPr>
      <w:r>
        <w:rPr>
          <w:rFonts w:ascii="Arial" w:cs="Arial" w:eastAsia="Arial" w:hAnsi="Arial"/>
          <w:sz w:val="16"/>
          <w:szCs w:val="16"/>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Phase 2b/3 PRISM trial or the FDA does not otherwise believe that the results of the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pruritus associated with prurigo nodularis.</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Phase 2b/3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8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6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COVID-19;</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44"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70" w:lineRule="exact"/>
        <w:rPr>
          <w:sz w:val="20"/>
          <w:szCs w:val="20"/>
          <w:color w:val="auto"/>
        </w:rPr>
      </w:pPr>
    </w:p>
    <w:p>
      <w:pPr>
        <w:ind w:right="100" w:firstLine="514"/>
        <w:spacing w:after="0" w:line="284" w:lineRule="auto"/>
        <w:rPr>
          <w:sz w:val="20"/>
          <w:szCs w:val="20"/>
          <w:color w:val="auto"/>
        </w:rPr>
      </w:pPr>
      <w:r>
        <w:rPr>
          <w:rFonts w:ascii="Arial" w:cs="Arial" w:eastAsia="Arial" w:hAnsi="Arial"/>
          <w:sz w:val="16"/>
          <w:szCs w:val="16"/>
          <w:color w:val="auto"/>
        </w:rPr>
        <w:t>In particular, the successful completion of our clinical development program for Haduvio for the treatment of pruritus associated with prurigo nodularis is dependent upon our ability to enroll a sufficient number of subjects with this severe condition. We have experienced delays and difficulties in the enrollment of subjects in our clinical trials, including our Phase 2b/3 PRISM trial and our Phase 2 CANAL trial, which have delayed the completion of our trials. We have taken actions to increase enrollment, including increasing the number of clinical sites, expanding our clinical trials into additional countries, providing sites with additional trial management staff and closing underperforming sites. However, these actions may not be successful. In addition, as a result of COVID-19, clinical sites for our Phase 2b/3 PRISM trial temporarily halted new subject screening and most subject</w:t>
      </w:r>
    </w:p>
    <w:p>
      <w:pPr>
        <w:spacing w:after="0" w:line="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enrollment. After resuming screening and enrollment, multiple sites in the Phase 2b/3 PRISM trial have begun requiring remote monitoring of subject data. In addition, the clinical sites in our ongoing Phase 2 CANAL trial temporarily suspended enrollment and treatment of subjects in the trial due to the vulnerability of IPF patients to COVID-19 and we amended the protocol for the trial to reduce the number of in-person subject visits and procedures. While subject screening and enrollment for our Phase 2 CANAL trial resumed at certain clinical trial sites in the fourth quarter of 2020, all sites in the trial paused screening again in December 2020 in response to a shelter-in-place directive from the U.K. government. This shelter-in-place directive expired in March 2021 and other COVID-19 related restrictions were lifted in July 2021. The U.K. government may choose to reinstate any and/or all of the restrictions in the future depending on COVID-19 rates. Initial screening activity has resumed at certain sites following the lifting of the shelter-in-place</w:t>
      </w:r>
    </w:p>
    <w:p>
      <w:pPr>
        <w:spacing w:after="0" w:line="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directive. However, we expect that some sites may take longer to resume their trial activity as the clinical research related infrastructure was disrupted by COVID-19 and that other sites may cease to participate in the trial entirely. Furthermore, as a result of the SSRE analysis, we have increased the target number of enrolled subjects for our Phase 2b/3 PRISM trial from 240 to 360 subjects, which has also resulted in delays to our expected completion of enrollment for the trial and our anticipated timing for reporting top-line data for the trial.</w:t>
      </w:r>
    </w:p>
    <w:p>
      <w:pPr>
        <w:spacing w:after="0" w:line="176" w:lineRule="exact"/>
        <w:rPr>
          <w:sz w:val="20"/>
          <w:szCs w:val="20"/>
          <w:color w:val="auto"/>
        </w:rPr>
      </w:pPr>
    </w:p>
    <w:p>
      <w:pPr>
        <w:ind w:right="160" w:firstLine="514"/>
        <w:spacing w:after="0" w:line="296" w:lineRule="auto"/>
        <w:rPr>
          <w:sz w:val="20"/>
          <w:szCs w:val="20"/>
          <w:color w:val="auto"/>
        </w:rPr>
      </w:pPr>
      <w:r>
        <w:rPr>
          <w:rFonts w:ascii="Arial" w:cs="Arial" w:eastAsia="Arial" w:hAnsi="Arial"/>
          <w:sz w:val="16"/>
          <w:szCs w:val="16"/>
          <w:color w:val="auto"/>
        </w:rPr>
        <w:t>Other companies are conducting clinical trials or have announced plans for future clinical trials that are seeking or are likely to seek to enroll patients with prurigo nodularis in the case of our Phase 2b/3 PRISM trial and patients with IPF in the case of our Phase 2 CANAL trial and patients are generally only able to enroll in a single trial at a time. In addition, although there are no drugs approved in the U.S.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61" w:lineRule="exact"/>
        <w:rPr>
          <w:sz w:val="20"/>
          <w:szCs w:val="20"/>
          <w:color w:val="auto"/>
        </w:rPr>
      </w:pPr>
    </w:p>
    <w:p>
      <w:pPr>
        <w:ind w:firstLine="514"/>
        <w:spacing w:after="0" w:line="257" w:lineRule="auto"/>
        <w:rPr>
          <w:sz w:val="20"/>
          <w:szCs w:val="20"/>
          <w:color w:val="auto"/>
        </w:rPr>
      </w:pPr>
      <w:r>
        <w:rPr>
          <w:rFonts w:ascii="Arial" w:cs="Arial" w:eastAsia="Arial" w:hAnsi="Arial"/>
          <w:sz w:val="18"/>
          <w:szCs w:val="18"/>
          <w:color w:val="auto"/>
        </w:rPr>
        <w:t>Our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1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ind w:right="60"/>
        <w:spacing w:after="0" w:line="259" w:lineRule="auto"/>
        <w:rPr>
          <w:sz w:val="20"/>
          <w:szCs w:val="20"/>
          <w:color w:val="auto"/>
        </w:rPr>
      </w:pPr>
      <w:r>
        <w:rPr>
          <w:rFonts w:ascii="Arial" w:cs="Arial" w:eastAsia="Arial" w:hAnsi="Arial"/>
          <w:sz w:val="18"/>
          <w:szCs w:val="18"/>
          <w:color w:val="auto"/>
        </w:rPr>
        <w:t>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subjects reported SAEs, but none of these events was attributed to Haduvio.</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1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the parenteral formulation of nalbuphine is currently not classified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18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clinical trials and, in the future, limit our ability to produce and distribute Haduvio in the volume needed to meet potential commercial demand.</w:t>
      </w:r>
    </w:p>
    <w:p>
      <w:pPr>
        <w:spacing w:after="0" w:line="23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5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subjects in each arm of the Phase 2 clinical trial and the large differential discontinuation rate among the three treatment arms, as well as our plan to increase the fixed-dose treatment duration from eight weeks in the Phase 2 clinical trial to 12 weeks in our Phase 2b/3 PRISM trial.</w:t>
      </w:r>
    </w:p>
    <w:p>
      <w:pPr>
        <w:spacing w:after="0" w:line="178"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Phase 2b/3 PRISM trial based on an assumed discontinuation rate that takes into account observed discontinuation rates in our Phase 2 clinical trial of Haduvio for the treatment of pruritus associated with prurigo nodularis. If enrolled subjects withdraw from our Phase 2b/3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172"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Haduvio in patients with prurigo nodularis and uremic pruritus. While we believe these data may be useful in informing the design of our Phase 2b/3 PRISM trial and other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right="32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9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9"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2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as our lead program. However, the development of Haduvio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8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U.S. directly through our own focused, specialty sales organization. If Haduvio receives marketing approval outside the U.S.,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40"/>
        <w:spacing w:after="0" w:line="342" w:lineRule="auto"/>
        <w:rPr>
          <w:sz w:val="20"/>
          <w:szCs w:val="20"/>
          <w:color w:val="auto"/>
        </w:rPr>
      </w:pPr>
      <w:r>
        <w:rPr>
          <w:rFonts w:ascii="Arial" w:cs="Arial" w:eastAsia="Arial" w:hAnsi="Arial"/>
          <w:sz w:val="16"/>
          <w:szCs w:val="16"/>
          <w:color w:val="auto"/>
        </w:rPr>
        <w:t>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 including difelikefalin, an oral kappa opioid receptor agonist being developed by Cara Therapeutics that is in Phase 2 clinical trials for chronic pruritus in patients with atopic dermatitis, chronic liver disease, chronic kidney disease and notalgia paresthetica.</w:t>
      </w:r>
    </w:p>
    <w:p>
      <w:pPr>
        <w:spacing w:after="0" w:line="17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If Haduvio is approved for the treatment of chronic cough associated with IPF, we expect that it would compete with product candidates currently in clinical development for the treatment of chronic cough associated with IPF, such as ifenprodil which is being developed by Algernon Pharmaceuticals and orvepitant, which is being developed by Nerre Therapeutics and expect that it might also compete with other product candidates currently in development or submitted for approval to the FDA for the treatment of chronic refractory cough and unexplained chronic cough by companies including Merck, Shionogi, Bellus Health and Bayer. In addition, it is possible that product candidates currently in development for the treatment of IPF could, if approved, reduce the need for therapies to treat chronic cough associated with IPF.</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If Haduvio is approved for the treatment of LID in patients with Parkinson’s disease, we expect that it would compete with Gocovri and Osmolex, which are extended-release capsule formulations of amantadine marketed by Adamas Pharmaceuticals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17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U.S. In support of an ANDA,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100"/>
        <w:spacing w:after="0" w:line="255" w:lineRule="auto"/>
        <w:rPr>
          <w:sz w:val="20"/>
          <w:szCs w:val="20"/>
          <w:color w:val="auto"/>
        </w:rPr>
      </w:pPr>
      <w:r>
        <w:rPr>
          <w:rFonts w:ascii="Arial" w:cs="Arial" w:eastAsia="Arial" w:hAnsi="Arial"/>
          <w:sz w:val="18"/>
          <w:szCs w:val="18"/>
          <w:color w:val="auto"/>
        </w:rPr>
        <w:t>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9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moieties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6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100"/>
        <w:spacing w:after="0" w:line="263" w:lineRule="auto"/>
        <w:rPr>
          <w:sz w:val="20"/>
          <w:szCs w:val="20"/>
          <w:color w:val="auto"/>
        </w:rPr>
      </w:pPr>
      <w:r>
        <w:rPr>
          <w:rFonts w:ascii="Arial" w:cs="Arial" w:eastAsia="Arial" w:hAnsi="Arial"/>
          <w:sz w:val="18"/>
          <w:szCs w:val="18"/>
          <w:color w:val="auto"/>
        </w:rPr>
        <w:t>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4"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do not independently conduct clinical trials of our product candidate. We rely and expect to continue to rely, on third parties, such as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60"/>
        <w:spacing w:after="0" w:line="308" w:lineRule="auto"/>
        <w:rPr>
          <w:sz w:val="20"/>
          <w:szCs w:val="20"/>
          <w:color w:val="auto"/>
        </w:rPr>
      </w:pPr>
      <w:r>
        <w:rPr>
          <w:rFonts w:ascii="Arial" w:cs="Arial" w:eastAsia="Arial" w:hAnsi="Arial"/>
          <w:sz w:val="17"/>
          <w:szCs w:val="17"/>
          <w:color w:val="auto"/>
        </w:rPr>
        <w:t>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4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be also impacted by developments in COVID-19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880" w:right="18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44"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firstLine="510"/>
        <w:spacing w:after="0" w:line="273" w:lineRule="auto"/>
        <w:rPr>
          <w:sz w:val="20"/>
          <w:szCs w:val="20"/>
          <w:color w:val="auto"/>
        </w:rPr>
      </w:pPr>
      <w:r>
        <w:rPr>
          <w:rFonts w:ascii="Arial" w:cs="Arial" w:eastAsia="Arial" w:hAnsi="Arial"/>
          <w:sz w:val="17"/>
          <w:szCs w:val="17"/>
          <w:color w:val="auto"/>
        </w:rPr>
        <w:t>We do not have long-term supply agreements with any of our contract manufacturers. If any of our existing manufacturers should become unavailable to us for any reason or fail to supply us with the ordered quantities, including as a result of COVID-19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17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It is currently uncertain what impact, if any, Mallinckrodt’s bankruptcy filing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9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8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164"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14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U.S.</w:t>
      </w:r>
    </w:p>
    <w:p>
      <w:pPr>
        <w:spacing w:after="0" w:line="17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3" w:name="page54"/>
    <w:bookmarkEnd w:id="53"/>
    <w:p>
      <w:pPr>
        <w:spacing w:after="0" w:line="286" w:lineRule="auto"/>
        <w:rPr>
          <w:sz w:val="20"/>
          <w:szCs w:val="20"/>
          <w:color w:val="auto"/>
        </w:rPr>
      </w:pPr>
      <w:r>
        <w:rPr>
          <w:rFonts w:ascii="Arial" w:cs="Arial" w:eastAsia="Arial" w:hAnsi="Arial"/>
          <w:sz w:val="16"/>
          <w:szCs w:val="16"/>
          <w:color w:val="auto"/>
        </w:rPr>
        <w:t>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establish one or more collaborations, all the risks relating to product development, regulatory approval and commercialization described in this Quarterly Report on Form 10-Q would also apply to the activities of any such future collaborators.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880" w:right="180" w:hanging="373"/>
        <w:spacing w:after="0" w:line="31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880" w:right="132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880" w:right="600" w:hanging="373"/>
        <w:spacing w:after="0" w:line="308"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7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880" w:right="6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right="400" w:hanging="373"/>
        <w:spacing w:after="0" w:line="259"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880" w:right="200" w:hanging="373"/>
        <w:spacing w:after="0" w:line="342"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880" w:right="8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67"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880" w:right="11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7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5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2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19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5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18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320"/>
        <w:spacing w:after="0" w:line="273" w:lineRule="auto"/>
        <w:rPr>
          <w:sz w:val="20"/>
          <w:szCs w:val="20"/>
          <w:color w:val="auto"/>
        </w:rPr>
      </w:pPr>
      <w:r>
        <w:rPr>
          <w:rFonts w:ascii="Arial" w:cs="Arial" w:eastAsia="Arial" w:hAnsi="Arial"/>
          <w:sz w:val="17"/>
          <w:szCs w:val="17"/>
          <w:color w:val="auto"/>
        </w:rPr>
        <w:t>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8"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18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140"/>
        <w:spacing w:after="0" w:line="263" w:lineRule="auto"/>
        <w:rPr>
          <w:sz w:val="20"/>
          <w:szCs w:val="20"/>
          <w:color w:val="auto"/>
        </w:rPr>
      </w:pPr>
      <w:r>
        <w:rPr>
          <w:rFonts w:ascii="Arial" w:cs="Arial" w:eastAsia="Arial" w:hAnsi="Arial"/>
          <w:sz w:val="18"/>
          <w:szCs w:val="18"/>
          <w:color w:val="auto"/>
        </w:rPr>
        <w:t>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right="120" w:firstLine="514"/>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ind w:right="80" w:firstLine="514"/>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340"/>
        <w:spacing w:after="0" w:line="277" w:lineRule="auto"/>
        <w:rPr>
          <w:sz w:val="20"/>
          <w:szCs w:val="20"/>
          <w:color w:val="auto"/>
        </w:rPr>
      </w:pPr>
      <w:r>
        <w:rPr>
          <w:rFonts w:ascii="Arial" w:cs="Arial" w:eastAsia="Arial" w:hAnsi="Arial"/>
          <w:sz w:val="18"/>
          <w:szCs w:val="18"/>
          <w:color w:val="auto"/>
        </w:rPr>
        <w:t>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17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16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16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92"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Haduvio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9" w:lineRule="exact"/>
        <w:rPr>
          <w:sz w:val="20"/>
          <w:szCs w:val="20"/>
          <w:color w:val="auto"/>
        </w:rPr>
      </w:pPr>
    </w:p>
    <w:p>
      <w:pPr>
        <w:ind w:right="100" w:firstLine="514"/>
        <w:spacing w:after="0" w:line="255" w:lineRule="auto"/>
        <w:rPr>
          <w:sz w:val="20"/>
          <w:szCs w:val="20"/>
          <w:color w:val="auto"/>
        </w:rPr>
      </w:pPr>
      <w:r>
        <w:rPr>
          <w:rFonts w:ascii="Arial" w:cs="Arial" w:eastAsia="Arial" w:hAnsi="Arial"/>
          <w:sz w:val="18"/>
          <w:szCs w:val="18"/>
          <w:color w:val="auto"/>
        </w:rPr>
        <w:t>We commenced our Phase 2b/3 PRISM trial of Haduvio for the treatment of pruritus associated with prurigo nodularis and we believe we will need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Haduvio for the treatment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40"/>
        <w:spacing w:after="0" w:line="301" w:lineRule="auto"/>
        <w:rPr>
          <w:sz w:val="20"/>
          <w:szCs w:val="20"/>
          <w:color w:val="auto"/>
        </w:rPr>
      </w:pPr>
      <w:r>
        <w:rPr>
          <w:rFonts w:ascii="Arial" w:cs="Arial" w:eastAsia="Arial" w:hAnsi="Arial"/>
          <w:sz w:val="16"/>
          <w:szCs w:val="16"/>
          <w:color w:val="auto"/>
        </w:rPr>
        <w:t>pruritus associated with prurigo nodularis and any future product candidates by potentially decreasing the amount of preclinical and clinical data that we would need to generate in order to obtain FDA approval. However, while we believe that Haduvio is a reformulation of an existing drug and, therefore, its active moiety will not be treated as a NCE, the submission of an NDA under the Section 505(b)(2) regulatory pathway does not preclude the FDA from determining that Haduvio contains an active moiety that is an NCE and, therefore, is not eligible for review under such regulatory pathway.</w:t>
      </w:r>
    </w:p>
    <w:p>
      <w:pPr>
        <w:spacing w:after="0" w:line="157" w:lineRule="exact"/>
        <w:rPr>
          <w:sz w:val="20"/>
          <w:szCs w:val="20"/>
          <w:color w:val="auto"/>
        </w:rPr>
      </w:pPr>
    </w:p>
    <w:p>
      <w:pPr>
        <w:ind w:firstLine="514"/>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177" w:lineRule="exact"/>
        <w:rPr>
          <w:sz w:val="20"/>
          <w:szCs w:val="20"/>
          <w:color w:val="auto"/>
        </w:rPr>
      </w:pPr>
    </w:p>
    <w:p>
      <w:pPr>
        <w:ind w:right="80" w:firstLine="514"/>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16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520"/>
        <w:spacing w:after="0" w:line="277" w:lineRule="auto"/>
        <w:rPr>
          <w:sz w:val="20"/>
          <w:szCs w:val="20"/>
          <w:color w:val="auto"/>
        </w:rPr>
      </w:pPr>
      <w:r>
        <w:rPr>
          <w:rFonts w:ascii="Arial" w:cs="Arial" w:eastAsia="Arial" w:hAnsi="Arial"/>
          <w:sz w:val="18"/>
          <w:szCs w:val="18"/>
          <w:color w:val="auto"/>
        </w:rPr>
        <w:t>or prevent marketing approval of a product candidate. 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Finally, disruptions at the FDA and other agencies may also slow the time necessary for new drugs to be reviewed 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In response to COVID-19,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system. The FDA intends to use this risk-based assessment system to identify the categories of regulatory activity that can occur within a given geographic area, ranging from mission critical inspections to resumption of all regulatory activities. In May 2021, the FDA issued a report in which it outlined its priorities for inspections moving forward given the ongoing uncertainties stemming from the pandemic. The agency indicated that </w:t>
      </w:r>
      <w:r>
        <w:rPr>
          <w:rFonts w:ascii="Arial" w:cs="Arial" w:eastAsia="Arial" w:hAnsi="Arial"/>
          <w:sz w:val="18"/>
          <w:szCs w:val="18"/>
          <w:color w:val="333333"/>
        </w:rPr>
        <w:t>inspections considered</w:t>
      </w:r>
      <w:r>
        <w:rPr>
          <w:rFonts w:ascii="Arial" w:cs="Arial" w:eastAsia="Arial" w:hAnsi="Arial"/>
          <w:sz w:val="18"/>
          <w:szCs w:val="18"/>
          <w:color w:val="auto"/>
        </w:rPr>
        <w:t xml:space="preserve"> </w:t>
      </w:r>
      <w:r>
        <w:rPr>
          <w:rFonts w:ascii="Arial" w:cs="Arial" w:eastAsia="Arial" w:hAnsi="Arial"/>
          <w:sz w:val="18"/>
          <w:szCs w:val="18"/>
          <w:color w:val="333333"/>
        </w:rPr>
        <w:t>critical to the FDA’s mission will remain the primary focus. When planning routine surveillance inspections, the agency will prioritize higher-risk establishments. Therefore, a longer interval between inspections will occur for the less high-risk facilities as the FDA adjusts to the impact of COVID-19. This means that postponed inspections will be prioritized based on risk and conducted over a longer period of time, ultimately increasing the amount of time between inspections of certain lower-risk facilities.</w:t>
      </w:r>
    </w:p>
    <w:p>
      <w:pPr>
        <w:spacing w:after="0" w:line="192" w:lineRule="exact"/>
        <w:rPr>
          <w:sz w:val="20"/>
          <w:szCs w:val="20"/>
          <w:color w:val="auto"/>
        </w:rPr>
      </w:pPr>
    </w:p>
    <w:p>
      <w:pPr>
        <w:ind w:right="460" w:firstLine="510"/>
        <w:spacing w:after="0" w:line="301" w:lineRule="auto"/>
        <w:rPr>
          <w:sz w:val="20"/>
          <w:szCs w:val="20"/>
          <w:color w:val="auto"/>
        </w:rPr>
      </w:pPr>
      <w:r>
        <w:rPr>
          <w:rFonts w:ascii="Arial" w:cs="Arial" w:eastAsia="Arial" w:hAnsi="Arial"/>
          <w:sz w:val="16"/>
          <w:szCs w:val="16"/>
          <w:color w:val="auto"/>
        </w:rPr>
        <w:t>Regulatory authorities outside the United States may also impose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7"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76"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16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In addition, the conduct of clinical trials outside the U.S. could have a significant adverse impact on us. Risks inherent in conducting international clinical trials include:</w:t>
      </w:r>
    </w:p>
    <w:p>
      <w:pPr>
        <w:spacing w:after="0" w:line="62"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1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order to market and sell products in the European Union, or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6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Additionally, we could face heightened risks with respect to seeking marketing approval in the U.K. as a result of the recent withdrawal of the U.K. from the E.U., commonly referred to as Brexit. The U.K. and E.U. entered into a Trade and Cooperation Agreement in connection with Brexit that sets out certain procedures for approval and recognition of medical products in each jurisdiction. Since the regulatory framework for pharmaceutical products in the U.K. covering the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U.K. Any delay in obtaining or an inability to obtain, any marketing approvals, as a result of the Trade and Cooperation Agreement would prevent us from commercializing any product candidates in the U.K. and/or the E.U. and restrict our ability to generate revenue and achieve and sustain profitability. If any of these outcomes occur, we may be forced to restrict or delay efforts to seek regulatory approval in the U.K. and/or E.U. for any product candidates or incur additional costs, which could significantly and materially harm our business.</w:t>
      </w:r>
    </w:p>
    <w:p>
      <w:pPr>
        <w:spacing w:after="0" w:line="58"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Haduvio for the proposed indication of reduction of moderate to severe pruritus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Any regulatory approval to market Haduvio in the U.S. will be limited by indication. If we fail to comply or are found to be in violation of FDA and other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pruritus associated with prurigo nodularis. If we obtain regulatory approval to market Haduvio with an indication statement for the treatment of pruritus associated with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15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Haduvio to treat pruritic conditions other than pruritus associated with prurigo nodularis,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17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80" w:firstLine="510"/>
        <w:spacing w:after="0" w:line="252"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80"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65" w:name="page66"/>
    <w:bookmarkEnd w:id="65"/>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6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prices of prescription pharmaceuticals have also been the subject of considerable discussion in the U.S. To date, there have been several recent U.S. congressional inquiries, as well as proposed and enacted state and federal legislation designed to, among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line="255" w:lineRule="auto"/>
        <w:rPr>
          <w:sz w:val="20"/>
          <w:szCs w:val="20"/>
          <w:color w:val="auto"/>
        </w:rPr>
      </w:pPr>
      <w:r>
        <w:rPr>
          <w:rFonts w:ascii="Arial" w:cs="Arial" w:eastAsia="Arial" w:hAnsi="Arial"/>
          <w:sz w:val="18"/>
          <w:szCs w:val="18"/>
          <w:color w:val="auto"/>
        </w:rPr>
        <w:t>other things, bring more transparency to drug pricing, review the relationship between pricing and manufacturer patient programs, reduce the costs of drugs under Medicare and reform government program reimbursement methodologies for products. For example,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9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addition,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The Biden Administration has frozen certain of the previous administration’s measures to reform drug prices, pending further review. It remains to be seen how the Biden Administration will address this issue but, under Medicare Part D, the new administration may seek to establish a ceiling for the launch prices of all branded, biologic and certain generic drugs by referencing the average price of these drugs in other developed countries. At the same time, the administration may seek to limit Medicare Part D and public option drug prices through a tax penalty on manufacturers for increases in the cost of drugs and biologics above the general inflation rate. The American Rescue Plan Act of 2021, comprehensive COVID-19 relief legislation recently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w:t>
      </w:r>
    </w:p>
    <w:p>
      <w:pPr>
        <w:spacing w:after="0" w:line="168"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right="160"/>
        <w:spacing w:after="0" w:line="277" w:lineRule="auto"/>
        <w:rPr>
          <w:sz w:val="20"/>
          <w:szCs w:val="20"/>
          <w:color w:val="auto"/>
        </w:rPr>
      </w:pPr>
      <w:r>
        <w:rPr>
          <w:rFonts w:ascii="Arial" w:cs="Arial" w:eastAsia="Arial" w:hAnsi="Arial"/>
          <w:sz w:val="18"/>
          <w:szCs w:val="18"/>
          <w:color w:val="auto"/>
        </w:rPr>
        <w:t>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70"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w:t>
      </w:r>
    </w:p>
    <w:p>
      <w:pPr>
        <w:spacing w:after="0" w:line="1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spacing w:after="0" w:line="254" w:lineRule="auto"/>
        <w:rPr>
          <w:sz w:val="20"/>
          <w:szCs w:val="20"/>
          <w:color w:val="auto"/>
        </w:rPr>
      </w:pPr>
      <w:r>
        <w:rPr>
          <w:rFonts w:ascii="Arial" w:cs="Arial" w:eastAsia="Arial" w:hAnsi="Arial"/>
          <w:sz w:val="18"/>
          <w:szCs w:val="18"/>
          <w:color w:val="auto"/>
        </w:rPr>
        <w:t>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184"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17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are highly dependent on Jennifer Good, our President and Chief Executive Officer; Thomas Sciascia, M.D., our Chief Medical Officer; and William Forbes, Pharm. 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7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40" w:firstLine="510"/>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As of June 30, 2021, we had 23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be unable to implement our business strategy, including the successful commercialization of any product candidate.</w:t>
      </w:r>
    </w:p>
    <w:p>
      <w:pPr>
        <w:spacing w:after="0" w:line="18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44" w:lineRule="exact"/>
        <w:rPr>
          <w:rFonts w:ascii="Arial" w:cs="Arial" w:eastAsia="Arial" w:hAnsi="Arial"/>
          <w:sz w:val="18"/>
          <w:szCs w:val="18"/>
          <w:color w:val="auto"/>
        </w:rPr>
      </w:pPr>
    </w:p>
    <w:p>
      <w:pPr>
        <w:ind w:left="880" w:right="980" w:hanging="373"/>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COVID-19;</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obligations in connection with the SVB Term Loan;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52" w:lineRule="exact"/>
        <w:rPr>
          <w:sz w:val="20"/>
          <w:szCs w:val="20"/>
          <w:color w:val="auto"/>
        </w:rPr>
      </w:pPr>
    </w:p>
    <w:p>
      <w:pPr>
        <w:jc w:val="center"/>
        <w:spacing w:after="0" w:line="342" w:lineRule="auto"/>
        <w:rPr>
          <w:sz w:val="20"/>
          <w:szCs w:val="20"/>
          <w:color w:val="auto"/>
        </w:rPr>
      </w:pPr>
      <w:r>
        <w:rPr>
          <w:rFonts w:ascii="Arial" w:cs="Arial" w:eastAsia="Arial" w:hAnsi="Arial"/>
          <w:sz w:val="16"/>
          <w:szCs w:val="16"/>
          <w:color w:val="auto"/>
        </w:rPr>
        <w:t>In addition, COVID-19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4" w:lineRule="exact"/>
        <w:rPr>
          <w:sz w:val="20"/>
          <w:szCs w:val="20"/>
          <w:color w:val="auto"/>
        </w:rPr>
      </w:pPr>
    </w:p>
    <w:p>
      <w:pPr>
        <w:jc w:val="both"/>
        <w:ind w:right="10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16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 the market” offerings. As of June 30, 2021, we had sold 3,421,368 shares of common stock for an aggregate purchase price of $10.6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17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on June 18, 2021, we entered into the LPC Purchase Agreement with Lincoln Park pursuant to which Lincoln Park has committed to purchase up to $15.0 million of shares of our common stock. We filed a registration statement on Form S-1, or the Form S-1, covering the resale of shares of common stock that are issued to Lincoln Park under the LPC Purchase Agreement, which was declared effective on July 14, 2021. We generally have the right to control the timing and amount of any future sales of shares of our common stock to Lincoln Park. Sales of shares of our common stock, if any, to Lincoln Park will depend upon market conditions and other factors to be determined by us. We may ultimately decide to sell to Lincoln Park all, some or none of the additional shares of our common stock that may be available for us to sell pursuant to the LPC Purchase Agreement. If and when we do sell shares of our common stock to Lincoln Park, after Lincoln Park has acquired the shares of common stock, Lincoln Park may resell all, some or none of those shares of common stock at any time or in its discretion. The sale by Lincoln Park of a substantial number of shares of our common stock issued by us to Lincoln Park under the LPC Purchase Agreement or the anticipation of such sales, could make it more difficult for us to sell equity or equity-related securities in the future at a time and at a price that we might otherwise wish to effect sales.</w:t>
      </w:r>
    </w:p>
    <w:p>
      <w:pPr>
        <w:spacing w:after="0" w:line="185"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Sales of substantial amounts of shares of our common stock or other securities by our stockholders, by us under the Shelf Registration Statement, whether pursuant to the ATM Sales Agreement or otherwise or by Lincoln Park pursuant to the Form S-1 or through any other means could also lower the market price of our common stock and impair our ability to raise capital through the sale of equity or equity-related securities.</w:t>
      </w:r>
    </w:p>
    <w:p>
      <w:pPr>
        <w:spacing w:after="0" w:line="1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760" w:firstLine="510"/>
        <w:spacing w:after="0" w:line="308" w:lineRule="auto"/>
        <w:rPr>
          <w:sz w:val="20"/>
          <w:szCs w:val="20"/>
          <w:color w:val="auto"/>
        </w:rPr>
      </w:pPr>
      <w:r>
        <w:rPr>
          <w:rFonts w:ascii="Arial" w:cs="Arial" w:eastAsia="Arial" w:hAnsi="Arial"/>
          <w:sz w:val="17"/>
          <w:szCs w:val="17"/>
          <w:color w:val="auto"/>
        </w:rPr>
        <w:t>Our executive officers and directors and their affiliates and our significant stockholders in the aggregate, beneficially own shares representing approximately 61.0% of our common stock as of August 12, 2021. As a result, our executive officers and directors and their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ind w:right="620"/>
        <w:spacing w:after="0" w:line="277" w:lineRule="auto"/>
        <w:rPr>
          <w:sz w:val="20"/>
          <w:szCs w:val="20"/>
          <w:color w:val="auto"/>
        </w:rPr>
      </w:pPr>
      <w:r>
        <w:rPr>
          <w:rFonts w:ascii="Arial" w:cs="Arial" w:eastAsia="Arial" w:hAnsi="Arial"/>
          <w:sz w:val="18"/>
          <w:szCs w:val="18"/>
          <w:color w:val="auto"/>
        </w:rPr>
        <w:t>affiliates and our significant stockholders acting together would be able to control all matters submitted to our stockholders for approval, as well as our management and affairs. This concentration of ownership control may:</w:t>
      </w:r>
    </w:p>
    <w:p>
      <w:pPr>
        <w:spacing w:after="0" w:line="62" w:lineRule="exact"/>
        <w:rPr>
          <w:sz w:val="20"/>
          <w:szCs w:val="20"/>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44"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IPO price and have held their shares for a longer period, they may be more interested in selling our company to an acquirer than other investors or they may want us to pursue strategies that deviate from the interests of other stockholders.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1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right="300"/>
        <w:spacing w:after="0" w:line="263" w:lineRule="auto"/>
        <w:rPr>
          <w:sz w:val="20"/>
          <w:szCs w:val="20"/>
          <w:color w:val="auto"/>
        </w:rPr>
      </w:pPr>
      <w:r>
        <w:rPr>
          <w:rFonts w:ascii="Arial" w:cs="Arial" w:eastAsia="Arial" w:hAnsi="Arial"/>
          <w:sz w:val="18"/>
          <w:szCs w:val="18"/>
          <w:color w:val="auto"/>
        </w:rPr>
        <w:t>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of December 31, 2020, we had federal and state net operating loss carryforwards of $137.6 million and federal research and development tax credit carryforwards of $3.9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IRC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8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40"/>
        <w:spacing w:after="0" w:line="301" w:lineRule="auto"/>
        <w:rPr>
          <w:sz w:val="20"/>
          <w:szCs w:val="20"/>
          <w:color w:val="auto"/>
        </w:rPr>
      </w:pPr>
      <w:r>
        <w:rPr>
          <w:rFonts w:ascii="Arial" w:cs="Arial" w:eastAsia="Arial" w:hAnsi="Arial"/>
          <w:sz w:val="16"/>
          <w:szCs w:val="16"/>
          <w:color w:val="auto"/>
        </w:rPr>
        <w:t>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5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As part of Congress’s response to COVID-19,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COVID-19, some of which could have an impact on our company. In addition, it is uncertain if and to what extent various states will conform to the Tax Act, the FFCR Act or the CARES Act.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44"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6" w:name="page77"/>
    <w:bookmarkEnd w:id="76"/>
    <w:p>
      <w:pPr>
        <w:ind w:right="40"/>
        <w:spacing w:after="0" w:line="279"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6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ind w:right="120" w:firstLine="8"/>
        <w:spacing w:after="0" w:line="252"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30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Except as previously disclosed on a Current Report on Form 8-K (File No. 001-38886) that we filed with the SEC on June 21, 2021, we did not sell or issue any equity securities during the three months ended June 30, 2021 that were not registered under the Securities Act.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IPO of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May 9, 2019, we closed our IPO, in which we issued and sold 5,500,000 shares of common stock at a public offering price of $10.00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gross proceeds to us from our IPO were $55.0 million.</w:t>
      </w:r>
    </w:p>
    <w:p>
      <w:pPr>
        <w:spacing w:after="0" w:line="103"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4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June 30, 2021, we used approximately $35.5 million of the net proceeds from the IPO to fund the development of Haduvio for the treatment of pruritus associated with prurigo nodularis, the treatment of chronic cough in patients with IPF and general corporate purposes.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80" w:type="dxa"/>
            <w:vAlign w:val="bottom"/>
            <w:gridSpan w:val="11"/>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8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9"/>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Purchase Agreement, dated as of June 18, 2021, by and between the Registrant and Lincoln Park Capital Fund, LLC (incorporated by</w:t>
              </w:r>
            </w:hyperlink>
          </w:p>
        </w:tc>
        <w:tc>
          <w:tcPr>
            <w:tcW w:w="480" w:type="dxa"/>
            <w:vAlign w:val="bottom"/>
            <w:tcBorders>
              <w:top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reference to Exhibit 99.1 to the Registrant’s Current Report on Form 8-K (File No. 001-38886) filed with the SEC on June 21, 2021)</w:t>
              </w:r>
            </w:hyperlink>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r:id="rId97">
              <w:r>
                <w:rPr>
                  <w:rFonts w:ascii="Arial" w:cs="Arial" w:eastAsia="Arial" w:hAnsi="Arial"/>
                  <w:sz w:val="18"/>
                  <w:szCs w:val="18"/>
                  <w:color w:val="0000EE"/>
                </w:rPr>
                <w:t>Registration Rights Agreement, dated as of June 18, 2021, by and between the Registrant and Lincoln Park Capital Fund,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(incorporated by reference to Exhibit 99.2 to the Registrant’s Current Report on Form 8-K (File No. 001-38886) filed with the SEC on June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21, 2021)</w:t>
              </w:r>
            </w:hyperlink>
          </w:p>
        </w:tc>
        <w:tc>
          <w:tcPr>
            <w:tcW w:w="30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r:id="rId98">
              <w:r>
                <w:rPr>
                  <w:rFonts w:ascii="Arial" w:cs="Arial" w:eastAsia="Arial" w:hAnsi="Arial"/>
                  <w:sz w:val="18"/>
                  <w:szCs w:val="18"/>
                  <w:color w:val="0000EE"/>
                </w:rPr>
                <w:t>First Amendment to Loan and Security Agreement, dated July 6, 2021, by and between Silicon Valley Bank and the Registrant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(incorporated by reference to Exhibit 99.1 to the Registrant’s Current Report on Form 8-K (File No. 001-38886) filed with the SEC on July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98">
              <w:r>
                <w:rPr>
                  <w:rFonts w:ascii="Arial" w:cs="Arial" w:eastAsia="Arial" w:hAnsi="Arial"/>
                  <w:sz w:val="18"/>
                  <w:szCs w:val="18"/>
                  <w:color w:val="0000EE"/>
                  <w:w w:val="87"/>
                </w:rPr>
                <w:t>7, 2021)</w:t>
              </w:r>
            </w:hyperlink>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First Amendment to Exclusive License Agreement, dated June 24, 2021, by and between Rutgers, The State University of New Jersey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the Registrant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Offer Letter, dated June 17, 2021, by and between the Registrant and Lisa Delfini</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Certification of Principal Executive Officer and Principal Financial Officer Pursuant to Rules 13a-14(a) or 15d-14(a) under the Securities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Exchange Act of 1934, as Adopted Pursuant to Section 302 of the Sarbanes-Oxley Act of 2002</w:t>
              </w:r>
            </w:hyperlink>
          </w:p>
        </w:tc>
        <w:tc>
          <w:tcPr>
            <w:tcW w:w="3040" w:type="dxa"/>
            <w:vAlign w:val="bottom"/>
            <w:tcBorders>
              <w:top w:val="single" w:sz="8" w:color="0000EE"/>
            </w:tcBorders>
            <w:gridSpan w:val="5"/>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4"/>
              </w:rPr>
            </w:pPr>
            <w:hyperlink w:anchor="page88">
              <w:r>
                <w:rPr>
                  <w:rFonts w:ascii="Arial" w:cs="Arial" w:eastAsia="Arial" w:hAnsi="Arial"/>
                  <w:sz w:val="18"/>
                  <w:szCs w:val="18"/>
                  <w:color w:val="0000EE"/>
                  <w:w w:val="94"/>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Section 906 of the Sarbanes-Oxley Act of 2002</w:t>
              </w:r>
            </w:hyperlink>
          </w:p>
        </w:tc>
        <w:tc>
          <w:tcPr>
            <w:tcW w:w="6340" w:type="dxa"/>
            <w:vAlign w:val="bottom"/>
            <w:tcBorders>
              <w:top w:val="single" w:sz="8" w:color="0000EE"/>
            </w:tcBorders>
            <w:gridSpan w:val="6"/>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hanging="1132"/>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120" w:val="left"/>
          <w:tab w:leader="none" w:pos="810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Jennifer L. Good</w:t>
      </w:r>
    </w:p>
    <w:p>
      <w:pPr>
        <w:spacing w:after="0" w:line="2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and Principal Financial Officer)</w:t>
      </w:r>
    </w:p>
    <w:p>
      <w:pPr>
        <w:spacing w:after="0" w:line="238" w:lineRule="exact"/>
        <w:rPr>
          <w:sz w:val="20"/>
          <w:szCs w:val="20"/>
          <w:color w:val="auto"/>
        </w:rPr>
      </w:pPr>
    </w:p>
    <w:p>
      <w:pPr>
        <w:ind w:left="61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Christopher Galletta</w:t>
      </w:r>
    </w:p>
    <w:p>
      <w:pPr>
        <w:spacing w:after="0" w:line="2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Controller and Treasurer</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00"/>
          </w:cols>
          <w:pgMar w:left="320" w:top="553" w:right="779" w:bottom="1440" w:gutter="0" w:footer="0" w:header="0"/>
        </w:sectPr>
      </w:pPr>
    </w:p>
    <w:bookmarkStart w:id="80" w:name="page81"/>
    <w:bookmarkEnd w:id="80"/>
    <w:p>
      <w:pPr>
        <w:jc w:val="center"/>
        <w:ind w:right="-30"/>
        <w:spacing w:after="0"/>
        <w:rPr>
          <w:sz w:val="20"/>
          <w:szCs w:val="20"/>
          <w:color w:val="auto"/>
        </w:rPr>
      </w:pPr>
      <w:r>
        <w:rPr>
          <w:rFonts w:ascii="Arial" w:cs="Arial" w:eastAsia="Arial" w:hAnsi="Arial"/>
          <w:sz w:val="20"/>
          <w:szCs w:val="20"/>
          <w:b w:val="1"/>
          <w:bCs w:val="1"/>
          <w:color w:val="161618"/>
        </w:rPr>
        <w:t>FIRST AMENDMENT TO EXCLUSIVE LICENSE AGREEMENT</w:t>
      </w:r>
    </w:p>
    <w:p>
      <w:pPr>
        <w:spacing w:after="0" w:line="200" w:lineRule="exact"/>
        <w:rPr>
          <w:sz w:val="20"/>
          <w:szCs w:val="20"/>
          <w:color w:val="auto"/>
        </w:rPr>
      </w:pPr>
    </w:p>
    <w:p>
      <w:pPr>
        <w:spacing w:after="0" w:line="251" w:lineRule="exact"/>
        <w:rPr>
          <w:sz w:val="20"/>
          <w:szCs w:val="20"/>
          <w:color w:val="auto"/>
        </w:rPr>
      </w:pPr>
    </w:p>
    <w:p>
      <w:pPr>
        <w:jc w:val="center"/>
        <w:ind w:right="-30"/>
        <w:spacing w:after="0"/>
        <w:rPr>
          <w:sz w:val="20"/>
          <w:szCs w:val="20"/>
          <w:color w:val="auto"/>
        </w:rPr>
      </w:pPr>
      <w:r>
        <w:rPr>
          <w:rFonts w:ascii="Arial" w:cs="Arial" w:eastAsia="Arial" w:hAnsi="Arial"/>
          <w:sz w:val="20"/>
          <w:szCs w:val="20"/>
          <w:color w:val="161618"/>
        </w:rPr>
        <w:t>THIS FIRST AMENDMENT TO EXCLUSIVE LICENSE AGREEMENT (hereinafter the "First</w:t>
      </w:r>
    </w:p>
    <w:p>
      <w:pPr>
        <w:spacing w:after="0" w:line="40" w:lineRule="exact"/>
        <w:rPr>
          <w:sz w:val="20"/>
          <w:szCs w:val="20"/>
          <w:color w:val="auto"/>
        </w:rPr>
      </w:pPr>
    </w:p>
    <w:p>
      <w:pPr>
        <w:jc w:val="both"/>
        <w:ind w:left="11" w:firstLine="3"/>
        <w:spacing w:after="0" w:line="246" w:lineRule="auto"/>
        <w:rPr>
          <w:sz w:val="20"/>
          <w:szCs w:val="20"/>
          <w:color w:val="auto"/>
        </w:rPr>
      </w:pPr>
      <w:r>
        <w:rPr>
          <w:rFonts w:ascii="Arial" w:cs="Arial" w:eastAsia="Arial" w:hAnsi="Arial"/>
          <w:sz w:val="20"/>
          <w:szCs w:val="20"/>
          <w:color w:val="161618"/>
        </w:rPr>
        <w:t xml:space="preserve">Amendment") is effective as of June 24, 2021, (the "Amendment Effective Date"), by and between Rutgers, The State University </w:t>
      </w:r>
      <w:r>
        <w:rPr>
          <w:rFonts w:ascii="Arial" w:cs="Arial" w:eastAsia="Arial" w:hAnsi="Arial"/>
          <w:sz w:val="20"/>
          <w:szCs w:val="20"/>
          <w:color w:val="000000"/>
        </w:rPr>
        <w:t>o</w:t>
      </w:r>
      <w:r>
        <w:rPr>
          <w:rFonts w:ascii="Arial" w:cs="Arial" w:eastAsia="Arial" w:hAnsi="Arial"/>
          <w:sz w:val="20"/>
          <w:szCs w:val="20"/>
          <w:color w:val="161618"/>
        </w:rPr>
        <w:t>f New Jersey (hereinafter "RUTGERS") and Trevi Therapeutics, Inc. (hereinafter "Licensee", and together with RUTGERS the "PARTIES", and each individually a "PARTY"), and amends the license agreement between the PARTIES, effective November 5</w:t>
      </w:r>
      <w:r>
        <w:rPr>
          <w:rFonts w:ascii="Arial" w:cs="Arial" w:eastAsia="Arial" w:hAnsi="Arial"/>
          <w:sz w:val="16"/>
          <w:szCs w:val="16"/>
          <w:color w:val="161618"/>
        </w:rPr>
        <w:t>th</w:t>
      </w:r>
      <w:r>
        <w:rPr>
          <w:rFonts w:ascii="Arial" w:cs="Arial" w:eastAsia="Arial" w:hAnsi="Arial"/>
          <w:sz w:val="20"/>
          <w:szCs w:val="20"/>
          <w:color w:val="161618"/>
        </w:rPr>
        <w:t>, 2018 (the "Effective Date") (hereinafter "LICENSE").</w:t>
      </w:r>
    </w:p>
    <w:p>
      <w:pPr>
        <w:spacing w:after="0" w:line="200" w:lineRule="exact"/>
        <w:rPr>
          <w:sz w:val="20"/>
          <w:szCs w:val="20"/>
          <w:color w:val="auto"/>
        </w:rPr>
      </w:pPr>
    </w:p>
    <w:p>
      <w:pPr>
        <w:spacing w:after="0" w:line="261" w:lineRule="exact"/>
        <w:rPr>
          <w:sz w:val="20"/>
          <w:szCs w:val="20"/>
          <w:color w:val="auto"/>
        </w:rPr>
      </w:pPr>
    </w:p>
    <w:p>
      <w:pPr>
        <w:ind w:left="11"/>
        <w:spacing w:after="0"/>
        <w:rPr>
          <w:sz w:val="20"/>
          <w:szCs w:val="20"/>
          <w:color w:val="auto"/>
        </w:rPr>
      </w:pPr>
      <w:r>
        <w:rPr>
          <w:rFonts w:ascii="Arial" w:cs="Arial" w:eastAsia="Arial" w:hAnsi="Arial"/>
          <w:sz w:val="18"/>
          <w:szCs w:val="18"/>
          <w:color w:val="161618"/>
        </w:rPr>
        <w:t>WHEREAS, the PARTIES to the LICENSE wish to amend certain provisions of the LICENSE as set forth in this FIRST AMENDMENT.</w:t>
      </w:r>
    </w:p>
    <w:p>
      <w:pPr>
        <w:spacing w:after="0" w:line="200" w:lineRule="exact"/>
        <w:rPr>
          <w:sz w:val="20"/>
          <w:szCs w:val="20"/>
          <w:color w:val="auto"/>
        </w:rPr>
      </w:pPr>
    </w:p>
    <w:p>
      <w:pPr>
        <w:spacing w:after="0" w:line="295" w:lineRule="exact"/>
        <w:rPr>
          <w:sz w:val="20"/>
          <w:szCs w:val="20"/>
          <w:color w:val="auto"/>
        </w:rPr>
      </w:pPr>
    </w:p>
    <w:p>
      <w:pPr>
        <w:ind w:left="11"/>
        <w:spacing w:after="0"/>
        <w:rPr>
          <w:sz w:val="20"/>
          <w:szCs w:val="20"/>
          <w:color w:val="auto"/>
        </w:rPr>
      </w:pPr>
      <w:r>
        <w:rPr>
          <w:rFonts w:ascii="Arial" w:cs="Arial" w:eastAsia="Arial" w:hAnsi="Arial"/>
          <w:sz w:val="20"/>
          <w:szCs w:val="20"/>
          <w:color w:val="161618"/>
        </w:rPr>
        <w:t>NOW, THEREFORE, the PARTIES hereby agree as follows:</w:t>
      </w:r>
    </w:p>
    <w:p>
      <w:pPr>
        <w:spacing w:after="0" w:line="148" w:lineRule="exact"/>
        <w:rPr>
          <w:sz w:val="20"/>
          <w:szCs w:val="20"/>
          <w:color w:val="auto"/>
        </w:rPr>
      </w:pPr>
    </w:p>
    <w:p>
      <w:pPr>
        <w:ind w:left="371" w:hanging="371"/>
        <w:spacing w:after="0"/>
        <w:tabs>
          <w:tab w:leader="none" w:pos="371" w:val="left"/>
        </w:tabs>
        <w:numPr>
          <w:ilvl w:val="0"/>
          <w:numId w:val="51"/>
        </w:numPr>
        <w:rPr>
          <w:rFonts w:ascii="Arial" w:cs="Arial" w:eastAsia="Arial" w:hAnsi="Arial"/>
          <w:sz w:val="20"/>
          <w:szCs w:val="20"/>
          <w:color w:val="161618"/>
        </w:rPr>
      </w:pPr>
      <w:r>
        <w:rPr>
          <w:rFonts w:ascii="Arial" w:cs="Arial" w:eastAsia="Arial" w:hAnsi="Arial"/>
          <w:sz w:val="20"/>
          <w:szCs w:val="20"/>
          <w:color w:val="161618"/>
        </w:rPr>
        <w:t>All capitalized terms not defined in this FIRST AMENDMENT shall have the meanings given to them in the LICENSE.</w:t>
      </w:r>
    </w:p>
    <w:p>
      <w:pPr>
        <w:spacing w:after="0" w:line="202" w:lineRule="exact"/>
        <w:rPr>
          <w:rFonts w:ascii="Arial" w:cs="Arial" w:eastAsia="Arial" w:hAnsi="Arial"/>
          <w:sz w:val="20"/>
          <w:szCs w:val="20"/>
          <w:color w:val="161618"/>
        </w:rPr>
      </w:pPr>
    </w:p>
    <w:p>
      <w:pPr>
        <w:ind w:left="371" w:hanging="371"/>
        <w:spacing w:after="0"/>
        <w:tabs>
          <w:tab w:leader="none" w:pos="371" w:val="left"/>
        </w:tabs>
        <w:numPr>
          <w:ilvl w:val="0"/>
          <w:numId w:val="51"/>
        </w:numPr>
        <w:rPr>
          <w:rFonts w:ascii="Arial" w:cs="Arial" w:eastAsia="Arial" w:hAnsi="Arial"/>
          <w:sz w:val="20"/>
          <w:szCs w:val="20"/>
          <w:color w:val="161618"/>
        </w:rPr>
      </w:pPr>
      <w:r>
        <w:rPr>
          <w:rFonts w:ascii="Arial" w:cs="Arial" w:eastAsia="Arial" w:hAnsi="Arial"/>
          <w:sz w:val="20"/>
          <w:szCs w:val="20"/>
          <w:color w:val="161618"/>
        </w:rPr>
        <w:t>Licensee shall pay to Rutgers twenty-five thousand dollars ($25,000) within 30 days of the</w:t>
      </w:r>
    </w:p>
    <w:p>
      <w:pPr>
        <w:spacing w:after="0" w:line="67" w:lineRule="exact"/>
        <w:rPr>
          <w:rFonts w:ascii="Arial" w:cs="Arial" w:eastAsia="Arial" w:hAnsi="Arial"/>
          <w:sz w:val="20"/>
          <w:szCs w:val="20"/>
          <w:color w:val="161618"/>
        </w:rPr>
      </w:pPr>
    </w:p>
    <w:p>
      <w:pPr>
        <w:ind w:left="371" w:hanging="1"/>
        <w:spacing w:after="0" w:line="260" w:lineRule="auto"/>
        <w:rPr>
          <w:rFonts w:ascii="Arial" w:cs="Arial" w:eastAsia="Arial" w:hAnsi="Arial"/>
          <w:sz w:val="20"/>
          <w:szCs w:val="20"/>
          <w:color w:val="161618"/>
        </w:rPr>
      </w:pPr>
      <w:r>
        <w:rPr>
          <w:rFonts w:ascii="Arial" w:cs="Arial" w:eastAsia="Arial" w:hAnsi="Arial"/>
          <w:sz w:val="20"/>
          <w:szCs w:val="20"/>
          <w:color w:val="161618"/>
        </w:rPr>
        <w:t>Amendment Effective Date to extend the deadline to commence a clinical trial on nalbuphine for Levodopa Induced Dyskinesia to 31st December 2022.</w:t>
      </w:r>
    </w:p>
    <w:p>
      <w:pPr>
        <w:spacing w:after="0" w:line="217" w:lineRule="exact"/>
        <w:rPr>
          <w:rFonts w:ascii="Arial" w:cs="Arial" w:eastAsia="Arial" w:hAnsi="Arial"/>
          <w:sz w:val="20"/>
          <w:szCs w:val="20"/>
          <w:color w:val="161618"/>
        </w:rPr>
      </w:pPr>
    </w:p>
    <w:p>
      <w:pPr>
        <w:ind w:left="371" w:hanging="371"/>
        <w:spacing w:after="0" w:line="287" w:lineRule="auto"/>
        <w:tabs>
          <w:tab w:leader="none" w:pos="371" w:val="left"/>
        </w:tabs>
        <w:numPr>
          <w:ilvl w:val="0"/>
          <w:numId w:val="51"/>
        </w:numPr>
        <w:rPr>
          <w:rFonts w:ascii="Arial" w:cs="Arial" w:eastAsia="Arial" w:hAnsi="Arial"/>
          <w:sz w:val="19"/>
          <w:szCs w:val="19"/>
          <w:color w:val="161618"/>
        </w:rPr>
      </w:pPr>
      <w:r>
        <w:rPr>
          <w:rFonts w:ascii="Arial" w:cs="Arial" w:eastAsia="Arial" w:hAnsi="Arial"/>
          <w:sz w:val="19"/>
          <w:szCs w:val="19"/>
          <w:color w:val="161618"/>
        </w:rPr>
        <w:t>During the above extension period until 31st December 2022, Licensee shall maintain all Patent Rights and shall not abandon any licensed Patent Rights, including Patents Rights in United States, Canada, Japan, and all validated EP countries.</w:t>
      </w:r>
    </w:p>
    <w:p>
      <w:pPr>
        <w:spacing w:after="0" w:line="152" w:lineRule="exact"/>
        <w:rPr>
          <w:rFonts w:ascii="Arial" w:cs="Arial" w:eastAsia="Arial" w:hAnsi="Arial"/>
          <w:sz w:val="19"/>
          <w:szCs w:val="19"/>
          <w:color w:val="161618"/>
        </w:rPr>
      </w:pPr>
    </w:p>
    <w:p>
      <w:pPr>
        <w:ind w:left="351" w:hanging="351"/>
        <w:spacing w:after="0"/>
        <w:tabs>
          <w:tab w:leader="none" w:pos="351" w:val="left"/>
        </w:tabs>
        <w:numPr>
          <w:ilvl w:val="0"/>
          <w:numId w:val="51"/>
        </w:numPr>
        <w:rPr>
          <w:rFonts w:ascii="Arial" w:cs="Arial" w:eastAsia="Arial" w:hAnsi="Arial"/>
          <w:sz w:val="20"/>
          <w:szCs w:val="20"/>
          <w:color w:val="161618"/>
        </w:rPr>
      </w:pPr>
      <w:r>
        <w:rPr>
          <w:rFonts w:ascii="Arial" w:cs="Arial" w:eastAsia="Arial" w:hAnsi="Arial"/>
          <w:sz w:val="20"/>
          <w:szCs w:val="20"/>
          <w:color w:val="161618"/>
        </w:rPr>
        <w:t>S</w:t>
      </w:r>
      <w:r>
        <w:rPr>
          <w:rFonts w:ascii="Arial" w:cs="Arial" w:eastAsia="Arial" w:hAnsi="Arial"/>
          <w:sz w:val="20"/>
          <w:szCs w:val="20"/>
          <w:color w:val="38383B"/>
        </w:rPr>
        <w:t>E</w:t>
      </w:r>
      <w:r>
        <w:rPr>
          <w:rFonts w:ascii="Arial" w:cs="Arial" w:eastAsia="Arial" w:hAnsi="Arial"/>
          <w:sz w:val="20"/>
          <w:szCs w:val="20"/>
          <w:color w:val="161618"/>
        </w:rPr>
        <w:t>CTION 6.2 of the LICENSE is hereby deleted in its entirety and replaced with the following:</w:t>
      </w:r>
    </w:p>
    <w:p>
      <w:pPr>
        <w:spacing w:after="0" w:line="243" w:lineRule="exact"/>
        <w:rPr>
          <w:sz w:val="20"/>
          <w:szCs w:val="20"/>
          <w:color w:val="auto"/>
        </w:rPr>
      </w:pPr>
    </w:p>
    <w:p>
      <w:pPr>
        <w:jc w:val="both"/>
        <w:ind w:left="371" w:hanging="1"/>
        <w:spacing w:after="0" w:line="246" w:lineRule="auto"/>
        <w:rPr>
          <w:sz w:val="20"/>
          <w:szCs w:val="20"/>
          <w:color w:val="auto"/>
        </w:rPr>
      </w:pPr>
      <w:r>
        <w:rPr>
          <w:rFonts w:ascii="Arial" w:cs="Arial" w:eastAsia="Arial" w:hAnsi="Arial"/>
          <w:sz w:val="20"/>
          <w:szCs w:val="20"/>
          <w:color w:val="161618"/>
        </w:rPr>
        <w:t>In addition to the above, if Licensee does not commence a clinical trial on nalbuphine for Levodopa Induced Dyskinesia by December 31st, 2022, then Licensee shall pay to Rutgers afee of seventy-five thousand dollars ($75,000) (Payment) within seven (7) business days from December 31st, 2022, and Rutgers will have the right to terminate the Agreement. This Payment shall survive the termination of the agreement.</w:t>
      </w:r>
    </w:p>
    <w:p>
      <w:pPr>
        <w:spacing w:after="0" w:line="191" w:lineRule="exact"/>
        <w:rPr>
          <w:sz w:val="20"/>
          <w:szCs w:val="20"/>
          <w:color w:val="auto"/>
        </w:rPr>
      </w:pPr>
    </w:p>
    <w:p>
      <w:pPr>
        <w:ind w:left="371" w:hanging="371"/>
        <w:spacing w:after="0"/>
        <w:tabs>
          <w:tab w:leader="none" w:pos="371" w:val="left"/>
        </w:tabs>
        <w:numPr>
          <w:ilvl w:val="0"/>
          <w:numId w:val="52"/>
        </w:numPr>
        <w:rPr>
          <w:rFonts w:ascii="Arial" w:cs="Arial" w:eastAsia="Arial" w:hAnsi="Arial"/>
          <w:sz w:val="19"/>
          <w:szCs w:val="19"/>
          <w:color w:val="161618"/>
        </w:rPr>
      </w:pPr>
      <w:r>
        <w:rPr>
          <w:rFonts w:ascii="Arial" w:cs="Arial" w:eastAsia="Arial" w:hAnsi="Arial"/>
          <w:sz w:val="19"/>
          <w:szCs w:val="19"/>
          <w:color w:val="161618"/>
        </w:rPr>
        <w:t>Except as expressly set forth in Article 1, 2, 3 and 4 above, the LICENSE shall remain unmodified and in full force and effect.</w:t>
      </w:r>
    </w:p>
    <w:p>
      <w:pPr>
        <w:spacing w:after="0" w:line="208" w:lineRule="exact"/>
        <w:rPr>
          <w:rFonts w:ascii="Arial" w:cs="Arial" w:eastAsia="Arial" w:hAnsi="Arial"/>
          <w:sz w:val="19"/>
          <w:szCs w:val="19"/>
          <w:color w:val="161618"/>
        </w:rPr>
      </w:pPr>
    </w:p>
    <w:p>
      <w:pPr>
        <w:ind w:left="371" w:hanging="371"/>
        <w:spacing w:after="0" w:line="236" w:lineRule="auto"/>
        <w:tabs>
          <w:tab w:leader="none" w:pos="371" w:val="left"/>
        </w:tabs>
        <w:numPr>
          <w:ilvl w:val="0"/>
          <w:numId w:val="52"/>
        </w:numPr>
        <w:rPr>
          <w:rFonts w:ascii="Arial" w:cs="Arial" w:eastAsia="Arial" w:hAnsi="Arial"/>
          <w:sz w:val="20"/>
          <w:szCs w:val="20"/>
          <w:color w:val="161618"/>
        </w:rPr>
      </w:pPr>
      <w:r>
        <w:rPr>
          <w:rFonts w:ascii="Arial" w:cs="Arial" w:eastAsia="Arial" w:hAnsi="Arial"/>
          <w:sz w:val="22"/>
          <w:szCs w:val="22"/>
          <w:color w:val="161618"/>
        </w:rPr>
        <w:t xml:space="preserve">If </w:t>
      </w:r>
      <w:r>
        <w:rPr>
          <w:rFonts w:ascii="Arial" w:cs="Arial" w:eastAsia="Arial" w:hAnsi="Arial"/>
          <w:sz w:val="19"/>
          <w:szCs w:val="19"/>
          <w:color w:val="161618"/>
        </w:rPr>
        <w:t>there is a conflict between the FIRST AMENDMENT and any provisions of the LICENSE, the terms and conditions of the</w:t>
      </w:r>
      <w:r>
        <w:rPr>
          <w:rFonts w:ascii="Arial" w:cs="Arial" w:eastAsia="Arial" w:hAnsi="Arial"/>
          <w:sz w:val="22"/>
          <w:szCs w:val="22"/>
          <w:color w:val="161618"/>
        </w:rPr>
        <w:t xml:space="preserve"> </w:t>
      </w:r>
      <w:r>
        <w:rPr>
          <w:rFonts w:ascii="Arial" w:cs="Arial" w:eastAsia="Arial" w:hAnsi="Arial"/>
          <w:sz w:val="19"/>
          <w:szCs w:val="19"/>
          <w:color w:val="161618"/>
        </w:rPr>
        <w:t>FIRST AMENDMENT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199390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51"/>
          </w:cols>
          <w:pgMar w:left="449" w:top="859" w:right="4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131313"/>
        </w:rPr>
        <w:t>IN WITNESS WHEREOF, the PARTIES have executed this FIRST AMENDMENT as of the date and year set forth above</w:t>
      </w:r>
      <w:r>
        <w:rPr>
          <w:rFonts w:ascii="Arial" w:cs="Arial" w:eastAsia="Arial" w:hAnsi="Arial"/>
          <w:sz w:val="18"/>
          <w:szCs w:val="18"/>
          <w:color w:val="424242"/>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tabs>
          <w:tab w:leader="none" w:pos="6000" w:val="left"/>
        </w:tabs>
        <w:rPr>
          <w:sz w:val="20"/>
          <w:szCs w:val="20"/>
          <w:color w:val="auto"/>
        </w:rPr>
      </w:pPr>
      <w:r>
        <w:rPr>
          <w:rFonts w:ascii="Arial" w:cs="Arial" w:eastAsia="Arial" w:hAnsi="Arial"/>
          <w:sz w:val="20"/>
          <w:szCs w:val="20"/>
          <w:color w:val="131313"/>
        </w:rPr>
        <w:t>Trevi Therapeutics, Inc.</w:t>
      </w:r>
      <w:r>
        <w:rPr>
          <w:sz w:val="20"/>
          <w:szCs w:val="20"/>
          <w:color w:val="auto"/>
        </w:rPr>
        <w:tab/>
      </w:r>
      <w:r>
        <w:rPr>
          <w:rFonts w:ascii="Arial" w:cs="Arial" w:eastAsia="Arial" w:hAnsi="Arial"/>
          <w:sz w:val="18"/>
          <w:szCs w:val="18"/>
          <w:b w:val="1"/>
          <w:bCs w:val="1"/>
          <w:color w:val="131313"/>
        </w:rPr>
        <w:t>Rutgers, The State University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7"/>
          </w:tcPr>
          <w:p>
            <w:pPr>
              <w:spacing w:after="0"/>
              <w:rPr>
                <w:sz w:val="20"/>
                <w:szCs w:val="20"/>
                <w:color w:val="auto"/>
              </w:rPr>
            </w:pPr>
            <w:r>
              <w:rPr>
                <w:rFonts w:ascii="Arial" w:cs="Arial" w:eastAsia="Arial" w:hAnsi="Arial"/>
                <w:sz w:val="20"/>
                <w:szCs w:val="20"/>
                <w:color w:val="131313"/>
              </w:rPr>
              <w:t>By /s/ Jennifer L. Good</w:t>
            </w:r>
          </w:p>
        </w:tc>
        <w:tc>
          <w:tcPr>
            <w:tcW w:w="840" w:type="dxa"/>
            <w:vAlign w:val="bottom"/>
          </w:tcPr>
          <w:p>
            <w:pPr>
              <w:spacing w:after="0"/>
              <w:rPr>
                <w:sz w:val="19"/>
                <w:szCs w:val="19"/>
                <w:color w:val="auto"/>
              </w:rPr>
            </w:pPr>
          </w:p>
        </w:tc>
        <w:tc>
          <w:tcPr>
            <w:tcW w:w="6380" w:type="dxa"/>
            <w:vAlign w:val="bottom"/>
            <w:gridSpan w:val="6"/>
          </w:tcPr>
          <w:p>
            <w:pPr>
              <w:ind w:left="100"/>
              <w:spacing w:after="0"/>
              <w:rPr>
                <w:sz w:val="20"/>
                <w:szCs w:val="20"/>
                <w:color w:val="auto"/>
              </w:rPr>
            </w:pPr>
            <w:r>
              <w:rPr>
                <w:rFonts w:ascii="Arial" w:cs="Arial" w:eastAsia="Arial" w:hAnsi="Arial"/>
                <w:sz w:val="20"/>
                <w:szCs w:val="20"/>
                <w:color w:val="131313"/>
              </w:rPr>
              <w:t>By /s/Tatiana Litvin-Vechnyak</w:t>
            </w:r>
          </w:p>
        </w:tc>
      </w:tr>
      <w:tr>
        <w:trPr>
          <w:trHeight w:val="20"/>
        </w:trPr>
        <w:tc>
          <w:tcPr>
            <w:tcW w:w="280" w:type="dxa"/>
            <w:vAlign w:val="bottom"/>
          </w:tcPr>
          <w:p>
            <w:pPr>
              <w:spacing w:after="0" w:line="20" w:lineRule="exact"/>
              <w:rPr>
                <w:sz w:val="1"/>
                <w:szCs w:val="1"/>
                <w:color w:val="auto"/>
              </w:rPr>
            </w:pPr>
          </w:p>
        </w:tc>
        <w:tc>
          <w:tcPr>
            <w:tcW w:w="160" w:type="dxa"/>
            <w:vAlign w:val="bottom"/>
            <w:tcBorders>
              <w:right w:val="single" w:sz="8" w:color="131313"/>
            </w:tcBorders>
            <w:shd w:val="clear" w:color="auto" w:fill="131313"/>
          </w:tcPr>
          <w:p>
            <w:pPr>
              <w:spacing w:after="0" w:line="20" w:lineRule="exact"/>
              <w:rPr>
                <w:sz w:val="1"/>
                <w:szCs w:val="1"/>
                <w:color w:val="auto"/>
              </w:rPr>
            </w:pPr>
          </w:p>
        </w:tc>
        <w:tc>
          <w:tcPr>
            <w:tcW w:w="80" w:type="dxa"/>
            <w:vAlign w:val="bottom"/>
            <w:shd w:val="clear" w:color="auto" w:fill="131313"/>
          </w:tcPr>
          <w:p>
            <w:pPr>
              <w:spacing w:after="0" w:line="20" w:lineRule="exact"/>
              <w:rPr>
                <w:sz w:val="1"/>
                <w:szCs w:val="1"/>
                <w:color w:val="auto"/>
              </w:rPr>
            </w:pPr>
          </w:p>
        </w:tc>
        <w:tc>
          <w:tcPr>
            <w:tcW w:w="620" w:type="dxa"/>
            <w:vAlign w:val="bottom"/>
            <w:shd w:val="clear" w:color="auto" w:fill="131313"/>
          </w:tcPr>
          <w:p>
            <w:pPr>
              <w:spacing w:after="0" w:line="20" w:lineRule="exact"/>
              <w:rPr>
                <w:sz w:val="1"/>
                <w:szCs w:val="1"/>
                <w:color w:val="auto"/>
              </w:rPr>
            </w:pPr>
          </w:p>
        </w:tc>
        <w:tc>
          <w:tcPr>
            <w:tcW w:w="660" w:type="dxa"/>
            <w:vAlign w:val="bottom"/>
            <w:shd w:val="clear" w:color="auto" w:fill="131313"/>
          </w:tcPr>
          <w:p>
            <w:pPr>
              <w:spacing w:after="0" w:line="20" w:lineRule="exact"/>
              <w:rPr>
                <w:sz w:val="1"/>
                <w:szCs w:val="1"/>
                <w:color w:val="auto"/>
              </w:rPr>
            </w:pPr>
          </w:p>
        </w:tc>
        <w:tc>
          <w:tcPr>
            <w:tcW w:w="80" w:type="dxa"/>
            <w:vAlign w:val="bottom"/>
            <w:tcBorders>
              <w:left w:val="single" w:sz="8" w:color="13131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shd w:val="clear" w:color="auto" w:fill="131313"/>
          </w:tcPr>
          <w:p>
            <w:pPr>
              <w:spacing w:after="0" w:line="20" w:lineRule="exact"/>
              <w:rPr>
                <w:sz w:val="1"/>
                <w:szCs w:val="1"/>
                <w:color w:val="auto"/>
              </w:rPr>
            </w:pPr>
          </w:p>
        </w:tc>
        <w:tc>
          <w:tcPr>
            <w:tcW w:w="160" w:type="dxa"/>
            <w:vAlign w:val="bottom"/>
            <w:shd w:val="clear" w:color="auto" w:fill="131313"/>
          </w:tcPr>
          <w:p>
            <w:pPr>
              <w:spacing w:after="0" w:line="20" w:lineRule="exact"/>
              <w:rPr>
                <w:sz w:val="1"/>
                <w:szCs w:val="1"/>
                <w:color w:val="auto"/>
              </w:rPr>
            </w:pPr>
          </w:p>
        </w:tc>
        <w:tc>
          <w:tcPr>
            <w:tcW w:w="440" w:type="dxa"/>
            <w:vAlign w:val="bottom"/>
            <w:shd w:val="clear" w:color="auto" w:fill="1313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10"/>
        </w:trPr>
        <w:tc>
          <w:tcPr>
            <w:tcW w:w="2200" w:type="dxa"/>
            <w:vAlign w:val="bottom"/>
            <w:gridSpan w:val="7"/>
          </w:tcPr>
          <w:p>
            <w:pPr>
              <w:spacing w:after="0" w:line="209" w:lineRule="exact"/>
              <w:rPr>
                <w:sz w:val="20"/>
                <w:szCs w:val="20"/>
                <w:color w:val="auto"/>
              </w:rPr>
            </w:pPr>
            <w:r>
              <w:rPr>
                <w:rFonts w:ascii="Arial" w:cs="Arial" w:eastAsia="Arial" w:hAnsi="Arial"/>
                <w:sz w:val="20"/>
                <w:szCs w:val="20"/>
                <w:color w:val="131313"/>
              </w:rPr>
              <w:t>Name Jennifer L. Good</w:t>
            </w:r>
          </w:p>
        </w:tc>
        <w:tc>
          <w:tcPr>
            <w:tcW w:w="7220" w:type="dxa"/>
            <w:vAlign w:val="bottom"/>
            <w:gridSpan w:val="7"/>
          </w:tcPr>
          <w:p>
            <w:pPr>
              <w:ind w:left="320"/>
              <w:spacing w:after="0" w:line="209" w:lineRule="exact"/>
              <w:rPr>
                <w:sz w:val="20"/>
                <w:szCs w:val="20"/>
                <w:color w:val="auto"/>
              </w:rPr>
            </w:pPr>
            <w:r>
              <w:rPr>
                <w:rFonts w:ascii="Arial" w:cs="Arial" w:eastAsia="Arial" w:hAnsi="Arial"/>
                <w:sz w:val="20"/>
                <w:szCs w:val="20"/>
                <w:color w:val="131313"/>
              </w:rPr>
              <w:t>Name Tatiana Litvin-Vechnyak</w:t>
            </w:r>
          </w:p>
        </w:tc>
      </w:tr>
      <w:tr>
        <w:trPr>
          <w:trHeight w:val="20"/>
        </w:trPr>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131313"/>
          </w:tcPr>
          <w:p>
            <w:pPr>
              <w:spacing w:after="0" w:line="20" w:lineRule="exact"/>
              <w:rPr>
                <w:sz w:val="1"/>
                <w:szCs w:val="1"/>
                <w:color w:val="auto"/>
              </w:rPr>
            </w:pPr>
          </w:p>
        </w:tc>
        <w:tc>
          <w:tcPr>
            <w:tcW w:w="660" w:type="dxa"/>
            <w:vAlign w:val="bottom"/>
            <w:shd w:val="clear" w:color="auto" w:fill="131313"/>
          </w:tcPr>
          <w:p>
            <w:pPr>
              <w:spacing w:after="0" w:line="20" w:lineRule="exact"/>
              <w:rPr>
                <w:sz w:val="1"/>
                <w:szCs w:val="1"/>
                <w:color w:val="auto"/>
              </w:rPr>
            </w:pPr>
          </w:p>
        </w:tc>
        <w:tc>
          <w:tcPr>
            <w:tcW w:w="80" w:type="dxa"/>
            <w:vAlign w:val="bottom"/>
            <w:tcBorders>
              <w:left w:val="single" w:sz="8" w:color="131313"/>
            </w:tcBorders>
            <w:shd w:val="clear" w:color="auto" w:fill="1313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131313"/>
          </w:tcPr>
          <w:p>
            <w:pPr>
              <w:spacing w:after="0" w:line="20" w:lineRule="exact"/>
              <w:rPr>
                <w:sz w:val="1"/>
                <w:szCs w:val="1"/>
                <w:color w:val="auto"/>
              </w:rPr>
            </w:pPr>
          </w:p>
        </w:tc>
        <w:tc>
          <w:tcPr>
            <w:tcW w:w="1580" w:type="dxa"/>
            <w:vAlign w:val="bottom"/>
            <w:shd w:val="clear" w:color="auto" w:fill="1313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10"/>
        </w:trPr>
        <w:tc>
          <w:tcPr>
            <w:tcW w:w="2200" w:type="dxa"/>
            <w:vAlign w:val="bottom"/>
            <w:gridSpan w:val="7"/>
          </w:tcPr>
          <w:p>
            <w:pPr>
              <w:spacing w:after="0" w:line="209" w:lineRule="exact"/>
              <w:rPr>
                <w:sz w:val="20"/>
                <w:szCs w:val="20"/>
                <w:color w:val="auto"/>
              </w:rPr>
            </w:pPr>
            <w:r>
              <w:rPr>
                <w:rFonts w:ascii="Arial" w:cs="Arial" w:eastAsia="Arial" w:hAnsi="Arial"/>
                <w:sz w:val="20"/>
                <w:szCs w:val="20"/>
                <w:color w:val="131313"/>
              </w:rPr>
              <w:t>Title President &amp; CEO</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gridSpan w:val="5"/>
          </w:tcPr>
          <w:p>
            <w:pPr>
              <w:ind w:left="1320"/>
              <w:spacing w:after="0" w:line="209" w:lineRule="exact"/>
              <w:rPr>
                <w:sz w:val="20"/>
                <w:szCs w:val="20"/>
                <w:color w:val="auto"/>
              </w:rPr>
            </w:pPr>
            <w:r>
              <w:rPr>
                <w:rFonts w:ascii="Arial" w:cs="Arial" w:eastAsia="Arial" w:hAnsi="Arial"/>
                <w:sz w:val="20"/>
                <w:szCs w:val="20"/>
                <w:color w:val="131313"/>
                <w:w w:val="89"/>
              </w:rPr>
              <w:t>Associate VP, Innovation and Research Commercialization</w:t>
            </w:r>
          </w:p>
        </w:tc>
      </w:tr>
      <w:tr>
        <w:trPr>
          <w:trHeight w:val="20"/>
        </w:trPr>
        <w:tc>
          <w:tcPr>
            <w:tcW w:w="440" w:type="dxa"/>
            <w:vAlign w:val="bottom"/>
            <w:tcBorders>
              <w:right w:val="single" w:sz="8" w:color="131313"/>
            </w:tcBorders>
            <w:gridSpan w:val="2"/>
          </w:tcPr>
          <w:p>
            <w:pPr>
              <w:spacing w:after="0" w:line="20" w:lineRule="exact"/>
              <w:rPr>
                <w:sz w:val="1"/>
                <w:szCs w:val="1"/>
                <w:color w:val="auto"/>
              </w:rPr>
            </w:pPr>
          </w:p>
        </w:tc>
        <w:tc>
          <w:tcPr>
            <w:tcW w:w="700" w:type="dxa"/>
            <w:vAlign w:val="bottom"/>
            <w:gridSpan w:val="2"/>
            <w:shd w:val="clear" w:color="auto" w:fill="131313"/>
          </w:tcPr>
          <w:p>
            <w:pPr>
              <w:spacing w:after="0" w:line="20" w:lineRule="exact"/>
              <w:rPr>
                <w:sz w:val="1"/>
                <w:szCs w:val="1"/>
                <w:color w:val="auto"/>
              </w:rPr>
            </w:pPr>
          </w:p>
        </w:tc>
        <w:tc>
          <w:tcPr>
            <w:tcW w:w="660" w:type="dxa"/>
            <w:vAlign w:val="bottom"/>
            <w:shd w:val="clear" w:color="auto" w:fill="13131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09"/>
        </w:trPr>
        <w:tc>
          <w:tcPr>
            <w:tcW w:w="2200" w:type="dxa"/>
            <w:vAlign w:val="bottom"/>
            <w:gridSpan w:val="7"/>
          </w:tcPr>
          <w:p>
            <w:pPr>
              <w:spacing w:after="0" w:line="209" w:lineRule="exact"/>
              <w:rPr>
                <w:sz w:val="20"/>
                <w:szCs w:val="20"/>
                <w:color w:val="auto"/>
              </w:rPr>
            </w:pPr>
            <w:r>
              <w:rPr>
                <w:rFonts w:ascii="Arial" w:cs="Arial" w:eastAsia="Arial" w:hAnsi="Arial"/>
                <w:sz w:val="20"/>
                <w:szCs w:val="20"/>
                <w:color w:val="131313"/>
              </w:rPr>
              <w:t>Date 7/1/2021</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gridSpan w:val="5"/>
          </w:tcPr>
          <w:p>
            <w:pPr>
              <w:ind w:left="1320"/>
              <w:spacing w:after="0" w:line="209" w:lineRule="exact"/>
              <w:rPr>
                <w:sz w:val="20"/>
                <w:szCs w:val="20"/>
                <w:color w:val="auto"/>
              </w:rPr>
            </w:pPr>
            <w:r>
              <w:rPr>
                <w:rFonts w:ascii="Arial" w:cs="Arial" w:eastAsia="Arial" w:hAnsi="Arial"/>
                <w:sz w:val="20"/>
                <w:szCs w:val="20"/>
                <w:color w:val="131313"/>
              </w:rPr>
              <w:t>Date 6/29/2021</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131313"/>
          </w:tcPr>
          <w:p>
            <w:pPr>
              <w:spacing w:after="0" w:line="20" w:lineRule="exact"/>
              <w:rPr>
                <w:sz w:val="1"/>
                <w:szCs w:val="1"/>
                <w:color w:val="auto"/>
              </w:rPr>
            </w:pPr>
          </w:p>
        </w:tc>
        <w:tc>
          <w:tcPr>
            <w:tcW w:w="620" w:type="dxa"/>
            <w:vAlign w:val="bottom"/>
            <w:shd w:val="clear" w:color="auto" w:fill="1313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131313"/>
          </w:tcPr>
          <w:p>
            <w:pPr>
              <w:spacing w:after="0" w:line="20" w:lineRule="exact"/>
              <w:rPr>
                <w:sz w:val="1"/>
                <w:szCs w:val="1"/>
                <w:color w:val="auto"/>
              </w:rPr>
            </w:pPr>
          </w:p>
        </w:tc>
        <w:tc>
          <w:tcPr>
            <w:tcW w:w="380" w:type="dxa"/>
            <w:vAlign w:val="bottom"/>
            <w:shd w:val="clear" w:color="auto" w:fill="13131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ectPr>
          <w:pgSz w:w="11900" w:h="16838" w:orient="portrait"/>
          <w:cols w:equalWidth="0" w:num="1">
            <w:col w:w="10139"/>
          </w:cols>
          <w:pgMar w:left="320" w:top="1243"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168275</wp:posOffset>
            </wp:positionV>
            <wp:extent cx="1388745" cy="659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38874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June 17, 2021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Dear Lisa,</w:t>
      </w:r>
    </w:p>
    <w:p>
      <w:pPr>
        <w:spacing w:after="0" w:line="1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behalf of Trevi Therapeutics, Inc. (the “Company” or “Trevi”), I am pleased to offer you employment with the Company on the following terms.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I am pleased to offer you the position of Chief Financial Officer, beginning on a mutually agreed upon date anticipated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end of July (the “</w:t>
      </w:r>
      <w:r>
        <w:rPr>
          <w:rFonts w:ascii="Arial" w:cs="Arial" w:eastAsia="Arial" w:hAnsi="Arial"/>
          <w:sz w:val="18"/>
          <w:szCs w:val="18"/>
          <w:u w:val="single" w:color="auto"/>
          <w:color w:val="auto"/>
        </w:rPr>
        <w:t>Start Date</w:t>
      </w:r>
      <w:r>
        <w:rPr>
          <w:rFonts w:ascii="Arial" w:cs="Arial" w:eastAsia="Arial" w:hAnsi="Arial"/>
          <w:sz w:val="18"/>
          <w:szCs w:val="18"/>
          <w:color w:val="auto"/>
        </w:rPr>
        <w:t>”), reporting to the Chief Executive Officer of the Company or her designee. You will be responsible for performing the duties and responsibilities as are customarily associated with the position or as the Company may otherwise assign to you. Your primary place of employment will be in the Company’s offices located in New Haven, Connecticut and you will generally be expected to be in the office in accordance with current office guidelines.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Board. In the course of your employment with the Company, you will be subject to, and required to comply with, all Company policies and procedures and all applicable laws and regulations.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 During your employment, the Company will pay you a salary at the bi-weekly rate of $12,692, which is equivalent to $330,000</w:t>
      </w:r>
      <w:r>
        <w:rPr>
          <w:rFonts w:ascii="Arial" w:cs="Arial" w:eastAsia="Arial" w:hAnsi="Arial"/>
          <w:sz w:val="20"/>
          <w:szCs w:val="20"/>
          <w:b w:val="1"/>
          <w:bCs w:val="1"/>
          <w:color w:val="auto"/>
        </w:rPr>
        <w:t xml:space="preserve"> </w:t>
      </w:r>
      <w:r>
        <w:rPr>
          <w:rFonts w:ascii="Arial" w:cs="Arial" w:eastAsia="Arial" w:hAnsi="Arial"/>
          <w:sz w:val="20"/>
          <w:szCs w:val="20"/>
          <w:color w:val="auto"/>
        </w:rPr>
        <w:t>on an annualized basis, payable in accordance with the regular payroll practices of the Company and subject to applicable deductions and withholdings. Your salary may be adjusted from time to time in accordance with normal business practice and in the sole discretion of the Company.</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Annual Incentive Bonus</w:t>
      </w:r>
      <w:r>
        <w:rPr>
          <w:rFonts w:ascii="Arial" w:cs="Arial" w:eastAsia="Arial" w:hAnsi="Arial"/>
          <w:sz w:val="18"/>
          <w:szCs w:val="18"/>
          <w:color w:val="auto"/>
        </w:rPr>
        <w:t>. Following the end of each fiscal year, you will be eligible to earn an annual incentive bonus of up to 35%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annualized base salary based on your performance and the Company’s performance, such bonus to be determined by the Company’s Board of Directors in its sole discretion. You must remain an employee in good standing on the date of payment of such incentive bonus in order to be eligible for such bonus. Your target annual incentive bonus opportunity for the 2021 fiscal year will be pro-rated based on the Start Date.</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You may participate in any and all benefit programs that the Company establishes and makes available to its similarly situated</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employees from time to time, subject to the terms and conditions of those programs. The Company’s benefits programs are subject to change at any time in the Company’s sole discretion.</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Vacation</w:t>
      </w:r>
      <w:r>
        <w:rPr>
          <w:rFonts w:ascii="Arial" w:cs="Arial" w:eastAsia="Arial" w:hAnsi="Arial"/>
          <w:sz w:val="20"/>
          <w:szCs w:val="20"/>
          <w:color w:val="auto"/>
        </w:rPr>
        <w:t>. You will be eligible for annual paid vacation of 20 days. Your accrual and use of vacation time will be pursuant and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vacation or time off policy the Company may establish or modify from</w:t>
      </w:r>
    </w:p>
    <w:p>
      <w:pPr>
        <w:spacing w:after="0" w:line="169"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time to time. The Company’s vacation policy is subject to change at any time in the Company’s sole discretion.</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Equity Grants</w:t>
      </w:r>
      <w:r>
        <w:rPr>
          <w:rFonts w:ascii="Arial" w:cs="Arial" w:eastAsia="Arial" w:hAnsi="Arial"/>
          <w:sz w:val="20"/>
          <w:szCs w:val="20"/>
          <w:color w:val="auto"/>
        </w:rPr>
        <w:t>. Subject to and upon the approval of the Board of Directors of the Company, the Company shall grant to you a stock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u w:val="single" w:color="auto"/>
          <w:color w:val="auto"/>
        </w:rPr>
        <w:t>Option</w:t>
      </w:r>
      <w:r>
        <w:rPr>
          <w:rFonts w:ascii="Arial" w:cs="Arial" w:eastAsia="Arial" w:hAnsi="Arial"/>
          <w:sz w:val="20"/>
          <w:szCs w:val="20"/>
          <w:color w:val="auto"/>
        </w:rPr>
        <w:t>”) under the Company’s 2019 Equity Incentive Plan, as it may be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to purchase 100,000 shares (the “</w:t>
      </w:r>
      <w:r>
        <w:rPr>
          <w:rFonts w:ascii="Arial" w:cs="Arial" w:eastAsia="Arial" w:hAnsi="Arial"/>
          <w:sz w:val="20"/>
          <w:szCs w:val="20"/>
          <w:u w:val="single" w:color="auto"/>
          <w:color w:val="auto"/>
        </w:rPr>
        <w:t>Option Shares”</w:t>
      </w:r>
      <w:r>
        <w:rPr>
          <w:rFonts w:ascii="Arial" w:cs="Arial" w:eastAsia="Arial" w:hAnsi="Arial"/>
          <w:sz w:val="20"/>
          <w:szCs w:val="20"/>
          <w:color w:val="auto"/>
        </w:rPr>
        <w:t>) of the Company’s common stock, $0.001 par value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at an exercise price equal to fair market value of the Common Stock, as determined by the Board of Directors of the Company, on the later of the date of the grant of the Option or the Start Date (the “</w:t>
      </w:r>
      <w:r>
        <w:rPr>
          <w:rFonts w:ascii="Arial" w:cs="Arial" w:eastAsia="Arial" w:hAnsi="Arial"/>
          <w:sz w:val="20"/>
          <w:szCs w:val="20"/>
          <w:u w:val="single" w:color="auto"/>
          <w:color w:val="auto"/>
        </w:rPr>
        <w:t>Grant Date</w:t>
      </w:r>
      <w:r>
        <w:rPr>
          <w:rFonts w:ascii="Arial" w:cs="Arial" w:eastAsia="Arial" w:hAnsi="Arial"/>
          <w:sz w:val="20"/>
          <w:szCs w:val="20"/>
          <w:color w:val="auto"/>
        </w:rPr>
        <w:t>”).</w:t>
      </w:r>
    </w:p>
    <w:p>
      <w:pPr>
        <w:spacing w:after="0" w:line="164"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Promptly after the Grant Date, the Company and you shall execute and deliver to each other the Company’s then standard form of stock option agreement, evidencing the Option and the terms thereof. The Option shall be subject to, and governed by, the terms, provisions, and restrictions on transfer of the Plan, your stock option agreement, and any other agreement to which you shall become, or are required to become, a party pursuant to the terms of the Plan, The stock option agreement shall provide for the vesting of 25% of the Option Shares on the first anniversary of the Start Date with the balance vesting in equal monthly installments over the three years thereafter; provided, however that if your employment terminates prior to the first anniversary of the Start Date and you are entitled to the benefits provided in Section 6(b) of the Company’s Executive Separation Benefits and Retention Plan (the “</w:t>
      </w:r>
      <w:r>
        <w:rPr>
          <w:rFonts w:ascii="Arial" w:cs="Arial" w:eastAsia="Arial" w:hAnsi="Arial"/>
          <w:sz w:val="18"/>
          <w:szCs w:val="18"/>
          <w:u w:val="single" w:color="auto"/>
          <w:color w:val="auto"/>
        </w:rPr>
        <w:t>Separation Benefits Plan</w:t>
      </w:r>
      <w:r>
        <w:rPr>
          <w:rFonts w:ascii="Arial" w:cs="Arial" w:eastAsia="Arial" w:hAnsi="Arial"/>
          <w:sz w:val="18"/>
          <w:szCs w:val="18"/>
          <w:color w:val="auto"/>
        </w:rPr>
        <w:t>”) in connection with your termination, then subject to the satisfaction of the Severance Conditions (as defined therein), a pro rata portion of the 25% of the Option Shares that would have vested on the first anniversary of the Start Date shall vest based on the Start Date and the date of termination.</w:t>
      </w:r>
    </w:p>
    <w:p>
      <w:pPr>
        <w:spacing w:after="0" w:line="13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You may be awarded additional equity grants from time to time in accordance with normal business practice and in the sole discretion of the Company’s Board of Directors. The terms of any future equity grant will be consistent with any plan under which they are granted and the terms of the applicable agreement under which the award(s) are granted.</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Severance. </w:t>
      </w:r>
      <w:r>
        <w:rPr>
          <w:rFonts w:ascii="Arial" w:cs="Arial" w:eastAsia="Arial" w:hAnsi="Arial"/>
          <w:sz w:val="20"/>
          <w:szCs w:val="20"/>
          <w:color w:val="auto"/>
        </w:rPr>
        <w:t>You will be eligible for separation benefits under the Separations Benefits Plan; provided that if your employment terminates</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the first anniversary of the Start Date, you shall only be eligible for separation benefits under Section 6(b)(i) or 7(a) of the Separation Benefits Plan (and no other provisions thereunder) and the relevant period for purposes of the calculation of such benefits shall be three months, notwithstanding the terms of the Separation Benefits Plan.</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Invention, Non-Disclosure, Non-Competition and Non-Solicitation Obligations</w:t>
      </w:r>
      <w:r>
        <w:rPr>
          <w:rFonts w:ascii="Arial" w:cs="Arial" w:eastAsia="Arial" w:hAnsi="Arial"/>
          <w:sz w:val="20"/>
          <w:szCs w:val="20"/>
          <w:color w:val="auto"/>
        </w:rPr>
        <w:t>. At or prior to the Start Date, you shall execute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for the benefit of the Company the Invention and Non-Disclosure Agreement and the Non-Competition and Non-Solicitation Agreement in the forms attached to this letter (the “Restrictive Covenants Agreements”).</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At-Will Employment</w:t>
      </w:r>
      <w:r>
        <w:rPr>
          <w:rFonts w:ascii="Arial" w:cs="Arial" w:eastAsia="Arial" w:hAnsi="Arial"/>
          <w:sz w:val="20"/>
          <w:szCs w:val="20"/>
          <w:color w:val="auto"/>
        </w:rPr>
        <w:t>. This letter shall not be construed as an agreement, either express or implied, to employ you for any stated term,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in no way alter the Company’s policy of employment at-will. Similarly, nothing in this letter shall be construed as an agreement, either express or implied, to pay you any compensation or grant you any benefit beyond the end of your employment with the Company, except as otherwise explicitly set forth in this letter. This letter supersedes all prior understandings, whether written or oral, with respect to the subject matter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4" w:name="page85"/>
    <w:bookmarkEnd w:id="84"/>
    <w:p>
      <w:pPr>
        <w:jc w:val="both"/>
        <w:spacing w:after="0" w:line="244" w:lineRule="auto"/>
        <w:rPr>
          <w:sz w:val="20"/>
          <w:szCs w:val="20"/>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During your employment with the Company and thereafter, you shall cooperate with the Company and be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to the Company with respect to continuing and/or future matters relating to your employment period with the Company and/or its affiliates, whether such matters are business-related, legal, regulatory or otherwise (including, without limitation, your appearing at the Company’s request to give testimony without requiring service of a subpoena or other legal process, volunteering to the Company all pertinent information and turning over to the Company all relevant documents which are or may come into your possession). Following your employment term with the Company, the Company shall reimburse you for all reasonable out of pocket travel expenses incurred by you in rendering such services that are approved by the Company.</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Representations</w:t>
      </w:r>
      <w:r>
        <w:rPr>
          <w:rFonts w:ascii="Arial" w:cs="Arial" w:eastAsia="Arial" w:hAnsi="Arial"/>
          <w:sz w:val="20"/>
          <w:szCs w:val="20"/>
          <w:color w:val="auto"/>
        </w:rPr>
        <w:t>. You hereby represent and warrant to the Company that the execution, delivery and performance of this offer letter by you</w:t>
      </w:r>
      <w:r>
        <w:rPr>
          <w:rFonts w:ascii="Arial" w:cs="Arial" w:eastAsia="Arial" w:hAnsi="Arial"/>
          <w:sz w:val="20"/>
          <w:szCs w:val="20"/>
          <w:b w:val="1"/>
          <w:bCs w:val="1"/>
          <w:color w:val="auto"/>
        </w:rPr>
        <w:t xml:space="preserve"> </w:t>
      </w:r>
      <w:r>
        <w:rPr>
          <w:rFonts w:ascii="Arial" w:cs="Arial" w:eastAsia="Arial" w:hAnsi="Arial"/>
          <w:sz w:val="20"/>
          <w:szCs w:val="20"/>
          <w:color w:val="auto"/>
        </w:rPr>
        <w:t>do not and shall not conflict with, breach, violate or cause a default under any contract, agreement, instrument, order, judgment or decree to which you are a party or by which you are bound.</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Proof of Legal Right to Work</w:t>
      </w:r>
      <w:r>
        <w:rPr>
          <w:rFonts w:ascii="Arial" w:cs="Arial" w:eastAsia="Arial" w:hAnsi="Arial"/>
          <w:sz w:val="20"/>
          <w:szCs w:val="20"/>
          <w:color w:val="auto"/>
        </w:rPr>
        <w:t>. You agree to provide to the Company, within three (3) days of the Start Date, documentation proving your</w:t>
      </w:r>
      <w:r>
        <w:rPr>
          <w:rFonts w:ascii="Arial" w:cs="Arial" w:eastAsia="Arial" w:hAnsi="Arial"/>
          <w:sz w:val="20"/>
          <w:szCs w:val="20"/>
          <w:b w:val="1"/>
          <w:bCs w:val="1"/>
          <w:color w:val="auto"/>
        </w:rPr>
        <w:t xml:space="preserve"> </w:t>
      </w:r>
      <w:r>
        <w:rPr>
          <w:rFonts w:ascii="Arial" w:cs="Arial" w:eastAsia="Arial" w:hAnsi="Arial"/>
          <w:sz w:val="20"/>
          <w:szCs w:val="20"/>
          <w:color w:val="auto"/>
        </w:rPr>
        <w:t>eligibility to work in the United States, as required by the Immigration Reform and Control Act of 1986. You may need a work visa in order to be eligible to work in the United States. If that is the case, your employment with the Company will be conditioned upon your obtaining a work visa in a timely manner as determined by the Company.</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letter, together with the Option agreements and the Restrictive Covenants Agreement, constitutes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understanding between you and the Company with respect to the subject matter hereof and terminates and supersedes any and all prior agreements, understandings and representations, whether written or oral, by or between you and the Company which may have related to the subject matter hereof in any way, any of which are hereby terminated and cancelled and of no further force or effect without the payment of any consideration by or to either you or the Company. The terms of this offer letter and the resolution of any disputes as to the meaning, effect, performance or validity of this offer letter or arising out of, related to, or in any way connected with, this offer letter, your employment with the Company or any other relationship between you and the Company (the “</w:t>
      </w:r>
      <w:r>
        <w:rPr>
          <w:rFonts w:ascii="Arial" w:cs="Arial" w:eastAsia="Arial" w:hAnsi="Arial"/>
          <w:sz w:val="18"/>
          <w:szCs w:val="18"/>
          <w:u w:val="single" w:color="auto"/>
          <w:color w:val="auto"/>
        </w:rPr>
        <w:t>Disputes</w:t>
      </w:r>
      <w:r>
        <w:rPr>
          <w:rFonts w:ascii="Arial" w:cs="Arial" w:eastAsia="Arial" w:hAnsi="Arial"/>
          <w:sz w:val="18"/>
          <w:szCs w:val="18"/>
          <w:color w:val="auto"/>
        </w:rPr>
        <w:t>”) will be governed by Connecticut law, excluding laws relating to conflicts or choice of law. You and the Company submit to the exclusive personal jurisdiction of the federal and state courts located in the State of Connecticut in connection with any Dispute or any claim related to any Dispute.</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Amendment</w:t>
      </w:r>
      <w:r>
        <w:rPr>
          <w:rFonts w:ascii="Arial" w:cs="Arial" w:eastAsia="Arial" w:hAnsi="Arial"/>
          <w:sz w:val="20"/>
          <w:szCs w:val="20"/>
          <w:color w:val="auto"/>
        </w:rPr>
        <w:t>. The provisions of this letter may be amended or waived only with the prior written consent of the Company and you, and no</w:t>
      </w:r>
      <w:r>
        <w:rPr>
          <w:rFonts w:ascii="Arial" w:cs="Arial" w:eastAsia="Arial" w:hAnsi="Arial"/>
          <w:sz w:val="20"/>
          <w:szCs w:val="20"/>
          <w:b w:val="1"/>
          <w:bCs w:val="1"/>
          <w:color w:val="auto"/>
        </w:rPr>
        <w:t xml:space="preserve"> </w:t>
      </w:r>
      <w:r>
        <w:rPr>
          <w:rFonts w:ascii="Arial" w:cs="Arial" w:eastAsia="Arial" w:hAnsi="Arial"/>
          <w:sz w:val="20"/>
          <w:szCs w:val="20"/>
          <w:color w:val="auto"/>
        </w:rPr>
        <w:t>course of conduct or course of dealing or failure or delay by you or the Company in enforcing or exercising any of the provisions of this letter shall affect the validity, binding effect or enforceability of the letter or be deemed to be an implied waiver of any similar or dissimilar requirement, provision or condition of this letter at the same or any prior or subsequent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0"/>
          <w:szCs w:val="20"/>
          <w:color w:val="auto"/>
        </w:rPr>
        <w:t>Lisa, I look forward to working with you and believe you could make a significant impact as part of the Trevi team. Please indicate your acceptance of this letter of employment by signing a copy of this offer letter and returning it to us by June 25, 2021. As always, I’m happy to discuss any of the terms or share any of the compensation data behind our offer.</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 Jennifer L. Good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Jennifer L. Good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CEO</w:t>
      </w:r>
    </w:p>
    <w:p>
      <w:pPr>
        <w:spacing w:after="0" w:line="227"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foregoing correctly sets forth the terms of my at-will employment with Trevi. I am not relying on any representations other than those set forth above.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20"/>
                <w:szCs w:val="20"/>
                <w:color w:val="auto"/>
              </w:rPr>
              <w:t>/s/Lisa Delfini</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6/21/2021</w:t>
            </w: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43"/>
        </w:trPr>
        <w:tc>
          <w:tcPr>
            <w:tcW w:w="1140" w:type="dxa"/>
            <w:vAlign w:val="bottom"/>
          </w:tcPr>
          <w:p>
            <w:pPr>
              <w:spacing w:after="0"/>
              <w:rPr>
                <w:sz w:val="20"/>
                <w:szCs w:val="20"/>
                <w:color w:val="auto"/>
              </w:rPr>
            </w:pPr>
            <w:r>
              <w:rPr>
                <w:rFonts w:ascii="Arial" w:cs="Arial" w:eastAsia="Arial" w:hAnsi="Arial"/>
                <w:sz w:val="20"/>
                <w:szCs w:val="20"/>
                <w:color w:val="auto"/>
              </w:rPr>
              <w:t>Lisa Delfini</w:t>
            </w:r>
          </w:p>
        </w:tc>
        <w:tc>
          <w:tcPr>
            <w:tcW w:w="24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20"/>
                <w:szCs w:val="20"/>
                <w:color w:val="auto"/>
              </w:rPr>
              <w:t>Date</w:t>
            </w:r>
          </w:p>
        </w:tc>
      </w:tr>
    </w:tbl>
    <w:p>
      <w:pPr>
        <w:sectPr>
          <w:pgSz w:w="11900" w:h="16838" w:orient="portrait"/>
          <w:cols w:equalWidth="0" w:num="1">
            <w:col w:w="11240"/>
          </w:cols>
          <w:pgMar w:left="320" w:top="609" w:right="339" w:bottom="1440" w:gutter="0" w:footer="0" w:header="0"/>
        </w:sectPr>
      </w:pPr>
    </w:p>
    <w:bookmarkStart w:id="86" w:name="page87"/>
    <w:bookmarkEnd w:id="8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CERTIFICATION PURSUANT TO RULES 13a-14(a) OR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483"/>
        <w:spacing w:after="0" w:line="263" w:lineRule="auto"/>
        <w:tabs>
          <w:tab w:leader="none" w:pos="12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60" w:firstLine="483"/>
        <w:spacing w:after="0" w:line="342" w:lineRule="auto"/>
        <w:tabs>
          <w:tab w:leader="none" w:pos="119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2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580" w:val="left"/>
          <w:tab w:leader="none" w:pos="598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240"/>
          </w:cols>
          <w:pgMar w:left="320" w:top="36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June 30, 2021,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 and 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2"/>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3"/>
    </w:lvl>
  </w:abstractNum>
  <w:abstractNum w:abstractNumId="11">
    <w:nsid w:val="4516DDE9"/>
    <w:multiLevelType w:val="hybridMultilevel"/>
    <w:lvl w:ilvl="0">
      <w:lvlJc w:val="left"/>
      <w:lvlText w:val="%1."/>
      <w:numFmt w:val="decimal"/>
      <w:start w:val="4"/>
    </w:lvl>
  </w:abstractNum>
  <w:abstractNum w:abstractNumId="12">
    <w:nsid w:val="3006C83E"/>
    <w:multiLevelType w:val="hybridMultilevel"/>
    <w:lvl w:ilvl="0">
      <w:lvlJc w:val="left"/>
      <w:lvlText w:val="%1."/>
      <w:numFmt w:val="decimal"/>
      <w:start w:val="5"/>
    </w:lvl>
  </w:abstractNum>
  <w:abstractNum w:abstractNumId="13">
    <w:nsid w:val="614FD4A1"/>
    <w:multiLevelType w:val="hybridMultilevel"/>
    <w:lvl w:ilvl="0">
      <w:lvlJc w:val="left"/>
      <w:lvlText w:val="%1."/>
      <w:numFmt w:val="decimal"/>
      <w:start w:val="6"/>
    </w:lvl>
  </w:abstractNum>
  <w:abstractNum w:abstractNumId="14">
    <w:nsid w:val="419AC241"/>
    <w:multiLevelType w:val="hybridMultilevel"/>
    <w:lvl w:ilvl="0">
      <w:lvlJc w:val="left"/>
      <w:lvlText w:val="%1."/>
      <w:numFmt w:val="decimal"/>
      <w:start w:val="7"/>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8"/>
    </w:lvl>
  </w:abstractNum>
  <w:abstractNum w:abstractNumId="17">
    <w:nsid w:val="5072367"/>
    <w:multiLevelType w:val="hybridMultilevel"/>
    <w:lvl w:ilvl="0">
      <w:lvlJc w:val="left"/>
      <w:lvlText w:val="%1."/>
      <w:numFmt w:val="decimal"/>
      <w:start w:val="9"/>
    </w:lvl>
  </w:abstractNum>
  <w:abstractNum w:abstractNumId="18">
    <w:nsid w:val="3804823E"/>
    <w:multiLevelType w:val="hybridMultilevel"/>
    <w:lvl w:ilvl="0">
      <w:lvlJc w:val="left"/>
      <w:lvlText w:val="%1."/>
      <w:numFmt w:val="decimal"/>
      <w:start w:val="10"/>
    </w:lvl>
  </w:abstractNum>
  <w:abstractNum w:abstractNumId="19">
    <w:nsid w:val="77465F01"/>
    <w:multiLevelType w:val="hybridMultilevel"/>
    <w:lvl w:ilvl="0">
      <w:lvlJc w:val="left"/>
      <w:lvlText w:val="%1."/>
      <w:numFmt w:val="decimal"/>
      <w:start w:val="11"/>
    </w:lvl>
  </w:abstractNum>
  <w:abstractNum w:abstractNumId="20">
    <w:nsid w:val="7724C67E"/>
    <w:multiLevelType w:val="hybridMultilevel"/>
    <w:lvl w:ilvl="0">
      <w:lvlJc w:val="left"/>
      <w:lvlText w:val="%1."/>
      <w:numFmt w:val="decimal"/>
      <w:start w:val="19"/>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4"/>
    </w:lvl>
  </w:abstractNum>
  <w:abstractNum w:abstractNumId="49">
    <w:nsid w:val="75C6C33A"/>
    <w:multiLevelType w:val="hybridMultilevel"/>
    <w:lvl w:ilvl="0">
      <w:lvlJc w:val="left"/>
      <w:lvlText w:val="%1"/>
      <w:numFmt w:val="decimal"/>
      <w:start w:val="104"/>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5"/>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jpe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96" Type="http://schemas.openxmlformats.org/officeDocument/2006/relationships/hyperlink" Target="http://www.sec.gov/Archives/edgar/data/1563880/000119312521195073/d195500dex991.htm" TargetMode="External"/><Relationship Id="rId97" Type="http://schemas.openxmlformats.org/officeDocument/2006/relationships/hyperlink" Target="http://www.sec.gov/Archives/edgar/data/1563880/000119312521195073/d195500dex992.htm" TargetMode="External"/><Relationship Id="rId98" Type="http://schemas.openxmlformats.org/officeDocument/2006/relationships/hyperlink" Target="http://www.sec.gov/Archives/edgar/data/1563880/000156459021035888/trvi-ex99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2021-08-12T15:40:59Z</dcterms:created>
  <dcterms:modified xsi:type="dcterms:W3CDTF">2021-08-12T15:40:59Z</dcterms:modified>
</cp:coreProperties>
</file>