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rvi-20230630.htm"/>
      <w:bookmarkStart w:id="1" w:name="kstrvi20230630"/>
      <w:bookmarkEnd w:id="0"/>
      <w:bookmarkEnd w:id="1"/>
      <w:r>
        <w:rPr/>
        <w:t> </w:t>
      </w:r>
    </w:p>
    <w:p>
      <w:pPr>
        <w:pStyle w:val="TextBody"/>
        <w:pBdr>
          <w:bottom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serif" w:hAnsi="Times New Roman;serif"/>
          <w:b/>
          <w:sz w:val="16"/>
        </w:rPr>
      </w:pPr>
      <w:r>
        <w:rPr>
          <w:rFonts w:ascii="Times New Roman;serif" w:hAnsi="Times New Roman;serif"/>
          <w:b/>
          <w:sz w:val="16"/>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12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w:t>
      </w:r>
      <w:r>
        <w:rPr>
          <w:rFonts w:ascii="Times New Roman" w:hAnsi="Times New Roman"/>
          <w:sz w:val="20"/>
          <w:u w:val="single"/>
        </w:rPr>
        <w:t xml:space="preserve"> </w:t>
      </w:r>
      <w:r>
        <w:rPr>
          <w:rFonts w:ascii="Times New Roman;serif" w:hAnsi="Times New Roman;serif"/>
          <w:b/>
          <w:sz w:val="20"/>
        </w:rPr>
        <w:t>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001-38886</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48"/>
        </w:rPr>
      </w:pPr>
      <w:r>
        <w:rPr>
          <w:rFonts w:ascii="Times New Roman;serif" w:hAnsi="Times New Roman;serif"/>
          <w:b/>
          <w:sz w:val="48"/>
        </w:rPr>
        <w:t>TREVI THERAPEUTICS,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45-0834299</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2926" w:type="dxa"/>
            <w:tcBorders/>
            <w:vAlign w:val="center"/>
          </w:tcPr>
          <w:p>
            <w:pPr>
              <w:pStyle w:val="TableContents"/>
              <w:bidi w:val="0"/>
              <w:spacing w:before="120" w:after="0"/>
              <w:ind w:left="0" w:right="0" w:hanging="0"/>
              <w:jc w:val="center"/>
              <w:rPr>
                <w:rFonts w:ascii="Times New Roman" w:hAnsi="Times New Roman"/>
                <w:sz w:val="20"/>
              </w:rPr>
            </w:pPr>
            <w:r>
              <w:rPr>
                <w:rFonts w:ascii="Times New Roman;serif" w:hAnsi="Times New Roman;serif"/>
                <w:b/>
                <w:sz w:val="20"/>
              </w:rPr>
              <w:t>195 Church Street, 16</w:t>
            </w:r>
            <w:r>
              <w:rPr>
                <w:rFonts w:ascii="Times New Roman;serif" w:hAnsi="Times New Roman;serif"/>
                <w:b/>
                <w:sz w:val="13"/>
              </w:rPr>
              <w:t>th</w:t>
            </w:r>
            <w:r>
              <w:rPr>
                <w:rFonts w:ascii="Times New Roman;serif" w:hAnsi="Times New Roman;serif"/>
                <w:sz w:val="20"/>
              </w:rPr>
              <w:t xml:space="preserve"> </w:t>
            </w:r>
            <w:r>
              <w:rPr>
                <w:rFonts w:ascii="Times New Roman;serif" w:hAnsi="Times New Roman;serif"/>
                <w:b/>
                <w:sz w:val="20"/>
              </w:rPr>
              <w:t>Floor</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New Haven, Connecticut</w:t>
            </w:r>
            <w:r>
              <w:rPr>
                <w:rFonts w:ascii="Times New Roman" w:hAnsi="Times New Roman"/>
                <w:sz w:val="20"/>
              </w:rPr>
              <w:t xml:space="preserve">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06510</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(203) 304-2499</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7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TRVI</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As of August 10, 2023, the registrant had 63,850,747</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NOTE REGARDING FORWARD-LOOKING STATEMENTS AND INDUSTRY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forward-looking statements in this Quarterly Report on Form 10-Q include, among other things, statements about: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clinical trials, including our planned trials of Haduvio for the treatment of chronic cough in idiopathic pulmonary fibrosis, or IPF, and for refractory chronic cough and our Phase 2b/3 PRISM trial of Haduvio for the treatment of prurigo nodularis;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plans to develop and, if approved, subsequently commercialize Haduvio for the treatment of chronic cough in IPF and for other chronic cough indications and for the treatment of prurigo nodularis;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timing for the initiation of clinical trials and the reporting of data from such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and our ability to submit applications for and to obtain and maintain regulatory approvals for Haduvio;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our ability to fund our operating expenses, including our planned clinical trials, with our cash, cash equivalents and marketable securities;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estimates regarding expenses, future revenue, timing of any future revenue, capital requirements and needs for additional financing;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government laws and regulations;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competitive position;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establish and maintain collaborations.</w:t>
      </w:r>
    </w:p>
    <w:p>
      <w:pPr>
        <w:pStyle w:val="TextBody"/>
        <w:bidi w:val="0"/>
        <w:spacing w:before="120" w:after="0"/>
        <w:jc w:val="left"/>
        <w:rPr>
          <w:rFonts w:ascii="Times New Roman" w:hAnsi="Times New Roman"/>
          <w:sz w:val="20"/>
        </w:rPr>
      </w:pPr>
      <w:r>
        <w:rPr>
          <w:rFonts w:ascii="Times New Roman;serif" w:hAnsi="Times New Roman;serif"/>
          <w:b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0"/>
        <w:jc w:val="left"/>
        <w:rPr>
          <w:rFonts w:ascii="Times New Roman" w:hAnsi="Times New Roman"/>
          <w:sz w:val="20"/>
        </w:rPr>
      </w:pPr>
      <w:r>
        <w:rPr>
          <w:rFonts w:ascii="Times New Roman;serif" w:hAnsi="Times New Roman;serif"/>
          <w:b w:val="false"/>
          <w:sz w:val="20"/>
        </w:rPr>
        <w:t>We own or have rights to trademarks, service marks and trade names that we use in connection with the operation of our business, including our corporate name, logos and website names. We own the trademarks Trevi</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 xml:space="preserve">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RISK FACTOR SUMMARY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 the process of designing future clinical trials of Haduvio for the treatment of chronic cough in IPF and refractory chronic cough. Before commencing the trials, we will need to submit an IND for Haduvio to the FDA and complete regulatory submissions in countries selected for the studies. Changes in the design of planned trials or regulatory delays may affect the timing and costs of the trials and changes in the timing or costs of the trials for these or other reasons may affect our ability to complete the planned trials with our existing cash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CANAL trial may not be predictive of the results of future trials of Haduvio for the treatment of chronic cough in IPF or other chronic cough indications such as refractory chronic cough, and the results of our Phase 2b/3 PRISM trial in Haduvio for the treatment of prurigo nodularis may not be predictive of the results of any future trial in prurigo nodularis.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experienced delays and difficulties in the enrollment of subjects in our clinical trials in the past, including in our Phase 2 CANAL trial and our Phase 2b/3 PRISM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IPF, refractory chronic cough and prurigo nodularis, and subjects are generally only able to enroll in a single trial at a time. In addition, many patients use various treatments off-label to treat chronic cough associated with IPF, refractory chronic cough and prurigo nodularis, and these patients and their physicians may be reluctant to forgo, discontinue or otherwise alter their use of such off-label therapeutic approaches to participate in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IPF of varying disease severity. If there is a safety signal in the Phase 1b study, it could affect our ability to conduct a trial in this patient population.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Many currently approved μ-opioid products are subject to restrictive marketing and distribution regulations which, if applied to Haduvio, could potentially restrict its use and harm our ability to generate profits. We are conducting a human abuse potential, or HAP, study to determine the abuse potential of oral nalbuphine ER relative to intravenous, or IV, butorphanol. If the results of the HAP study suggest that Haduvio may carry risks of misuse, abuse or addiction or even if the trial indicates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substantial competition, which may result in others developing or commercializing products before or more successfully than we do.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contract with third parties to conduct our clinical trials and for the manufacture, storage, packaging and distribution of Haduvio and other drug product for clinical trials, including a single supplier for the active ingredient in Haduvio. We expect to continue to rely on third parties for these services in connection with our future development and commercialization efforts for Haduvio. If they do not perform satisfactorily or if they experience delays or shortages, such as is the case with the comparator drug for our HAP study, or IV butorphanol, for which there is a U.S. shortage, our business could be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perations">
              <w:r>
                <w:rPr>
                  <w:rStyle w:val="InternetLink"/>
                  <w:rFonts w:ascii="Times New Roman;serif" w:hAnsi="Times New Roman;serif"/>
                  <w:b w:val="false"/>
                  <w:sz w:val="20"/>
                  <w:u w:val="single"/>
                </w:rPr>
                <w:t>Condensed Consolidated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_of_stockholders_e">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cash_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Condensed Consolidated Financial Statements.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18"/>
        <w:gridCol w:w="146"/>
        <w:gridCol w:w="211"/>
        <w:gridCol w:w="841"/>
        <w:gridCol w:w="166"/>
        <w:gridCol w:w="146"/>
        <w:gridCol w:w="213"/>
        <w:gridCol w:w="852"/>
        <w:gridCol w:w="612"/>
      </w:tblGrid>
      <w:tr>
        <w:trPr/>
        <w:tc>
          <w:tcPr>
            <w:tcW w:w="7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8"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br/>
            </w:r>
            <w:r>
              <w:rPr>
                <w:rFonts w:ascii="Times New Roman" w:hAnsi="Times New Roman"/>
                <w:sz w:val="16"/>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12,589</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107,921</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795</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1,311</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99,213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122,616</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Property, equipment and leasehold improvements,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170</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205</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100,977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123,015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2,857</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3,518</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Term loan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7,000</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13,400</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Finance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2,151</w:t>
            </w:r>
          </w:p>
        </w:tc>
        <w:tc>
          <w:tcPr>
            <w:tcW w:w="612" w:type="dxa"/>
            <w:tcBorders/>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15,556</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Commitments and contingencies (Note 12)</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right"/>
              <w:rPr/>
            </w:pPr>
            <w:r>
              <w:rPr/>
              <w:t> </w:t>
            </w:r>
          </w:p>
        </w:tc>
      </w:tr>
      <w:tr>
        <w:trPr/>
        <w:tc>
          <w:tcPr>
            <w:tcW w:w="7018"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firstLine="200"/>
              <w:jc w:val="right"/>
              <w:rPr/>
            </w:pPr>
            <w:r>
              <w:rPr/>
              <w:t> </w:t>
            </w:r>
          </w:p>
        </w:tc>
      </w:tr>
      <w:tr>
        <w:trPr/>
        <w:tc>
          <w:tcPr>
            <w:tcW w:w="7018"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9"/>
              </w:rPr>
              <w:t>Preferred stock: $0.001</w:t>
            </w:r>
            <w:r>
              <w:rPr>
                <w:rFonts w:ascii="Times New Roman" w:hAnsi="Times New Roman"/>
                <w:sz w:val="20"/>
              </w:rPr>
              <w:t> </w:t>
            </w:r>
            <w:r>
              <w:rPr>
                <w:rFonts w:ascii="Times New Roman;serif" w:hAnsi="Times New Roman;serif"/>
                <w:b w:val="false"/>
                <w:sz w:val="19"/>
              </w:rPr>
              <w:t>par value; 5,000,000</w:t>
            </w:r>
            <w:r>
              <w:rPr>
                <w:rFonts w:ascii="Times New Roman" w:hAnsi="Times New Roman"/>
                <w:sz w:val="20"/>
              </w:rPr>
              <w:t> </w:t>
            </w:r>
            <w:r>
              <w:rPr>
                <w:rFonts w:ascii="Times New Roman;serif" w:hAnsi="Times New Roman;serif"/>
                <w:b w:val="false"/>
                <w:sz w:val="19"/>
              </w:rPr>
              <w:t>shares authorized at June 30, 2023 and December 31, 2022; no</w:t>
            </w:r>
            <w:r>
              <w:rPr>
                <w:rFonts w:ascii="Times New Roman" w:hAnsi="Times New Roman"/>
                <w:sz w:val="20"/>
              </w:rPr>
              <w:t> </w:t>
            </w:r>
            <w:r>
              <w:rPr>
                <w:rFonts w:ascii="Times New Roman;serif" w:hAnsi="Times New Roman;serif"/>
                <w:b w:val="false"/>
                <w:sz w:val="19"/>
              </w:rPr>
              <w:t>shares issued or outstanding at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9"/>
              </w:rPr>
              <w:t>Common stock: $0.001</w:t>
            </w:r>
            <w:r>
              <w:rPr>
                <w:rFonts w:ascii="Times New Roman" w:hAnsi="Times New Roman"/>
                <w:sz w:val="20"/>
              </w:rPr>
              <w:t> </w:t>
            </w:r>
            <w:r>
              <w:rPr>
                <w:rFonts w:ascii="Times New Roman;serif" w:hAnsi="Times New Roman;serif"/>
                <w:b w:val="false"/>
                <w:sz w:val="19"/>
              </w:rPr>
              <w:t>par value; 200,000,000</w:t>
            </w:r>
            <w:r>
              <w:rPr>
                <w:rFonts w:ascii="Times New Roman" w:hAnsi="Times New Roman"/>
                <w:sz w:val="20"/>
              </w:rPr>
              <w:t> </w:t>
            </w:r>
            <w:r>
              <w:rPr>
                <w:rFonts w:ascii="Times New Roman;serif" w:hAnsi="Times New Roman;serif"/>
                <w:b w:val="false"/>
                <w:sz w:val="19"/>
              </w:rPr>
              <w:t>shares authorized at June 30, 2023 and December 31, 2022; and 63,098,455</w:t>
            </w:r>
            <w:r>
              <w:rPr>
                <w:rFonts w:ascii="Times New Roman" w:hAnsi="Times New Roman"/>
                <w:sz w:val="20"/>
              </w:rPr>
              <w:t> </w:t>
            </w:r>
            <w:r>
              <w:rPr>
                <w:rFonts w:ascii="Times New Roman;serif" w:hAnsi="Times New Roman;serif"/>
                <w:b w:val="false"/>
                <w:sz w:val="19"/>
              </w:rPr>
              <w:t>and 59,943,430</w:t>
            </w:r>
            <w:r>
              <w:rPr>
                <w:rFonts w:ascii="Times New Roman" w:hAnsi="Times New Roman"/>
                <w:sz w:val="20"/>
              </w:rPr>
              <w:t> </w:t>
            </w:r>
            <w:r>
              <w:rPr>
                <w:rFonts w:ascii="Times New Roman;serif" w:hAnsi="Times New Roman;serif"/>
                <w:b w:val="false"/>
                <w:sz w:val="19"/>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318,873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317,590</w:t>
            </w:r>
          </w:p>
        </w:tc>
        <w:tc>
          <w:tcPr>
            <w:tcW w:w="612" w:type="dxa"/>
            <w:tcBorders/>
            <w:vAlign w:val="center"/>
          </w:tcPr>
          <w:p>
            <w:pPr>
              <w:pStyle w:val="TableContents"/>
              <w:bidi w:val="0"/>
              <w:spacing w:before="0" w:after="0"/>
              <w:ind w:left="0" w:right="0" w:firstLine="200"/>
              <w:jc w:val="left"/>
              <w:rPr/>
            </w:pPr>
            <w:r>
              <w:rPr/>
              <w:t> </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w:t>
            </w:r>
          </w:p>
        </w:tc>
        <w:tc>
          <w:tcPr>
            <w:tcW w:w="612"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7018"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(223,615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(210,069</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95,073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107,459</w:t>
            </w:r>
          </w:p>
        </w:tc>
        <w:tc>
          <w:tcPr>
            <w:tcW w:w="61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18"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100,977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123,015</w:t>
            </w:r>
          </w:p>
        </w:tc>
        <w:tc>
          <w:tcPr>
            <w:tcW w:w="6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5" w:name="consolidated_statements_operations"/>
      <w:bookmarkEnd w:id="5"/>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and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9,748</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(15,390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used in net loss per share</w:t>
              <w:br/>
              <w:t>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98,698,579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59,542,628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98,654,868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45,253,599</w:t>
            </w:r>
          </w:p>
        </w:tc>
        <w:tc>
          <w:tcPr>
            <w:tcW w:w="611" w:type="dxa"/>
            <w:tcBorders/>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100"/>
              <w:jc w:val="left"/>
              <w:rPr/>
            </w:pPr>
            <w:r>
              <w:rPr/>
              <w:t> </w:t>
            </w:r>
          </w:p>
        </w:tc>
      </w:tr>
      <w:tr>
        <w:trPr/>
        <w:tc>
          <w:tcPr>
            <w:tcW w:w="35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unrealized losses on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6" w:name="consolidated_statement_of_stockholders_e"/>
      <w:bookmarkEnd w:id="6"/>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46"/>
        <w:gridCol w:w="916"/>
        <w:gridCol w:w="146"/>
        <w:gridCol w:w="146"/>
        <w:gridCol w:w="271"/>
        <w:gridCol w:w="480"/>
        <w:gridCol w:w="146"/>
        <w:gridCol w:w="146"/>
        <w:gridCol w:w="205"/>
        <w:gridCol w:w="726"/>
        <w:gridCol w:w="166"/>
        <w:gridCol w:w="146"/>
        <w:gridCol w:w="502"/>
        <w:gridCol w:w="837"/>
        <w:gridCol w:w="166"/>
        <w:gridCol w:w="146"/>
        <w:gridCol w:w="233"/>
        <w:gridCol w:w="893"/>
        <w:gridCol w:w="166"/>
        <w:gridCol w:w="146"/>
        <w:gridCol w:w="246"/>
        <w:gridCol w:w="870"/>
        <w:gridCol w:w="213"/>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3" w:type="dxa"/>
            <w:tcBorders/>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Paid-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60,065,408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318,230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101,732</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exercise of stock options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Employee Stock Purchase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pre-funded warrant 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2,998,838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Unrealized losses on available-for-sale marketable securities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(7,145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63,098,455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318,873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(223,615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95,073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March 31, 2022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30,805,804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198,678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(188,246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10,463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the at-the-market sales agreement, net of commissions and allocated fees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Employee Stock Purchase Plan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and warrants under private placements, less issuance costs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4,580,526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51,826</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warrant 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4,299,270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5,890</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Unrealized losses on available-for-sale marketable securities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(8,052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2022</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39,719,572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256,908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(196,298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60,515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46"/>
        <w:gridCol w:w="916"/>
        <w:gridCol w:w="146"/>
        <w:gridCol w:w="146"/>
        <w:gridCol w:w="271"/>
        <w:gridCol w:w="480"/>
        <w:gridCol w:w="146"/>
        <w:gridCol w:w="146"/>
        <w:gridCol w:w="205"/>
        <w:gridCol w:w="726"/>
        <w:gridCol w:w="166"/>
        <w:gridCol w:w="146"/>
        <w:gridCol w:w="502"/>
        <w:gridCol w:w="837"/>
        <w:gridCol w:w="166"/>
        <w:gridCol w:w="146"/>
        <w:gridCol w:w="233"/>
        <w:gridCol w:w="893"/>
        <w:gridCol w:w="166"/>
        <w:gridCol w:w="146"/>
        <w:gridCol w:w="246"/>
        <w:gridCol w:w="870"/>
        <w:gridCol w:w="213"/>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3" w:type="dxa"/>
            <w:tcBorders/>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Paid-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59,943,430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317,590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(210,069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107,459</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exercise of stock options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Employee Stock Purchase Plan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pre-funded warrant exercise</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2,998,838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Unrealized losses on available-for-sale marketable securities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(13,546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2023</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63,098,455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318,873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(223,615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95,073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December 31, 2021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28,505,804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(180,917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17,075</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1,257</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the at-the-market sales agreement, net of commissions and allocated fees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Employee Stock Purchase Plan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and warrants under private placements, less issuance costs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4,580,526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51,826</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from warrant exercise</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6,599,270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5,892</w:t>
            </w:r>
          </w:p>
        </w:tc>
        <w:tc>
          <w:tcPr>
            <w:tcW w:w="213" w:type="dxa"/>
            <w:tcBorders/>
            <w:vAlign w:val="center"/>
          </w:tcPr>
          <w:p>
            <w:pPr>
              <w:pStyle w:val="TableContents"/>
              <w:bidi w:val="0"/>
              <w:spacing w:before="0" w:after="0"/>
              <w:ind w:left="0" w:right="0" w:hanging="0"/>
              <w:jc w:val="left"/>
              <w:rPr/>
            </w:pPr>
            <w:r>
              <w:rPr/>
              <w:t> </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Unrealized losses on available-for-sale marketable securities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(15,381</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Balance at June 30,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39,719,572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256,908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(196,298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60,515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solidated_statements_cash_flows"/>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sz w:val="20"/>
        </w:rPr>
        <w:t>(Amounts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62"/>
        <w:gridCol w:w="146"/>
        <w:gridCol w:w="211"/>
        <w:gridCol w:w="736"/>
        <w:gridCol w:w="166"/>
        <w:gridCol w:w="146"/>
        <w:gridCol w:w="211"/>
        <w:gridCol w:w="736"/>
        <w:gridCol w:w="791"/>
      </w:tblGrid>
      <w:tr>
        <w:trPr/>
        <w:tc>
          <w:tcPr>
            <w:tcW w:w="7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0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(13,546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(15,381</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Accretion of available-for-sale marketable securities,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(72</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1,257</w:t>
            </w:r>
          </w:p>
        </w:tc>
        <w:tc>
          <w:tcPr>
            <w:tcW w:w="791" w:type="dxa"/>
            <w:tcBorders/>
            <w:vAlign w:val="center"/>
          </w:tcPr>
          <w:p>
            <w:pPr>
              <w:pStyle w:val="TableContents"/>
              <w:bidi w:val="0"/>
              <w:spacing w:before="0" w:after="0"/>
              <w:ind w:left="0" w:right="0" w:firstLine="200"/>
              <w:jc w:val="lef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Accretion/accrual of term loan discounts and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297</w:t>
            </w:r>
          </w:p>
        </w:tc>
        <w:tc>
          <w:tcPr>
            <w:tcW w:w="791" w:type="dxa"/>
            <w:tcBorders/>
            <w:vAlign w:val="center"/>
          </w:tcPr>
          <w:p>
            <w:pPr>
              <w:pStyle w:val="TableContents"/>
              <w:bidi w:val="0"/>
              <w:spacing w:before="0" w:after="0"/>
              <w:ind w:left="0" w:right="0" w:firstLine="200"/>
              <w:jc w:val="lef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67</w:t>
            </w:r>
          </w:p>
        </w:tc>
        <w:tc>
          <w:tcPr>
            <w:tcW w:w="791" w:type="dxa"/>
            <w:tcBorders/>
            <w:vAlign w:val="center"/>
          </w:tcPr>
          <w:p>
            <w:pPr>
              <w:pStyle w:val="TableContents"/>
              <w:bidi w:val="0"/>
              <w:spacing w:before="0" w:after="0"/>
              <w:ind w:left="0" w:right="0" w:firstLine="200"/>
              <w:jc w:val="lef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791" w:type="dxa"/>
            <w:tcBorders/>
            <w:vAlign w:val="center"/>
          </w:tcPr>
          <w:p>
            <w:pPr>
              <w:pStyle w:val="TableContents"/>
              <w:bidi w:val="0"/>
              <w:spacing w:before="0" w:after="0"/>
              <w:ind w:left="0" w:right="0" w:firstLine="200"/>
              <w:jc w:val="lef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Loss on disposal of property, equipment and 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7062"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147</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706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(893</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941</w:t>
            </w:r>
          </w:p>
        </w:tc>
        <w:tc>
          <w:tcPr>
            <w:tcW w:w="791" w:type="dxa"/>
            <w:tcBorders/>
            <w:vAlign w:val="center"/>
          </w:tcPr>
          <w:p>
            <w:pPr>
              <w:pStyle w:val="TableContents"/>
              <w:bidi w:val="0"/>
              <w:spacing w:before="0" w:after="0"/>
              <w:ind w:left="0" w:right="0" w:firstLine="400"/>
              <w:jc w:val="left"/>
              <w:rPr/>
            </w:pPr>
            <w:r>
              <w:rPr/>
              <w:t> </w:t>
            </w:r>
          </w:p>
        </w:tc>
      </w:tr>
      <w:tr>
        <w:trPr/>
        <w:tc>
          <w:tcPr>
            <w:tcW w:w="7062"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7062"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(18,072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(13,268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maturities of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available-for-sale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(8,981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(54,217</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Purchases of property, equipment and 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7062"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28,601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(54,217</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Repayments of term loan, term loan final fee and prepayment premium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(9,409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(2,333</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Payments of finance 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Payments of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exercises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Payments of financing costs of 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sale of common stock and warrants under private placement, net of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51,826</w:t>
            </w:r>
          </w:p>
        </w:tc>
        <w:tc>
          <w:tcPr>
            <w:tcW w:w="791" w:type="dxa"/>
            <w:tcBorders/>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Proceeds from exercises of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5,892</w:t>
            </w:r>
          </w:p>
        </w:tc>
        <w:tc>
          <w:tcPr>
            <w:tcW w:w="791" w:type="dxa"/>
            <w:tcBorders/>
            <w:vAlign w:val="center"/>
          </w:tcPr>
          <w:p>
            <w:pPr>
              <w:pStyle w:val="TableContents"/>
              <w:bidi w:val="0"/>
              <w:spacing w:before="0" w:after="0"/>
              <w:ind w:left="0" w:right="0" w:firstLine="600"/>
              <w:jc w:val="left"/>
              <w:rPr/>
            </w:pPr>
            <w:r>
              <w:rPr/>
              <w:t> </w:t>
            </w:r>
          </w:p>
        </w:tc>
      </w:tr>
      <w:tr>
        <w:trPr/>
        <w:tc>
          <w:tcPr>
            <w:tcW w:w="7062" w:type="dxa"/>
            <w:tcBorders/>
            <w:vAlign w:val="center"/>
          </w:tcPr>
          <w:p>
            <w:pPr>
              <w:pStyle w:val="TableContents"/>
              <w:bidi w:val="0"/>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(9,366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55,353</w:t>
            </w:r>
          </w:p>
        </w:tc>
        <w:tc>
          <w:tcPr>
            <w:tcW w:w="7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(12,132</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12,589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36,830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6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13,752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24,698</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Trevi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notes_to_consolidated_financial_statemen"/>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bidi w:val="0"/>
        <w:spacing w:before="120" w:after="0"/>
        <w:jc w:val="left"/>
        <w:rPr>
          <w:rFonts w:ascii="Times New Roman" w:hAnsi="Times New Roman"/>
          <w:b/>
          <w:sz w:val="20"/>
        </w:rPr>
      </w:pPr>
      <w:r>
        <w:rPr>
          <w:rFonts w:ascii="Times New Roman" w:hAnsi="Times New Roman"/>
          <w:b/>
          <w:sz w:val="20"/>
        </w:rPr>
        <w:t>1.</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Nature of the Business </w:t>
      </w:r>
    </w:p>
    <w:p>
      <w:pPr>
        <w:pStyle w:val="TextBody"/>
        <w:bidi w:val="0"/>
        <w:spacing w:before="120" w:after="0"/>
        <w:jc w:val="left"/>
        <w:rPr>
          <w:rFonts w:ascii="Times New Roman" w:hAnsi="Times New Roman"/>
          <w:sz w:val="20"/>
        </w:rPr>
      </w:pPr>
      <w:r>
        <w:rPr>
          <w:rFonts w:ascii="Times New Roman;serif" w:hAnsi="Times New Roman;serif"/>
          <w:b w:val="false"/>
          <w:sz w:val="20"/>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other chronic cough indications, and for the treatment of prurigo nodularis.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2.</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interim Condensed Consolidated Financial Statements for the three and six months ended June 30, 2023 and 2022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2022. Certain prior year balances have been reclassified to conform to the current year presentation. Such reclassifications did not affect loss from operations or net loss.</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include the accounts of Trevi Therapeutics, Inc. and its wholly-owned subsidiary Trevi Therapeutics Limited. Intercompany balances and transactions have been eliminated.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All amounts presented are in thousands of dollars, except share and per share amounts, unless noted otherwise. The Company has evaluated events occurring subsequent to June 30, 2023</w:t>
      </w:r>
      <w:r>
        <w:rPr>
          <w:rFonts w:ascii="Times New Roman" w:hAnsi="Times New Roman"/>
          <w:sz w:val="20"/>
        </w:rPr>
        <w:t xml:space="preserve"> </w:t>
      </w:r>
      <w:r>
        <w:rPr>
          <w:rFonts w:ascii="Times New Roman;serif" w:hAnsi="Times New Roman;serif"/>
          <w:b w:val="false"/>
          <w:sz w:val="20"/>
        </w:rPr>
        <w:t>for potential recognition or disclosure in the Condensed Consolidated Financial Statements and concluded there were no subsequent events that required recognition or disclosure other than those provided in Note 8.</w:t>
      </w:r>
    </w:p>
    <w:p>
      <w:pPr>
        <w:pStyle w:val="TextBody"/>
        <w:bidi w:val="0"/>
        <w:spacing w:before="12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Unaudited Interim Financial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interim Condensed Consolidated Balance Sheet as of June 30, 2023, the Condensed Consolidated Statements of Comprehensive Loss and the Condensed Consolidated Statements of Stockholders’ Equity for the three and six months ended June 30, 2023 and 2022 and the Condensed Consolidated Statements of Cash Flows for the six months ended June 30, 2023 and 2022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2023 and the results of its operations and its cash flows for the three and six months ended June 30, 2023 and 2022. The results for the three and six months ended June 30, 2023 and 2022 are not necessarily indicative of results to be expected for the year ending December 31, 2023</w:t>
      </w:r>
      <w:r>
        <w:rPr>
          <w:rFonts w:ascii="Times New Roman" w:hAnsi="Times New Roman"/>
          <w:sz w:val="20"/>
        </w:rPr>
        <w:t xml:space="preserve"> </w:t>
      </w:r>
      <w:r>
        <w:rPr>
          <w:rFonts w:ascii="Times New Roman;serif" w:hAnsi="Times New Roman;serif"/>
          <w:b w:val="false"/>
          <w:sz w:val="20"/>
        </w:rPr>
        <w:t>or any other interim period or any future year or period.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Equivalents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classifies short-term, highly liquid investments with an original term of three months or less at the date of purchase as cash equivalents.</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with unrealized gains and losses included as a component of stockholders’ equity. The amortized cost of debt securities is adjusted for amortization of premiums and accretion of discounts to maturity, which is included in interest income, net on the Condensed Consolidated Statements of Comprehensive Loss. Realized gains and losses and declines in value judged to be other than temporary, if any, on marketable securities are included in interest income, net on the Condensed Consolidated Statements of Comprehensive Loss. The cost of securities sold is determined using specific identification.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evaluates whether declines in the fair values of its marketable securities below their amortized cost are other 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0"/>
        <w:jc w:val="left"/>
        <w:rPr>
          <w:rFonts w:ascii="Times New Roman" w:hAnsi="Times New Roman"/>
          <w:sz w:val="20"/>
        </w:rPr>
      </w:pPr>
      <w:r>
        <w:rPr>
          <w:rFonts w:ascii="Times New Roman;serif" w:hAnsi="Times New Roman;serif"/>
          <w:b/>
          <w:i/>
          <w:sz w:val="20"/>
        </w:rPr>
        <w:t>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Current accounting guidance defines fair value, establishes a framework for measuring fair value in accordance with Accounting Standards Codification (“ASC”) 820,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1—Observable inputs—quoted prices in active markets for identical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3—Unobservable inputs—includes amounts derived from valuation models where one or more significant inputs are unobservable and require the company to develop relevant assumptions.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Valuation Techniques - Level 2 Inputs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estimates the fair values of its financial instruments categorized as level 2 in the fair value hierarchy, including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Property, Equipment and Leasehold Improvements</w:t>
      </w:r>
    </w:p>
    <w:p>
      <w:pPr>
        <w:pStyle w:val="TextBody"/>
        <w:bidi w:val="0"/>
        <w:spacing w:before="120" w:after="0"/>
        <w:jc w:val="left"/>
        <w:rPr>
          <w:rFonts w:ascii="Times New Roman" w:hAnsi="Times New Roman"/>
          <w:sz w:val="20"/>
        </w:rPr>
      </w:pPr>
      <w:r>
        <w:rPr>
          <w:rFonts w:ascii="Times New Roman;serif" w:hAnsi="Times New Roman;serif"/>
          <w:b w:val="false"/>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w:t>
      </w:r>
      <w:r>
        <w:rPr>
          <w:rFonts w:ascii="Times New Roman" w:hAnsi="Times New Roman"/>
          <w:sz w:val="20"/>
        </w:rPr>
        <w:t xml:space="preserve"> </w:t>
      </w:r>
      <w:r>
        <w:rPr>
          <w:rFonts w:ascii="Times New Roman;serif" w:hAnsi="Times New Roman;serif"/>
          <w:b w:val="false"/>
          <w:sz w:val="20"/>
        </w:rPr>
        <w:t>for computer equipment, five years</w:t>
      </w:r>
      <w:r>
        <w:rPr>
          <w:rFonts w:ascii="Times New Roman" w:hAnsi="Times New Roman"/>
          <w:sz w:val="20"/>
        </w:rPr>
        <w:t xml:space="preserve"> </w:t>
      </w:r>
      <w:r>
        <w:rPr>
          <w:rFonts w:ascii="Times New Roman;serif" w:hAnsi="Times New Roman;serif"/>
          <w:b w:val="false"/>
          <w:sz w:val="20"/>
        </w:rPr>
        <w:t>for furniture and office equipment, and the shorter of the term of the lease or useful life for leasehold improvements).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Foreign Currency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Comprehensive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Deferred Offering Costs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Condensed Consolidated Balance Sheets.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(“R&amp;D”)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Accrued R&amp;D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Patent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Warrants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serif" w:hAnsi="Times New Roman;serif"/>
          <w:b w:val="false"/>
          <w:i/>
          <w:sz w:val="20"/>
        </w:rPr>
        <w:t xml:space="preserve">Distinguishing Liabilities from Equity </w:t>
      </w:r>
      <w:r>
        <w:rPr>
          <w:rFonts w:ascii="Times New Roman;serif" w:hAnsi="Times New Roman;serif"/>
          <w:b w:val="false"/>
          <w:sz w:val="20"/>
        </w:rPr>
        <w:t xml:space="preserve">(“ASC 480”), and then in accordance with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accounts for stock-based compensation arrangements with employees and non-employees for consultancy services in accordance with ASC 718, </w:t>
      </w:r>
      <w:r>
        <w:rPr>
          <w:rFonts w:ascii="Times New Roman;serif" w:hAnsi="Times New Roman;serif"/>
          <w:b w:val="false"/>
          <w:i/>
          <w:sz w:val="20"/>
        </w:rPr>
        <w:t xml:space="preserve">Stock Compensation </w:t>
      </w:r>
      <w:r>
        <w:rPr>
          <w:rFonts w:ascii="Times New Roman;serif" w:hAnsi="Times New Roman;serif"/>
          <w:b w:val="false"/>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120" w:after="0"/>
        <w:jc w:val="left"/>
        <w:rPr>
          <w:rFonts w:ascii="Times New Roman" w:hAnsi="Times New Roman"/>
          <w:sz w:val="20"/>
        </w:rPr>
      </w:pPr>
      <w:r>
        <w:rPr>
          <w:rFonts w:ascii="Times New Roman;serif" w:hAnsi="Times New Roman;serif"/>
          <w:b w:val="false"/>
          <w:sz w:val="20"/>
        </w:rPr>
        <w:t>Expected Dividend—The Black-Scholes valuation model calls for a single expected dividend yield as an input. The Company currently has no</w:t>
      </w:r>
      <w:r>
        <w:rPr>
          <w:rFonts w:ascii="Times New Roman" w:hAnsi="Times New Roman"/>
          <w:sz w:val="20"/>
        </w:rPr>
        <w:t xml:space="preserve"> </w:t>
      </w:r>
      <w:r>
        <w:rPr>
          <w:rFonts w:ascii="Times New Roman;serif" w:hAnsi="Times New Roman;serif"/>
          <w:b w:val="false"/>
          <w:sz w:val="20"/>
        </w:rPr>
        <w:t>history or expectation of paying cash dividends on its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Risk-Free Interest Rate—The risk-free interest rate is based on the yield available on U.S. Treasury zero-coupon issues similar in duration to the expected term of the stock-based award.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applies the provisions of ASC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June 30, 2023 and December 31, 2022. The Company does not have any interest or penalties accrued related to tax positions as it does not have any unrecognized tax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Under ASC 842,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(“ASC 842”),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0"/>
        <w:jc w:val="left"/>
        <w:rPr>
          <w:rFonts w:ascii="Times New Roman" w:hAnsi="Times New Roman"/>
          <w:sz w:val="20"/>
        </w:rPr>
      </w:pPr>
      <w:r>
        <w:rPr>
          <w:rFonts w:ascii="Times New Roman;serif" w:hAnsi="Times New Roman;serif"/>
          <w:b/>
          <w:i/>
          <w:sz w:val="20"/>
        </w:rPr>
        <w:t>Basic and Diluted Net Loss per Common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all periods presented, shares issuable upon exercise of stock options and warrants to purchase shares of common stock (other than pre-funded warrants) have been excluded from the calculation because their effects would be anti-dilutive. Therefore,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weighted average common shares used to calculate both basic and diluted net loss per share are the same for each of the periods presented.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Segments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one</w:t>
      </w:r>
      <w:r>
        <w:rPr>
          <w:rFonts w:ascii="Times New Roman" w:hAnsi="Times New Roman"/>
          <w:sz w:val="20"/>
        </w:rPr>
        <w:t xml:space="preserve"> </w:t>
      </w:r>
      <w:r>
        <w:rPr>
          <w:rFonts w:ascii="Times New Roman;serif" w:hAnsi="Times New Roman;serif"/>
          <w:b w:val="false"/>
          <w:sz w:val="20"/>
        </w:rPr>
        <w:t>reporting segment which is also the Company’s only operating segment. Management uses one measurement of profitability and does not segregate its business for internal reporting. All long-lived assets are maintained in the U.S.</w:t>
      </w:r>
    </w:p>
    <w:p>
      <w:pPr>
        <w:pStyle w:val="TextBody"/>
        <w:bidi w:val="0"/>
        <w:spacing w:before="12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new pronouncements adopted during the six months ended June 30,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issued during the six months ended June 30, 2023, which could be expected to materially impact the Company’s Condensed Consolidated Financial Statements.</w:t>
      </w:r>
    </w:p>
    <w:p>
      <w:pPr>
        <w:pStyle w:val="TextBody"/>
        <w:bidi w:val="0"/>
        <w:spacing w:before="120" w:after="0"/>
        <w:jc w:val="left"/>
        <w:rPr>
          <w:rFonts w:ascii="Times New Roman" w:hAnsi="Times New Roman"/>
          <w:b/>
          <w:sz w:val="20"/>
        </w:rPr>
      </w:pPr>
      <w:r>
        <w:rPr>
          <w:rFonts w:ascii="Times New Roman" w:hAnsi="Times New Roman"/>
          <w:b/>
          <w:sz w:val="20"/>
        </w:rPr>
        <w:t>3.</w:t>
      </w:r>
    </w:p>
    <w:p>
      <w:pPr>
        <w:pStyle w:val="TextBody"/>
        <w:bidi w:val="0"/>
        <w:spacing w:before="120" w:after="283"/>
        <w:jc w:val="left"/>
        <w:rPr>
          <w:rFonts w:ascii="Times New Roman;serif" w:hAnsi="Times New Roman;serif"/>
          <w:b/>
          <w:sz w:val="20"/>
        </w:rPr>
      </w:pPr>
      <w:r>
        <w:rPr>
          <w:rFonts w:ascii="Times New Roman;serif" w:hAnsi="Times New Roman;serif"/>
          <w:b/>
          <w:sz w:val="20"/>
        </w:rPr>
        <w:t>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and amortized cost of available-for-sale marketable securities by major security type as of June 30, 2023 and December 31, 2022 are presented in the following table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52"/>
        <w:gridCol w:w="146"/>
        <w:gridCol w:w="307"/>
        <w:gridCol w:w="987"/>
        <w:gridCol w:w="146"/>
        <w:gridCol w:w="146"/>
        <w:gridCol w:w="673"/>
        <w:gridCol w:w="1106"/>
        <w:gridCol w:w="146"/>
        <w:gridCol w:w="146"/>
        <w:gridCol w:w="553"/>
        <w:gridCol w:w="1267"/>
        <w:gridCol w:w="166"/>
        <w:gridCol w:w="146"/>
        <w:gridCol w:w="384"/>
        <w:gridCol w:w="1237"/>
        <w:gridCol w:w="297"/>
      </w:tblGrid>
      <w:tr>
        <w:trPr/>
        <w:tc>
          <w:tcPr>
            <w:tcW w:w="2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5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56,594</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4,939</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vAlign w:val="center"/>
          </w:tcPr>
          <w:p>
            <w:pPr>
              <w:pStyle w:val="TableContents"/>
              <w:bidi w:val="0"/>
              <w:spacing w:before="0" w:after="0"/>
              <w:ind w:left="0" w:right="0" w:hanging="0"/>
              <w:jc w:val="left"/>
              <w:rPr/>
            </w:pPr>
            <w:r>
              <w:rPr/>
              <w:t> </w:t>
            </w:r>
          </w:p>
        </w:tc>
        <w:tc>
          <w:tcPr>
            <w:tcW w:w="12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297" w:type="dxa"/>
            <w:tcBorders/>
            <w:vAlign w:val="center"/>
          </w:tcPr>
          <w:p>
            <w:pPr>
              <w:pStyle w:val="TableContents"/>
              <w:bidi w:val="0"/>
              <w:spacing w:before="0" w:after="0"/>
              <w:ind w:left="0" w:right="0" w:hanging="0"/>
              <w:jc w:val="left"/>
              <w:rPr/>
            </w:pPr>
            <w:r>
              <w:rPr/>
              <w:t> </w:t>
            </w:r>
          </w:p>
        </w:tc>
      </w:tr>
      <w:tr>
        <w:trPr/>
        <w:tc>
          <w:tcPr>
            <w:tcW w:w="2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35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80,400</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49"/>
        <w:gridCol w:w="146"/>
        <w:gridCol w:w="273"/>
        <w:gridCol w:w="1020"/>
        <w:gridCol w:w="146"/>
        <w:gridCol w:w="146"/>
        <w:gridCol w:w="672"/>
        <w:gridCol w:w="1105"/>
        <w:gridCol w:w="146"/>
        <w:gridCol w:w="146"/>
        <w:gridCol w:w="553"/>
        <w:gridCol w:w="1266"/>
        <w:gridCol w:w="166"/>
        <w:gridCol w:w="146"/>
        <w:gridCol w:w="346"/>
        <w:gridCol w:w="1283"/>
        <w:gridCol w:w="296"/>
      </w:tblGrid>
      <w:tr>
        <w:trPr/>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11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12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296"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34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107,921</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net amortized cost and fair value of available-for-sale marketable securities at June 30, 2023 and December 31, 2022, respectively, are shown below by contractual maturity. Actual maturities may differ from contractual maturities because securities may be restructured, called or prepaid, or the Company may intend to sell a security prior to maturity.</w:t>
      </w:r>
    </w:p>
    <w:p>
      <w:pPr>
        <w:pStyle w:val="TextBody"/>
        <w:bidi w:val="0"/>
        <w:spacing w:before="0" w:after="0"/>
        <w:jc w:val="left"/>
        <w:rPr/>
      </w:pPr>
      <w:r>
        <w:rPr/>
        <w:t> </w:t>
      </w:r>
    </w:p>
    <w:tbl>
      <w:tblPr>
        <w:tblW w:w="5515" w:type="dxa"/>
        <w:jc w:val="left"/>
        <w:tblInd w:w="0" w:type="dxa"/>
        <w:tblLayout w:type="fixed"/>
        <w:tblCellMar>
          <w:top w:w="28" w:type="dxa"/>
          <w:left w:w="28" w:type="dxa"/>
          <w:bottom w:w="28" w:type="dxa"/>
          <w:right w:w="28" w:type="dxa"/>
        </w:tblCellMar>
      </w:tblPr>
      <w:tblGrid>
        <w:gridCol w:w="2341"/>
        <w:gridCol w:w="146"/>
        <w:gridCol w:w="338"/>
        <w:gridCol w:w="1087"/>
        <w:gridCol w:w="146"/>
        <w:gridCol w:w="146"/>
        <w:gridCol w:w="242"/>
        <w:gridCol w:w="778"/>
        <w:gridCol w:w="2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to mature:</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than one year</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57,832</w:t>
            </w:r>
          </w:p>
        </w:tc>
        <w:tc>
          <w:tcPr>
            <w:tcW w:w="291" w:type="dxa"/>
            <w:tcBorders/>
            <w:vAlign w:val="center"/>
          </w:tcPr>
          <w:p>
            <w:pPr>
              <w:pStyle w:val="TableContents"/>
              <w:bidi w:val="0"/>
              <w:spacing w:before="0" w:after="0"/>
              <w:ind w:left="0" w:right="0" w:firstLine="100"/>
              <w:jc w:val="lef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through two years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80,400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5515" w:type="dxa"/>
        <w:jc w:val="left"/>
        <w:tblInd w:w="0" w:type="dxa"/>
        <w:tblLayout w:type="fixed"/>
        <w:tblCellMar>
          <w:top w:w="28" w:type="dxa"/>
          <w:left w:w="28" w:type="dxa"/>
          <w:bottom w:w="28" w:type="dxa"/>
          <w:right w:w="28" w:type="dxa"/>
        </w:tblCellMar>
      </w:tblPr>
      <w:tblGrid>
        <w:gridCol w:w="2341"/>
        <w:gridCol w:w="146"/>
        <w:gridCol w:w="301"/>
        <w:gridCol w:w="1124"/>
        <w:gridCol w:w="146"/>
        <w:gridCol w:w="146"/>
        <w:gridCol w:w="217"/>
        <w:gridCol w:w="803"/>
        <w:gridCol w:w="2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to mature:</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than one year</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69,367</w:t>
            </w:r>
          </w:p>
        </w:tc>
        <w:tc>
          <w:tcPr>
            <w:tcW w:w="291" w:type="dxa"/>
            <w:tcBorders/>
            <w:vAlign w:val="center"/>
          </w:tcPr>
          <w:p>
            <w:pPr>
              <w:pStyle w:val="TableContents"/>
              <w:bidi w:val="0"/>
              <w:spacing w:before="0" w:after="0"/>
              <w:ind w:left="0" w:right="0" w:firstLine="100"/>
              <w:jc w:val="left"/>
              <w:rPr/>
            </w:pPr>
            <w:r>
              <w:rPr/>
              <w:t> </w:t>
            </w:r>
          </w:p>
        </w:tc>
      </w:tr>
      <w:tr>
        <w:trPr/>
        <w:tc>
          <w:tcPr>
            <w:tcW w:w="23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through two years</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38,554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and 2022, there were no</w:t>
      </w:r>
      <w:r>
        <w:rPr>
          <w:rFonts w:ascii="Times New Roman" w:hAnsi="Times New Roman"/>
          <w:sz w:val="20"/>
        </w:rPr>
        <w:t xml:space="preserve"> </w:t>
      </w:r>
      <w:r>
        <w:rPr>
          <w:rFonts w:ascii="Times New Roman;serif" w:hAnsi="Times New Roman;serif"/>
          <w:b w:val="false"/>
          <w:sz w:val="20"/>
        </w:rPr>
        <w:t>realized gains or losses on available-for-sale marketable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There was one</w:t>
      </w:r>
      <w:r>
        <w:rPr>
          <w:rFonts w:ascii="Times New Roman" w:hAnsi="Times New Roman"/>
          <w:sz w:val="20"/>
        </w:rPr>
        <w:t xml:space="preserve"> </w:t>
      </w:r>
      <w:r>
        <w:rPr>
          <w:rFonts w:ascii="Times New Roman;serif" w:hAnsi="Times New Roman;serif"/>
          <w:b w:val="false"/>
          <w:sz w:val="20"/>
        </w:rPr>
        <w:t>investment in an unrealized loss position for greater than 12 months with a fair value of approximately $1.0</w:t>
      </w:r>
      <w:r>
        <w:rPr>
          <w:rFonts w:ascii="Times New Roman" w:hAnsi="Times New Roman"/>
          <w:sz w:val="20"/>
        </w:rPr>
        <w:t xml:space="preserve"> </w:t>
      </w:r>
      <w:r>
        <w:rPr>
          <w:rFonts w:ascii="Times New Roman;serif" w:hAnsi="Times New Roman;serif"/>
          <w:b w:val="false"/>
          <w:sz w:val="20"/>
        </w:rPr>
        <w:t>million as of June 30, 2023</w:t>
      </w:r>
      <w:r>
        <w:rPr>
          <w:rFonts w:ascii="Times New Roman" w:hAnsi="Times New Roman"/>
          <w:sz w:val="20"/>
        </w:rPr>
        <w:t xml:space="preserve"> </w:t>
      </w:r>
      <w:r>
        <w:rPr>
          <w:rFonts w:ascii="Times New Roman;serif" w:hAnsi="Times New Roman;serif"/>
          <w:b w:val="false"/>
          <w:sz w:val="20"/>
        </w:rPr>
        <w:t>and there were no</w:t>
      </w:r>
      <w:r>
        <w:rPr>
          <w:rFonts w:ascii="Times New Roman" w:hAnsi="Times New Roman"/>
          <w:sz w:val="20"/>
        </w:rPr>
        <w:t xml:space="preserve"> </w:t>
      </w:r>
      <w:r>
        <w:rPr>
          <w:rFonts w:ascii="Times New Roman;serif" w:hAnsi="Times New Roman;serif"/>
          <w:b w:val="false"/>
          <w:sz w:val="20"/>
        </w:rPr>
        <w:t>investments in an unrealized loss position for greater than 12 months as of December 31, 2022. The Company considered the loss as of June 30, 2023 to be temporary in nature. The Company considered the decline in market value for this investment to be primarily attributable to economic and market conditions. As of June 30, 2023, the Company did not intend to sell, and it was not likely that the Company would be required to sell, the investment that was in an unrealized loss position before recovery of its amortized cost basis. Accordingly, the Company did not recognize any other-than-temporary impairment related to its investments in an unrealized loss position.</w:t>
      </w:r>
    </w:p>
    <w:p>
      <w:pPr>
        <w:pStyle w:val="TextBody"/>
        <w:bidi w:val="0"/>
        <w:spacing w:before="120" w:after="0"/>
        <w:jc w:val="left"/>
        <w:rPr>
          <w:rFonts w:ascii="Times New Roman" w:hAnsi="Times New Roman"/>
          <w:b/>
          <w:sz w:val="20"/>
        </w:rPr>
      </w:pPr>
      <w:r>
        <w:rPr>
          <w:rFonts w:ascii="Times New Roman" w:hAnsi="Times New Roman"/>
          <w:b/>
          <w:sz w:val="20"/>
        </w:rPr>
        <w:t>4.</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financial assets and financial liabilities measured at fair value on a recurring basis as of June 30, 2023 and December 31, 2022, and the basis for that measurement, by level within the fair value hierarchy: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866"/>
        <w:gridCol w:w="146"/>
        <w:gridCol w:w="211"/>
        <w:gridCol w:w="676"/>
        <w:gridCol w:w="146"/>
        <w:gridCol w:w="146"/>
        <w:gridCol w:w="211"/>
        <w:gridCol w:w="676"/>
        <w:gridCol w:w="146"/>
        <w:gridCol w:w="146"/>
        <w:gridCol w:w="276"/>
        <w:gridCol w:w="456"/>
        <w:gridCol w:w="146"/>
        <w:gridCol w:w="146"/>
        <w:gridCol w:w="211"/>
        <w:gridCol w:w="676"/>
        <w:gridCol w:w="293"/>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6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 Using:</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Balance Sheet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Instrument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8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June 30, 2023</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3" w:type="dxa"/>
            <w:tcBorders/>
            <w:vAlign w:val="center"/>
          </w:tcPr>
          <w:p>
            <w:pPr>
              <w:pStyle w:val="TableContents"/>
              <w:bidi w:val="0"/>
              <w:spacing w:before="0" w:after="0"/>
              <w:ind w:left="0" w:right="0" w:hanging="0"/>
              <w:jc w:val="right"/>
              <w:rPr/>
            </w:pPr>
            <w:r>
              <w:rPr/>
              <w:t> </w:t>
            </w:r>
          </w:p>
        </w:tc>
      </w:tr>
      <w:tr>
        <w:trPr/>
        <w:tc>
          <w:tcPr>
            <w:tcW w:w="24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3" w:type="dxa"/>
            <w:tcBorders/>
            <w:vAlign w:val="center"/>
          </w:tcPr>
          <w:p>
            <w:pPr>
              <w:pStyle w:val="TableContents"/>
              <w:bidi w:val="0"/>
              <w:spacing w:before="0" w:after="0"/>
              <w:ind w:left="0" w:right="0" w:firstLine="100"/>
              <w:jc w:val="righ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13,099</w:t>
            </w:r>
          </w:p>
        </w:tc>
        <w:tc>
          <w:tcPr>
            <w:tcW w:w="293" w:type="dxa"/>
            <w:tcBorders/>
            <w:vAlign w:val="center"/>
          </w:tcPr>
          <w:p>
            <w:pPr>
              <w:pStyle w:val="TableContents"/>
              <w:bidi w:val="0"/>
              <w:spacing w:before="0" w:after="0"/>
              <w:ind w:left="0" w:right="0" w:firstLine="100"/>
              <w:jc w:val="lef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56,594</w:t>
            </w:r>
          </w:p>
        </w:tc>
        <w:tc>
          <w:tcPr>
            <w:tcW w:w="293" w:type="dxa"/>
            <w:tcBorders/>
            <w:vAlign w:val="center"/>
          </w:tcPr>
          <w:p>
            <w:pPr>
              <w:pStyle w:val="TableContents"/>
              <w:bidi w:val="0"/>
              <w:spacing w:before="0" w:after="0"/>
              <w:ind w:left="0" w:right="0" w:firstLine="100"/>
              <w:jc w:val="lef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14,916</w:t>
            </w:r>
          </w:p>
        </w:tc>
        <w:tc>
          <w:tcPr>
            <w:tcW w:w="293" w:type="dxa"/>
            <w:tcBorders/>
            <w:vAlign w:val="center"/>
          </w:tcPr>
          <w:p>
            <w:pPr>
              <w:pStyle w:val="TableContents"/>
              <w:bidi w:val="0"/>
              <w:spacing w:before="0" w:after="0"/>
              <w:ind w:left="0" w:right="0" w:firstLine="100"/>
              <w:jc w:val="lef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4,939</w:t>
            </w:r>
          </w:p>
        </w:tc>
        <w:tc>
          <w:tcPr>
            <w:tcW w:w="293" w:type="dxa"/>
            <w:tcBorders/>
            <w:vAlign w:val="center"/>
          </w:tcPr>
          <w:p>
            <w:pPr>
              <w:pStyle w:val="TableContents"/>
              <w:bidi w:val="0"/>
              <w:spacing w:before="0" w:after="0"/>
              <w:ind w:left="0" w:right="0" w:firstLine="100"/>
              <w:jc w:val="lef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293" w:type="dxa"/>
            <w:tcBorders/>
            <w:vAlign w:val="center"/>
          </w:tcPr>
          <w:p>
            <w:pPr>
              <w:pStyle w:val="TableContents"/>
              <w:bidi w:val="0"/>
              <w:spacing w:before="0" w:after="0"/>
              <w:ind w:left="0" w:right="0" w:firstLine="100"/>
              <w:jc w:val="left"/>
              <w:rPr/>
            </w:pPr>
            <w:r>
              <w:rPr/>
              <w:t> </w:t>
            </w:r>
          </w:p>
        </w:tc>
      </w:tr>
      <w:tr>
        <w:trPr/>
        <w:tc>
          <w:tcPr>
            <w:tcW w:w="248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93,499</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 Using:</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Balance Sheet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Type of Instrument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righ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firstLine="100"/>
              <w:jc w:val="righ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11,589</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62,513</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30,739</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9,852</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w:t>
            </w:r>
          </w:p>
        </w:tc>
        <w:tc>
          <w:tcPr>
            <w:tcW w:w="292" w:type="dxa"/>
            <w:tcBorders/>
            <w:vAlign w:val="center"/>
          </w:tcPr>
          <w:p>
            <w:pPr>
              <w:pStyle w:val="TableContents"/>
              <w:bidi w:val="0"/>
              <w:spacing w:before="0" w:after="0"/>
              <w:ind w:left="0" w:right="0" w:firstLine="100"/>
              <w:jc w:val="left"/>
              <w:rPr/>
            </w:pPr>
            <w:r>
              <w:rPr/>
              <w:t> </w:t>
            </w:r>
          </w:p>
        </w:tc>
      </w:tr>
      <w:tr>
        <w:trPr/>
        <w:tc>
          <w:tcPr>
            <w:tcW w:w="24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backed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8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119,510</w:t>
            </w:r>
          </w:p>
        </w:tc>
        <w:tc>
          <w:tcPr>
            <w:tcW w:w="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5.</w:t>
      </w:r>
    </w:p>
    <w:p>
      <w:pPr>
        <w:pStyle w:val="TextBody"/>
        <w:bidi w:val="0"/>
        <w:spacing w:before="120" w:after="283"/>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w:t>
      </w:r>
      <w:r>
        <w:rPr>
          <w:rFonts w:ascii="Times New Roman" w:hAnsi="Times New Roman"/>
          <w:sz w:val="20"/>
        </w:rPr>
        <w:t xml:space="preserve"> </w:t>
      </w:r>
      <w:r>
        <w:rPr>
          <w:rFonts w:ascii="Times New Roman;serif" w:hAnsi="Times New Roman;serif"/>
          <w:b w:val="false"/>
          <w:sz w:val="20"/>
        </w:rPr>
        <w:t>square feet and, prior to the Second Amendment, the Office Space Lease had a term of 60</w:t>
      </w:r>
      <w:r>
        <w:rPr>
          <w:rFonts w:ascii="Times New Roman" w:hAnsi="Times New Roman"/>
          <w:sz w:val="20"/>
        </w:rPr>
        <w:t xml:space="preserve"> </w:t>
      </w:r>
      <w:r>
        <w:rPr>
          <w:rFonts w:ascii="Times New Roman;serif" w:hAnsi="Times New Roman;serif"/>
          <w:b w:val="false"/>
          <w:sz w:val="20"/>
        </w:rPr>
        <w:t>months expiring on February 28, 2023. Under the First Amendment, the Company was required to make monthly payments ranging from approximately $10</w:t>
      </w:r>
      <w:r>
        <w:rPr>
          <w:rFonts w:ascii="Times New Roman" w:hAnsi="Times New Roman"/>
          <w:sz w:val="20"/>
        </w:rPr>
        <w:t xml:space="preserve"> </w:t>
      </w:r>
      <w:r>
        <w:rPr>
          <w:rFonts w:ascii="Times New Roman;serif" w:hAnsi="Times New Roman;serif"/>
          <w:b w:val="false"/>
          <w:sz w:val="20"/>
        </w:rPr>
        <w:t>to $12</w:t>
      </w:r>
      <w:r>
        <w:rPr>
          <w:rFonts w:ascii="Times New Roman" w:hAnsi="Times New Roman"/>
          <w:sz w:val="20"/>
        </w:rPr>
        <w:t xml:space="preserve"> </w:t>
      </w:r>
      <w:r>
        <w:rPr>
          <w:rFonts w:ascii="Times New Roman;serif" w:hAnsi="Times New Roman;serif"/>
          <w:b w:val="false"/>
          <w:sz w:val="20"/>
        </w:rPr>
        <w:t>through February 1, 2023 and received two designated months of free rent. As a result of the Company entering into the Second Amendment, the leased space increased to 12,500</w:t>
      </w:r>
      <w:r>
        <w:rPr>
          <w:rFonts w:ascii="Times New Roman" w:hAnsi="Times New Roman"/>
          <w:sz w:val="20"/>
        </w:rPr>
        <w:t xml:space="preserve"> </w:t>
      </w:r>
      <w:r>
        <w:rPr>
          <w:rFonts w:ascii="Times New Roman;serif" w:hAnsi="Times New Roman;serif"/>
          <w:b w:val="false"/>
          <w:sz w:val="20"/>
        </w:rPr>
        <w:t>square feet effective in March 2023 and the term for the Office Space Lease was extended for an additional 60</w:t>
      </w:r>
      <w:r>
        <w:rPr>
          <w:rFonts w:ascii="Times New Roman" w:hAnsi="Times New Roman"/>
          <w:sz w:val="20"/>
        </w:rPr>
        <w:t xml:space="preserve"> </w:t>
      </w:r>
      <w:r>
        <w:rPr>
          <w:rFonts w:ascii="Times New Roman;serif" w:hAnsi="Times New Roman;serif"/>
          <w:b w:val="false"/>
          <w:sz w:val="20"/>
        </w:rPr>
        <w:t>months from its prior termination date, until February 28, 2028. The Second Amendment requires monthly payments ranging from approximately $23</w:t>
      </w:r>
      <w:r>
        <w:rPr>
          <w:rFonts w:ascii="Times New Roman" w:hAnsi="Times New Roman"/>
          <w:sz w:val="20"/>
        </w:rPr>
        <w:t xml:space="preserve"> </w:t>
      </w:r>
      <w:r>
        <w:rPr>
          <w:rFonts w:ascii="Times New Roman;serif" w:hAnsi="Times New Roman;serif"/>
          <w:b w:val="false"/>
          <w:sz w:val="20"/>
        </w:rPr>
        <w:t>to $32</w:t>
      </w:r>
      <w:r>
        <w:rPr>
          <w:rFonts w:ascii="Times New Roman" w:hAnsi="Times New Roman"/>
          <w:sz w:val="20"/>
        </w:rPr>
        <w:t xml:space="preserve"> </w:t>
      </w:r>
      <w:r>
        <w:rPr>
          <w:rFonts w:ascii="Times New Roman;serif" w:hAnsi="Times New Roman;serif"/>
          <w:b w:val="false"/>
          <w:sz w:val="20"/>
        </w:rPr>
        <w:t>effective in March 2023 through February 2028. The first year of payments are based on 10,500</w:t>
      </w:r>
      <w:r>
        <w:rPr>
          <w:rFonts w:ascii="Times New Roman" w:hAnsi="Times New Roman"/>
          <w:sz w:val="20"/>
        </w:rPr>
        <w:t xml:space="preserve"> </w:t>
      </w:r>
      <w:r>
        <w:rPr>
          <w:rFonts w:ascii="Times New Roman;serif" w:hAnsi="Times New Roman;serif"/>
          <w:b w:val="false"/>
          <w:sz w:val="20"/>
        </w:rPr>
        <w:t>square feet of occupied space, the second year of payments are based on 11,500</w:t>
      </w:r>
      <w:r>
        <w:rPr>
          <w:rFonts w:ascii="Times New Roman" w:hAnsi="Times New Roman"/>
          <w:sz w:val="20"/>
        </w:rPr>
        <w:t xml:space="preserve"> </w:t>
      </w:r>
      <w:r>
        <w:rPr>
          <w:rFonts w:ascii="Times New Roman;serif" w:hAnsi="Times New Roman;serif"/>
          <w:b w:val="false"/>
          <w:sz w:val="20"/>
        </w:rPr>
        <w:t>square feet of occupied space and the remaining lease payments are based on 12,500</w:t>
      </w:r>
      <w:r>
        <w:rPr>
          <w:rFonts w:ascii="Times New Roman" w:hAnsi="Times New Roman"/>
          <w:sz w:val="20"/>
        </w:rPr>
        <w:t xml:space="preserve"> </w:t>
      </w:r>
      <w:r>
        <w:rPr>
          <w:rFonts w:ascii="Times New Roman;serif" w:hAnsi="Times New Roman;serif"/>
          <w:b w:val="false"/>
          <w:sz w:val="20"/>
        </w:rPr>
        <w:t>square feet of occupied space.</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2022, the Company entered into a 24-month lease for the financing of the furniture installed in the Company’s new office space. The furniture lease requires monthly payments of approximately $11</w:t>
      </w:r>
      <w:r>
        <w:rPr>
          <w:rFonts w:ascii="Times New Roman" w:hAnsi="Times New Roman"/>
          <w:sz w:val="20"/>
        </w:rPr>
        <w:t xml:space="preserve"> </w:t>
      </w:r>
      <w:r>
        <w:rPr>
          <w:rFonts w:ascii="Times New Roman;serif" w:hAnsi="Times New Roman;serif"/>
          <w:b w:val="false"/>
          <w:sz w:val="20"/>
        </w:rPr>
        <w:t>starting in March 2023. The Company also entered into an immaterial office equipment lease during 2022 that has a term of 36</w:t>
      </w:r>
      <w:r>
        <w:rPr>
          <w:rFonts w:ascii="Times New Roman" w:hAnsi="Times New Roman"/>
          <w:sz w:val="20"/>
        </w:rPr>
        <w:t xml:space="preserve"> </w:t>
      </w:r>
      <w:r>
        <w:rPr>
          <w:rFonts w:ascii="Times New Roman;serif" w:hAnsi="Times New Roman;serif"/>
          <w:b w:val="false"/>
          <w:sz w:val="20"/>
        </w:rPr>
        <w:t>months.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Company’s lease-related assets and liabilities as of June 30, 2023 and December 31, 2022:</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97"/>
        <w:gridCol w:w="146"/>
        <w:gridCol w:w="4415"/>
        <w:gridCol w:w="146"/>
        <w:gridCol w:w="302"/>
        <w:gridCol w:w="820"/>
        <w:gridCol w:w="146"/>
        <w:gridCol w:w="146"/>
        <w:gridCol w:w="564"/>
        <w:gridCol w:w="930"/>
        <w:gridCol w:w="393"/>
      </w:tblGrid>
      <w:tr>
        <w:trPr/>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9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Classification on the Condensed Consolidated Balance Sheet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4"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3" w:type="dxa"/>
            <w:tcBorders/>
            <w:vAlign w:val="center"/>
          </w:tcPr>
          <w:p>
            <w:pPr>
              <w:pStyle w:val="TableContents"/>
              <w:bidi w:val="0"/>
              <w:spacing w:before="0" w:after="0"/>
              <w:ind w:left="0" w:right="0" w:firstLine="100"/>
              <w:jc w:val="lef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assets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assets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9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4"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2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4"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3" w:type="dxa"/>
            <w:tcBorders/>
            <w:vAlign w:val="center"/>
          </w:tcPr>
          <w:p>
            <w:pPr>
              <w:pStyle w:val="TableContents"/>
              <w:bidi w:val="0"/>
              <w:spacing w:before="0" w:after="0"/>
              <w:ind w:left="0" w:right="0" w:firstLine="100"/>
              <w:jc w:val="lef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current portion</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 </w:t>
            </w:r>
          </w:p>
        </w:tc>
      </w:tr>
      <w:tr>
        <w:trPr/>
        <w:tc>
          <w:tcPr>
            <w:tcW w:w="2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4"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 portion</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3" w:type="dxa"/>
            <w:tcBorders/>
            <w:vAlign w:val="center"/>
          </w:tcPr>
          <w:p>
            <w:pPr>
              <w:pStyle w:val="TableContents"/>
              <w:bidi w:val="0"/>
              <w:spacing w:before="0" w:after="0"/>
              <w:ind w:left="0" w:right="0" w:firstLine="100"/>
              <w:jc w:val="left"/>
              <w:rPr/>
            </w:pPr>
            <w:r>
              <w:rPr/>
              <w:t> </w:t>
            </w:r>
          </w:p>
        </w:tc>
      </w:tr>
      <w:tr>
        <w:trPr/>
        <w:tc>
          <w:tcPr>
            <w:tcW w:w="219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 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non-current portion</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44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information related to the Company’s lease expense for the three and six months ended June 30, 2023 and 2022:</w:t>
      </w:r>
    </w:p>
    <w:tbl>
      <w:tblPr>
        <w:tblW w:w="5899" w:type="dxa"/>
        <w:jc w:val="left"/>
        <w:tblInd w:w="0" w:type="dxa"/>
        <w:tblLayout w:type="fixed"/>
        <w:tblCellMar>
          <w:top w:w="28" w:type="dxa"/>
          <w:left w:w="28" w:type="dxa"/>
          <w:bottom w:w="28" w:type="dxa"/>
          <w:right w:w="28" w:type="dxa"/>
        </w:tblCellMar>
      </w:tblPr>
      <w:tblGrid>
        <w:gridCol w:w="2086"/>
        <w:gridCol w:w="146"/>
        <w:gridCol w:w="246"/>
        <w:gridCol w:w="368"/>
        <w:gridCol w:w="170"/>
        <w:gridCol w:w="170"/>
        <w:gridCol w:w="246"/>
        <w:gridCol w:w="403"/>
        <w:gridCol w:w="146"/>
        <w:gridCol w:w="146"/>
        <w:gridCol w:w="211"/>
        <w:gridCol w:w="421"/>
        <w:gridCol w:w="146"/>
        <w:gridCol w:w="146"/>
        <w:gridCol w:w="211"/>
        <w:gridCol w:w="346"/>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6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7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expense:</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0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expense</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Future minimum lease payments from June 30, 2023 until the expiration of the leases are as follows:</w:t>
      </w:r>
    </w:p>
    <w:p>
      <w:pPr>
        <w:pStyle w:val="TextBody"/>
        <w:bidi w:val="0"/>
        <w:spacing w:before="0" w:after="0"/>
        <w:jc w:val="left"/>
        <w:rPr/>
      </w:pPr>
      <w:r>
        <w:rPr/>
        <w:t> </w:t>
      </w:r>
    </w:p>
    <w:tbl>
      <w:tblPr>
        <w:tblW w:w="7645" w:type="dxa"/>
        <w:jc w:val="left"/>
        <w:tblInd w:w="0" w:type="dxa"/>
        <w:tblLayout w:type="fixed"/>
        <w:tblCellMar>
          <w:top w:w="28" w:type="dxa"/>
          <w:left w:w="28" w:type="dxa"/>
          <w:bottom w:w="28" w:type="dxa"/>
          <w:right w:w="28" w:type="dxa"/>
        </w:tblCellMar>
      </w:tblPr>
      <w:tblGrid>
        <w:gridCol w:w="4426"/>
        <w:gridCol w:w="146"/>
        <w:gridCol w:w="367"/>
        <w:gridCol w:w="998"/>
        <w:gridCol w:w="166"/>
        <w:gridCol w:w="146"/>
        <w:gridCol w:w="394"/>
        <w:gridCol w:w="79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Finance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vAlign w:val="center"/>
          </w:tcPr>
          <w:p>
            <w:pPr>
              <w:pStyle w:val="TableContents"/>
              <w:bidi w:val="0"/>
              <w:spacing w:before="0" w:after="0"/>
              <w:ind w:left="0" w:right="0" w:hanging="0"/>
              <w:jc w:val="left"/>
              <w:rPr/>
            </w:pPr>
            <w:r>
              <w:rPr/>
              <w:t> </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11" w:type="dxa"/>
            <w:tcBorders/>
            <w:vAlign w:val="center"/>
          </w:tcPr>
          <w:p>
            <w:pPr>
              <w:pStyle w:val="TableContents"/>
              <w:bidi w:val="0"/>
              <w:spacing w:before="0" w:after="0"/>
              <w:ind w:left="0" w:right="0" w:hanging="0"/>
              <w:jc w:val="left"/>
              <w:rPr/>
            </w:pPr>
            <w:r>
              <w:rPr/>
              <w:t> </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of lease payments representing interest</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future minimum lease payments</w:t>
            </w:r>
          </w:p>
        </w:tc>
        <w:tc>
          <w:tcPr>
            <w:tcW w:w="146" w:type="dxa"/>
            <w:tcBorders/>
            <w:vAlign w:val="center"/>
          </w:tcPr>
          <w:p>
            <w:pPr>
              <w:pStyle w:val="TableContents"/>
              <w:bidi w:val="0"/>
              <w:spacing w:before="0" w:after="0"/>
              <w:ind w:left="0" w:right="0" w:hanging="0"/>
              <w:jc w:val="left"/>
              <w:rPr/>
            </w:pPr>
            <w:r>
              <w:rPr/>
              <w:t> </w:t>
            </w:r>
          </w:p>
        </w:tc>
        <w:tc>
          <w:tcPr>
            <w:tcW w:w="3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certain information related to the lease terms and discount rates for the Company’s leases as of June 30, 2023 and December 31, 2022:</w:t>
      </w:r>
    </w:p>
    <w:p>
      <w:pPr>
        <w:pStyle w:val="TextBody"/>
        <w:bidi w:val="0"/>
        <w:spacing w:before="0" w:after="0"/>
        <w:jc w:val="left"/>
        <w:rPr/>
      </w:pPr>
      <w:r>
        <w:rPr/>
        <w:t> </w:t>
      </w:r>
    </w:p>
    <w:tbl>
      <w:tblPr>
        <w:tblW w:w="6980" w:type="dxa"/>
        <w:jc w:val="left"/>
        <w:tblInd w:w="0" w:type="dxa"/>
        <w:tblLayout w:type="fixed"/>
        <w:tblCellMar>
          <w:top w:w="28" w:type="dxa"/>
          <w:left w:w="28" w:type="dxa"/>
          <w:bottom w:w="28" w:type="dxa"/>
          <w:right w:w="28" w:type="dxa"/>
        </w:tblCellMar>
      </w:tblPr>
      <w:tblGrid>
        <w:gridCol w:w="3376"/>
        <w:gridCol w:w="146"/>
        <w:gridCol w:w="229"/>
        <w:gridCol w:w="896"/>
        <w:gridCol w:w="271"/>
        <w:gridCol w:w="146"/>
        <w:gridCol w:w="305"/>
        <w:gridCol w:w="1195"/>
        <w:gridCol w:w="4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4.7</w:t>
            </w:r>
            <w:r>
              <w:rPr>
                <w:rFonts w:ascii="Times New Roman" w:hAnsi="Times New Roman"/>
                <w:sz w:val="20"/>
              </w:rPr>
              <w:t> </w:t>
            </w:r>
            <w:r>
              <w:rPr>
                <w:rFonts w:ascii="Times New Roman;serif" w:hAnsi="Times New Roman;serif"/>
                <w:b w:val="false"/>
                <w:sz w:val="20"/>
              </w:rPr>
              <w:t>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0.3</w:t>
            </w:r>
            <w:r>
              <w:rPr>
                <w:rFonts w:ascii="Times New Roman" w:hAnsi="Times New Roman"/>
                <w:sz w:val="20"/>
              </w:rPr>
              <w:t> </w:t>
            </w:r>
            <w:r>
              <w:rPr>
                <w:rFonts w:ascii="Times New Roman;serif" w:hAnsi="Times New Roman;serif"/>
                <w:b w:val="false"/>
                <w:sz w:val="20"/>
              </w:rPr>
              <w:t>years</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1.8</w:t>
            </w:r>
            <w:r>
              <w:rPr>
                <w:rFonts w:ascii="Times New Roman" w:hAnsi="Times New Roman"/>
                <w:sz w:val="20"/>
              </w:rPr>
              <w:t> </w:t>
            </w:r>
            <w:r>
              <w:rPr>
                <w:rFonts w:ascii="Times New Roman;serif" w:hAnsi="Times New Roman;serif"/>
                <w:b w:val="false"/>
                <w:sz w:val="20"/>
              </w:rPr>
              <w:t>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firstLine="200"/>
              <w:jc w:val="left"/>
              <w:rPr/>
            </w:pPr>
            <w:r>
              <w:rPr/>
              <w:t> </w:t>
            </w:r>
          </w:p>
        </w:tc>
      </w:tr>
      <w:tr>
        <w:trPr/>
        <w:tc>
          <w:tcPr>
            <w:tcW w:w="337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hanging="0"/>
              <w:jc w:val="righ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416" w:type="dxa"/>
            <w:tcBorders/>
            <w:vAlign w:val="center"/>
          </w:tcPr>
          <w:p>
            <w:pPr>
              <w:pStyle w:val="TableContents"/>
              <w:bidi w:val="0"/>
              <w:spacing w:before="0" w:after="0"/>
              <w:ind w:left="0" w:right="0" w:firstLine="100"/>
              <w:jc w:val="right"/>
              <w:rPr/>
            </w:pPr>
            <w:r>
              <w:rPr/>
              <w:t> </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4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41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presents supplemental cash flow information related to the Company’s leases for the three and six months ended June 30, 2023 and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143"/>
        <w:gridCol w:w="146"/>
        <w:gridCol w:w="240"/>
        <w:gridCol w:w="394"/>
        <w:gridCol w:w="165"/>
        <w:gridCol w:w="165"/>
        <w:gridCol w:w="240"/>
        <w:gridCol w:w="394"/>
        <w:gridCol w:w="146"/>
        <w:gridCol w:w="146"/>
        <w:gridCol w:w="211"/>
        <w:gridCol w:w="571"/>
        <w:gridCol w:w="146"/>
        <w:gridCol w:w="146"/>
        <w:gridCol w:w="211"/>
        <w:gridCol w:w="346"/>
        <w:gridCol w:w="395"/>
      </w:tblGrid>
      <w:tr>
        <w:trPr/>
        <w:tc>
          <w:tcPr>
            <w:tcW w:w="6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1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center"/>
              <w:rPr/>
            </w:pPr>
            <w:r>
              <w:rPr/>
              <w:t> </w:t>
            </w:r>
          </w:p>
        </w:tc>
        <w:tc>
          <w:tcPr>
            <w:tcW w:w="6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146" w:type="dxa"/>
            <w:tcBorders/>
            <w:vAlign w:val="center"/>
          </w:tcPr>
          <w:p>
            <w:pPr>
              <w:pStyle w:val="TableContents"/>
              <w:bidi w:val="0"/>
              <w:spacing w:before="0" w:after="0"/>
              <w:ind w:left="0" w:right="0" w:hanging="0"/>
              <w:jc w:val="center"/>
              <w:rPr/>
            </w:pPr>
            <w:r>
              <w:rPr/>
              <w:t> </w:t>
            </w:r>
          </w:p>
        </w:tc>
        <w:tc>
          <w:tcPr>
            <w:tcW w:w="634" w:type="dxa"/>
            <w:gridSpan w:val="2"/>
            <w:tcBorders/>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center"/>
              <w:rPr/>
            </w:pPr>
            <w:r>
              <w:rPr/>
              <w:t> </w:t>
            </w:r>
          </w:p>
        </w:tc>
        <w:tc>
          <w:tcPr>
            <w:tcW w:w="63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vAlign w:val="center"/>
          </w:tcPr>
          <w:p>
            <w:pPr>
              <w:pStyle w:val="TableContents"/>
              <w:bidi w:val="0"/>
              <w:spacing w:before="0" w:after="0"/>
              <w:ind w:left="0" w:right="0" w:hanging="0"/>
              <w:jc w:val="center"/>
              <w:rPr/>
            </w:pPr>
            <w:r>
              <w:rPr/>
              <w:t> </w:t>
            </w:r>
          </w:p>
        </w:tc>
        <w:tc>
          <w:tcPr>
            <w:tcW w:w="395" w:type="dxa"/>
            <w:tcBorders/>
            <w:vAlign w:val="center"/>
          </w:tcPr>
          <w:p>
            <w:pPr>
              <w:pStyle w:val="TableContents"/>
              <w:bidi w:val="0"/>
              <w:spacing w:before="0" w:after="0"/>
              <w:ind w:left="0" w:right="0" w:firstLine="200"/>
              <w:jc w:val="center"/>
              <w:rPr/>
            </w:pPr>
            <w:r>
              <w:rPr/>
              <w:t> </w:t>
            </w:r>
          </w:p>
        </w:tc>
      </w:tr>
      <w:tr>
        <w:trPr/>
        <w:tc>
          <w:tcPr>
            <w:tcW w:w="61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outflows relating to operating leases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95" w:type="dxa"/>
            <w:tcBorders/>
            <w:vAlign w:val="center"/>
          </w:tcPr>
          <w:p>
            <w:pPr>
              <w:pStyle w:val="TableContents"/>
              <w:bidi w:val="0"/>
              <w:spacing w:before="0" w:after="0"/>
              <w:ind w:left="0" w:right="0" w:firstLine="200"/>
              <w:jc w:val="left"/>
              <w:rPr/>
            </w:pPr>
            <w:r>
              <w:rPr/>
              <w:t> </w:t>
            </w:r>
          </w:p>
        </w:tc>
      </w:tr>
      <w:tr>
        <w:trPr/>
        <w:tc>
          <w:tcPr>
            <w:tcW w:w="61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payments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 </w:t>
            </w:r>
          </w:p>
        </w:tc>
      </w:tr>
      <w:tr>
        <w:trPr/>
        <w:tc>
          <w:tcPr>
            <w:tcW w:w="61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non-cash information:</w:t>
            </w:r>
          </w:p>
        </w:tc>
        <w:tc>
          <w:tcPr>
            <w:tcW w:w="146" w:type="dxa"/>
            <w:tcBorders/>
            <w:vAlign w:val="center"/>
          </w:tcPr>
          <w:p>
            <w:pPr>
              <w:pStyle w:val="TableContents"/>
              <w:bidi w:val="0"/>
              <w:spacing w:before="0" w:after="0"/>
              <w:ind w:left="0" w:right="0" w:hanging="0"/>
              <w:jc w:val="left"/>
              <w:rPr/>
            </w:pPr>
            <w:r>
              <w:rPr/>
              <w:t> </w:t>
            </w:r>
          </w:p>
        </w:tc>
        <w:tc>
          <w:tcPr>
            <w:tcW w:w="634" w:type="dxa"/>
            <w:gridSpan w:val="2"/>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63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61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pPr>
            <w:r>
              <w:rPr/>
              <w:t>—</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5" w:type="dxa"/>
            <w:tcBorders/>
            <w:vAlign w:val="center"/>
          </w:tcPr>
          <w:p>
            <w:pPr>
              <w:pStyle w:val="TableContents"/>
              <w:bidi w:val="0"/>
              <w:spacing w:before="0" w:after="0"/>
              <w:ind w:left="0" w:right="0" w:firstLine="200"/>
              <w:jc w:val="left"/>
              <w:rPr/>
            </w:pPr>
            <w:r>
              <w:rPr/>
              <w:t> </w:t>
            </w:r>
          </w:p>
        </w:tc>
      </w:tr>
      <w:tr>
        <w:trPr/>
        <w:tc>
          <w:tcPr>
            <w:tcW w:w="614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finance lease liabilities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pPr>
            <w:r>
              <w:rPr/>
              <w:t>—</w:t>
            </w:r>
          </w:p>
        </w:tc>
        <w:tc>
          <w:tcPr>
            <w:tcW w:w="165"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6.</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Accrued Expenses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expenses consisted of the following:</w:t>
      </w:r>
    </w:p>
    <w:tbl>
      <w:tblPr>
        <w:tblW w:w="6805" w:type="dxa"/>
        <w:jc w:val="left"/>
        <w:tblInd w:w="0" w:type="dxa"/>
        <w:tblLayout w:type="fixed"/>
        <w:tblCellMar>
          <w:top w:w="28" w:type="dxa"/>
          <w:left w:w="28" w:type="dxa"/>
          <w:bottom w:w="28" w:type="dxa"/>
          <w:right w:w="28" w:type="dxa"/>
        </w:tblCellMar>
      </w:tblPr>
      <w:tblGrid>
        <w:gridCol w:w="3451"/>
        <w:gridCol w:w="146"/>
        <w:gridCol w:w="303"/>
        <w:gridCol w:w="822"/>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R&amp;D projects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benefits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consulting and professional fees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7.</w:t>
      </w:r>
    </w:p>
    <w:p>
      <w:pPr>
        <w:pStyle w:val="TextBody"/>
        <w:bidi w:val="0"/>
        <w:jc w:val="left"/>
        <w:rPr>
          <w:rFonts w:ascii="Times New Roman;serif" w:hAnsi="Times New Roman;serif"/>
          <w:b/>
          <w:sz w:val="20"/>
        </w:rPr>
      </w:pPr>
      <w:r>
        <w:rPr>
          <w:rFonts w:ascii="Times New Roman;serif" w:hAnsi="Times New Roman;serif"/>
          <w:b/>
          <w:sz w:val="20"/>
        </w:rPr>
        <w:t>Debt</w:t>
      </w:r>
    </w:p>
    <w:p>
      <w:pPr>
        <w:pStyle w:val="TextBody"/>
        <w:bidi w:val="0"/>
        <w:spacing w:before="120" w:after="0"/>
        <w:jc w:val="left"/>
        <w:rPr>
          <w:rFonts w:ascii="Times New Roman" w:hAnsi="Times New Roman"/>
          <w:sz w:val="20"/>
        </w:rPr>
      </w:pPr>
      <w:r>
        <w:rPr>
          <w:rFonts w:ascii="Times New Roman;serif" w:hAnsi="Times New Roman;serif"/>
          <w:b/>
          <w:i/>
          <w:sz w:val="20"/>
        </w:rPr>
        <w:t>Silicon Valley Bank 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May 9, 2023, the Company paid the remaining amount due under the SVB Loan Agreement (as described below), resulting in the full extinguishment of the SVB Term Loan as described below. The total payoff amount was $6.5</w:t>
      </w:r>
      <w:r>
        <w:rPr>
          <w:rFonts w:ascii="Times New Roman" w:hAnsi="Times New Roman"/>
          <w:sz w:val="20"/>
        </w:rPr>
        <w:t xml:space="preserve"> </w:t>
      </w:r>
      <w:r>
        <w:rPr>
          <w:rFonts w:ascii="Times New Roman;serif" w:hAnsi="Times New Roman;serif"/>
          <w:b w:val="false"/>
          <w:sz w:val="20"/>
        </w:rPr>
        <w:t>million, consisting of the remaining principal amount due of $5.2</w:t>
      </w:r>
      <w:r>
        <w:rPr>
          <w:rFonts w:ascii="Times New Roman" w:hAnsi="Times New Roman"/>
          <w:sz w:val="20"/>
        </w:rPr>
        <w:t xml:space="preserve"> </w:t>
      </w:r>
      <w:r>
        <w:rPr>
          <w:rFonts w:ascii="Times New Roman;serif" w:hAnsi="Times New Roman;serif"/>
          <w:b w:val="false"/>
          <w:sz w:val="20"/>
        </w:rPr>
        <w:t>million, the final payment fee of $1.2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of accrued interest and prepayment premium.</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10, 2023, Silicon Valley Bank (“SVB”) was closed by the California Department of Financial Protection and Innovation and the Federal Deposit Insurance Corporation (“FDIC”) was appointed as receiver. While SVB was the Company’s primary bank at the time of its closure, the vast majority of the Company’s total cash, cash equivalents and marketable securities resided in custodial accounts held by U.S. Bank for which SVB Asset Management was the advisor. The FDIC subsequently transferred all of SVB’s deposits and loans to a newly created bridge bank, named Silicon Valley Bridge Bank, N.A., under a systemic risk exception approved by the United States Department of the Treasury, the Board of Governors of the Federal Reserve, and the FDIC. On March 27, 2023, First Citizens Bank &amp; Trust Company (“First Citizens Bank”) assumed all of SVB’s deposits and certain other liabilities and acquired substantially all of SVB’s loans and certain other assets from the FDIC. As a result, all of the Company’s deposits that were at SVB and the Company’s SVB Term Loan were then moved to First Citizens Bank. The Company currently has access to all cash, cash equivalents and marketable securities that had been in its SVB accounts, and does not expect losses or material disruptions to the Company’s ongoing operations due to SVB’s 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13, 2020 (the “Effective Date”), the Company entered into a loan and security agreement (the “SVB Loan Agreement”) with SVB, as lender, pursuant to which SVB provided a term loan to the Company in the original principal amount of $14.0</w:t>
      </w:r>
      <w:r>
        <w:rPr>
          <w:rFonts w:ascii="Times New Roman" w:hAnsi="Times New Roman"/>
          <w:sz w:val="20"/>
        </w:rPr>
        <w:t xml:space="preserve"> </w:t>
      </w:r>
      <w:r>
        <w:rPr>
          <w:rFonts w:ascii="Times New Roman;serif" w:hAnsi="Times New Roman;serif"/>
          <w:b w:val="false"/>
          <w:sz w:val="20"/>
        </w:rPr>
        <w:t>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 (A) the prime rate plus 3.00% and (B) 6.25% (see term loan derivative liability discussion below). Commencing on March 1, 2022 and on the first business day of each month thereafter, the Company was required to make monthly interest payments and to repay the SVB Term Loan in 24</w:t>
      </w:r>
      <w:r>
        <w:rPr>
          <w:rFonts w:ascii="Times New Roman" w:hAnsi="Times New Roman"/>
          <w:sz w:val="20"/>
        </w:rPr>
        <w:t xml:space="preserve"> </w:t>
      </w:r>
      <w:r>
        <w:rPr>
          <w:rFonts w:ascii="Times New Roman;serif" w:hAnsi="Times New Roman;serif"/>
          <w:b w:val="false"/>
          <w:sz w:val="20"/>
        </w:rPr>
        <w:t>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w:t>
      </w:r>
      <w:r>
        <w:rPr>
          <w:rFonts w:ascii="Times New Roman" w:hAnsi="Times New Roman"/>
          <w:sz w:val="20"/>
        </w:rPr>
        <w:t xml:space="preserve"> </w:t>
      </w:r>
      <w:r>
        <w:rPr>
          <w:rFonts w:ascii="Times New Roman;serif" w:hAnsi="Times New Roman;serif"/>
          <w:b w:val="false"/>
          <w:sz w:val="20"/>
        </w:rPr>
        <w:t>million. The SVB Term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Loan and related obligations under the SVB Loan Agreement were secured by substantially all of the Company’s properties, rights and assets, except for its intellectual property (which was subject to a negative pledge under the SVB Loan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w:t>
      </w:r>
      <w:r>
        <w:rPr>
          <w:rFonts w:ascii="Times New Roman" w:hAnsi="Times New Roman"/>
          <w:sz w:val="20"/>
        </w:rPr>
        <w:t xml:space="preserve"> </w:t>
      </w:r>
      <w:r>
        <w:rPr>
          <w:rFonts w:ascii="Times New Roman;serif" w:hAnsi="Times New Roman;serif"/>
          <w:b w:val="false"/>
          <w:sz w:val="20"/>
        </w:rPr>
        <w:t>In addition, the Loan Amendment provided that if the Company failed to maintain at least $20.0</w:t>
      </w:r>
      <w:r>
        <w:rPr>
          <w:rFonts w:ascii="Times New Roman" w:hAnsi="Times New Roman"/>
          <w:sz w:val="20"/>
        </w:rPr>
        <w:t xml:space="preserve"> </w:t>
      </w:r>
      <w:r>
        <w:rPr>
          <w:rFonts w:ascii="Times New Roman;serif" w:hAnsi="Times New Roman;serif"/>
          <w:b w:val="false"/>
          <w:sz w:val="20"/>
        </w:rPr>
        <w:t>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w:t>
      </w:r>
      <w:r>
        <w:rPr>
          <w:rFonts w:ascii="Times New Roman" w:hAnsi="Times New Roman"/>
          <w:sz w:val="20"/>
        </w:rPr>
        <w:t xml:space="preserve"> </w:t>
      </w:r>
      <w:r>
        <w:rPr>
          <w:rFonts w:ascii="Times New Roman;serif" w:hAnsi="Times New Roman;serif"/>
          <w:b w:val="false"/>
          <w:sz w:val="20"/>
        </w:rPr>
        <w:t>million in net proceeds from the sale of equity securities during the period from June 1, 2021 through October 31, 2021. The Company satisfied this equity funding condition through a combination of equity issuances under the Company’s at-the-market Sales Agreement entered into with SVB Securities LLC (formerly SVB Leerink LLC) (“SVB Securities”) in June 2020 (the “ATM Sales Agreement”) and two</w:t>
      </w:r>
      <w:r>
        <w:rPr>
          <w:rFonts w:ascii="Times New Roman" w:hAnsi="Times New Roman"/>
          <w:sz w:val="20"/>
        </w:rPr>
        <w:t xml:space="preserve"> </w:t>
      </w:r>
      <w:r>
        <w:rPr>
          <w:rFonts w:ascii="Times New Roman;serif" w:hAnsi="Times New Roman;serif"/>
          <w:b w:val="false"/>
          <w:sz w:val="20"/>
        </w:rPr>
        <w:t>private placements, which took place in October 2021 (see Note 8).</w:t>
      </w:r>
    </w:p>
    <w:p>
      <w:pPr>
        <w:pStyle w:val="TextBody"/>
        <w:bidi w:val="0"/>
        <w:spacing w:before="120" w:after="0"/>
        <w:jc w:val="left"/>
        <w:rPr>
          <w:rFonts w:ascii="Times New Roman" w:hAnsi="Times New Roman"/>
          <w:sz w:val="20"/>
        </w:rPr>
      </w:pPr>
      <w:r>
        <w:rPr>
          <w:rFonts w:ascii="Times New Roman;serif" w:hAnsi="Times New Roman;serif"/>
          <w:b w:val="false"/>
          <w:sz w:val="20"/>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 Company raised $45.0</w:t>
      </w:r>
      <w:r>
        <w:rPr>
          <w:rFonts w:ascii="Times New Roman" w:hAnsi="Times New Roman"/>
          <w:sz w:val="20"/>
        </w:rPr>
        <w:t xml:space="preserve"> </w:t>
      </w:r>
      <w:r>
        <w:rPr>
          <w:rFonts w:ascii="Times New Roman;serif" w:hAnsi="Times New Roman;serif"/>
          <w:b w:val="false"/>
          <w:sz w:val="20"/>
        </w:rPr>
        <w:t>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SVB Loan Agreement contained customary representations, warranties, events of default and covenants. The occurrence and continuation of an event of default could have caused interest to be charged at the rate that was otherwise applicable plus 5.00% (unless SVB elected to impose a smaller increase) and would have provided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in connection with the SVB Term Loan, the Company paid $57</w:t>
      </w:r>
      <w:r>
        <w:rPr>
          <w:rFonts w:ascii="Times New Roman" w:hAnsi="Times New Roman"/>
          <w:sz w:val="20"/>
        </w:rPr>
        <w:t xml:space="preserve"> </w:t>
      </w:r>
      <w:r>
        <w:rPr>
          <w:rFonts w:ascii="Times New Roman;serif" w:hAnsi="Times New Roman;serif"/>
          <w:b w:val="false"/>
          <w:sz w:val="20"/>
        </w:rPr>
        <w:t>in financing costs to a third-party, which were recorded as deferred charges and were amortized over the life of the SVB Term Loan using the effective interest method. In connection with the Loan Amendment, the Company paid $68</w:t>
      </w:r>
      <w:r>
        <w:rPr>
          <w:rFonts w:ascii="Times New Roman" w:hAnsi="Times New Roman"/>
          <w:sz w:val="20"/>
        </w:rPr>
        <w:t xml:space="preserve"> </w:t>
      </w:r>
      <w:r>
        <w:rPr>
          <w:rFonts w:ascii="Times New Roman;serif" w:hAnsi="Times New Roman;serif"/>
          <w:b w:val="false"/>
          <w:sz w:val="20"/>
        </w:rPr>
        <w:t>in financing costs to a third-party, which were recorded as deferred charges and were amortized over the life of the SVB Term Loan using the effective interest method. In connection with the Third Amendment, the Company paid $21</w:t>
      </w:r>
      <w:r>
        <w:rPr>
          <w:rFonts w:ascii="Times New Roman" w:hAnsi="Times New Roman"/>
          <w:sz w:val="20"/>
        </w:rPr>
        <w:t xml:space="preserve"> </w:t>
      </w:r>
      <w:r>
        <w:rPr>
          <w:rFonts w:ascii="Times New Roman;serif" w:hAnsi="Times New Roman;serif"/>
          <w:b w:val="false"/>
          <w:sz w:val="20"/>
        </w:rPr>
        <w:t>in financing costs to a third party, which were recorded as deferred charges and were amortized over the life of the SVB Term Loan using the effective interest method.</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in connection with the execution of the SVB Loan Agreement, the Company paid $27</w:t>
      </w:r>
      <w:r>
        <w:rPr>
          <w:rFonts w:ascii="Times New Roman" w:hAnsi="Times New Roman"/>
          <w:sz w:val="20"/>
        </w:rPr>
        <w:t xml:space="preserve"> </w:t>
      </w:r>
      <w:r>
        <w:rPr>
          <w:rFonts w:ascii="Times New Roman;serif" w:hAnsi="Times New Roman;serif"/>
          <w:b w:val="false"/>
          <w:sz w:val="20"/>
        </w:rPr>
        <w:t>in financing costs to SVB, which were recorded as loan discounts. These loan discounts were included as a reduction in the balance of the term loan payable on the Company’s Condensed Consolidated Balance Sheets and were accreted over the life of the SVB Term Loan using the effective interest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SVB Loan Agreement, the Company was obligated to pay a final payment fee of $1.2</w:t>
      </w:r>
      <w:r>
        <w:rPr>
          <w:rFonts w:ascii="Times New Roman" w:hAnsi="Times New Roman"/>
          <w:sz w:val="20"/>
        </w:rPr>
        <w:t xml:space="preserve"> </w:t>
      </w:r>
      <w:r>
        <w:rPr>
          <w:rFonts w:ascii="Times New Roman;serif" w:hAnsi="Times New Roman;serif"/>
          <w:b w:val="false"/>
          <w:sz w:val="20"/>
        </w:rPr>
        <w:t>million upon repayment in full of the SVB Term Loan. The final payment fee was accrued over the life of the SVB Term Loan using the effective interest method and was included as an increase in the balance of the term loan payable on the Company’s Condensed Consolidated Balance Sheets. The Company paid this final payment fee of $1.2</w:t>
      </w:r>
      <w:r>
        <w:rPr>
          <w:rFonts w:ascii="Times New Roman" w:hAnsi="Times New Roman"/>
          <w:sz w:val="20"/>
        </w:rPr>
        <w:t xml:space="preserve"> </w:t>
      </w:r>
      <w:r>
        <w:rPr>
          <w:rFonts w:ascii="Times New Roman;serif" w:hAnsi="Times New Roman;serif"/>
          <w:b w:val="false"/>
          <w:sz w:val="20"/>
        </w:rPr>
        <w:t>million on May 9, 2023 in connection with the payoff in full of the SVB Term Loan.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and therefore, recorded a term loan derivative liability for the Contingent Interest Rate Increase at its fair value of $187</w:t>
      </w:r>
      <w:r>
        <w:rPr>
          <w:rFonts w:ascii="Times New Roman" w:hAnsi="Times New Roman"/>
          <w:sz w:val="20"/>
        </w:rPr>
        <w:t xml:space="preserve"> </w:t>
      </w:r>
      <w:r>
        <w:rPr>
          <w:rFonts w:ascii="Times New Roman;serif" w:hAnsi="Times New Roman;serif"/>
          <w:b w:val="false"/>
          <w:sz w:val="20"/>
        </w:rPr>
        <w:t>on the Effective Date of the SVB Loan Agreement. The Company adjusted this liability to fair value at each reporting date it remained outstanding, with such adjustments recorded as non-cash charges in other income (expense), net in the Company’s Condensed Consolidated Statements of Comprehensive Loss. The term loan derivative liability was previously presented as a current liability on the Company’s Condensed Consolidated Balance Sheets. Upon recording such term loan derivative liability, the Company also recorded an offsetting term loan discount – interest, that was amortized to interest expense in the Company’s Condensed Consolidated Statements of Comprehensive Loss through the SVB Term Loan’s maturity date using the effective interest method. Upon entering into the Third Amendment, the Contingent Interest Rate Increase became effective and the Company recorded an increase to the total fair value of the term loan derivative liability in 2022. The term loan derivative liability was then settled and reclassified to both current and non-current interest payable, which were presented as accrued liabilities and other non-current liabilities on the Company’s Condensed Consolidated Balance Sheet.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and six months ended June 30, 2023, an immaterial effect from early extinguishment of debt was recorded in connection with the Company paying the remaining amounts due under the SVB Loan Agreement, which was included in Other income, net on the Company’s Condensed Consolidated Statements of Comprehensive Loss.</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 had no</w:t>
      </w:r>
      <w:r>
        <w:rPr>
          <w:rFonts w:ascii="Times New Roman;serif" w:hAnsi="Times New Roman;serif"/>
          <w:sz w:val="24"/>
        </w:rPr>
        <w:t xml:space="preserve"> </w:t>
      </w:r>
      <w:r>
        <w:rPr>
          <w:rFonts w:ascii="Times New Roman;serif" w:hAnsi="Times New Roman;serif"/>
          <w:b w:val="false"/>
          <w:sz w:val="20"/>
        </w:rPr>
        <w:t>outstanding borrowings, and as of December 31, 2022, the Company had outstanding borrowings of $8.2</w:t>
      </w:r>
      <w:r>
        <w:rPr>
          <w:rFonts w:ascii="Times New Roman;serif" w:hAnsi="Times New Roman;serif"/>
          <w:sz w:val="24"/>
        </w:rPr>
        <w:t xml:space="preserve"> </w:t>
      </w:r>
      <w:r>
        <w:rPr>
          <w:rFonts w:ascii="Times New Roman;serif" w:hAnsi="Times New Roman;serif"/>
          <w:b w:val="false"/>
          <w:sz w:val="20"/>
        </w:rPr>
        <w:t>million under the SVB Term Loan. The term loan payable balance as presented on the Company’s Condensed Consolidated Balance Sheets as of June 30, 2023</w:t>
      </w:r>
      <w:r>
        <w:rPr>
          <w:rFonts w:ascii="Times New Roman;serif" w:hAnsi="Times New Roman;serif"/>
          <w:sz w:val="24"/>
        </w:rPr>
        <w:t xml:space="preserve"> </w:t>
      </w:r>
      <w:r>
        <w:rPr>
          <w:rFonts w:ascii="Times New Roman;serif" w:hAnsi="Times New Roman;serif"/>
          <w:b w:val="false"/>
          <w:sz w:val="20"/>
        </w:rPr>
        <w:t>was $0</w:t>
      </w:r>
      <w:r>
        <w:rPr>
          <w:rFonts w:ascii="Times New Roman;serif" w:hAnsi="Times New Roman;serif"/>
          <w:sz w:val="24"/>
        </w:rPr>
        <w:t xml:space="preserve"> </w:t>
      </w:r>
      <w:r>
        <w:rPr>
          <w:rFonts w:ascii="Times New Roman;serif" w:hAnsi="Times New Roman;serif"/>
          <w:b w:val="false"/>
          <w:sz w:val="20"/>
        </w:rPr>
        <w:t>and as of December 31, 2022 was as shown below.</w:t>
      </w:r>
      <w:r>
        <w:rPr>
          <w:rFonts w:ascii="Times New Roman;serif" w:hAnsi="Times New Roman;serif"/>
          <w:sz w:val="24"/>
        </w:rPr>
        <w:t xml:space="preserve"> </w:t>
      </w:r>
    </w:p>
    <w:p>
      <w:pPr>
        <w:pStyle w:val="TextBody"/>
        <w:bidi w:val="0"/>
        <w:spacing w:before="0" w:after="0"/>
        <w:jc w:val="left"/>
        <w:rPr/>
      </w:pPr>
      <w:r>
        <w:rPr/>
        <w:t> </w:t>
      </w:r>
    </w:p>
    <w:tbl>
      <w:tblPr>
        <w:tblW w:w="6193" w:type="dxa"/>
        <w:jc w:val="left"/>
        <w:tblInd w:w="0" w:type="dxa"/>
        <w:tblLayout w:type="fixed"/>
        <w:tblCellMar>
          <w:top w:w="28" w:type="dxa"/>
          <w:left w:w="28" w:type="dxa"/>
          <w:bottom w:w="28" w:type="dxa"/>
          <w:right w:w="28" w:type="dxa"/>
        </w:tblCellMar>
      </w:tblPr>
      <w:tblGrid>
        <w:gridCol w:w="4336"/>
        <w:gridCol w:w="146"/>
        <w:gridCol w:w="403"/>
        <w:gridCol w:w="1097"/>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outstanding under term loan</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8,167</w:t>
            </w:r>
          </w:p>
        </w:tc>
        <w:tc>
          <w:tcPr>
            <w:tcW w:w="2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discount-interest</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discount-unamortized deferred charges</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discount-financing costs, net of accretion</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loan-final payment fee</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9,151</w:t>
            </w:r>
          </w:p>
        </w:tc>
        <w:tc>
          <w:tcPr>
            <w:tcW w:w="2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payable, non-current</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Interest expense on the SVB Term Loan, which is comprised of interest payments, accretion and amortization of term loan discounts and the accrual of the final payment fee, is shown below for the three and six months ended June 30, 2023 and 2022, respectively. For the three and six months ended June 30, 2023, the weighted average interest rate applicable to borrowings under the SVB Term Loan was 9.45% and 10.25%, respectively. For the three and six months ended June 30, 2022, the weighted average interest rate applicable to borrowings under the SVB Term Loan was 4.92% and 4.59%, respectively.</w:t>
      </w:r>
    </w:p>
    <w:p>
      <w:pPr>
        <w:pStyle w:val="TextBody"/>
        <w:bidi w:val="0"/>
        <w:spacing w:before="0" w:after="0"/>
        <w:jc w:val="left"/>
        <w:rPr/>
      </w:pPr>
      <w:r>
        <w:rPr/>
        <w:t> </w:t>
      </w:r>
    </w:p>
    <w:tbl>
      <w:tblPr>
        <w:tblW w:w="7973" w:type="dxa"/>
        <w:jc w:val="left"/>
        <w:tblInd w:w="0" w:type="dxa"/>
        <w:tblLayout w:type="fixed"/>
        <w:tblCellMar>
          <w:top w:w="28" w:type="dxa"/>
          <w:left w:w="28" w:type="dxa"/>
          <w:bottom w:w="28" w:type="dxa"/>
          <w:right w:w="28" w:type="dxa"/>
        </w:tblCellMar>
      </w:tblPr>
      <w:tblGrid>
        <w:gridCol w:w="4186"/>
        <w:gridCol w:w="146"/>
        <w:gridCol w:w="217"/>
        <w:gridCol w:w="434"/>
        <w:gridCol w:w="150"/>
        <w:gridCol w:w="150"/>
        <w:gridCol w:w="217"/>
        <w:gridCol w:w="434"/>
        <w:gridCol w:w="146"/>
        <w:gridCol w:w="146"/>
        <w:gridCol w:w="211"/>
        <w:gridCol w:w="421"/>
        <w:gridCol w:w="146"/>
        <w:gridCol w:w="146"/>
        <w:gridCol w:w="211"/>
        <w:gridCol w:w="42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payments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 of the final payment fee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and amortization of term loan discounts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8.</w:t>
      </w:r>
    </w:p>
    <w:p>
      <w:pPr>
        <w:pStyle w:val="TextBody"/>
        <w:bidi w:val="0"/>
        <w:spacing w:before="120" w:after="283"/>
        <w:jc w:val="left"/>
        <w:rPr>
          <w:rFonts w:ascii="Times New Roman;serif" w:hAnsi="Times New Roman;serif"/>
          <w:b/>
          <w:sz w:val="20"/>
        </w:rPr>
      </w:pPr>
      <w:r>
        <w:rPr>
          <w:rFonts w:ascii="Times New Roman;serif" w:hAnsi="Times New Roman;serif"/>
          <w:b/>
          <w:sz w:val="20"/>
        </w:rPr>
        <w:t>Stockholders’ Equity</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had reserved</w:t>
      </w:r>
      <w:r>
        <w:rPr>
          <w:rFonts w:ascii="Times New Roman" w:hAnsi="Times New Roman"/>
          <w:sz w:val="20"/>
        </w:rPr>
        <w:t xml:space="preserve"> </w:t>
      </w:r>
      <w:r>
        <w:rPr>
          <w:rFonts w:ascii="Times New Roman;serif" w:hAnsi="Times New Roman;serif"/>
          <w:b w:val="false"/>
          <w:sz w:val="20"/>
        </w:rPr>
        <w:t>shares of common stock for future issuance as shown in the table below:</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to be issued upon exercise of common stock warrants and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45,330,707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to be issued upon sales under the LPC Purchase Agreement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30,000,000</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2019 Stock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6,528,753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4,553,202</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2019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701,232</w:t>
            </w:r>
          </w:p>
        </w:tc>
        <w:tc>
          <w:tcPr>
            <w:tcW w:w="191" w:type="dxa"/>
            <w:tcBorders/>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of common stock reserved for future issuance under the 2012 Stock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595,389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602,231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83,663,123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84,187,372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At-the-Market Offering</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2020, the Company entered into the ATM Sales Agreement with SVB Securities under which the Company was able to issue and sell shares of its common stock, from time to time, having an aggregate offering price of up to $12.0</w:t>
      </w:r>
      <w:r>
        <w:rPr>
          <w:rFonts w:ascii="Times New Roman" w:hAnsi="Times New Roman"/>
          <w:sz w:val="20"/>
        </w:rPr>
        <w:t xml:space="preserve"> </w:t>
      </w:r>
      <w:r>
        <w:rPr>
          <w:rFonts w:ascii="Times New Roman;serif" w:hAnsi="Times New Roman;serif"/>
          <w:b w:val="false"/>
          <w:sz w:val="20"/>
        </w:rPr>
        <w:t>million. In May 2022, the Company and SVB Securities amended the ATM Sales Agreement to increase the maximum aggregate offering price of common stock that it may issue and sell from time to time under the ATM Sales Agreement by $50.0</w:t>
      </w:r>
      <w:r>
        <w:rPr>
          <w:rFonts w:ascii="Times New Roman" w:hAnsi="Times New Roman"/>
          <w:sz w:val="20"/>
        </w:rPr>
        <w:t xml:space="preserve"> </w:t>
      </w:r>
      <w:r>
        <w:rPr>
          <w:rFonts w:ascii="Times New Roman;serif" w:hAnsi="Times New Roman;serif"/>
          <w:b w:val="false"/>
          <w:sz w:val="20"/>
        </w:rPr>
        <w:t>million, from $12.0</w:t>
      </w:r>
      <w:r>
        <w:rPr>
          <w:rFonts w:ascii="Times New Roman" w:hAnsi="Times New Roman"/>
          <w:sz w:val="20"/>
        </w:rPr>
        <w:t xml:space="preserve"> </w:t>
      </w:r>
      <w:r>
        <w:rPr>
          <w:rFonts w:ascii="Times New Roman;serif" w:hAnsi="Times New Roman;serif"/>
          <w:b w:val="false"/>
          <w:sz w:val="20"/>
        </w:rPr>
        <w:t>million to up to $62.0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As of June 30, 2023, the Company had issued and sold an aggregate of 3,583,394</w:t>
      </w:r>
      <w:r>
        <w:rPr>
          <w:rFonts w:ascii="Times New Roman" w:hAnsi="Times New Roman"/>
          <w:sz w:val="20"/>
        </w:rPr>
        <w:t xml:space="preserve"> </w:t>
      </w:r>
      <w:r>
        <w:rPr>
          <w:rFonts w:ascii="Times New Roman;serif" w:hAnsi="Times New Roman;serif"/>
          <w:b w:val="false"/>
          <w:sz w:val="20"/>
        </w:rPr>
        <w:t>shares of common stock for gross proceeds of $11.0</w:t>
      </w:r>
      <w:r>
        <w:rPr>
          <w:rFonts w:ascii="Times New Roman" w:hAnsi="Times New Roman"/>
          <w:sz w:val="20"/>
        </w:rPr>
        <w:t xml:space="preserve"> </w:t>
      </w:r>
      <w:r>
        <w:rPr>
          <w:rFonts w:ascii="Times New Roman;serif" w:hAnsi="Times New Roman;serif"/>
          <w:b w:val="false"/>
          <w:sz w:val="20"/>
        </w:rPr>
        <w:t>million, before deducting estimated commissions and allocated fees of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Subsequent to June 30, 2023, and through August 10, 2023, the Company issued and sold an additional 750,000</w:t>
      </w:r>
      <w:r>
        <w:rPr>
          <w:rFonts w:ascii="Times New Roman" w:hAnsi="Times New Roman"/>
          <w:sz w:val="20"/>
        </w:rPr>
        <w:t xml:space="preserve"> </w:t>
      </w:r>
      <w:r>
        <w:rPr>
          <w:rFonts w:ascii="Times New Roman;serif" w:hAnsi="Times New Roman;serif"/>
          <w:b w:val="false"/>
          <w:sz w:val="20"/>
        </w:rPr>
        <w:t>shares of common stock for gross proceeds of $1.8</w:t>
      </w:r>
      <w:r>
        <w:rPr>
          <w:rFonts w:ascii="Times New Roman" w:hAnsi="Times New Roman"/>
          <w:sz w:val="20"/>
        </w:rPr>
        <w:t xml:space="preserve"> </w:t>
      </w:r>
      <w:r>
        <w:rPr>
          <w:rFonts w:ascii="Times New Roman;serif" w:hAnsi="Times New Roman;serif"/>
          <w:b w:val="false"/>
          <w:sz w:val="20"/>
        </w:rPr>
        <w:t>million, before deducting estimated commissions and allocated fees of $0.1</w:t>
      </w:r>
      <w:r>
        <w:rPr>
          <w:rFonts w:ascii="Times New Roman" w:hAnsi="Times New Roman"/>
          <w:sz w:val="20"/>
        </w:rPr>
        <w:t xml:space="preserve"> </w:t>
      </w:r>
      <w:r>
        <w:rPr>
          <w:rFonts w:ascii="Times New Roman;serif" w:hAnsi="Times New Roman;serif"/>
          <w:b w:val="false"/>
          <w:sz w:val="20"/>
        </w:rPr>
        <w:t>million under the ATM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2023, the Company filed with the SEC a universal shelf registration statement on Form S-3 (the “Shelf Registration Statement”), which upon its effectiveness will allow the Company to offer and sell up to $200.0</w:t>
      </w:r>
      <w:r>
        <w:rPr>
          <w:rFonts w:ascii="Times New Roman" w:hAnsi="Times New Roman"/>
          <w:sz w:val="20"/>
        </w:rPr>
        <w:t xml:space="preserve"> </w:t>
      </w:r>
      <w:r>
        <w:rPr>
          <w:rFonts w:ascii="Times New Roman;serif" w:hAnsi="Times New Roman;serif"/>
          <w:b w:val="false"/>
          <w:sz w:val="20"/>
        </w:rPr>
        <w:t>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Further, in June 2023, the Company entered into a new ATM sales agreement with Leerink Partners, LLC (formerly SVB Securities) (the “New ATM Sales Agreement”), under which, subject to the effectiveness of the Shelf Registration Statement, the Company may issue and sell shares of common stock, from time to time, and the Company filed a prospectus under the Shelf Registration Statement for the offer and sale of shares of the Company’s common stock having an aggregate offering price of up to $75.0</w:t>
      </w:r>
      <w:r>
        <w:rPr>
          <w:rFonts w:ascii="Times New Roman" w:hAnsi="Times New Roman"/>
          <w:sz w:val="20"/>
        </w:rPr>
        <w:t xml:space="preserve"> </w:t>
      </w:r>
      <w:r>
        <w:rPr>
          <w:rFonts w:ascii="Times New Roman;serif" w:hAnsi="Times New Roman;serif"/>
          <w:b w:val="false"/>
          <w:sz w:val="20"/>
        </w:rPr>
        <w:t>million pursuant to the New ATM Sales Agreement. In accordance with the terms of the New ATM Sales Agreement, the ATM Sales Agreement will terminate upon effectiveness of the Shelf Registration Statement, at which point the Company will no longer be able to issue and sell shares of its common stock under the ATM Sales Agreement. Sales of common stock under the New ATM Sales Agreement will be able to be made by any method that is deemed an “at-the-market” offering as defined in Rule 415(a)(4) under the Securities Act of 1933, as amended. The Company is not obligated to make any sales of its common stock under the New ATM Sales Agreement.</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Equity Purchase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w:t>
      </w:r>
      <w:r>
        <w:rPr>
          <w:rFonts w:ascii="Times New Roman" w:hAnsi="Times New Roman"/>
          <w:sz w:val="20"/>
        </w:rPr>
        <w:t xml:space="preserve"> </w:t>
      </w:r>
      <w:r>
        <w:rPr>
          <w:rFonts w:ascii="Times New Roman;serif" w:hAnsi="Times New Roman;serif"/>
          <w:b w:val="false"/>
          <w:sz w:val="20"/>
        </w:rPr>
        <w:t>million of shares of common stock over a 24-month period commencing on July 23, 2021. In addition, under the LPC Purchase Agreement, the Company issued 170,088</w:t>
      </w:r>
      <w:r>
        <w:rPr>
          <w:rFonts w:ascii="Times New Roman" w:hAnsi="Times New Roman"/>
          <w:sz w:val="20"/>
        </w:rPr>
        <w:t xml:space="preserve"> </w:t>
      </w:r>
      <w:r>
        <w:rPr>
          <w:rFonts w:ascii="Times New Roman;serif" w:hAnsi="Times New Roman;serif"/>
          <w:b w:val="false"/>
          <w:sz w:val="20"/>
        </w:rPr>
        <w:t>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described below, the Company agreed to not issue or sell additional shares under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LPC Purchase Agreement on or prior to April 6, 2023. As of July 23, 2023, no</w:t>
      </w:r>
      <w:r>
        <w:rPr>
          <w:rFonts w:ascii="Times New Roman" w:hAnsi="Times New Roman"/>
          <w:sz w:val="20"/>
        </w:rPr>
        <w:t xml:space="preserve"> </w:t>
      </w:r>
      <w:r>
        <w:rPr>
          <w:rFonts w:ascii="Times New Roman;serif" w:hAnsi="Times New Roman;serif"/>
          <w:b w:val="false"/>
          <w:sz w:val="20"/>
        </w:rPr>
        <w:t>shares had been sold to Lincoln Park and the LPC Purchase Agreement terminated by its terms.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Private Placements</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5, 2021, the Company issued and sold to an initial investor, in a private placement priced at-the-market under Nasdaq rules, (i) 2,373,201</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4,746,402</w:t>
      </w:r>
      <w:r>
        <w:rPr>
          <w:rFonts w:ascii="Times New Roman" w:hAnsi="Times New Roman"/>
          <w:sz w:val="20"/>
        </w:rPr>
        <w:t xml:space="preserve"> </w:t>
      </w:r>
      <w:r>
        <w:rPr>
          <w:rFonts w:ascii="Times New Roman;serif" w:hAnsi="Times New Roman;serif"/>
          <w:b w:val="false"/>
          <w:sz w:val="20"/>
        </w:rPr>
        <w:t>shares of the Company’s common stock, and (ii) pre-funded warrants to purchase up to an aggregate of 4,926,069</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9,852,138</w:t>
      </w:r>
      <w:r>
        <w:rPr>
          <w:rFonts w:ascii="Times New Roman" w:hAnsi="Times New Roman"/>
          <w:sz w:val="20"/>
        </w:rPr>
        <w:t xml:space="preserve"> </w:t>
      </w:r>
      <w:r>
        <w:rPr>
          <w:rFonts w:ascii="Times New Roman;serif" w:hAnsi="Times New Roman;serif"/>
          <w:b w:val="false"/>
          <w:sz w:val="20"/>
        </w:rPr>
        <w:t>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w:t>
      </w:r>
      <w:r>
        <w:rPr>
          <w:rFonts w:ascii="Times New Roman" w:hAnsi="Times New Roman"/>
          <w:sz w:val="20"/>
        </w:rPr>
        <w:t xml:space="preserve"> </w:t>
      </w:r>
      <w:r>
        <w:rPr>
          <w:rFonts w:ascii="Times New Roman;serif" w:hAnsi="Times New Roman;serif"/>
          <w:b w:val="false"/>
          <w:sz w:val="20"/>
        </w:rPr>
        <w:t>million. Each pre-funded warrant had an exercise price of $0.001</w:t>
      </w:r>
      <w:r>
        <w:rPr>
          <w:rFonts w:ascii="Times New Roman" w:hAnsi="Times New Roman"/>
          <w:sz w:val="20"/>
        </w:rPr>
        <w:t xml:space="preserve"> </w:t>
      </w:r>
      <w:r>
        <w:rPr>
          <w:rFonts w:ascii="Times New Roman;serif" w:hAnsi="Times New Roman;serif"/>
          <w:b w:val="false"/>
          <w:sz w:val="20"/>
        </w:rPr>
        <w:t>per share, became exercisable immediately upon issuance and was exercisable until exercised in full. Of the accompanying common stock warrants, warrants to purchase an aggregate of 7,299,270</w:t>
      </w:r>
      <w:r>
        <w:rPr>
          <w:rFonts w:ascii="Times New Roman" w:hAnsi="Times New Roman"/>
          <w:sz w:val="20"/>
        </w:rPr>
        <w:t xml:space="preserve"> </w:t>
      </w:r>
      <w:r>
        <w:rPr>
          <w:rFonts w:ascii="Times New Roman;serif" w:hAnsi="Times New Roman;serif"/>
          <w:b w:val="false"/>
          <w:sz w:val="20"/>
        </w:rPr>
        <w:t>shares will expire on April 5, 2025, and warrants to purchase an aggregate of 7,299,270</w:t>
      </w:r>
      <w:r>
        <w:rPr>
          <w:rFonts w:ascii="Times New Roman" w:hAnsi="Times New Roman"/>
          <w:sz w:val="20"/>
        </w:rPr>
        <w:t xml:space="preserve"> </w:t>
      </w:r>
      <w:r>
        <w:rPr>
          <w:rFonts w:ascii="Times New Roman;serif" w:hAnsi="Times New Roman;serif"/>
          <w:b w:val="false"/>
          <w:sz w:val="20"/>
        </w:rPr>
        <w:t>shares will expire on October 5, 2028. The accompanying common stock warrants have an exercise price of $1.37</w:t>
      </w:r>
      <w:r>
        <w:rPr>
          <w:rFonts w:ascii="Times New Roman" w:hAnsi="Times New Roman"/>
          <w:sz w:val="20"/>
        </w:rPr>
        <w:t xml:space="preserve"> </w:t>
      </w:r>
      <w:r>
        <w:rPr>
          <w:rFonts w:ascii="Times New Roman;serif" w:hAnsi="Times New Roman;serif"/>
          <w:b w:val="false"/>
          <w:sz w:val="20"/>
        </w:rPr>
        <w:t>per share and became exercisable immediately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18, 2021, the Company issued and sold to New Enterprise Associates 16, L.P., an existing stockholder of the Company (“NEA”) and related party, in a private placement, 1,851,852</w:t>
      </w:r>
      <w:r>
        <w:rPr>
          <w:rFonts w:ascii="Times New Roman" w:hAnsi="Times New Roman"/>
          <w:sz w:val="20"/>
        </w:rPr>
        <w:t xml:space="preserve"> </w:t>
      </w:r>
      <w:r>
        <w:rPr>
          <w:rFonts w:ascii="Times New Roman;serif" w:hAnsi="Times New Roman;serif"/>
          <w:b w:val="false"/>
          <w:sz w:val="20"/>
        </w:rPr>
        <w:t>shares of the Company’s common stock and accompanying warrants to purchase an aggregate of 3,703,704</w:t>
      </w:r>
      <w:r>
        <w:rPr>
          <w:rFonts w:ascii="Times New Roman" w:hAnsi="Times New Roman"/>
          <w:sz w:val="20"/>
        </w:rPr>
        <w:t xml:space="preserve"> </w:t>
      </w:r>
      <w:r>
        <w:rPr>
          <w:rFonts w:ascii="Times New Roman;serif" w:hAnsi="Times New Roman;serif"/>
          <w:b w:val="false"/>
          <w:sz w:val="20"/>
        </w:rPr>
        <w:t>shares of the Company’s common stock. Each share of the Company’s common stock and accompanying common stock warrants were sold together at a combined price of $1.62</w:t>
      </w:r>
      <w:r>
        <w:rPr>
          <w:rFonts w:ascii="Times New Roman" w:hAnsi="Times New Roman"/>
          <w:sz w:val="20"/>
        </w:rPr>
        <w:t xml:space="preserve"> </w:t>
      </w:r>
      <w:r>
        <w:rPr>
          <w:rFonts w:ascii="Times New Roman;serif" w:hAnsi="Times New Roman;serif"/>
          <w:b w:val="false"/>
          <w:sz w:val="20"/>
        </w:rPr>
        <w:t>for gross proceeds of approximately $3.0</w:t>
      </w:r>
      <w:r>
        <w:rPr>
          <w:rFonts w:ascii="Times New Roman" w:hAnsi="Times New Roman"/>
          <w:sz w:val="20"/>
        </w:rPr>
        <w:t xml:space="preserve"> </w:t>
      </w:r>
      <w:r>
        <w:rPr>
          <w:rFonts w:ascii="Times New Roman;serif" w:hAnsi="Times New Roman;serif"/>
          <w:b w:val="false"/>
          <w:sz w:val="20"/>
        </w:rPr>
        <w:t>million. Of the accompanying common stock warrants, warrants to purchase an aggregate of 1,851,852</w:t>
      </w:r>
      <w:r>
        <w:rPr>
          <w:rFonts w:ascii="Times New Roman" w:hAnsi="Times New Roman"/>
          <w:sz w:val="20"/>
        </w:rPr>
        <w:t xml:space="preserve"> </w:t>
      </w:r>
      <w:r>
        <w:rPr>
          <w:rFonts w:ascii="Times New Roman;serif" w:hAnsi="Times New Roman;serif"/>
          <w:b w:val="false"/>
          <w:sz w:val="20"/>
        </w:rPr>
        <w:t>shares of the Company’s common stock will expire on April 18, 2025, and warrants to purchase an aggregate of 1,851,852</w:t>
      </w:r>
      <w:r>
        <w:rPr>
          <w:rFonts w:ascii="Times New Roman" w:hAnsi="Times New Roman"/>
          <w:sz w:val="20"/>
        </w:rPr>
        <w:t xml:space="preserve"> </w:t>
      </w:r>
      <w:r>
        <w:rPr>
          <w:rFonts w:ascii="Times New Roman;serif" w:hAnsi="Times New Roman;serif"/>
          <w:b w:val="false"/>
          <w:sz w:val="20"/>
        </w:rPr>
        <w:t>shares of the Company’s common stock will expire on October 18, 2028. The accompanying common stock warrants have an exercise price of $1.37</w:t>
      </w:r>
      <w:r>
        <w:rPr>
          <w:rFonts w:ascii="Times New Roman" w:hAnsi="Times New Roman"/>
          <w:sz w:val="20"/>
        </w:rPr>
        <w:t xml:space="preserve"> </w:t>
      </w:r>
      <w:r>
        <w:rPr>
          <w:rFonts w:ascii="Times New Roman;serif" w:hAnsi="Times New Roman;serif"/>
          <w:b w:val="false"/>
          <w:sz w:val="20"/>
        </w:rPr>
        <w:t>per share and became exercisable immediately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Total net proceeds from the two</w:t>
      </w:r>
      <w:r>
        <w:rPr>
          <w:rFonts w:ascii="Times New Roman" w:hAnsi="Times New Roman"/>
          <w:sz w:val="20"/>
        </w:rPr>
        <w:t xml:space="preserve"> </w:t>
      </w:r>
      <w:r>
        <w:rPr>
          <w:rFonts w:ascii="Times New Roman;serif" w:hAnsi="Times New Roman;serif"/>
          <w:b w:val="false"/>
          <w:sz w:val="20"/>
        </w:rPr>
        <w:t>October 2021 private placements were $13.7</w:t>
      </w:r>
      <w:r>
        <w:rPr>
          <w:rFonts w:ascii="Times New Roman" w:hAnsi="Times New Roman"/>
          <w:sz w:val="20"/>
        </w:rPr>
        <w:t xml:space="preserve"> </w:t>
      </w:r>
      <w:r>
        <w:rPr>
          <w:rFonts w:ascii="Times New Roman;serif" w:hAnsi="Times New Roman;serif"/>
          <w:b w:val="false"/>
          <w:sz w:val="20"/>
        </w:rPr>
        <w:t>million, after deducting issuance costs of $1.1</w:t>
      </w:r>
      <w:r>
        <w:rPr>
          <w:rFonts w:ascii="Times New Roman" w:hAnsi="Times New Roman"/>
          <w:sz w:val="20"/>
        </w:rPr>
        <w:t xml:space="preserve"> </w:t>
      </w:r>
      <w:r>
        <w:rPr>
          <w:rFonts w:ascii="Times New Roman;serif" w:hAnsi="Times New Roman;serif"/>
          <w:b w:val="false"/>
          <w:sz w:val="20"/>
        </w:rPr>
        <w:t>million</w:t>
      </w:r>
      <w:r>
        <w:rPr>
          <w:rFonts w:ascii="Arial;sans-serif" w:hAnsi="Arial;sans-serif"/>
          <w:b w:val="false"/>
          <w:sz w:val="18"/>
        </w:rPr>
        <w:t>.</w:t>
      </w:r>
    </w:p>
    <w:p>
      <w:pPr>
        <w:pStyle w:val="TextBody"/>
        <w:bidi w:val="0"/>
        <w:spacing w:before="120" w:after="0"/>
        <w:jc w:val="left"/>
        <w:rPr>
          <w:rFonts w:ascii="Times New Roman" w:hAnsi="Times New Roman"/>
          <w:sz w:val="20"/>
        </w:rPr>
      </w:pPr>
      <w:r>
        <w:rPr>
          <w:rFonts w:ascii="Times New Roman;serif" w:hAnsi="Times New Roman;serif"/>
          <w:b w:val="false"/>
          <w:sz w:val="20"/>
        </w:rPr>
        <w:t>On April 6, 2022, the Company entered into a securities purchase agreement with certain purchasers, pursuant to which the Company agreed to issue and sell to the purchasers, in a private placement priced at-the-market under Nasdaq rules, (i) 4,580,526</w:t>
      </w:r>
      <w:r>
        <w:rPr>
          <w:rFonts w:ascii="Times New Roman" w:hAnsi="Times New Roman"/>
          <w:sz w:val="20"/>
        </w:rPr>
        <w:t xml:space="preserve"> </w:t>
      </w:r>
      <w:r>
        <w:rPr>
          <w:rFonts w:ascii="Times New Roman;serif" w:hAnsi="Times New Roman;serif"/>
          <w:b w:val="false"/>
          <w:sz w:val="20"/>
        </w:rPr>
        <w:t>shares of the Company’s common stock at a purchase price of $1.90</w:t>
      </w:r>
      <w:r>
        <w:rPr>
          <w:rFonts w:ascii="Times New Roman" w:hAnsi="Times New Roman"/>
          <w:sz w:val="20"/>
        </w:rPr>
        <w:t xml:space="preserve"> </w:t>
      </w:r>
      <w:r>
        <w:rPr>
          <w:rFonts w:ascii="Times New Roman;serif" w:hAnsi="Times New Roman;serif"/>
          <w:b w:val="false"/>
          <w:sz w:val="20"/>
        </w:rPr>
        <w:t>per share, and (ii) pre-funded warrants to purchase up to an aggregate of 24,379,673</w:t>
      </w:r>
      <w:r>
        <w:rPr>
          <w:rFonts w:ascii="Times New Roman" w:hAnsi="Times New Roman"/>
          <w:sz w:val="20"/>
        </w:rPr>
        <w:t xml:space="preserve"> </w:t>
      </w:r>
      <w:r>
        <w:rPr>
          <w:rFonts w:ascii="Times New Roman;serif" w:hAnsi="Times New Roman;serif"/>
          <w:b w:val="false"/>
          <w:sz w:val="20"/>
        </w:rPr>
        <w:t>shares of common stock at a purchase price of $1.899</w:t>
      </w:r>
      <w:r>
        <w:rPr>
          <w:rFonts w:ascii="Times New Roman" w:hAnsi="Times New Roman"/>
          <w:sz w:val="20"/>
        </w:rPr>
        <w:t xml:space="preserve"> </w:t>
      </w:r>
      <w:r>
        <w:rPr>
          <w:rFonts w:ascii="Times New Roman;serif" w:hAnsi="Times New Roman;serif"/>
          <w:b w:val="false"/>
          <w:sz w:val="20"/>
        </w:rPr>
        <w:t>per warrant (the “April 2022 Private Placement”). Each pre-funded warrant has an exercise price of $0.001</w:t>
      </w:r>
      <w:r>
        <w:rPr>
          <w:rFonts w:ascii="Times New Roman" w:hAnsi="Times New Roman"/>
          <w:sz w:val="20"/>
        </w:rPr>
        <w:t xml:space="preserve"> </w:t>
      </w:r>
      <w:r>
        <w:rPr>
          <w:rFonts w:ascii="Times New Roman;serif" w:hAnsi="Times New Roman;serif"/>
          <w:b w:val="false"/>
          <w:sz w:val="20"/>
        </w:rPr>
        <w:t>per share, is exercisable immediately and will be exercisable until the pre-funded warrant is exercised in full. The April 2022 Private Placement, which closed on April 11, 2022, resulted in gross proceeds to the Company of approximately $55.0</w:t>
      </w:r>
      <w:r>
        <w:rPr>
          <w:rFonts w:ascii="Times New Roman" w:hAnsi="Times New Roman"/>
          <w:sz w:val="20"/>
        </w:rPr>
        <w:t xml:space="preserve"> </w:t>
      </w:r>
      <w:r>
        <w:rPr>
          <w:rFonts w:ascii="Times New Roman;serif" w:hAnsi="Times New Roman;serif"/>
          <w:b w:val="false"/>
          <w:sz w:val="20"/>
        </w:rPr>
        <w:t>million. NEA, an existing stockholder of the Company and a related party, as well as an affiliate of NEA, participated in the offering.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Public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27, 2022, the Company issued and sold 14,252,670</w:t>
      </w:r>
      <w:r>
        <w:rPr>
          <w:rFonts w:ascii="Times New Roman" w:hAnsi="Times New Roman"/>
          <w:sz w:val="20"/>
        </w:rPr>
        <w:t xml:space="preserve"> </w:t>
      </w:r>
      <w:r>
        <w:rPr>
          <w:rFonts w:ascii="Times New Roman;serif" w:hAnsi="Times New Roman;serif"/>
          <w:b w:val="false"/>
          <w:sz w:val="20"/>
        </w:rPr>
        <w:t>shares of the Company’s common stock and, in lieu of common stock to certain investors, pre-funded warrants to purchase 14,247,330</w:t>
      </w:r>
      <w:r>
        <w:rPr>
          <w:rFonts w:ascii="Times New Roman" w:hAnsi="Times New Roman"/>
          <w:sz w:val="20"/>
        </w:rPr>
        <w:t xml:space="preserve"> </w:t>
      </w:r>
      <w:r>
        <w:rPr>
          <w:rFonts w:ascii="Times New Roman;serif" w:hAnsi="Times New Roman;serif"/>
          <w:b w:val="false"/>
          <w:sz w:val="20"/>
        </w:rPr>
        <w:t>shares of common stock in a public offering (the “September 2022 Offering”), at a public offering price of $1.93</w:t>
      </w:r>
      <w:r>
        <w:rPr>
          <w:rFonts w:ascii="Times New Roman" w:hAnsi="Times New Roman"/>
          <w:sz w:val="20"/>
        </w:rPr>
        <w:t xml:space="preserve"> </w:t>
      </w:r>
      <w:r>
        <w:rPr>
          <w:rFonts w:ascii="Times New Roman;serif" w:hAnsi="Times New Roman;serif"/>
          <w:b w:val="false"/>
          <w:sz w:val="20"/>
        </w:rPr>
        <w:t>per share of common stock and $1.929</w:t>
      </w:r>
      <w:r>
        <w:rPr>
          <w:rFonts w:ascii="Times New Roman" w:hAnsi="Times New Roman"/>
          <w:sz w:val="20"/>
        </w:rPr>
        <w:t xml:space="preserve"> </w:t>
      </w:r>
      <w:r>
        <w:rPr>
          <w:rFonts w:ascii="Times New Roman;serif" w:hAnsi="Times New Roman;serif"/>
          <w:b w:val="false"/>
          <w:sz w:val="20"/>
        </w:rPr>
        <w:t>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w:t>
      </w:r>
      <w:r>
        <w:rPr>
          <w:rFonts w:ascii="Times New Roman" w:hAnsi="Times New Roman"/>
          <w:sz w:val="20"/>
        </w:rPr>
        <w:t xml:space="preserve"> </w:t>
      </w:r>
      <w:r>
        <w:rPr>
          <w:rFonts w:ascii="Times New Roman;serif" w:hAnsi="Times New Roman;serif"/>
          <w:b w:val="false"/>
          <w:sz w:val="20"/>
        </w:rPr>
        <w:t>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w:t>
      </w:r>
      <w:r>
        <w:rPr>
          <w:rFonts w:ascii="Times New Roman" w:hAnsi="Times New Roman"/>
          <w:sz w:val="20"/>
        </w:rPr>
        <w:t xml:space="preserve"> </w:t>
      </w:r>
      <w:r>
        <w:rPr>
          <w:rFonts w:ascii="Times New Roman;serif" w:hAnsi="Times New Roman;serif"/>
          <w:b w:val="false"/>
          <w:sz w:val="20"/>
        </w:rPr>
        <w:t>shares of common stock (the “Additional Shares”), at the public offering price of $1.93</w:t>
      </w:r>
      <w:r>
        <w:rPr>
          <w:rFonts w:ascii="Times New Roman" w:hAnsi="Times New Roman"/>
          <w:sz w:val="20"/>
        </w:rPr>
        <w:t xml:space="preserve"> </w:t>
      </w:r>
      <w:r>
        <w:rPr>
          <w:rFonts w:ascii="Times New Roman;serif" w:hAnsi="Times New Roman;serif"/>
          <w:b w:val="false"/>
          <w:sz w:val="20"/>
        </w:rPr>
        <w:t>per share. The Underwriters partially exercised the Option to purchase 1,600,428</w:t>
      </w:r>
      <w:r>
        <w:rPr>
          <w:rFonts w:ascii="Times New Roman" w:hAnsi="Times New Roman"/>
          <w:sz w:val="20"/>
        </w:rPr>
        <w:t xml:space="preserve"> </w:t>
      </w:r>
      <w:r>
        <w:rPr>
          <w:rFonts w:ascii="Times New Roman;serif" w:hAnsi="Times New Roman;serif"/>
          <w:b w:val="false"/>
          <w:sz w:val="20"/>
        </w:rPr>
        <w:t>Additional Shares, which shares were issued and sold on October 25, 2022. The September 2022 Offering, including the initial closing on September 27, 2022</w:t>
      </w:r>
      <w:r>
        <w:rPr>
          <w:rFonts w:ascii="Times New Roman" w:hAnsi="Times New Roman"/>
          <w:sz w:val="20"/>
        </w:rPr>
        <w:t xml:space="preserve"> </w:t>
      </w:r>
      <w:r>
        <w:rPr>
          <w:rFonts w:ascii="Times New Roman;serif" w:hAnsi="Times New Roman;serif"/>
          <w:b w:val="false"/>
          <w:sz w:val="20"/>
        </w:rPr>
        <w:t>and the Option closing on October 25, 2022, resulted in aggregate gross proceeds to the Company of approximately $58.1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Warrants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Warrant activity, including activity related to pre-funded warrants, for the six months ended June 30, 2023, is shown in the table below:</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23"/>
        <w:gridCol w:w="146"/>
        <w:gridCol w:w="194"/>
        <w:gridCol w:w="1381"/>
        <w:gridCol w:w="166"/>
        <w:gridCol w:w="146"/>
        <w:gridCol w:w="250"/>
        <w:gridCol w:w="1596"/>
        <w:gridCol w:w="146"/>
        <w:gridCol w:w="146"/>
        <w:gridCol w:w="161"/>
        <w:gridCol w:w="1148"/>
        <w:gridCol w:w="166"/>
        <w:gridCol w:w="146"/>
        <w:gridCol w:w="214"/>
        <w:gridCol w:w="582"/>
        <w:gridCol w:w="594"/>
      </w:tblGrid>
      <w:tr>
        <w:trPr/>
        <w:tc>
          <w:tcPr>
            <w:tcW w:w="3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02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Pre-funded Warrant</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Common Stock Warrant</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w:t>
              <w:br/>
              <w:t>Warrant</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38,627,003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1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1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48,330,707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594" w:type="dxa"/>
            <w:tcBorders/>
            <w:vAlign w:val="center"/>
          </w:tcPr>
          <w:p>
            <w:pPr>
              <w:pStyle w:val="TableContents"/>
              <w:bidi w:val="0"/>
              <w:spacing w:before="0" w:after="0"/>
              <w:ind w:left="0" w:right="0" w:firstLine="400"/>
              <w:jc w:val="left"/>
              <w:rPr/>
            </w:pPr>
            <w:r>
              <w:rPr/>
              <w:t> </w:t>
            </w:r>
          </w:p>
        </w:tc>
      </w:tr>
      <w:tr>
        <w:trPr/>
        <w:tc>
          <w:tcPr>
            <w:tcW w:w="302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0.001</w:t>
            </w:r>
          </w:p>
        </w:tc>
        <w:tc>
          <w:tcPr>
            <w:tcW w:w="594" w:type="dxa"/>
            <w:tcBorders/>
            <w:vAlign w:val="center"/>
          </w:tcPr>
          <w:p>
            <w:pPr>
              <w:pStyle w:val="TableContents"/>
              <w:bidi w:val="0"/>
              <w:spacing w:before="0" w:after="0"/>
              <w:ind w:left="0" w:right="0" w:hanging="0"/>
              <w:jc w:val="left"/>
              <w:rPr/>
            </w:pPr>
            <w:r>
              <w:rPr/>
              <w:t> </w:t>
            </w:r>
          </w:p>
        </w:tc>
      </w:tr>
      <w:tr>
        <w:trPr/>
        <w:tc>
          <w:tcPr>
            <w:tcW w:w="30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35,627,003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45,330,707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5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0"/>
        <w:jc w:val="left"/>
        <w:rPr>
          <w:rFonts w:ascii="Times New Roman" w:hAnsi="Times New Roman"/>
          <w:sz w:val="20"/>
        </w:rPr>
      </w:pPr>
      <w:r>
        <w:rPr>
          <w:rFonts w:ascii="Times New Roman;serif" w:hAnsi="Times New Roman;serif"/>
          <w:b/>
          <w:i/>
          <w:sz w:val="20"/>
        </w:rPr>
        <w:t>Stock-Based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w:t>
      </w:r>
      <w:r>
        <w:rPr>
          <w:rFonts w:ascii="Times New Roman" w:hAnsi="Times New Roman"/>
          <w:sz w:val="20"/>
        </w:rPr>
        <w:t xml:space="preserve"> </w:t>
      </w:r>
      <w:r>
        <w:rPr>
          <w:rFonts w:ascii="Times New Roman;serif" w:hAnsi="Times New Roman;serif"/>
          <w:b w:val="false"/>
          <w:sz w:val="20"/>
        </w:rPr>
        <w:t>further equity-based awards may be granted under the 2012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number of shares of common stock that may be issued under the 2019 Plan and the 2012 Plan was 7,124,142</w:t>
      </w:r>
      <w:r>
        <w:rPr>
          <w:rFonts w:ascii="Times New Roman;serif" w:hAnsi="Times New Roman;serif"/>
          <w:sz w:val="20"/>
        </w:rPr>
        <w:t xml:space="preserve"> </w:t>
      </w:r>
      <w:r>
        <w:rPr>
          <w:rFonts w:ascii="Times New Roman;serif" w:hAnsi="Times New Roman;serif"/>
          <w:b w:val="false"/>
          <w:sz w:val="20"/>
        </w:rPr>
        <w:t>as of June 30, 2023, of which 1,739,578</w:t>
      </w:r>
      <w:r>
        <w:rPr>
          <w:rFonts w:ascii="Times New Roman;serif" w:hAnsi="Times New Roman;serif"/>
          <w:sz w:val="20"/>
        </w:rPr>
        <w:t xml:space="preserve"> </w:t>
      </w:r>
      <w:r>
        <w:rPr>
          <w:rFonts w:ascii="Times New Roman;serif" w:hAnsi="Times New Roman;serif"/>
          <w:b w:val="false"/>
          <w:sz w:val="20"/>
        </w:rPr>
        <w:t>shares remained available for grant under the 2019 Plan. Awards may be made under the 2019 Plan for up to such number of shares of the Company’s common stock as is equal to the sum of: i) 1,578,947</w:t>
      </w:r>
      <w:r>
        <w:rPr>
          <w:rFonts w:ascii="Times New Roman;serif" w:hAnsi="Times New Roman;serif"/>
          <w:sz w:val="20"/>
        </w:rPr>
        <w:t xml:space="preserve"> </w:t>
      </w:r>
      <w:r>
        <w:rPr>
          <w:rFonts w:ascii="Times New Roman;serif" w:hAnsi="Times New Roman;serif"/>
          <w:b w:val="false"/>
          <w:sz w:val="20"/>
        </w:rPr>
        <w:t>shares; plus ii) the number of shares (up to 1,157,894</w:t>
      </w:r>
      <w:r>
        <w:rPr>
          <w:rFonts w:ascii="Times New Roman;serif" w:hAnsi="Times New Roman;serif"/>
          <w:sz w:val="20"/>
        </w:rPr>
        <w:t xml:space="preserve"> </w:t>
      </w:r>
      <w:r>
        <w:rPr>
          <w:rFonts w:ascii="Times New Roman;serif" w:hAnsi="Times New Roman;serif"/>
          <w:b w:val="false"/>
          <w:sz w:val="20"/>
        </w:rPr>
        <w:t>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w:t>
      </w:r>
      <w:r>
        <w:rPr>
          <w:rFonts w:ascii="Times New Roman;serif" w:hAnsi="Times New Roman;serif"/>
          <w:sz w:val="20"/>
        </w:rPr>
        <w:t xml:space="preserve"> </w:t>
      </w:r>
      <w:r>
        <w:rPr>
          <w:rFonts w:ascii="Times New Roman;serif" w:hAnsi="Times New Roman;serif"/>
          <w:b w:val="false"/>
          <w:sz w:val="20"/>
        </w:rPr>
        <w:t>shares of common stock, (b) 4% of the number of outstanding shares of the Company’s common stock on such date, and (c) an amount determined by the Company’s board of directors.</w:t>
      </w:r>
      <w:r>
        <w:rPr>
          <w:rFonts w:ascii="Times New Roman" w:hAnsi="Times New Roman"/>
          <w:sz w:val="20"/>
        </w:rPr>
        <w:t xml:space="preserve"> </w:t>
      </w:r>
      <w:r>
        <w:rPr>
          <w:rFonts w:ascii="Times New Roman;serif" w:hAnsi="Times New Roman;serif"/>
          <w:b w:val="false"/>
          <w:sz w:val="20"/>
        </w:rPr>
        <w:t>Effective January 1, 2023 and January 1, 2022, respectively, the number of shares reserved for issuance under the 2019 Plan increased, pursuant to the terms of the 2019 Plan, by an additional 2,105,623</w:t>
      </w:r>
      <w:r>
        <w:rPr>
          <w:rFonts w:ascii="Times New Roman" w:hAnsi="Times New Roman"/>
          <w:sz w:val="20"/>
        </w:rPr>
        <w:t xml:space="preserve"> </w:t>
      </w:r>
      <w:r>
        <w:rPr>
          <w:rFonts w:ascii="Times New Roman;serif" w:hAnsi="Times New Roman;serif"/>
          <w:b w:val="false"/>
          <w:sz w:val="20"/>
        </w:rPr>
        <w:t>shares and 1,140,232</w:t>
      </w:r>
      <w:r>
        <w:rPr>
          <w:rFonts w:ascii="Times New Roman" w:hAnsi="Times New Roman"/>
          <w:sz w:val="20"/>
        </w:rPr>
        <w:t xml:space="preserve"> </w:t>
      </w:r>
      <w:r>
        <w:rPr>
          <w:rFonts w:ascii="Times New Roman;serif" w:hAnsi="Times New Roman;serif"/>
          <w:b w:val="false"/>
          <w:sz w:val="20"/>
        </w:rPr>
        <w:t>shares, equal to the 2019 Plan determined maximum and 4% of the Company’s then-outstanding common stock,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Options granted under the 2019 Plan and the 2012 Plan have a maximum term of ten years. Options granted to employees, officers and non-employees generally vest over four years</w:t>
      </w:r>
      <w:r>
        <w:rPr>
          <w:rFonts w:ascii="Times New Roman;serif" w:hAnsi="Times New Roman;serif"/>
          <w:sz w:val="20"/>
        </w:rPr>
        <w:t xml:space="preserve"> </w:t>
      </w:r>
      <w:r>
        <w:rPr>
          <w:rFonts w:ascii="Times New Roman;serif" w:hAnsi="Times New Roman;serif"/>
          <w:b w:val="false"/>
          <w:sz w:val="20"/>
        </w:rPr>
        <w:t>based on varying vesting schedules that primarily include: 25% vesting on the first anniversary date of grant and the balance ratably over the next 36 months or vesting in equal monthly or quarterly installments over four years.</w:t>
      </w:r>
      <w:r>
        <w:rPr>
          <w:rFonts w:ascii="Times New Roman" w:hAnsi="Times New Roman"/>
          <w:sz w:val="20"/>
        </w:rPr>
        <w:t xml:space="preserve"> </w:t>
      </w:r>
      <w:r>
        <w:rPr>
          <w:rFonts w:ascii="Times New Roman;serif" w:hAnsi="Times New Roman;serif"/>
          <w:b w:val="false"/>
          <w:sz w:val="20"/>
        </w:rPr>
        <w:t>Options granted to directors generally vest over one</w:t>
      </w:r>
      <w:r>
        <w:rPr>
          <w:rFonts w:ascii="Times New Roman" w:hAnsi="Times New Roman"/>
          <w:sz w:val="20"/>
        </w:rPr>
        <w:t xml:space="preserve"> </w:t>
      </w:r>
      <w:r>
        <w:rPr>
          <w:rFonts w:ascii="Times New Roman;serif" w:hAnsi="Times New Roman;serif"/>
          <w:b w:val="false"/>
          <w:sz w:val="20"/>
        </w:rPr>
        <w:t>to two years. As of June 30, 2023 and December 31, 2022, respectively, options to purchase 4,789,175</w:t>
      </w:r>
      <w:r>
        <w:rPr>
          <w:rFonts w:ascii="Times New Roman" w:hAnsi="Times New Roman"/>
          <w:sz w:val="20"/>
        </w:rPr>
        <w:t xml:space="preserve"> </w:t>
      </w:r>
      <w:r>
        <w:rPr>
          <w:rFonts w:ascii="Times New Roman;serif" w:hAnsi="Times New Roman;serif"/>
          <w:b w:val="false"/>
          <w:sz w:val="20"/>
        </w:rPr>
        <w:t>shares and 3,848,052</w:t>
      </w:r>
      <w:r>
        <w:rPr>
          <w:rFonts w:ascii="Times New Roman" w:hAnsi="Times New Roman"/>
          <w:sz w:val="20"/>
        </w:rPr>
        <w:t xml:space="preserve"> </w:t>
      </w:r>
      <w:r>
        <w:rPr>
          <w:rFonts w:ascii="Times New Roman;serif" w:hAnsi="Times New Roman;serif"/>
          <w:b w:val="false"/>
          <w:sz w:val="20"/>
        </w:rPr>
        <w:t>shares of common stock were granted and outstanding, net of cancellations, under the 2019 Plan. As of June 30, 2023 and December 31, 2022, respectively, options to purchase 595,389</w:t>
      </w:r>
      <w:r>
        <w:rPr>
          <w:rFonts w:ascii="Times New Roman" w:hAnsi="Times New Roman"/>
          <w:sz w:val="20"/>
        </w:rPr>
        <w:t xml:space="preserve"> </w:t>
      </w:r>
      <w:r>
        <w:rPr>
          <w:rFonts w:ascii="Times New Roman;serif" w:hAnsi="Times New Roman;serif"/>
          <w:b w:val="false"/>
          <w:sz w:val="20"/>
        </w:rPr>
        <w:t>and 602,231</w:t>
      </w:r>
      <w:r>
        <w:rPr>
          <w:rFonts w:ascii="Times New Roman" w:hAnsi="Times New Roman"/>
          <w:sz w:val="20"/>
        </w:rPr>
        <w:t xml:space="preserve"> </w:t>
      </w:r>
      <w:r>
        <w:rPr>
          <w:rFonts w:ascii="Times New Roman;serif" w:hAnsi="Times New Roman;serif"/>
          <w:b w:val="false"/>
          <w:sz w:val="20"/>
        </w:rPr>
        <w:t>shares of common stock were granted and outstanding, net of cancellations, under the 2012 Plan.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Company’s combined stock option activity for the 2019 Plan and the 2012 Plan for the six months ended June 30, 2023 is as follows:</w:t>
      </w:r>
    </w:p>
    <w:tbl>
      <w:tblPr>
        <w:tblW w:w="6253" w:type="dxa"/>
        <w:jc w:val="left"/>
        <w:tblInd w:w="0" w:type="dxa"/>
        <w:tblLayout w:type="fixed"/>
        <w:tblCellMar>
          <w:top w:w="28" w:type="dxa"/>
          <w:left w:w="28" w:type="dxa"/>
          <w:bottom w:w="28" w:type="dxa"/>
          <w:right w:w="28" w:type="dxa"/>
        </w:tblCellMar>
      </w:tblPr>
      <w:tblGrid>
        <w:gridCol w:w="3331"/>
        <w:gridCol w:w="146"/>
        <w:gridCol w:w="146"/>
        <w:gridCol w:w="931"/>
        <w:gridCol w:w="166"/>
        <w:gridCol w:w="146"/>
        <w:gridCol w:w="248"/>
        <w:gridCol w:w="548"/>
        <w:gridCol w:w="5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4,450,283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591" w:type="dxa"/>
            <w:tcBorders/>
            <w:vAlign w:val="center"/>
          </w:tcPr>
          <w:p>
            <w:pPr>
              <w:pStyle w:val="TableContents"/>
              <w:bidi w:val="0"/>
              <w:spacing w:before="0" w:after="0"/>
              <w:ind w:left="0" w:right="0" w:firstLine="400"/>
              <w:jc w:val="left"/>
              <w:rPr/>
            </w:pPr>
            <w:r>
              <w:rPr/>
              <w:t> </w:t>
            </w:r>
          </w:p>
        </w:tc>
      </w:tr>
      <w:tr>
        <w:trPr/>
        <w:tc>
          <w:tcPr>
            <w:tcW w:w="33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591" w:type="dxa"/>
            <w:tcBorders/>
            <w:vAlign w:val="center"/>
          </w:tcPr>
          <w:p>
            <w:pPr>
              <w:pStyle w:val="TableContents"/>
              <w:bidi w:val="0"/>
              <w:spacing w:before="0" w:after="0"/>
              <w:ind w:left="0" w:right="0" w:firstLine="400"/>
              <w:jc w:val="left"/>
              <w:rPr/>
            </w:pPr>
            <w:r>
              <w:rPr/>
              <w:t> </w:t>
            </w:r>
          </w:p>
        </w:tc>
      </w:tr>
      <w:tr>
        <w:trPr/>
        <w:tc>
          <w:tcPr>
            <w:tcW w:w="33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(283,075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591" w:type="dxa"/>
            <w:tcBorders/>
            <w:vAlign w:val="center"/>
          </w:tcPr>
          <w:p>
            <w:pPr>
              <w:pStyle w:val="TableContents"/>
              <w:bidi w:val="0"/>
              <w:spacing w:before="0" w:after="0"/>
              <w:ind w:left="0" w:right="0" w:firstLine="400"/>
              <w:jc w:val="left"/>
              <w:rPr/>
            </w:pPr>
            <w:r>
              <w:rPr/>
              <w:t> </w:t>
            </w:r>
          </w:p>
        </w:tc>
      </w:tr>
      <w:tr>
        <w:trPr/>
        <w:tc>
          <w:tcPr>
            <w:tcW w:w="33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(207,730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591" w:type="dxa"/>
            <w:tcBorders/>
            <w:vAlign w:val="center"/>
          </w:tcPr>
          <w:p>
            <w:pPr>
              <w:pStyle w:val="TableContents"/>
              <w:bidi w:val="0"/>
              <w:spacing w:before="0" w:after="0"/>
              <w:ind w:left="0" w:right="0" w:firstLine="400"/>
              <w:jc w:val="left"/>
              <w:rPr/>
            </w:pPr>
            <w:r>
              <w:rPr/>
              <w:t> </w:t>
            </w:r>
          </w:p>
        </w:tc>
      </w:tr>
      <w:tr>
        <w:trPr/>
        <w:tc>
          <w:tcPr>
            <w:tcW w:w="33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(136,914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5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5,384,564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5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2,502,523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59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unvested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number of shares of common stock that may be issued under the 2019 ESPP was 1,330,291 as of June 30, 2023, of which 1,208,274</w:t>
      </w:r>
      <w:r>
        <w:rPr>
          <w:rFonts w:ascii="Times New Roman;serif" w:hAnsi="Times New Roman;serif"/>
          <w:sz w:val="20"/>
        </w:rPr>
        <w:t xml:space="preserve"> </w:t>
      </w:r>
      <w:r>
        <w:rPr>
          <w:rFonts w:ascii="Times New Roman;serif" w:hAnsi="Times New Roman;serif"/>
          <w:b w:val="false"/>
          <w:sz w:val="20"/>
        </w:rPr>
        <w:t>shares remain available for issuance. The number of shares of the Company’s common stock that have been approved to be issued under the 2019 ESPP is equal to the sum of i) 155,106</w:t>
      </w:r>
      <w:r>
        <w:rPr>
          <w:rFonts w:ascii="Times New Roman;serif" w:hAnsi="Times New Roman;serif"/>
          <w:sz w:val="20"/>
        </w:rPr>
        <w:t xml:space="preserve"> </w:t>
      </w:r>
      <w:r>
        <w:rPr>
          <w:rFonts w:ascii="Times New Roman;serif" w:hAnsi="Times New Roman;serif"/>
          <w:b w:val="false"/>
          <w:sz w:val="20"/>
        </w:rPr>
        <w:t>shares plus ii) an annual increase to be added on the first day of each fiscal year, beginning with the fiscal year ending December 31, 2020 and continuing for each fiscal year until and including, the fiscal year ending December 31, 2029, equal to the least of (a) 526,315</w:t>
      </w:r>
      <w:r>
        <w:rPr>
          <w:rFonts w:ascii="Times New Roman;serif" w:hAnsi="Times New Roman;serif"/>
          <w:sz w:val="20"/>
        </w:rPr>
        <w:t xml:space="preserve"> </w:t>
      </w:r>
      <w:r>
        <w:rPr>
          <w:rFonts w:ascii="Times New Roman;serif" w:hAnsi="Times New Roman;serif"/>
          <w:b w:val="false"/>
          <w:sz w:val="20"/>
        </w:rPr>
        <w:t>shares of common stock, (b) 1% of the number of outstanding shares of the Company’s common stock on such date and (c) an amount determined by the Company’s board of directors. Effective January 1, 2023 and January 1, 2022, respectively, the aggregate number of shares of the Company’s common stock that may be issued under the 2019 ESPP increased, pursuant to the terms of the 2019 ESPP, by an additional 526,315</w:t>
      </w:r>
      <w:r>
        <w:rPr>
          <w:rFonts w:ascii="Times New Roman;serif" w:hAnsi="Times New Roman;serif"/>
          <w:sz w:val="20"/>
        </w:rPr>
        <w:t xml:space="preserve"> </w:t>
      </w:r>
      <w:r>
        <w:rPr>
          <w:rFonts w:ascii="Times New Roman;serif" w:hAnsi="Times New Roman;serif"/>
          <w:b w:val="false"/>
          <w:sz w:val="20"/>
        </w:rPr>
        <w:t>shares and 285,058</w:t>
      </w:r>
      <w:r>
        <w:rPr>
          <w:rFonts w:ascii="Times New Roman;serif" w:hAnsi="Times New Roman;serif"/>
          <w:sz w:val="20"/>
        </w:rPr>
        <w:t xml:space="preserve"> </w:t>
      </w:r>
      <w:r>
        <w:rPr>
          <w:rFonts w:ascii="Times New Roman;serif" w:hAnsi="Times New Roman;serif"/>
          <w:b w:val="false"/>
          <w:sz w:val="20"/>
        </w:rPr>
        <w:t>shares, equal to the 2019 ESPP determined maximum and 1% of the Company’s then-outstanding common stock,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spacing w:before="0" w:after="0"/>
        <w:jc w:val="left"/>
        <w:rPr/>
      </w:pPr>
      <w:r>
        <w:rPr/>
        <w:t> </w:t>
      </w:r>
    </w:p>
    <w:tbl>
      <w:tblPr>
        <w:tblW w:w="7103" w:type="dxa"/>
        <w:jc w:val="left"/>
        <w:tblInd w:w="0" w:type="dxa"/>
        <w:tblLayout w:type="fixed"/>
        <w:tblCellMar>
          <w:top w:w="28" w:type="dxa"/>
          <w:left w:w="28" w:type="dxa"/>
          <w:bottom w:w="28" w:type="dxa"/>
          <w:right w:w="28" w:type="dxa"/>
        </w:tblCellMar>
      </w:tblPr>
      <w:tblGrid>
        <w:gridCol w:w="3016"/>
        <w:gridCol w:w="146"/>
        <w:gridCol w:w="217"/>
        <w:gridCol w:w="434"/>
        <w:gridCol w:w="150"/>
        <w:gridCol w:w="150"/>
        <w:gridCol w:w="217"/>
        <w:gridCol w:w="434"/>
        <w:gridCol w:w="146"/>
        <w:gridCol w:w="146"/>
        <w:gridCol w:w="211"/>
        <w:gridCol w:w="571"/>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center"/>
              <w:rPr/>
            </w:pPr>
            <w:r>
              <w:rPr/>
              <w:t> </w:t>
            </w:r>
          </w:p>
        </w:tc>
        <w:tc>
          <w:tcPr>
            <w:tcW w:w="6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9.</w:t>
      </w:r>
    </w:p>
    <w:p>
      <w:pPr>
        <w:pStyle w:val="TextBody"/>
        <w:bidi w:val="0"/>
        <w:jc w:val="left"/>
        <w:rPr>
          <w:rFonts w:ascii="Times New Roman;serif" w:hAnsi="Times New Roman;serif"/>
          <w:b/>
          <w:sz w:val="20"/>
        </w:rPr>
      </w:pPr>
      <w:r>
        <w:rPr>
          <w:rFonts w:ascii="Times New Roman;serif" w:hAnsi="Times New Roman;serif"/>
          <w:b/>
          <w:sz w:val="20"/>
        </w:rPr>
        <w:t xml:space="preserve">Income Taxes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and December 31, 2022, the Company maintained a full valuation allowance on deferred tax assets. The income tax benefit recorded during the three and six months ended June 30, 2023 and 2022 was for the Company</w:t>
      </w:r>
      <w:r>
        <w:rPr>
          <w:rFonts w:ascii="Times New Roman" w:hAnsi="Times New Roman"/>
          <w:sz w:val="20"/>
        </w:rPr>
        <w:t>’</w:t>
      </w:r>
      <w:r>
        <w:rPr>
          <w:rFonts w:ascii="Times New Roman;serif" w:hAnsi="Times New Roman;serif"/>
          <w:b w:val="false"/>
          <w:sz w:val="20"/>
        </w:rPr>
        <w:t>s estimates for its state research and development tax credits in each given year.</w:t>
      </w:r>
    </w:p>
    <w:p>
      <w:pPr>
        <w:pStyle w:val="TextBody"/>
        <w:bidi w:val="0"/>
        <w:spacing w:before="120" w:after="0"/>
        <w:jc w:val="left"/>
        <w:rPr>
          <w:rFonts w:ascii="Times New Roman" w:hAnsi="Times New Roman"/>
          <w:b/>
          <w:sz w:val="20"/>
        </w:rPr>
      </w:pPr>
      <w:r>
        <w:rPr>
          <w:rFonts w:ascii="Times New Roman" w:hAnsi="Times New Roman"/>
          <w:b/>
          <w:sz w:val="20"/>
        </w:rPr>
        <w:t>10.</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used in net loss per share attributable to common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98,698,579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59,542,628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98,654,868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45,253,599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Basic shares outstanding includes the weighted average effect of the Company’s pre-funded warrants from the date of issuance, the exercise of which requires little or no consideration for the delivery of shares of common stock. As of June 30, 2023, the Company had pre-funded warrants to purchase 21,379,673</w:t>
      </w:r>
      <w:r>
        <w:rPr>
          <w:rFonts w:ascii="Times New Roman" w:hAnsi="Times New Roman"/>
          <w:sz w:val="20"/>
        </w:rPr>
        <w:t xml:space="preserve"> </w:t>
      </w:r>
      <w:r>
        <w:rPr>
          <w:rFonts w:ascii="Times New Roman;serif" w:hAnsi="Times New Roman;serif"/>
          <w:b w:val="false"/>
          <w:sz w:val="20"/>
        </w:rPr>
        <w:t>and 14,247,330</w:t>
      </w:r>
      <w:r>
        <w:rPr>
          <w:rFonts w:ascii="Times New Roman" w:hAnsi="Times New Roman"/>
          <w:sz w:val="20"/>
        </w:rPr>
        <w:t xml:space="preserve"> </w:t>
      </w:r>
      <w:r>
        <w:rPr>
          <w:rFonts w:ascii="Times New Roman;serif" w:hAnsi="Times New Roman;serif"/>
          <w:b w:val="false"/>
          <w:sz w:val="20"/>
        </w:rPr>
        <w:t>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the three and six months ended June 30, 2023 and 2022,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June 30, 2023 and 2022, respectively, were excluded from the calculation of diluted net loss per share attributable to common stockholders for the periods indicated because including them would have had an anti-dilutive effect:</w:t>
      </w:r>
    </w:p>
    <w:tbl>
      <w:tblPr>
        <w:tblW w:w="4269" w:type="dxa"/>
        <w:jc w:val="left"/>
        <w:tblInd w:w="0" w:type="dxa"/>
        <w:tblLayout w:type="fixed"/>
        <w:tblCellMar>
          <w:top w:w="28" w:type="dxa"/>
          <w:left w:w="28" w:type="dxa"/>
          <w:bottom w:w="28" w:type="dxa"/>
          <w:right w:w="28" w:type="dxa"/>
        </w:tblCellMar>
      </w:tblPr>
      <w:tblGrid>
        <w:gridCol w:w="1276"/>
        <w:gridCol w:w="146"/>
        <w:gridCol w:w="146"/>
        <w:gridCol w:w="1036"/>
        <w:gridCol w:w="146"/>
        <w:gridCol w:w="146"/>
        <w:gridCol w:w="146"/>
        <w:gridCol w:w="103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 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14,002,974</w:t>
            </w:r>
          </w:p>
        </w:tc>
        <w:tc>
          <w:tcPr>
            <w:tcW w:w="19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5,384,564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4,144,367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15,088,268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18,147,341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11.</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Collaborative and Licensing Agreements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enters into collaborative and licensing agreements with pharmaceutical companies to in-license, develop, manufacture and/or market products that fit within its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Endo Pharmaceuticals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license agreement, the Company paid Endo a non-creditable, non-refundable upfront license fee. The Company may also become obligated to make milestone payments to Endo of $0.3</w:t>
      </w:r>
      <w:r>
        <w:rPr>
          <w:rFonts w:ascii="Times New Roman" w:hAnsi="Times New Roman"/>
          <w:sz w:val="20"/>
        </w:rPr>
        <w:t xml:space="preserve"> </w:t>
      </w:r>
      <w:r>
        <w:rPr>
          <w:rFonts w:ascii="Times New Roman;serif" w:hAnsi="Times New Roman;serif"/>
          <w:b w:val="false"/>
          <w:sz w:val="20"/>
        </w:rPr>
        <w:t>million, which would become due upon the successful completion of the first Phase 3 clinical trial of a licensed product candidate, and $0.8</w:t>
      </w:r>
      <w:r>
        <w:rPr>
          <w:rFonts w:ascii="Times New Roman" w:hAnsi="Times New Roman"/>
          <w:sz w:val="20"/>
        </w:rPr>
        <w:t xml:space="preserve"> </w:t>
      </w:r>
      <w:r>
        <w:rPr>
          <w:rFonts w:ascii="Times New Roman;serif" w:hAnsi="Times New Roman;serif"/>
          <w:b w:val="false"/>
          <w:sz w:val="20"/>
        </w:rPr>
        <w:t>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12.</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120" w:after="0"/>
        <w:jc w:val="left"/>
        <w:rPr>
          <w:rFonts w:ascii="Times New Roman" w:hAnsi="Times New Roman"/>
          <w:sz w:val="20"/>
        </w:rPr>
      </w:pPr>
      <w:r>
        <w:rPr>
          <w:rFonts w:ascii="Times New Roman;serif" w:hAnsi="Times New Roman;serif"/>
          <w:b w:val="false"/>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also has commitments under lease and licensing agreements (Note 5 and Note 11).</w:t>
      </w:r>
    </w:p>
    <w:p>
      <w:pPr>
        <w:pStyle w:val="TextBody"/>
        <w:bidi w:val="0"/>
        <w:spacing w:before="240" w:after="0"/>
        <w:jc w:val="left"/>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2022 included in our Annual Report on Form 10-K, filed with the Securities and Exchange Commission, or SEC, on March 16, 2023.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factors discussed elsewhere in this Quarterly Report on Form 10-Q, particularly including those risks identified in Part II-Item 1A “Risk Factors” and our other filings with the SEC.</w:t>
      </w:r>
    </w:p>
    <w:p>
      <w:pPr>
        <w:pStyle w:val="TextBody"/>
        <w:bidi w:val="0"/>
        <w:spacing w:before="120" w:after="0"/>
        <w:jc w:val="left"/>
        <w:rPr>
          <w:rFonts w:ascii="Times New Roman" w:hAnsi="Times New Roman"/>
          <w:sz w:val="20"/>
        </w:rPr>
      </w:pPr>
      <w:r>
        <w:rPr>
          <w:rFonts w:ascii="Times New Roman;serif" w:hAnsi="Times New Roman;serif"/>
          <w:b w:val="false"/>
          <w:i/>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caution readers not to place undue reliance on any forward-looking statements made by us, which speak only as of the date they are made.</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focused on the development and commercialization of the investigational therapy Haduvio (oral nalbuphine ER) for the treatment of chronic cough in idiopathic pulmonary fibrosis, or IPF, and other chronic cough indications, and for the treatment of prurigo nodularis.</w:t>
      </w:r>
    </w:p>
    <w:p>
      <w:pPr>
        <w:pStyle w:val="TextBody"/>
        <w:bidi w:val="0"/>
        <w:spacing w:before="120" w:after="0"/>
        <w:jc w:val="left"/>
        <w:rPr>
          <w:rFonts w:ascii="Times New Roman" w:hAnsi="Times New Roman"/>
          <w:sz w:val="20"/>
        </w:rPr>
      </w:pPr>
      <w:r>
        <w:rPr>
          <w:rFonts w:ascii="Times New Roman;serif" w:hAnsi="Times New Roman;serif"/>
          <w:b w:val="false"/>
          <w:i/>
          <w:sz w:val="20"/>
        </w:rPr>
        <w:t>Chronic Cough.</w:t>
      </w:r>
      <w:r>
        <w:rPr>
          <w:rFonts w:ascii="Times New Roman" w:hAnsi="Times New Roman"/>
          <w:sz w:val="20"/>
        </w:rPr>
        <w:t xml:space="preserve"> </w:t>
      </w:r>
      <w:r>
        <w:rPr>
          <w:rFonts w:ascii="Times New Roman;serif" w:hAnsi="Times New Roman;serif"/>
          <w:b w:val="false"/>
          <w:sz w:val="20"/>
        </w:rPr>
        <w:t>In September 2022, we announced positive data from our Phase 2 clinical trial of Haduvio for the treatment of chronic cough in IPF, which we refer to as the Phase 2 CANAL trial. The Phase 2 CANAL trial was a randomized, double-blind, placebo controlled, two-treatment, two-period, crossover study that was designed to evaluate the efficacy, safety, tolerability and dosing of Haduvio for chronic cough in IPF that we conducted at multiple sites in the United Kingdom. In total, we enrolled 38 subjects in the study. In the full subject data set,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 discussions with the U.S. Food and Drug Administration, or FDA, and other international regulatory authorities, regarding the design of the next clinical trials of Haduvio for the treatment of chronic cough in IPF and for additional chronic cough indications, including refractory chronic cough. We are preparing for a Phase 2b dose ranging trial of Haduvio for the treatment of chronic cough in IPF. The purpose of this trial would be to determine the dose response and select the dose for the next study as well as to further characterize the safety in this specific patient population. We expect this trial to use a parallel arm design, which would study three doses and placebo over a six-week period. The primary endpoint of this study is expected to be a reduction in 24-hour cough frequency using an objective cough monitor. We expect the study to enroll approximately 150-200 subjects. We are also preparing to conduct a Phase 1b trial to evaluate the effect of Haduvio on respiratory physiology in patients with IPF of varying disease severity. Subject to agreement with the FDA and other international regulatory authorities, we intend to initiate these trials in the second half of 2023. We will need to submit an IND for Haduvio before proceeding with our planned trials for chronic cough in IPF at sites in the United States.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plan to develop Haduvio for additional chronic cough indications, which we expect will commence initially with a Phase 2a clinical trial of Haduvio for the treatment of refractory chronic cough, which we expect to initiate in the third quarter of 2023 and which will be conducted at sites in the United Kingdom and Canada. We expect this trial to use a randomized, double-blind, placebo-controlled, two treatment period crossover design, which would study escalating doses of Haduvio over three weeks as compared to placebo. We expect the primary endpoint to be a mean change in cough frequency using an objective cough monitor. We expect the study to enroll approximately 60 subjects.</w:t>
      </w:r>
    </w:p>
    <w:p>
      <w:pPr>
        <w:pStyle w:val="TextBody"/>
        <w:bidi w:val="0"/>
        <w:spacing w:before="120" w:after="0"/>
        <w:jc w:val="left"/>
        <w:rPr>
          <w:rFonts w:ascii="Times New Roman" w:hAnsi="Times New Roman"/>
          <w:sz w:val="20"/>
        </w:rPr>
      </w:pPr>
      <w:r>
        <w:rPr>
          <w:rFonts w:ascii="Times New Roman;serif" w:hAnsi="Times New Roman;serif"/>
          <w:b w:val="false"/>
          <w:i/>
          <w:sz w:val="20"/>
        </w:rPr>
        <w:t>Prurigo Nodularis</w:t>
      </w:r>
      <w:r>
        <w:rPr>
          <w:rFonts w:ascii="Times New Roman;serif" w:hAnsi="Times New Roman;serif"/>
          <w:b w:val="false"/>
          <w:sz w:val="20"/>
        </w:rPr>
        <w:t>. In June 2022, we reported positive results in our Phase 2b/3 clinical trial of Haduvio in prurigo nodularis, which we refer to as 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safety results of the trial were generally consistent with the known safety profile of Haduvio from previous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analyzing the open-label extension portion of the Phase 2b/3 PRISM trial, which we completed in the first quarter of 2023 and expect to present the full results of the Phase 2b/3 PRISM trial at a future medical meeting. We expect that we will need to conduct an additional Phase 3 clinical trial to support the submission of a new drug application, or NDA, to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 in 2023. Following discussions with the FDA and other regulatory authorities, we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plan to determine next steps with respect to our prurigo nodularis program, including with respect to the conduct of any future Phase 3 clinical trial. We are exploring entering into a strategic collaboration for the continued development of this program.</w:t>
      </w:r>
    </w:p>
    <w:p>
      <w:pPr>
        <w:pStyle w:val="TextBody"/>
        <w:bidi w:val="0"/>
        <w:spacing w:before="120" w:after="0"/>
        <w:jc w:val="left"/>
        <w:rPr>
          <w:rFonts w:ascii="Times New Roman" w:hAnsi="Times New Roman"/>
          <w:sz w:val="20"/>
        </w:rPr>
      </w:pPr>
      <w:r>
        <w:rPr>
          <w:rFonts w:ascii="Times New Roman;serif" w:hAnsi="Times New Roman;serif"/>
          <w:b w:val="false"/>
          <w:i/>
          <w:sz w:val="20"/>
        </w:rPr>
        <w:t>Human Abuse Potential.</w:t>
      </w:r>
      <w:r>
        <w:rPr>
          <w:rFonts w:ascii="Times New Roman" w:hAnsi="Times New Roman"/>
          <w:sz w:val="20"/>
        </w:rPr>
        <w:t xml:space="preserve"> </w:t>
      </w:r>
      <w:r>
        <w:rPr>
          <w:rFonts w:ascii="Times New Roman;serif" w:hAnsi="Times New Roman;serif"/>
          <w:b w:val="false"/>
          <w:sz w:val="20"/>
        </w:rPr>
        <w:t>We initiated a human abuse potential, or HAP, study in the fourth quarter of 2022 to compare the abuse potential of oral nalbuphine to intravenous, or IV, butorphanol. The injectable version of nalbuphine is currently unscheduled in the U.S. by the Drug Enforcement Agency. The study is a randomized, double-blind, active and placebo-controlled 5-way crossover design. The study is being conducted in two parts. The first part of the study characterized various IV butorphanol doses in order to select a dose to be studied. The second part of the study is designed to utilize the selected dose and compare oral nalbuphine relative to IV butorphanol using the study metrics. We have completed part one of the study. The FDA requested that we submit the data from part one in support of our IV butorphanol dose selection for their review and comment prior to commencing part two of the study and we have submitted this data to the FDA. There is a U.S. shortage of IV butorphanol, the comparator drug in this study. As a result, we have been unable to obtain supply and have had to delay the initiation of the second part of the study. We are working on securing supply but are uncertain as to when or if we will be able to obtain supply. Once we have received regulatory input and if we are able to secure the needed supply of IV butorphanol, we plan to commence part two of this study. This will delay our anticipated year-end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June 30, 2023, we had an accumulated deficit of $223.6 million, primarily as a result of research and development and general and administrative expenses. We do not expect to generate product revenue unless and until we obtain marketing approval for and commercialize Haduvio for the treatment of chronic cough in IPF or other chronic cough indications or for the treatment of prurigo nodularis and we can provide no assurance that we will ever generate significant revenue or profits.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are able to issue and sell from time to time under the ATM Sales Agreement by $50.0 million, from $12.0 million to up to $62.0 million. Sales of common stock under the ATM Sales Agreement are able to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through June 30, 2023, we had issued and sold an aggregate of 3,583,394 shares of common stock for gross proceeds of $11.0 million, before deducting estimated commissions and allocated fees of $0.8 million. Subsequent to June 30, 2023, and through August 10, 2023, we issued and sold an additional 750,000 shares of common stock for gross proceeds of $1.8 million, before deducting estimated commissions and allocated fees of $0.1 million, under the ATM Sales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2023, we filed with the SEC a universal shelf registration statement on Form S-3, or the Shelf Registration Statement, which upon its effectiveness will allow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We expect the Shelf Registration Statement to be declared effective shortly after the filing of this Quarterly Report on Form 10-Q. Further, in June 2023, we entered into a new sales agreement with Leerink Partners, LLC (formerly SVB Securities), or Leerink Partners, which we refer to as the New ATM Sales Agreement, under which, subject to the effectiveness of the Shelf Registration Statement, we may issue and sell shares of common stock, from time to time, and we filed a prospectus under the Shelf Registration Statement for the offer and sale of shares of our common stock having an aggregate offering price of up to $75.0 million pursuant to the New ATM Sales Agreement. In accordance with the terms of the New ATM Sales Agreement, the ATM Sales Agreement will terminate upon effectiveness of the Shelf Registration Statement, at which point we will no longer be able to issue and sell shares of our common stock under the ATM Sales Agreement. Sales of common stock under the New ATM Sales Agreement will be able to be made by any method that is deemed an “at-the-market” offering as defined in Rule 415(a)(4) under the Securities Act of 1933, as amended. We are not obligated to make any sales of our common stock under the New ATM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5, 2021 and October 18, 2021, we issued and sold in two private placements, or the October 2021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August 10, 2023, 1,851,852 of the warrants to purchase shares of common stock that are to expire in April 2025 and 7,851,852 of the warrants to purchase shares of common stock that are to expire in October 2028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As of August 10, 2023, 21,379,673 of the pre-funded warrants to purchase shares of common stock that we issued and sold in the April 2022 Private Placement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August 10, 2023, all of the pre-funded warrants to purchase shares of common stock that we issued and sold in the September 2022 Offering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In August 2020, we entered into the SVB Loan Agreement with SVB, pursuant to which SVB provided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would be required to cash collateralize the outstanding amounts owed to them under the SVB Loan Agreement. For further discussion of the SVB Term Loan and the Loan Amendments, see “—Liquidity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cash equivalents and marketable securities of $94.2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next trials we plan to conduct for Haduvio for the treatment of chronic cough in IPF, our planned Phase 2a clinical trial of Haduvio for the treatment of refractory chronic cough, and the second part of our HAP study to determine the abuse potential of oral nalbuphine ER relative to IV butorphanol.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when needed, we may have to significantly delay, scale back or discontinue the development and commercialization of Haduvio for one or more indications or delay our efforts to expand our product pipeline.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Components of Operating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anticipate that our general and administrative expenses will increase as a result of increased personnel costs, including stock-based compensation and expanded infrastructure.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 xml:space="preserve">Other Income (Expense), Net </w:t>
      </w:r>
      <w:r>
        <w:rPr>
          <w:rFonts w:ascii="Times New Roman;serif" w:hAnsi="Times New Roman;serif"/>
          <w:b w:val="false"/>
          <w:i/>
          <w:sz w:val="24"/>
        </w:rPr>
        <w:br/>
      </w:r>
      <w:r>
        <w:rPr>
          <w:rFonts w:ascii="Times New Roman" w:hAnsi="Times New Roman"/>
          <w:sz w:val="20"/>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Income,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Net</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net consisted of income related to an employee retention tax credit under the Coronavirus Aid, Relief, and Economic Security Act, or CARES Act, foreign currency transaction gains and losses as well as an immaterial effect from early extinguishment of debt in connection with us paying the remaining amounts due under the SVB Loan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we entered into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 Prior to the Third Amendment to the SVB Loan Agreement that we entered into with SVB in April 2022, or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have been adjusted to a floating rate equal to the greater of (A) the prime rate plus 3.00% and (B) 6.25%.</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SVB Term Loan required interest-only payments until March 2022.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Change in Fair Value of Term Loan Derivative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Before it was amended by the Third Amendment (as defined below), the SVB Loan Agreement provided that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and therefore, we recorded a term loan derivative liability for the contingent interest rate increase at its fair value. We adjusted this liability to fair value at each reporting date it remained outstanding. We recognized changes in the fair value of this term loan derivative in our statements of comprehensive loss as a component of other income (expense), net. See below as discussed under “—Results of Operations—Operating Expenses—Other Income (Expense), Net.”</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indicated (in thousands):</w:t>
      </w:r>
    </w:p>
    <w:p>
      <w:pPr>
        <w:pStyle w:val="TextBody"/>
        <w:bidi w:val="0"/>
        <w:spacing w:before="0" w:after="0"/>
        <w:jc w:val="left"/>
        <w:rPr/>
      </w:pPr>
      <w:r>
        <w:rPr/>
        <w:t> </w:t>
      </w:r>
    </w:p>
    <w:tbl>
      <w:tblPr>
        <w:tblW w:w="8213" w:type="dxa"/>
        <w:jc w:val="left"/>
        <w:tblInd w:w="0" w:type="dxa"/>
        <w:tblLayout w:type="fixed"/>
        <w:tblCellMar>
          <w:top w:w="28" w:type="dxa"/>
          <w:left w:w="28" w:type="dxa"/>
          <w:bottom w:w="28" w:type="dxa"/>
          <w:right w:w="28" w:type="dxa"/>
        </w:tblCellMar>
      </w:tblPr>
      <w:tblGrid>
        <w:gridCol w:w="4366"/>
        <w:gridCol w:w="146"/>
        <w:gridCol w:w="211"/>
        <w:gridCol w:w="631"/>
        <w:gridCol w:w="166"/>
        <w:gridCol w:w="146"/>
        <w:gridCol w:w="211"/>
        <w:gridCol w:w="631"/>
        <w:gridCol w:w="166"/>
        <w:gridCol w:w="146"/>
        <w:gridCol w:w="211"/>
        <w:gridCol w:w="571"/>
        <w:gridCol w:w="6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9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61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w:t>
            </w:r>
          </w:p>
        </w:tc>
        <w:tc>
          <w:tcPr>
            <w:tcW w:w="61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61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61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61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indicated (in thousands):</w:t>
      </w:r>
    </w:p>
    <w:p>
      <w:pPr>
        <w:pStyle w:val="TextBody"/>
        <w:bidi w:val="0"/>
        <w:spacing w:before="0" w:after="0"/>
        <w:jc w:val="left"/>
        <w:rPr/>
      </w:pPr>
      <w:r>
        <w:rPr/>
        <w:t> </w:t>
      </w:r>
    </w:p>
    <w:tbl>
      <w:tblPr>
        <w:tblW w:w="6722" w:type="dxa"/>
        <w:jc w:val="left"/>
        <w:tblInd w:w="0" w:type="dxa"/>
        <w:tblLayout w:type="fixed"/>
        <w:tblCellMar>
          <w:top w:w="28" w:type="dxa"/>
          <w:left w:w="28" w:type="dxa"/>
          <w:bottom w:w="28" w:type="dxa"/>
          <w:right w:w="28" w:type="dxa"/>
        </w:tblCellMar>
      </w:tblPr>
      <w:tblGrid>
        <w:gridCol w:w="3556"/>
        <w:gridCol w:w="146"/>
        <w:gridCol w:w="211"/>
        <w:gridCol w:w="571"/>
        <w:gridCol w:w="146"/>
        <w:gridCol w:w="146"/>
        <w:gridCol w:w="211"/>
        <w:gridCol w:w="571"/>
        <w:gridCol w:w="146"/>
        <w:gridCol w:w="146"/>
        <w:gridCol w:w="220"/>
        <w:gridCol w:w="441"/>
        <w:gridCol w:w="2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0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expenses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three months ended June 30, 2023 increased to $5.8 million from $5.1 million for the corresponding period in 2022, primarily due to increased consulting and professional fees related to startup activities for our three planned chronic cough trials as well as an increase in personnel-related and higher stock-based compensation expenses. These increases were partially offset by a decline in other research and development expenses.</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three months ended June 30, 2023 decreased to $2.5 million from $2.7 million for the corresponding period in 2022, due to a decrease in market research costs.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for the three months ended June 30, 2023 was $1.2 million compared to other expense, net of $0.2 million for the corresponding period in 2022. The change was primarily due to an increase in interest income of $1.0 million due to higher cash equivalent and marketable securities balances and higher interest rate yields.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indicated (in thousands):</w:t>
      </w:r>
    </w:p>
    <w:p>
      <w:pPr>
        <w:pStyle w:val="TextBody"/>
        <w:bidi w:val="0"/>
        <w:spacing w:before="0" w:after="0"/>
        <w:jc w:val="left"/>
        <w:rPr/>
      </w:pPr>
      <w:r>
        <w:rPr/>
        <w:t> </w:t>
      </w:r>
    </w:p>
    <w:tbl>
      <w:tblPr>
        <w:tblW w:w="8463" w:type="dxa"/>
        <w:jc w:val="left"/>
        <w:tblInd w:w="0" w:type="dxa"/>
        <w:tblLayout w:type="fixed"/>
        <w:tblCellMar>
          <w:top w:w="28" w:type="dxa"/>
          <w:left w:w="28" w:type="dxa"/>
          <w:bottom w:w="28" w:type="dxa"/>
          <w:right w:w="28" w:type="dxa"/>
        </w:tblCellMar>
      </w:tblPr>
      <w:tblGrid>
        <w:gridCol w:w="4366"/>
        <w:gridCol w:w="146"/>
        <w:gridCol w:w="211"/>
        <w:gridCol w:w="736"/>
        <w:gridCol w:w="166"/>
        <w:gridCol w:w="146"/>
        <w:gridCol w:w="211"/>
        <w:gridCol w:w="736"/>
        <w:gridCol w:w="166"/>
        <w:gridCol w:w="146"/>
        <w:gridCol w:w="211"/>
        <w:gridCol w:w="631"/>
        <w:gridCol w:w="5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2,229</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term loan derivative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1,807</w:t>
            </w:r>
          </w:p>
        </w:tc>
        <w:tc>
          <w:tcPr>
            <w:tcW w:w="591" w:type="dxa"/>
            <w:tcBorders/>
            <w:vAlign w:val="center"/>
          </w:tcPr>
          <w:p>
            <w:pPr>
              <w:pStyle w:val="TableContents"/>
              <w:bidi w:val="0"/>
              <w:spacing w:before="0" w:after="0"/>
              <w:ind w:left="0" w:right="0" w:firstLine="200"/>
              <w:jc w:val="left"/>
              <w:rPr/>
            </w:pPr>
            <w:r>
              <w:rPr/>
              <w:t> </w:t>
            </w:r>
          </w:p>
        </w:tc>
      </w:tr>
      <w:tr>
        <w:trPr/>
        <w:tc>
          <w:tcPr>
            <w:tcW w:w="43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indicated (in thousands):</w:t>
      </w:r>
    </w:p>
    <w:p>
      <w:pPr>
        <w:pStyle w:val="TextBody"/>
        <w:bidi w:val="0"/>
        <w:spacing w:before="0" w:after="0"/>
        <w:jc w:val="left"/>
        <w:rPr/>
      </w:pPr>
      <w:r>
        <w:rPr/>
        <w:t> </w:t>
      </w:r>
    </w:p>
    <w:tbl>
      <w:tblPr>
        <w:tblW w:w="7048" w:type="dxa"/>
        <w:jc w:val="left"/>
        <w:tblInd w:w="0" w:type="dxa"/>
        <w:tblLayout w:type="fixed"/>
        <w:tblCellMar>
          <w:top w:w="28" w:type="dxa"/>
          <w:left w:w="28" w:type="dxa"/>
          <w:bottom w:w="28" w:type="dxa"/>
          <w:right w:w="28" w:type="dxa"/>
        </w:tblCellMar>
      </w:tblPr>
      <w:tblGrid>
        <w:gridCol w:w="3556"/>
        <w:gridCol w:w="146"/>
        <w:gridCol w:w="211"/>
        <w:gridCol w:w="676"/>
        <w:gridCol w:w="146"/>
        <w:gridCol w:w="146"/>
        <w:gridCol w:w="211"/>
        <w:gridCol w:w="571"/>
        <w:gridCol w:w="146"/>
        <w:gridCol w:w="146"/>
        <w:gridCol w:w="211"/>
        <w:gridCol w:w="571"/>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3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w:t>
            </w:r>
          </w:p>
        </w:tc>
        <w:tc>
          <w:tcPr>
            <w:tcW w:w="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related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Consulting expenses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1,318</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11" w:type="dxa"/>
            <w:tcBorders/>
            <w:vAlign w:val="center"/>
          </w:tcPr>
          <w:p>
            <w:pPr>
              <w:pStyle w:val="TableContents"/>
              <w:bidi w:val="0"/>
              <w:spacing w:before="0" w:after="0"/>
              <w:ind w:left="0" w:right="0" w:hanging="0"/>
              <w:jc w:val="left"/>
              <w:rPr/>
            </w:pPr>
            <w:r>
              <w:rPr/>
              <w:t> </w:t>
            </w:r>
          </w:p>
        </w:tc>
      </w:tr>
      <w:tr>
        <w:trPr/>
        <w:tc>
          <w:tcPr>
            <w:tcW w:w="3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six months ended June 30, 2023 increased to $10.8 million from $9.7 million for the corresponding period in 2022, primarily due to increased consulting and professional fees related to startup activities for our three planned chronic cough trials as well as an increase in personnel-related expenses. These increases were partially offset by a decline in clinical development expenses reflecting the completion prior to the first quarter of 2023 of both the blinded portion of our Phase 2b/3 PRISM trial and our Phase 2 CANAL trial.</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six months ended June 30, 2023 remained flat at $5.1 million compared to the corresponding period in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for the six months ended June 30, 2023 was $2.4 million compared to other expense, net of $0.5 million for the corresponding period in 2022. The change was primarily due to an increase in interest income of $2.2 million due to higher cash equivalent and marketable securities balances and higher interest rate yields. Contributing to the increase in other income (expense), net was $0.2 million in other income that we recorded in the 2023 period related to tax credits against employment taxes for certain previous periods provided under the CARES Act, as well as $0.2 million in lower interest expense due to the early payoff of the SVB Term Loan in May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prior term loan. From inception to our IPO, we raised an aggregate of $102.2 million in gross proceeds from sales of our preferred stock and convertible notes and borrowed $15.0 million under a prior 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are able to issue and sell from time to time under the ATM Sales Agreement by $50.0 million, from $12.0 million to up to $62.0 million. Sales of common stock under the ATM Sales Agreement are able to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through June 30, 2023 we had issued and sold an aggregate of 3,583,394 shares of common stock for gross proceeds of $11.0 million, before deducting estimated commissions and allocated fees of $0.8 million. Subsequent to June 30, 2023, and through August 10, 2023, we issued and sold an additional 750,000 shares of common stock for gross proceeds of $1.8 million, before deducting estimated commissions and allocated fees of $0.1 million, under the ATM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2023, we filed with the SEC the Shelf Registration Statement, which upon its effectiveness will allow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We expect the Shelf Registration Statement to be declared effective shortly after the filing of this Quarterly Report on Form 10-Q. Further, in June 2023, we entered into the New ATM Sales Agreement with Leerink Partners, under which, subject to the effectiveness of the Shelf Registration Statement, we may issue and sell shares of common stock, from time to time, and we filed a prospectus under the Shelf Registration Statement for the offer and sale of shares of our common stock having an aggregate offering price of up to $75.0 million pursuant to the New ATM Sales Agreement. In accordance with the terms of the New ATM Sales Agreement, the ATM Sales Agreement will terminate upon effectiveness of the Shelf Registration Statement, at which point we will no longer be able to issue and sell shares of our common stock under the ATM Sales Agreement. Sales of common stock under the New ATM Sales Agreement will be able to be made by any method that is deemed an “at-the-market” offering as defined in Rule 415(a)(4) under the Securities Act of 1933, as amended. We are not obligated to make any sales of our common stock under the New ATM Sales Agreement.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 As of July 23, 2023, no shares had been sold to Lincoln Park and the LPC Purchase Agreement terminated by its terms.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2023, SVB was closed by the California Department of Financial Protection and Innovation, and the FDIC was appointed as receiver. While SVB was our primary bank at the time of its closure, the vast majority of our total cash, cash equivalents and marketable securities resided in custodial accounts held by U.S. Bank for which SVB Asset Management was the advisor. The FDIC subsequently transferred SVB’s deposits and loans to a newly created bridge bank, named Silicon Valley Bridge Bank, N.A, under a systemic risk exception approved by the United States Department of the Treasury, the Board of Governors of the Federal Reserve, and the FDIC. On March 27, 2023, First Citizens Bank assumed all of SVB’s deposits and certain other liabilities and acquired substantially all of SVB’s loans and certain other assets from the FDIC. As a result, all of our deposits that were at SVB and our SVB Term Loan were then moved to First Citizens Bank. We currently have access to all cash, cash equivalents and marketable securities that had been in our SVB accounts, and do not expect losses or material disruptions to our ongoing operations due to SVB’s closure.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SVB Loan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 (B) 6.25%. Commencing on March 1, 2022 and on the first business day of each month thereafter,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were required to pay a final payment fee equal to $1.2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6, 2021, we and SVB entered into the First Amendment to the SVB Loan Agreement, or the First Amendment. The First Amendment modified the conditions under which we were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have been required to deposit unrestricted and unencumbered cash equal to 100% of all outstanding amounts owed to SVB in a cash collateral account with SVB, which could have been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pStyle w:val="TextBody"/>
        <w:bidi w:val="0"/>
        <w:spacing w:before="120" w:after="0"/>
        <w:jc w:val="left"/>
        <w:rPr>
          <w:rFonts w:ascii="Times New Roman" w:hAnsi="Times New Roman"/>
          <w:sz w:val="20"/>
        </w:rPr>
      </w:pPr>
      <w:r>
        <w:rPr>
          <w:rFonts w:ascii="Times New Roman;serif" w:hAnsi="Times New Roman;serif"/>
          <w:b w:val="false"/>
          <w:sz w:val="20"/>
        </w:rPr>
        <w:t>On April 6, 2022, we entered into the Third Amendment to the SVB Loan Agreement. The Third Amendment principally modified the conditions under which we were required to cash collateralize all outstanding amounts owed to SVB 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IPF. On August 3, 2022, SVB confirmed that the reported data from the Phase 2b/3 PRISM trial satisfied the requirement for positive data and that the cash collateralization requirements of the SVB Loan Agreement were no longer in effect.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Third Amendment modified the interest rate on the principal amount outstanding under the SVB Loan Agreement, as discussed above under “—Components of Operating Results—Operating Expenses—Interest Expense.”</w:t>
      </w:r>
    </w:p>
    <w:p>
      <w:pPr>
        <w:pStyle w:val="TextBody"/>
        <w:bidi w:val="0"/>
        <w:spacing w:before="12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cash flows for each of the periods presented below (in thousands):</w:t>
      </w:r>
    </w:p>
    <w:tbl>
      <w:tblPr>
        <w:tblW w:w="8343"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166"/>
        <w:gridCol w:w="146"/>
        <w:gridCol w:w="211"/>
        <w:gridCol w:w="736"/>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82,818</w:t>
            </w:r>
          </w:p>
        </w:tc>
        <w:tc>
          <w:tcPr>
            <w:tcW w:w="4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(64,719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operating activities used $18.1 million of net cash, principally resulting from our net loss of $13.5 million and net changes in our operating assets and liabilities of $4.8 million. Changes in our operating assets and liabilities consisted of a $2.5 million increase in prepaid expenses and other current assets, a $1.5 million decrease in accounts payable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a $0.8 million decrease in accrued expenses and other liabilities. The increase in prepaid expenses and other current assets was primarily due to an increase in prepayments related to our clinical trial work performed by our CROs as well as an increase in prepayments of our corporate insurance policies. The decrease in accounts payable was primarily due to the timing of vendor invoices. The decrease in accrued expenses and other liabilities was primarily due to a decrease in accrued compensation and benefits and interest payable partially offset by an increase in accruals for research, development and clinical trial work performed by our CROs and consultants. Net cash used in operating activities for the six months ended June 30, 2023 also included non-cash charges that consisted primarily of stock-based compensation expense of $1.2 million and $0.2 million of accretion/accrual of term loan discounts and debt issuance costs, which were partially offset by $1.3 million of accretion of our available-for-sale 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used $13.3 million of net cash, resulting from our net loss of $15.4 million partially offset by net changes in our operating assets and liabilities of $0.4 million and by non-cash charges of $1.7 million. The non-cash charges consisted primarily of stock-based compensation expense of $1.3 million and $0.3 million of accretion/accrual of term loan discounts and debt issuance costs. Changes in our operating assets and liabilities consisted of a $0.9 million increase in accounts payable and a $0.4 million increase in accrued expenses and other liabilities partially offset by a $0.9 million increase in prepaid expenses and other current assets. The increase in accounts payable was primarily due to the timing of vendor invoices. The increase in accrued expenses and other liabilities was primarily due to increased accruals for research, development and clinical trial work performed by our CROs, partially offset by a decrease in accrued compensation and benefits. The increase in prepaid expenses and other current assets was primarily due to an increase in prepayments of our corporate insurance policies.</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net cash provided by investing activities was $28.6 million, consisting of $37.7 million of proceeds from maturities of available-for-sale marketable securities partially offset by $9.0 million of purchases of available-for-sale marketable securities.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net cash used in investing activities was $54.2 million, consisting of purchases of marketable securities.</w:t>
      </w:r>
    </w:p>
    <w:p>
      <w:pPr>
        <w:pStyle w:val="TextBody"/>
        <w:bidi w:val="0"/>
        <w:spacing w:before="12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net cash used in financing activities was $9.4 million, consisting of repayments of $9.4 million on the SVB Term Loan including payment of the final payment fee and prepayment premium, both associated with the payoff of the SVB Term Loan.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net cash provided by financing activities was $55.4 million, primarily consisting of net cash proceeds from our April 2022 Private Placement of $51.8 million and cash proceeds of $5.9 million from the exercise of warrants as well as cash proceeds from purchases under our 2019 Employee Stock Purchase Plan partially offset by repayments of $2.3 million on the SVB Term Loan, payments of offering costs of less than $0.1 million and payments of financing costs of less than $0.1 million associated with the Third Amendment to the SVB Loan Agreement.</w:t>
      </w:r>
    </w:p>
    <w:p>
      <w:pPr>
        <w:pStyle w:val="TextBody"/>
        <w:bidi w:val="0"/>
        <w:spacing w:before="12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next trials we plan to conduct for Haduvio for the treatment of chronic cough in IPF;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planned Phase 2a clinical trial of Haduvio for the treatment of refractory chronic cough;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second part of our HAP study.</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continue to incur costs associated with operating as a public company, including significant legal, accounting, investor relations and 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timing, costs and results of clinical trials of Haduvio, including the next clinical trials for the treatment of chronic cough in IPF, our planned Phase 2a clinical trial in refractory chronic cough, and the second part of our HAP study, as well as trials for any future product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number and characteristics of indications for which we seek to develop Haduvio or any future product candidates and their respective development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timing and costs of clinical and nonclinical trials and of seeking regulatory approvals, including the costs of supportive clinical studies such as our HAP study and a potential Thorough QT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the manufacture of necessary quantities of Haduvio or any future product candidate for clinical development in connection with regulatory submissions;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commercialization activities for Haduvio for the treatment of chronic cough in IPF or for any other chronic cough indications or for the treatment of prurigo nodularis or for any future product candidates that receive marketing approval, if any, including the costs and timing of establishing product sales, marketing, distribution and manufacturing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subject to receipt of marketing approvals, revenue, if any, received from commercial sales of Haduvio for the treatment of chronic cough in IPF or for any other chronic cough indications or for the treatment of prurigo nodularis or from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identify potential collaborators for Haduvio for the treatment of prurigo nodularis or for the treatment of chronic cough in IPF or for any other chronic cough indications or for any future product candidates and the terms and timing of any collaboration agreement that we may establish for the development and any commercialization of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acquire or in-license rights to other potential product candidates or technologies and the terms and timing of any such acquisition or licensing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headcount growth and associated costs as we expand our research and development activities and establish a commercial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preparing, filing and prosecuting patent applications, maintaining, expanding and protecting our intellectual property rights and defending against intellectual property-related claims;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competing technologies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healthcare coverage and adequate reimbursement for our products;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costs of operating as a public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committed external source of funds.</w:t>
      </w:r>
      <w:r>
        <w:rPr>
          <w:rFonts w:ascii="Times New Roman" w:hAnsi="Times New Roman"/>
          <w:sz w:val="20"/>
        </w:rPr>
        <w:t xml:space="preserve"> </w:t>
      </w:r>
      <w:r>
        <w:rPr>
          <w:rFonts w:ascii="Times New Roman;serif" w:hAnsi="Times New Roman;serif"/>
          <w:b w:val="false"/>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refractory chronic cough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our significant accounting policies are described in the Notes to our financial statements, we believe that the critical accounting policies, which include those related to research and development expenses, stock-based compensation expense, income taxes, warrants and fair value measurements and which are described under the heading “Management’s Discussion and Analysis of Financial Condition and Results of Operations—Critical Accounting Policies and Use of Estimates” in our Annual Report on Form 10-K for the year ended December 31, 2022, are the most important to understanding and evaluating our reported financial results. During the six months ended June 30, 2023, there were no material changes to our critical accounting policies.</w:t>
      </w:r>
    </w:p>
    <w:p>
      <w:pPr>
        <w:pStyle w:val="TextBody"/>
        <w:bidi w:val="0"/>
        <w:spacing w:before="120" w:after="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adopted during the six months ended June 30, 2023.</w:t>
      </w:r>
    </w:p>
    <w:p>
      <w:pPr>
        <w:pStyle w:val="TextBody"/>
        <w:bidi w:val="0"/>
        <w:spacing w:before="12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new pronouncements issued during the six months ended June 30, 2023 which could be expected to materially impact our Condensed Consolidated Financial Statements.</w:t>
      </w:r>
    </w:p>
    <w:p>
      <w:pPr>
        <w:pStyle w:val="TextBody"/>
        <w:bidi w:val="0"/>
        <w:spacing w:before="12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2023.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June 30, 2023, our Chief Executive Officer and Chief Financial Officer concluded that, as of such date, our disclosure controls and procedures were effective at the reasonable assurance level.</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subject to any material legal proceedings.</w:t>
      </w:r>
    </w:p>
    <w:p>
      <w:pPr>
        <w:pStyle w:val="TextBody"/>
        <w:bidi w:val="0"/>
        <w:spacing w:before="12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Financial Position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significant losses since inception, expect to incur significant and increasing losses for the foreseeable future and may never achieve or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significant annual net losses every year since our inception. We expect to continue to incur significant and increasing net losses for at least the next several years. Our net losses were $13.5 million and $29.2 million for the six months ended June 30, 2023 and for the year ended December 31, 2022, respectively. As of June 30, 2023, we had an accumulated deficit of $223.6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the at-the-market Sales Agreement we entered into with SVB Securities LLC (formerly SVB Leerink LLC) in June 2020, or the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proceeds from the exercise of common stock warrants that were issued in the October 2021 Private Placements and proceeds from the public offering we completed in September 2022, or the September 2022 Offering.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continue to incur significant expenses and increasing operating losses for the foreseeable future. We anticipate that our expenses will increase substantially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develop and conduct clinical trials of Haduvio, including the next trials we plan to conduct for Haduvio for the treatment of chronic cough in IPF, our planned Phase 2 clinical trial of Haduvio for the treatment of refractory chronic cough, and the second part of our human abuse potential, or HAP,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regulatory and marketing approvals for Haduvio for the treatment of chronic cough in IPF, other chronic cough indications, and/or for the treatment of prurigo nodularis or for any future product candidate that successfully completes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negotiate and execute pediatric development plans and complete any post-approval commitments;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sales, marketing, distribution and other commercial infrastructure to commercialize any products for which we may obtain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the manufacture of larger quantities of Haduvio or any future product candidate for clinical development and, potentially,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rights to other potential product candidates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initiate and conduct research, preclinical and clinical development efforts for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hire and retain additional personnel, such as clinical, regulatory and scientific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product development and commercialization efforts and to help us comply with our obligations as a public company;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add equipment and physical infrastructure to support our development program for Haduvio and for any future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treatment of prurigo nodularis, we are required, at a minimum, to successfully complete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no products approved for commercial sale, which may make it difficult to evaluate the prospects for our future success and viability.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will need substantial additional funding and if we are unable to raise sufficient capital when needed on acceptable terms or at all, we could be forced to delay, reduce or abandon our product development programs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2023 and the year ended December 31, 2022, we used net cash of $18.1 million and $28.2 million, respectively, in our operating activities, substantially all of which related to development activities for Haduvio. As of June 30, 2023, our cash, cash equivalents and marketable securities were $94.2 million. We expect our expenses to increase substantially in connection with our ongoing activities, particularly as we continue to develop Haduvio, including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the next trials we plan to conduct for Haduvio for the treatment of chronic cough in IPF;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our planned Phase 2a clinical trial of Haduvio for the treatment of refractory chronic cough;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complete the second part of our HAP study to further characterize the abuse potential of oral nalbuphine ER.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incur additional expenses: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determine to conduct an additional clinical trial for the treatment of prurigo nodularis;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if we acquire or in-license rights to other potential product candidates or technologies and seek regulatory and marketing approvals for Haduvio or any future product candidate that successfully completes clinical trials.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for refractory chronic cough or for prurigo nodularis, or for any other condition or of any future product candidate. We do not have 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0"/>
        <w:jc w:val="left"/>
        <w:rPr>
          <w:rFonts w:ascii="Times New Roman" w:hAnsi="Times New Roman"/>
          <w:sz w:val="20"/>
        </w:rPr>
      </w:pPr>
      <w:r>
        <w:rPr>
          <w:rFonts w:ascii="Times New Roman;serif" w:hAnsi="Times New Roman;serif"/>
          <w:b w:val="false"/>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timing, costs and results of clinical trials of Haduvio, including the next clinical trials for the treatment of chronic cough in IPF, our planned Phase 2a clinical trial in refractory chronic cough, and the second part of our HAP study, as well as trials for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characteristics of indications for which we seek to develop Haduvio or any future product candidates and their respective development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timing and costs of clinical and nonclinical trials and of seeking regulatory approvals, including the costs of supportive clinical studies such as our HAP study and a potential Thorough QT, or TQT,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the manufacture of necessary quantities of Haduvio or any future product candidate for clinical development in connection with regulatory submissions;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commercialization activities for Haduvio for the treatment of chronic cough in IPF or any other chronic cough indications or for any future product candidates that receive marketing approval, if any, including the costs and timing of establishing product sales, marketing, distribution and manufacturing capabilities;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receipt of marketing approvals, revenue, if any, received from commercial sales of Haduvio for the treatment of chronic cough in IPF or for any other chronic cough indications or for the treatment of prurigo nodularis, or from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identify potential collaborators for Haduvio for the treatment of prurigo nodularis or for the treatment of chronic cough in IPF or for any other chronic cough indications or for any future product candidates, and the terms and timing of any collaboration agreement that we may establish for the development and any commercialization of such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we acquire or in-license rights to other potential product candidates or technologies and the terms and timing of any such acquisition or licensing arrangements;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headcount growth and associated costs as we expand our research and development activities and establish a commercial infrastructure;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 of competing technologies and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healthcare coverage and adequate reimbursement for our products;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costs of operating as a public company.</w:t>
      </w:r>
    </w:p>
    <w:p>
      <w:pPr>
        <w:pStyle w:val="TextBody"/>
        <w:bidi w:val="0"/>
        <w:spacing w:before="16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product candidates.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in connection with our planned operations, particularly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the next clinical trials we plan to conduct for Haduvio for the treatment of chronic cough in IPF;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our planned Phase 2a clinical trial of Haduvio for the treatment of refractory chronic cough;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complete part two of our HAP study to further characterize the abusive potential of oral nalbuphine ER.</w:t>
      </w:r>
    </w:p>
    <w:p>
      <w:pPr>
        <w:pStyle w:val="TextBody"/>
        <w:bidi w:val="0"/>
        <w:spacing w:before="120" w:after="0"/>
        <w:jc w:val="left"/>
        <w:rPr>
          <w:rFonts w:ascii="Times New Roman" w:hAnsi="Times New Roman"/>
          <w:sz w:val="20"/>
        </w:rPr>
      </w:pPr>
      <w:r>
        <w:rPr>
          <w:rFonts w:ascii="Times New Roman;serif" w:hAnsi="Times New Roman;serif"/>
          <w:b w:val="false"/>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the Development and Commercialization of Haduvio and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products approved for sale and are investing substantially all our efforts and financial resources to fund the development and commercialization of Haduvio for the treatment of chronic cough in IPF and other chronic cough indications, and for the treatment of prurigo nodularis.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most advanced programs are the development of Haduvio for the treatment of chronic cough in IPF and for the treatment of prurigo nodularis. As a result, if our efforts to develop and commercialize Haduvio for the treatment of chronic cough in IPF or other chronic cough indications or for the treatment of prurigo nodularis are unsuccessful or we experience significant delays in doing so, our business could also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success of Haduvio for the treatment of chronic cough in IPF and other chronic cough conditions and for the treatment of prurigo nodularis will depend on several factors,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initiating and successfully recruiting, enrolling and retaining subjects in and completing additional clinical and nonclinical trials of Haduvio, including the additional clinical trials we plan to conduct for the treatment of chronic cough in IPF, which are subject to the submission and clearance by the FDA of an IND, and in other chronic cough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completing the analysis of the open-label extension portion of our Phase 2b/3 PRISM trial and determining the next steps for the prurigo nodularis program after discussions with the FDA;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completing other supportive clinical studies such as potential studies of physical dependence and Thorough QT;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completing part two of our HAP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demonstrating safety, tolerability and efficacy profiles that are satisfactory to the FDA, EMA, MHRA and other comparable regulatory authorities for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receiving timely marketing approvals from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managing any required post-marketing approval commitments to applicable regulatory authorities;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establishing and maintaining arrangements with our third-party supplier of drug substance for Haduvio;</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maintaining and protecting our patents, trade secrets and regulatory exclusivity in the U.S. and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 focused, specialty sales organization in the U.S. and successfully launching commercial sales following any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an acceptable safety profile following any marketing approval;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ability to compete with other therapies. </w:t>
      </w:r>
    </w:p>
    <w:p>
      <w:pPr>
        <w:pStyle w:val="TextBody"/>
        <w:bidi w:val="0"/>
        <w:spacing w:before="120" w:after="0"/>
        <w:jc w:val="left"/>
        <w:rPr>
          <w:rFonts w:ascii="Times New Roman" w:hAnsi="Times New Roman"/>
          <w:sz w:val="20"/>
        </w:rPr>
      </w:pPr>
      <w:r>
        <w:rPr>
          <w:rFonts w:ascii="Times New Roman;serif" w:hAnsi="Times New Roman;serif"/>
          <w:b w:val="false"/>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approach to the development and commercialization of Haduvio to treat chronic cough is unproven.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focused on the development and commercialization of Haduvio for the treatment of chronic cough in IPF and other chronic cough indications.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Additionally, Haduvio has not been approved in any indication. No therapies have been approved in the U.S. or Europe for the treatment of chronic cough in IPF and we can provide no assurance that either Haduvio or any other future product candidate that we may seek to develop for this indication will be effective or safe, obtain regulatory approval or be commercially successful.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Clinical drug development involves a lengthy and expensive process with an uncertain outcome.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trials may produce unfavorable or inconclusive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decide, or regulators may require us, to restructure clinical trials, conduct additional clinical and nonclinical trials or abandon product development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in obtaining authorization to commence a clinical trial from regulators, clinical sites and institutional review boards;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subjects required for clinical trials may be larger than we anticipate, as we experienced with the increase of the target number of enrolled subjects for our Phase 2b/3 PRISM trial from 240 to 360 subjects as a result of the sample size re-estimation, or SSRE, analysis;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planned clinical trials may be greater than we anticipate, such as with our Phase 2b/3 PRISM trial where we added additional sites, increased the target number of enrolled subjects, experienced enrollment that took longer than expected and used additional incentive strategies to address site activation and enrollment;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clinical trials sites may not have adequate staff and resources to support our trials on a timely basis;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regulators or institutional review boards may not authorize us or our investigators to commence a clinical trial or conduct a clinical trial at a prospective trial site;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experience delays in reaching or fail to reach agreement on acceptable clinical trial contracts or clinical trial protocols with prospective trial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disagree with our clinical trial designs or our interpretation of data from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 such as has occurred with the difficulties in obtaining supplies of IV butorphanol, the comparator drug in our HAP study;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the above, the COVID-19 pandemic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The COVID-19 pandemic resulted in delays in our clinical trials due to prioritization of hospital and medical resources toward the pandemic, restrictions in travel, potential unwillingness of patients to enroll in trials or the inability of patients to comply with clinical trial protocols where quarantines or travel restrictions impeded patient movement or interrupted healthcare services. Furthermore, the response to any future outbreak of infectious disease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 In the future, we may experience adverse impacts on our clinical trial activities, business operations, financial condition, and prospects as a result of outbreaks of infectious disease, among other factors.</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incur additional unplanned costs, which may exceed the resources that we have available or are able to obtain on reasonable terms;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 to obtain marketing approval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marketing approval for indications or patient populations that are not as broad as we originally intended or desired;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marketing approval with labeling that includes significant use or distribution restrictions or significant safety warnings, including boxed warnings;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 subject to additional post-marketing testing or other requirements;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be required to remove the product from the market after obtaining marketing approval.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a U.S. shortage of IV butorphanol, the comparator drug in our HAP study. As a result, we have been unable to obtain supply and have had to delay the initiation of the second part of our HAP study. We are working on securing supply for the study. Until we are able to do so, we will not be able to commence part two of the HAP study. We cannot be certain that we will be successful in obtaining any IV butorphanol and if successful, we cannot be certain when we will obtain such supply. If we cannot obtain the supply, we may need to reach an agreement with the FDA on a different comparator drug for the study and may also be required to conduct additional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0"/>
        <w:jc w:val="left"/>
        <w:rPr>
          <w:rFonts w:ascii="Times New Roman" w:hAnsi="Times New Roman"/>
          <w:sz w:val="20"/>
        </w:rPr>
      </w:pPr>
      <w:r>
        <w:rPr>
          <w:rFonts w:ascii="Times New Roman;serif" w:hAnsi="Times New Roman;serif"/>
          <w:b w:val="false"/>
          <w:sz w:val="20"/>
        </w:rPr>
        <w:t>Our failure to successfully and timely complete clinical trials of Haduvio for the treatment of chronic cough in IPF or other chronic cough conditions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clinical trials may fail to demonstrate adequately the safety and efficacy of Haduvio or any future product candidates, which would likely prevent or delay regulatory approval and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the FDA does not believe that the results of the Phase 2b/3 PRISM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prurigo nodularis.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Use of patient-reported outcome assessments, or PROs, in our clinical trials and high placebo response rates may delay or impair the development of Haduvio or adversely impact our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although the primary endpoint in our future clinical trials of Haduvio for the treatment of chronic cough in IPF and other chronic cough indications is likely to be measured using an objective cough monitor, we may need to validate a supportive PRO instrument of the primary endpoint. There is not a validated PRO instrument now that has been accepted for chronic cough indications.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experience delays or difficulties in the enrollment of subjects in clinical trials, our receipt of necessary regulatory approvals could be delayed or prevented.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nature of the eligible patient population;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severity of the disease under investigation;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proximity of eligible patients to clinical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patient referral practices of physicians;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eligibility criteria for the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the clinical trial;</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efforts to facilitate timely enrollment;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competing clinical trials;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particular, the successful completion of our clinical development program for Haduvio for the treatment of chronic cough in IPF and for the treatment of prurigo nodularis is dependent upon our ability to enroll a sufficient number of subjects with these severe conditions. We experienced delays and difficulties in the enrollment of subjects in our clinical trials, including our Phase 2 CANAL trial and our Phase 2b/3 PRISM trial, which delayed the completion of our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companies are conducting clinical trials or have announced plans for future clinical trials that are seeking or are likely to seek to enroll patients with IPF, refractory chronic cough or prurigo nodularis, and patients are generally only able to enroll in a single trial at a time. In addition, although there are no drugs approved in the U.S. or Europe to treat chronic cough in IPF or refractory chronic cough, patients with these conditions, as well as their physicians, may be reluctant to forgo, discontinue or otherwise alter their use of the therapeutic approaches they currently use in order to participate in our clinical trials. For example, patients may use Dupixent (dupilumab), an injectable prescription medicine, that was approved by the FDA for the treatment of prurigo nodularis in September 2022 or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response to the COVID-19 pandemic, the FDA issued numerous guidance documents and took other actions to facilitate research and development of new drug products. Although the public health emergency declarations related to COVID-19 ended on May 11, 2023, the FDA retained a number of COVID-19 related policies. It is unclear how, if at all, these policies will impact our efforts to develop and commercialize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pStyle w:val="TextBody"/>
        <w:bidi w:val="0"/>
        <w:spacing w:before="120" w:after="0"/>
        <w:jc w:val="left"/>
        <w:rPr>
          <w:rFonts w:ascii="Times New Roman" w:hAnsi="Times New Roman"/>
          <w:sz w:val="20"/>
        </w:rPr>
      </w:pPr>
      <w:r>
        <w:rPr>
          <w:rFonts w:ascii="Times New Roman;serif" w:hAnsi="Times New Roman;serif"/>
          <w:b w:val="false"/>
          <w:sz w:val="20"/>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IPF, the most frequently reported treatment emergent adverse events associated with Haduvio were nausea, fatigue, dizziness, vomiting, headache, constipation and somnolence.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The drug label for nalbuphine, the active ingredient in Haduvio, carries an opioid class label warning for serious, life-threatening or fatal respiratory depression.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μ-opioid receptor antagonists such as nalbuphine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Many currently approved µ-opioid products are subject to restrictive marketing and distribution regulations which, if applied to Haduvio, could potentially restrict its use and harm our ability to generate profits.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further characterize the abuse potential of oral nalbuphine ER.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Results of preclinical studies and clinical trials may not be predictive of results of later clinical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other chronic cough indications,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some of our data for Haduvio for the treatment of cough and prurigo nodularis is drawn from</w:t>
      </w:r>
      <w:r>
        <w:rPr>
          <w:rFonts w:ascii="Times New Roman" w:hAnsi="Times New Roman"/>
          <w:sz w:val="20"/>
        </w:rPr>
        <w:t xml:space="preserve"> </w:t>
      </w:r>
      <w:r>
        <w:rPr>
          <w:rFonts w:ascii="Times New Roman;serif" w:hAnsi="Times New Roman;serif"/>
          <w:b w:val="false"/>
          <w:i/>
          <w:sz w:val="20"/>
        </w:rPr>
        <w:t>post hoc</w:t>
      </w:r>
      <w:r>
        <w:rPr>
          <w:rFonts w:ascii="Times New Roman" w:hAnsi="Times New Roman"/>
          <w:sz w:val="20"/>
        </w:rPr>
        <w:t xml:space="preserve"> </w:t>
      </w:r>
      <w:r>
        <w:rPr>
          <w:rFonts w:ascii="Times New Roman;serif" w:hAnsi="Times New Roman;serif"/>
          <w:b w:val="false"/>
          <w:sz w:val="20"/>
        </w:rPr>
        <w:t>analyses of data subsets from the Phase 2 CANAL trial and a Phase 2 trial in prurigo nodularis. While we believe these data may be useful in informing the design of future Phase 3 clinical trials for Haduvio,</w:t>
      </w:r>
      <w:r>
        <w:rPr>
          <w:rFonts w:ascii="Times New Roman" w:hAnsi="Times New Roman"/>
          <w:sz w:val="20"/>
        </w:rPr>
        <w:t xml:space="preserve"> </w:t>
      </w:r>
      <w:r>
        <w:rPr>
          <w:rFonts w:ascii="Times New Roman;serif" w:hAnsi="Times New Roman;serif"/>
          <w:b w:val="false"/>
          <w:i/>
          <w:sz w:val="20"/>
        </w:rPr>
        <w:t>post hoc</w:t>
      </w:r>
      <w:r>
        <w:rPr>
          <w:rFonts w:ascii="Times New Roman" w:hAnsi="Times New Roman"/>
          <w:sz w:val="20"/>
        </w:rPr>
        <w:t xml:space="preserve"> </w:t>
      </w:r>
      <w:r>
        <w:rPr>
          <w:rFonts w:ascii="Times New Roman;serif" w:hAnsi="Times New Roman;serif"/>
          <w:b w:val="false"/>
          <w:sz w:val="20"/>
        </w:rPr>
        <w:t>analyses performed after unmasking trial results can result in the introduction of bias and may not be predictive of success in Phase 3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withdraw their approval of the product or seize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recall the product, change the way the product is administered or conduct additional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additional restrictions may be imposed on the marketing of or the manufacturing processes for,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fines, injunctions or the imposition of civil or criminal penalties;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such as a “black box” warning or a contraindication;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create a Medication Guide outlining the risks of the previously unidentified side effects for distribution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 may become less competitive;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harm our business and operations and could negatively impact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efficacy and safety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and perceived advantages of the product compared to other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that the DEA could determine that Haduvio should be classified as a controlled substance;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the product is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the product is designated under physician treatment guidelines as a first-, second- or third-line therapy;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offer the product for sale at competitive prices;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product’s convenience and ease of administration;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and of physicians to prescribe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including distribution or use restrictions contained in the product’s approved labeling;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of sales, marketing and distribution support for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approval of other new products for the same indications;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the product as well as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publicity about the product or favorable publicity about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product liability claims;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standard of care for the targeted indications for the product;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availability and amount of coverage and reimbursement from government payors, managed care plans and other third-party payors. </w:t>
      </w:r>
    </w:p>
    <w:p>
      <w:pPr>
        <w:pStyle w:val="TextBody"/>
        <w:bidi w:val="0"/>
        <w:spacing w:before="120" w:after="0"/>
        <w:jc w:val="left"/>
        <w:rPr>
          <w:rFonts w:ascii="Times New Roman" w:hAnsi="Times New Roman"/>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do not establish sales, marketing and distribution capabilities, either on our own or in collaboration with third parties, we will not be successful in commercializing any product candidate that receives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face substantial competition, which may result in others developing or commercializing products before or more successfully than we do.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is approved for the treatment of chronic cough in IPF, we expect that it may compete with product candidates currently in clinical development for the treatment of chronic cough in IPF, such as orvepitant, which is being developed by Nerre Therapeutics, and ifenprodil, which is being developed by Algernon Pharmaceuticals. We also expect that Haduvio would compete with a number of therapeutics that are used off-label to treat chronic cough, including opioids, proton-pump inhibitors, and neuromodulators. We expect that Haduvio might also compete with other product candidates currently in development, or submitted for approval to the FDA, for the treatment of refractory chronic cough and unexplained chronic cough by companies including Merck, Shionogi, GSK plc, Aldeyra and Genentech. In addition, it is possible that product candidates currently in development for the treatment of IPF could, if approved, reduce the need for therapies to treat chronic cough in IPF.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is approved for the treatment of prurigo nodularis, we expect that it would compete with Dupixent (dupilumab), an injectable prescription medicine which was jointly developed by Sanofi and Regeneron and which was approved by the FDA for the treatment of prurigo nodularis in September 2022. Sanofi has announced its plans to make regulatory submissions around the world for this indication. We also expect that Haduvio would compete with a number of therapeutics that are used off-label to treat prurigo nodularis, including anti-itch creams and emollients,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vixarelimab, a monoclonal antibody targeting oncostatin M receptor beta being developed by Kiniksa Pharmaceuticals; abrocitinib, an oral small molecule targeting the janus kinase 1, or JAK1, receptor being developed by Pfizer Inc.; povorcitinib, an oral small molecule targeting the JAK 1 receptor being developed by Incyte; ruxolitinib cream, a topical therapy targeting the JAK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0"/>
        <w:jc w:val="left"/>
        <w:rPr>
          <w:rFonts w:ascii="Times New Roman" w:hAnsi="Times New Roman"/>
          <w:sz w:val="20"/>
        </w:rPr>
      </w:pPr>
      <w:r>
        <w:rPr>
          <w:rFonts w:ascii="Times New Roman;serif" w:hAnsi="Times New Roman;serif"/>
          <w:b/>
          <w:i/>
          <w:sz w:val="20"/>
        </w:rPr>
        <w:t>Even if we are able to commercialize a product candidate, the product may become subject to unfavorable pricing regulations, third-party payor reimbursement practices or healthcare reform initiatives, any of which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product and the clinical setting in which it is used. Reimbursement rates may also be based on reimbursement levels already set for lower cost drugs or may be incorporated into existing payments for other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Product liability lawsuits could divert our resources, cause us to incur substantial liabilities and limit commercialization of any products that we may develop or in-license.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decreased demand for any products that we may develop or in-license;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injury to our reputation and significant negative media attention;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costs to defend resulting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awards to trial participants or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resources of our management to pursue our business strategy;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inability to commercialize any products that we may develop.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Dependence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rely on third parties to conduct our clinical trials. If they do not perform satisfactorily,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independently conduct clinical trials of our product candidate. We rely on and expect to continue to rely on third parties, such as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 delays if our third-party contractors experience supply chain-related delays, prioritize the supply of other companies’ products over Haduvio or any other drug product needed for our clinical trials or any future product candidates, such as IV butorphanol for our HAP study, or otherwise fail to satisfactorily perform according to the terms of the agreements between us and them or if unforeseen events in the manufacturing process arise;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termination or nonrenewal of agreements by our third-party contractors at a time that is costly or inconvenient for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by third-party contractors of our agreements with them;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failure of third-party contractors to comply with applicable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mislabeling of clinical supplies, potentially resulting in the wrong dose amounts being supplied or active drug or placebo not being properly identified;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Mallinckrodt announced that it had completed its reorganization process, emerged from chapter 11 bankruptcy proceedings and completed the Irish examinership proceedings. It is currently uncertain what impact, if any, Mallinckrodt’s bankruptcy filing and the associated reorganization plan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seek to establish collaborations and, if we are not able to establish them on commercially reasonable terms, we may have to alter our development and commercialization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establish one or more collaborations, all the risks relating to product development, regulatory approval and commercialization described in this Quarterly Report on Form 10-Q would also apply to the activities of any such future collaborators.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Collaborations involving a product candidate would pose a number of risks,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these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perform their obligations as expected;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be involved in a business combination and could decide to delay, diminish or terminate the development or commercialization of any product candidate licensed by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the product candidates under the collaboration;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with marketing and distribution rights to one or more products may not commit sufficient resources to the marketing and distribution of such product or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infringe the intellectual property rights of third parties, which may expose us to litigation and potential liability or misappropriate our intellectual property or other proprietary information;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engage in misconduct or other improper activities, including non-compliance with regulatory standards and requirements;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disputes may arise between the collaborators and us regarding ownership of or other rights in the intellectual property generated in the course of the collaborations; and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Collaboration agreements may not lead to development or commercialization of product candidates in the most efficient manner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our obligations under our existing and any future intellectual property licenses with third parties, we could lose license rights that are critical to our business or owe damages to the licensor of such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Disputes may also arise regarding intellectual property subject to a license agreement,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our activities or product candidates may infringe the intellectual property of the licensor that is not subject to the licensing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sublicensing of patent and other rights under any collaborative development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diligence obligations under the license agreement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inventorship or ownership of inventions and know-how resulting from joint creation or use of intellectual property by licensors and us;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priority of invention of any patented technology. </w:t>
      </w:r>
    </w:p>
    <w:p>
      <w:pPr>
        <w:pStyle w:val="TextBody"/>
        <w:bidi w:val="0"/>
        <w:spacing w:before="120" w:after="0"/>
        <w:jc w:val="left"/>
        <w:rPr>
          <w:rFonts w:ascii="Times New Roman" w:hAnsi="Times New Roman"/>
          <w:sz w:val="20"/>
        </w:rPr>
      </w:pPr>
      <w:r>
        <w:rPr>
          <w:rFonts w:ascii="Times New Roman;serif" w:hAnsi="Times New Roman;serif"/>
          <w:b w:val="false"/>
          <w:sz w:val="20"/>
        </w:rPr>
        <w:t>If disputes over intellectual property that we license prevent or impair our ability to maintain those license arrangements on acceptable terms or at all, we may be unable to successfully develop and commercialize any affected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protect the confidentiality of our trade secrets, the value of our products could be negatively impacted and our business would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become involved in lawsuits to protect or enforce our patents or other intellectual property, which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Changes to the patent law in the U.S. and other jurisdictions could diminish the value of patents in general, thereby impairing our ability to protect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enforce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be subject to claims by third parties asserting that our employees or we have misappropriated their intellectual property or claiming ownership of what we regard as our own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licenses from third parties on commercially reasonable terms,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Regulatory Approval and Other Legal Compliance Matters</w:t>
      </w:r>
    </w:p>
    <w:p>
      <w:pPr>
        <w:pStyle w:val="TextBody"/>
        <w:bidi w:val="0"/>
        <w:spacing w:before="120" w:after="0"/>
        <w:jc w:val="left"/>
        <w:rPr>
          <w:rFonts w:ascii="Times New Roman" w:hAnsi="Times New Roman"/>
          <w:sz w:val="20"/>
        </w:rPr>
      </w:pPr>
      <w:r>
        <w:rPr>
          <w:rFonts w:ascii="Times New Roman;serif" w:hAnsi="Times New Roman;serif"/>
          <w:b/>
          <w:i/>
          <w:sz w:val="20"/>
        </w:rPr>
        <w:t>If the FDA does not conclude that Haduvio for the treatment of chronic cough in IPF or other chronic cough conditions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completed our Phase 2b/3 PRISM trial of Haduvio for the treatment of prurigo nodularis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position and prospects. Even if we are allowed to pursue the Section 505(b)(2) regulatory pathway, our product candidates may not receive the requisite approvals for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0"/>
        <w:jc w:val="left"/>
        <w:rPr>
          <w:rFonts w:ascii="Times New Roman" w:hAnsi="Times New Roman"/>
          <w:sz w:val="20"/>
        </w:rPr>
      </w:pPr>
      <w:r>
        <w:rPr>
          <w:rFonts w:ascii="Times New Roman;serif" w:hAnsi="Times New Roman;serif"/>
          <w:b w:val="false"/>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conduct of clinical trials outside the U.S. could have a significant adverse impact on us. Risks inherent in conducting international clinical trials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practice patterns and standards of care that vary widely among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non-U.S. regulatory authority requirements that could restrict or limit our ability to conduct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administrative burdens of conducting clinical trials under multiple non-U.S. regulatory authority schema;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exchange rate fluctuations;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diminished protection of intellectual property in some countries. </w:t>
      </w:r>
    </w:p>
    <w:p>
      <w:pPr>
        <w:pStyle w:val="TextBody"/>
        <w:bidi w:val="0"/>
        <w:spacing w:before="120" w:after="0"/>
        <w:jc w:val="left"/>
        <w:rPr>
          <w:rFonts w:ascii="Times New Roman" w:hAnsi="Times New Roman"/>
          <w:sz w:val="20"/>
        </w:rPr>
      </w:pPr>
      <w:r>
        <w:rPr>
          <w:rFonts w:ascii="Times New Roman;serif" w:hAnsi="Times New Roman;serif"/>
          <w:b/>
          <w:i/>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0"/>
        <w:jc w:val="left"/>
        <w:rPr>
          <w:rFonts w:ascii="Times New Roman" w:hAnsi="Times New Roman"/>
          <w:sz w:val="20"/>
        </w:rPr>
      </w:pPr>
      <w:r>
        <w:rPr>
          <w:rFonts w:ascii="Times New Roman;serif" w:hAnsi="Times New Roman;serif"/>
          <w:b/>
          <w:i/>
          <w:sz w:val="20"/>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0"/>
        <w:jc w:val="left"/>
        <w:rPr>
          <w:rFonts w:ascii="Times New Roman" w:hAnsi="Times New Roman"/>
          <w:sz w:val="20"/>
        </w:rPr>
      </w:pPr>
      <w:r>
        <w:rPr>
          <w:rFonts w:ascii="Times New Roman;serif" w:hAnsi="Times New Roman;serif"/>
          <w:b w:val="false"/>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0"/>
        <w:jc w:val="left"/>
        <w:rPr>
          <w:rFonts w:ascii="Times New Roman" w:hAnsi="Times New Roman"/>
          <w:sz w:val="20"/>
        </w:rPr>
      </w:pPr>
      <w:r>
        <w:rPr>
          <w:rFonts w:ascii="Times New Roman;serif" w:hAnsi="Times New Roman;serif"/>
          <w:b/>
          <w:i/>
          <w:sz w:val="20"/>
        </w:rPr>
        <w:t>Even if we obtain marketing approvals for a product, the terms of approvals and ongoing regulation of such product may limit how we manufacture and market the product, which could impair our ability to generate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our clinical trials are successful, we intend to seek approval to market Haduvio for the treatment of chronic cough in IPF or refractory chronic cough or for the treatment of prurigo nodularis. If we obtain regulatory approval to market Haduvio with an indication statement for the treatment of chronic cough in IPF or refractory chronic cough,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suit is entitled to a share of any recovery or settlement.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 xml:space="preserve">suits, also commonly referred to as “whistleblower suits,” are often brought by current or former employees. In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suit, the government must decide whether to intervene and prosecute the case. If it declines, the individual may pursue the case alone.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the FDA or any other governmental agency initiates an enforcement action against us or if we are the subject of a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such product, manufacturers or manufacturing processes;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labeling or marketing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product distribution or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requirements to conduct post-marketing studies or clinical trials;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warning letters or untitled letters;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the product from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approve pending applications or supplements to approved applications that we submit;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recall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coverage by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fines, restitution or disgorgement of profits or revenues;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withdrawal of marketing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permit the import or export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in response to the COVID-19 pandemic, a number of companies announced receipt of complete response letters due to the FDA’s inability to complete required inspections for their applications. As of early 2022, the FDA has resumed inspections of domestic and foreign facilities to ensure timely reviews of applications for medical products. However, the FDA may not be able to continue its current pace and review timelines could be extended, including where a pre-approval inspection or an inspection of clinical sites is required. Regulatory authorities outside the U.S. have adopted or may adopt similar restrictions or other policy measures and may experience delays in their regulatory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0"/>
        <w:jc w:val="left"/>
        <w:rPr>
          <w:rFonts w:ascii="Times New Roman" w:hAnsi="Times New Roman"/>
          <w:sz w:val="20"/>
        </w:rPr>
      </w:pPr>
      <w:r>
        <w:rPr>
          <w:rFonts w:ascii="Times New Roman;serif" w:hAnsi="Times New Roman;serif"/>
          <w:b/>
          <w:i/>
          <w:sz w:val="20"/>
        </w:rPr>
        <w:t>Current and future legislation may increase the difficulty and cost for us to obtain marketing approval of and commercialize Haduvio or any future product candidate and may affect the prices we may obtain.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were suspended and reduced through the end of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dismissed this action after finding that the plaintiffs do not have standing to challenge the constitutionality of the ACA. Litigation and legislation over the ACA are likely to continue, with unpredictable and uncertain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0"/>
        <w:jc w:val="left"/>
        <w:rPr>
          <w:rFonts w:ascii="Times New Roman" w:hAnsi="Times New Roman"/>
          <w:sz w:val="20"/>
        </w:rPr>
      </w:pPr>
      <w:r>
        <w:rPr>
          <w:rFonts w:ascii="Times New Roman;serif" w:hAnsi="Times New Roman;serif"/>
          <w:b w:val="false"/>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in October 2020, Health and Human Services, or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or PBM, service fees. It originally was set to go into effect on January 1, 2022, but with passage of the Inflation Reduction Act has been delayed by Congress to January 1, 2032.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bidi w:val="0"/>
        <w:spacing w:before="120" w:after="0"/>
        <w:jc w:val="left"/>
        <w:rPr>
          <w:rFonts w:ascii="Times New Roman" w:hAnsi="Times New Roman"/>
          <w:sz w:val="20"/>
        </w:rPr>
      </w:pPr>
      <w:r>
        <w:rPr>
          <w:rFonts w:ascii="Times New Roman;serif" w:hAnsi="Times New Roman;serif"/>
          <w:b w:val="false"/>
          <w:sz w:val="20"/>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HHS to implement many of these provisions through guidance, as opposed to regulation, for the initial years.</w:t>
        <w:br/>
      </w:r>
      <w:r>
        <w:rPr>
          <w:rFonts w:ascii="Times New Roman" w:hAnsi="Times New Roman"/>
          <w:sz w:val="20"/>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0"/>
        <w:jc w:val="left"/>
        <w:rPr>
          <w:rFonts w:ascii="Times New Roman" w:hAnsi="Times New Roman"/>
          <w:sz w:val="20"/>
        </w:rPr>
      </w:pPr>
      <w:r>
        <w:rPr>
          <w:rFonts w:ascii="Times New Roman;serif" w:hAnsi="Times New Roman;serif"/>
          <w:b w:val="false"/>
          <w:sz w:val="20"/>
        </w:rPr>
        <w:t>A number of lawsuits have been filed challenging the IRA. We expect that litigation challenging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requirements on our activities or result in reduced reimbursement for our products, any of which could adversely affect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0"/>
        <w:jc w:val="left"/>
        <w:rPr>
          <w:rFonts w:ascii="Times New Roman" w:hAnsi="Times New Roman"/>
          <w:sz w:val="20"/>
        </w:rPr>
      </w:pPr>
      <w:r>
        <w:rPr>
          <w:rFonts w:ascii="Times New Roman;serif" w:hAnsi="Times New Roman;serif"/>
          <w:b/>
          <w:i/>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Anti-Kickback Statute</w:t>
      </w:r>
      <w:r>
        <w:rPr>
          <w:rFonts w:ascii="Times New Roman;serif" w:hAnsi="Times New Roman;serif"/>
          <w:b w:val="false"/>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False Claims Laws. </w:t>
      </w:r>
      <w:r>
        <w:rPr>
          <w:rFonts w:ascii="Times New Roman;serif" w:hAnsi="Times New Roman;serif"/>
          <w:b w:val="false"/>
          <w:sz w:val="20"/>
        </w:rPr>
        <w:t>The federal false claims and civil monetary penalties laws, including the federal civil False Claims Act, impose criminal and civil penalties, including through civil whistleblower or</w:t>
      </w:r>
      <w:r>
        <w:rPr>
          <w:rFonts w:ascii="Times New Roman" w:hAnsi="Times New Roman"/>
          <w:sz w:val="20"/>
        </w:rPr>
        <w:t xml:space="preserve"> </w:t>
      </w:r>
      <w:r>
        <w:rPr>
          <w:rFonts w:ascii="Times New Roman;serif" w:hAnsi="Times New Roman;serif"/>
          <w:b w:val="false"/>
          <w:i/>
          <w:sz w:val="20"/>
        </w:rPr>
        <w:t>qui tam</w:t>
      </w:r>
      <w:r>
        <w:rPr>
          <w:rFonts w:ascii="Times New Roman" w:hAnsi="Times New Roman"/>
          <w:sz w:val="20"/>
        </w:rPr>
        <w:t xml:space="preserve"> </w:t>
      </w:r>
      <w:r>
        <w:rPr>
          <w:rFonts w:ascii="Times New Roman;serif" w:hAnsi="Times New Roman;serif"/>
          <w:b w:val="false"/>
          <w:sz w:val="20"/>
        </w:rPr>
        <w:t>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HIPAA. </w:t>
      </w:r>
      <w:r>
        <w:rPr>
          <w:rFonts w:ascii="Times New Roman;serif" w:hAnsi="Times New Roman;serif"/>
          <w:b w:val="false"/>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Transparency Requirements. </w:t>
      </w:r>
      <w:r>
        <w:rPr>
          <w:rFonts w:ascii="Times New Roman;serif" w:hAnsi="Times New Roman;serif"/>
          <w:b w:val="false"/>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Analogous State and Foreign Laws. </w:t>
      </w:r>
      <w:r>
        <w:rPr>
          <w:rFonts w:ascii="Times New Roman;serif" w:hAnsi="Times New Roman;serif"/>
          <w:b w:val="false"/>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serif" w:hAnsi="Times New Roman;serif"/>
          <w:b w:val="false"/>
          <w:sz w:val="20"/>
        </w:rPr>
        <w:t>.</w:t>
      </w:r>
    </w:p>
    <w:p>
      <w:pPr>
        <w:pStyle w:val="TextBody"/>
        <w:bidi w:val="0"/>
        <w:spacing w:before="120" w:after="0"/>
        <w:jc w:val="left"/>
        <w:rPr>
          <w:rFonts w:ascii="Times New Roman" w:hAnsi="Times New Roman"/>
          <w:sz w:val="20"/>
        </w:rPr>
      </w:pPr>
      <w:r>
        <w:rPr>
          <w:rFonts w:ascii="Times New Roman;serif" w:hAnsi="Times New Roman;serif"/>
          <w:b w:val="false"/>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New laws also are being considered at the state level.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as of January 1, 2023, the California Privacy Rights Act, or the CPRA, significantly modified the CCPA,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including by expanding consumers’ rights with respect to certain sensitive personal information. The CPRA also creates a new state agency that will be vested with authority to implement and enforce the CCPA and the CPRA. In addition to California,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0"/>
        <w:jc w:val="left"/>
        <w:rPr>
          <w:rFonts w:ascii="Times New Roman" w:hAnsi="Times New Roman"/>
          <w:sz w:val="20"/>
        </w:rPr>
      </w:pPr>
      <w:r>
        <w:rPr>
          <w:rFonts w:ascii="Times New Roman;serif" w:hAnsi="Times New Roman;serif"/>
          <w:b/>
          <w:i/>
          <w:sz w:val="20"/>
        </w:rPr>
        <w:t>Laws and regulations governing any international operations we may have in the future may preclude us from developing, manufacturing and selling certain products outside of the U.S. and require us to develop and implement costly compliance programs.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0"/>
        <w:jc w:val="left"/>
        <w:rPr>
          <w:rFonts w:ascii="Times New Roman" w:hAnsi="Times New Roman"/>
          <w:sz w:val="20"/>
        </w:rPr>
      </w:pPr>
      <w:r>
        <w:rPr>
          <w:rFonts w:ascii="Times New Roman;serif" w:hAnsi="Times New Roman;serif"/>
          <w:b w:val="false"/>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and operations would suffer in the event of system failures.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pStyle w:val="TextBody"/>
        <w:bidi w:val="0"/>
        <w:spacing w:before="120" w:after="0"/>
        <w:jc w:val="left"/>
        <w:rPr>
          <w:rFonts w:ascii="Times New Roman" w:hAnsi="Times New Roman"/>
          <w:sz w:val="20"/>
        </w:rPr>
      </w:pPr>
      <w:r>
        <w:rPr>
          <w:rFonts w:ascii="Times New Roman;serif" w:hAnsi="Times New Roman;serif"/>
          <w:b/>
          <w:sz w:val="20"/>
        </w:rPr>
        <w:t>Risks Related to Employee Matters and Managing our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future success depends on our ability to retain our executive team and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without notice and for any reason or no reason. The loss of the services of any of these persons could impede the achievement of our research, development and commercialization objectives.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expand our organization, we may encounter difficulties in managing our growth, which could disrupt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30 employees. We may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employees, independent contractors and consultants may engage in misconduct or other improper activities, including non-compliance with regulatory standards and requirements, which could cause significant liability for us and harm our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 active trading market for our common stock may not be sustainable.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16, 2022, we received a letter from the Staff indicating that we had regained compliance with the Bid Price Requirement as of such date.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spacing w:before="120" w:after="0"/>
        <w:jc w:val="left"/>
        <w:rPr>
          <w:rFonts w:ascii="Times New Roman" w:hAnsi="Times New Roman"/>
          <w:sz w:val="20"/>
        </w:rPr>
      </w:pPr>
      <w:r>
        <w:rPr>
          <w:rFonts w:ascii="Times New Roman;serif" w:hAnsi="Times New Roman;serif"/>
          <w:b/>
          <w:i/>
          <w:sz w:val="20"/>
        </w:rPr>
        <w:t>The trading price of our common stock is highly volatile, which could result in substantial losses for purchasers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results of clinical trials of Haduvio or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existing or new competitive products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actions with respect to Haduvio or any future product candidates or competitors’ products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or our competitors of significant acquisitions, strategic partnerships, joint ventures, collaborations or capital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commencement or termination of collaborations for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or discontinuation of any of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of product candidates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or legal developments in the U.S.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or disputes concerning patent applications, issued patents or other intellectual property rights;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recruitment or departure of key personnel;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related to any of our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our efforts to discover, develop, acquire or in-license additional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estimated financial results or development timelines;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or expectations of additional financing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our common stock by us, our insiders or other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expiration of market stand-off or lock-up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financial results or those of companies that are perceived to be similar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recommendations and changes in estimates or recommendations by securities analysts, if any, that cover our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in the U.S.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industry and market conditions, including recent adverse changes in the domestic and international financial markets and the impacts of inflation and government action in response thereto;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our listing on the Nasdaq Global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continue as a going concern;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factors and considerations described in this “Risk Factors” section.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0"/>
        <w:jc w:val="left"/>
        <w:rPr>
          <w:rFonts w:ascii="Times New Roman" w:hAnsi="Times New Roman"/>
          <w:sz w:val="20"/>
        </w:rPr>
      </w:pPr>
      <w:r>
        <w:rPr>
          <w:rFonts w:ascii="Times New Roman;serif" w:hAnsi="Times New Roman;serif"/>
          <w:b/>
          <w:i/>
          <w:sz w:val="20"/>
        </w:rPr>
        <w:t>We could be subject to securities class 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securities or industry analysts do not publish research or publish inaccurate or unfavorable research about our business, the trading price and volume of our shares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Future sales of shares of our common stock, including by us, employees and significant stockholders, could negatively affect our stock price.</w:t>
      </w:r>
    </w:p>
    <w:p>
      <w:pPr>
        <w:pStyle w:val="TextBody"/>
        <w:bidi w:val="0"/>
        <w:spacing w:before="12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Statement was filed to replace our prior universal shelf registration statement on Form S-3. We expect the Shelf Registration Statement to be declared effective shortly after the filing of this Quarterly Report on Form 10-Q. In June 2023, we entered into a new sales agreement, or the New ATM Sales Agreement, with Leerink Partners and filed a prospectus under our Shelf Registration Statement for the offer and sale of shares of our common stock having an aggregate offering price of up to $75.0 million pursuant to the New ATM Sales Agreement. In accordance with the terms of the New ATM Sales Agreement, the ATM Sales Agreement will terminate upon effectiveness of the Shelf Registration Statement, at which point we will no longer be able to issue and sell shares of our common stock under the ATM Sales Agreement. From time to time following effectiveness of the Shelf Registration Statement, we may offer and sell under the New ATM Sales Agreement common stock registered under the Shelf Registration Statement pursuant to one or more “at-the-market” offerings. The extent to which we utilize the New ATM Sales Agreement as a source of funding will depend on a number of factors, including the prevailing market price of our common stock, general market conditions and the extent to which we are able to secure funds from other 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August 10, 2023, 6,000,000 of the warrants to purchase shares of common stock issued to the Initial Private Placement Investor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August 10, 2023, all of the warrants issued to NEA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Similarly, on April 11, 2022, we issued to several purchasers in a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August 10, 2023, 21,379,673 of the pre-funded warrants to purchase shares of common stock that we issued and sold in the April 2022 Private Placement remained outstanding.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Finally, on September 27, 2022, we issued in the September 2022 Offering an aggregate of 14,252,670 shares of our common stock, and, in lieu of common stock to certain investors, pre-funded warrants to purchase 14,247,330 shares of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w:t>
      </w:r>
      <w:r>
        <w:rPr>
          <w:rFonts w:ascii="Times New Roman" w:hAnsi="Times New Roman"/>
          <w:sz w:val="20"/>
        </w:rPr>
        <w:t>’</w:t>
      </w:r>
      <w:r>
        <w:rPr>
          <w:rFonts w:ascii="Times New Roman;serif" w:hAnsi="Times New Roman;serif"/>
          <w:b w:val="false"/>
          <w:sz w:val="20"/>
        </w:rPr>
        <w:t>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the pre-funded warrants were issued pursuant to a prospectus supplement dated September 22, 2022 to the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Shelf Registration Statement at any time or in their discretion, subject to the September 2022 Offering Beneficial Ownership Limitations. As of August 10, 2023, all of the pre-funded warrants issued to purchasers in the September 2022 Offering remained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substantial amounts of shares of our common stock or other securities by our stockholders, by us under the Shelf Registration Statement, whether pursuant to the ATM Sales Agreement or otherwise, by Lincoln Park Capital Fund, LLC, or Lincoln Park, pursuant to the Form S-1,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Finally, we issued pre-funded warrants to purchase up to an aggregate of 14,247,330 shares of our common stock at an exercise price of $0.001 per share to certain purchasers in the September 2022 Offering.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amount and terms of these warrants, we may find it more difficult to raise additional equity capital on favorable terms or at all while these warrants are outstanding.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Ownership of our common stock is concentrated among our executive officers and directors and their affiliates, who have significant influence over our business, which may prevent new investors from influencing significant corporate decisions.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executive officers and directors and their respective affiliates, beneficially own, in the aggregate, shares representing approximately 35.6% of our common stock as of August 10, 2023. As a result, our executive officers and directors and their affiliates acting together may be able to significantly influence all matters submitted to our stockholders for approval, as well as our management and affairs. This concentration of ownership control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 defer or prevent a change in control;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entrench our management or the board of directors;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impede a merger, consolidation, takeover, sale, other business combination or other significant corporate transaction involving us that other stockholders may desire. </w:t>
      </w:r>
    </w:p>
    <w:p>
      <w:pPr>
        <w:pStyle w:val="TextBody"/>
        <w:bidi w:val="0"/>
        <w:spacing w:before="120" w:after="0"/>
        <w:jc w:val="left"/>
        <w:rPr>
          <w:rFonts w:ascii="Times New Roman" w:hAnsi="Times New Roman"/>
          <w:sz w:val="20"/>
        </w:rPr>
      </w:pPr>
      <w:r>
        <w:rPr>
          <w:rFonts w:ascii="Times New Roman;serif" w:hAnsi="Times New Roman;serif"/>
          <w:b w:val="false"/>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do not anticipate paying any cash dividends on our capital stock in the foreseeable future. Accordingly, stockholders must rely on appreciation in the price of our common stock, if any, for any return on their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an “emerging growth company” and a “smaller reporting company” and the reduced disclosure requirements applicable to us may make our common stock less attractive to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disclosure obligations regarding executive compensation. If some investors find our common stock less attractive as a result of our reliance on these exemptions, the trading market for our common stock may be less active and our stock price may be more volatile.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incur increased costs as a result of operating as a public company and our management is required to devote substantial time to compliance initiatives and corporate governance practices.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fail to maintain proper and effective internal controls, our ability to produce accurate financial statements on a timely basis could be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might not be able to utilize a significant portion of our net operating loss carryforwards and research and development tax credit carryforwards.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federal and state net operating loss carryforwards of $178.4 million and federal research and development tax credit carryforwards of $5.4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We completed a Section 382 analysis, and due to multiple historical ownership changes, all of our net operating loss carryforwards as of December 31, 2022, and research and development tax credits are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tax laws or in their implementation or interpretation may adversely affect our business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guidance under the Tax Act, the FFCR Act and the CARES Act is and continues to be forthcoming and such guidance could ultimately increase or lessen impact of these laws on our business and financial condition. In addition, it is uncertain if and to what extent various states will conform to the Tax Act, the FFCR Act or the CARES Act.</w:t>
      </w:r>
    </w:p>
    <w:p>
      <w:pPr>
        <w:pStyle w:val="TextBody"/>
        <w:bidi w:val="0"/>
        <w:spacing w:before="120" w:after="0"/>
        <w:jc w:val="left"/>
        <w:rPr>
          <w:rFonts w:ascii="Times New Roman" w:hAnsi="Times New Roman"/>
          <w:sz w:val="20"/>
        </w:rPr>
      </w:pPr>
      <w:r>
        <w:rPr>
          <w:rFonts w:ascii="Times New Roman;serif" w:hAnsi="Times New Roman;serif"/>
          <w:b/>
          <w:i/>
          <w:sz w:val="20"/>
        </w:rPr>
        <w:t>Provisions in our organizational documents and under Delaware law may prevent or frustrate attempts by our stockholders to change our management or hinder efforts to acquire a controlling interest in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classified board of directors such that all members of the board are not elected at one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allow the authorized number of our directors to be changed only by resolution of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 the manner in which stockholders can remove directors from the board;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advance notice requirements for nominations for election to the board of directors or for proposing matters that can be acted on at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stockholder actions must be effected at a duly called stockholder meeting and prohibit actions by our stockholders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 who may call a special meeting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approval of the holders of at least 75% of the votes that all our stockholders would be entitled to cast to amend or repeal certain provisions of our certificate of incorporation or bylaws.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0" w:after="0"/>
        <w:jc w:val="left"/>
        <w:rPr>
          <w:rFonts w:ascii="Times New Roman;serif" w:hAnsi="Times New Roman;serif"/>
          <w:b/>
          <w:sz w:val="20"/>
        </w:rPr>
      </w:pPr>
      <w:bookmarkStart w:id="15" w:name="item_6_exhibits"/>
      <w:bookmarkEnd w:id="15"/>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2"/>
        <w:gridCol w:w="146"/>
        <w:gridCol w:w="921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7" w:type="dxa"/>
            <w:tcBorders/>
            <w:vAlign w:val="center"/>
          </w:tcPr>
          <w:p>
            <w:pPr>
              <w:pStyle w:val="TableContents"/>
              <w:bidi w:val="0"/>
              <w:spacing w:before="0" w:after="283"/>
              <w:jc w:val="left"/>
              <w:rPr>
                <w:sz w:val="4"/>
                <w:szCs w:val="4"/>
              </w:rPr>
            </w:pPr>
            <w:r>
              <w:rPr>
                <w:sz w:val="4"/>
                <w:szCs w:val="4"/>
              </w:rPr>
            </w:r>
          </w:p>
        </w:tc>
      </w:tr>
      <w:tr>
        <w:trPr/>
        <w:tc>
          <w:tcPr>
            <w:tcW w:w="84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1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w:anchor="trvi-ex3_1.htm">
              <w:r>
                <w:rPr>
                  <w:rStyle w:val="InternetLink"/>
                  <w:rFonts w:ascii="Times New Roman;serif" w:hAnsi="Times New Roman;serif"/>
                  <w:b w:val="false"/>
                  <w:sz w:val="20"/>
                  <w:u w:val="single"/>
                </w:rPr>
                <w:t>Restated Certificate of Incorporation of Trevi Therapeutics, Inc., as amended</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Bylaws of Trevi Therapeutics, Inc. (incorporated by reference to Exhibit 3.1 to the Registrant’s Current Report on Form 8-K (File No. 001-38886) filed with the SEC on April 14, 2023)</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w:anchor="trvi-ex31_1.htm">
              <w:r>
                <w:rPr>
                  <w:rStyle w:val="InternetLink"/>
                  <w:rFonts w:ascii="Times New Roman;serif" w:hAnsi="Times New Roman;serif"/>
                  <w:b w:val="false"/>
                  <w:sz w:val="20"/>
                  <w:u w:val="single"/>
                </w:rPr>
                <w:t>Certification of Principal Executive Officer Pursuant to Rules 13a-14(a) or 15d-14(a) under the Securities Exchange Act of 1934, as Adopted Pursuant to Section 302 of the Sarbanes-Oxley Act of 2002</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w:anchor="trvi-ex31_2.htm">
              <w:r>
                <w:rPr>
                  <w:rStyle w:val="InternetLink"/>
                  <w:rFonts w:ascii="Times New Roman;serif" w:hAnsi="Times New Roman;serif"/>
                  <w:b w:val="false"/>
                  <w:sz w:val="20"/>
                  <w:u w:val="single"/>
                </w:rPr>
                <w:t>Certification of Principal Financial Officer Pursuant to Rules 13a-14(a) or 15d-14(a) under the Securities Exchange Act of 1934, as Adopted Pursuant to Section 302 of the Sarbanes-Oxley Act of 2002</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w:anchor="trvi-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hyperlink w:anchor="trvi-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7"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593" w:type="dxa"/>
        <w:jc w:val="left"/>
        <w:tblInd w:w="0" w:type="dxa"/>
        <w:tblLayout w:type="fixed"/>
        <w:tblCellMar>
          <w:top w:w="28" w:type="dxa"/>
          <w:left w:w="28" w:type="dxa"/>
          <w:bottom w:w="28" w:type="dxa"/>
          <w:right w:w="28" w:type="dxa"/>
        </w:tblCellMar>
      </w:tblPr>
      <w:tblGrid>
        <w:gridCol w:w="946"/>
        <w:gridCol w:w="146"/>
        <w:gridCol w:w="75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7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0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7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6" w:name="signatures"/>
      <w:bookmarkEnd w:id="16"/>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TREVI THERAPEUTICS,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Jennifer L. Good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Jennifer L. Good</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Lisa Delfini</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Lisa Delfini</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3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val="false"/>
          <w:sz w:val="24"/>
        </w:rPr>
      </w:pPr>
      <w:bookmarkStart w:id="17" w:name="trvi-ex3_1.htm"/>
      <w:bookmarkStart w:id="18" w:name="kstrviex3_1"/>
      <w:bookmarkEnd w:id="17"/>
      <w:bookmarkEnd w:id="18"/>
      <w:r>
        <w:rPr>
          <w:rFonts w:ascii="Times New Roman;serif" w:hAnsi="Times New Roman;serif"/>
          <w:b w:val="false"/>
          <w:sz w:val="24"/>
        </w:rPr>
        <w:t>Exhibit 3.1</w:t>
      </w:r>
      <w:r>
        <w:br w:type="page"/>
      </w:r>
    </w:p>
    <w:p>
      <w:pPr>
        <w:pStyle w:val="TextBody"/>
        <w:bidi w:val="0"/>
        <w:spacing w:before="240" w:after="0"/>
        <w:jc w:val="center"/>
        <w:rPr>
          <w:rFonts w:ascii="Times New Roman" w:hAnsi="Times New Roman"/>
          <w:sz w:val="20"/>
        </w:rPr>
      </w:pPr>
      <w:r>
        <w:rPr>
          <w:rFonts w:ascii="Times New Roman;serif" w:hAnsi="Times New Roman;serif"/>
          <w:b/>
          <w:sz w:val="24"/>
        </w:rPr>
        <w:t>RESTATED CERTIFICATE OF INCORPORATION</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OF</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TREVI THERAPEUTICS, INC.</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val="false"/>
          <w:sz w:val="24"/>
        </w:rPr>
        <w:t>(originally incorporated on March 17, 2011)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FIRST: The name of the Corporation is Trevi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SECOND: The address of the Corporation’s registered office in the State of Delaware is Corporation Trust Center, 1209 Orange Street, in the City of Wilmington, County of New Castle, 19801. The name of its registered agent at that address is The Corporation Trust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THIRD: The nature of the business or purposes to be conducted or promoted by the Corporation is to engage in any lawful act or activity for which corporations may be organized under the General Corporation Law of the State of Delaware.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FOURTH: The total number of shares of all classes of stock that the Corporation shall have authority to issue is 205,000,000 shares, consisting of (i) 200,000,000 shares of Common Stock, $0.001 par value per share (“Common Stock”), and (ii) 5,000,000 shares of Preferred Stock, $0.001 par value per share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The following is a statement of the designations and the powers, privileges and rights, and the qualifications, limitations or restrictions thereof in respect of each class of capital stock of the Corporation.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sz w:val="24"/>
        </w:rPr>
        <w:t xml:space="preserve">A </w:t>
      </w:r>
      <w:r>
        <w:rPr>
          <w:rFonts w:ascii="Times New Roman;serif" w:hAnsi="Times New Roman;serif"/>
          <w:b w:val="false"/>
          <w:sz w:val="24"/>
          <w:u w:val="single"/>
        </w:rPr>
        <w:t>COMMON STOCK</w:t>
      </w:r>
      <w:r>
        <w:rPr>
          <w:rFonts w:ascii="Times New Roman;serif" w:hAnsi="Times New Roman;serif"/>
          <w:b w:val="false"/>
          <w:sz w:val="24"/>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General</w:t>
      </w:r>
      <w:r>
        <w:rPr>
          <w:rFonts w:ascii="Times New Roman;serif" w:hAnsi="Times New Roman;serif"/>
          <w:b w:val="false"/>
          <w:sz w:val="24"/>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Voting</w:t>
      </w:r>
      <w:r>
        <w:rPr>
          <w:rFonts w:ascii="Times New Roman;serif" w:hAnsi="Times New Roman;serif"/>
          <w:b w:val="false"/>
          <w:sz w:val="24"/>
        </w:rPr>
        <w:t xml:space="preserve">. The holders of the Common Stock shall have voting rights at all meetings of stockholders, each such holder being entitled to one vote for each share thereof held by such holder;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General Corporation Law of the State of Delaware. There shall be no cumulative voting.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Dividends</w:t>
      </w:r>
      <w:r>
        <w:rPr>
          <w:rFonts w:ascii="Times New Roman;serif" w:hAnsi="Times New Roman;serif"/>
          <w:b w:val="false"/>
          <w:sz w:val="24"/>
        </w:rPr>
        <w:t>. Dividends may be declared and paid on the Common Stock from funds lawfully available therefor if, as and when determined by the Board of Directors and subject to any preferential dividend or other rights of any then outstanding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4. </w:t>
      </w:r>
      <w:r>
        <w:rPr>
          <w:rFonts w:ascii="Times New Roman;serif" w:hAnsi="Times New Roman;serif"/>
          <w:b w:val="false"/>
          <w:sz w:val="24"/>
          <w:u w:val="single"/>
        </w:rPr>
        <w:t>Liquidation</w:t>
      </w:r>
      <w:r>
        <w:rPr>
          <w:rFonts w:ascii="Times New Roman;serif" w:hAnsi="Times New Roman;serif"/>
          <w:b w:val="false"/>
          <w:sz w:val="24"/>
        </w:rPr>
        <w:t>. Upon the dissolution, liquidation or winding up of the Corporation, whether voluntary or involuntary, holders of Common Stock will be entitled to receive all assets of the Corporation available for distribution to its stockholders, subject to any preferential or other rights of any then outstanding Preferred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sz w:val="24"/>
        </w:rPr>
        <w:t xml:space="preserve">B </w:t>
      </w:r>
      <w:r>
        <w:rPr>
          <w:rFonts w:ascii="Times New Roman;serif" w:hAnsi="Times New Roman;serif"/>
          <w:b w:val="false"/>
          <w:sz w:val="24"/>
          <w:u w:val="single"/>
        </w:rPr>
        <w:t>PREFERRED STOCK</w:t>
      </w:r>
      <w:r>
        <w:rPr>
          <w:rFonts w:ascii="Times New Roman;serif" w:hAnsi="Times New Roman;serif"/>
          <w:b w:val="false"/>
          <w:sz w:val="24"/>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4"/>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that may be redeemed, purchased or acquired by the Corporation may be reissued except as otherwise provided by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 The powers, preferences and relative, participating, optional and other special rights of each series of Preferred Stock, and the qualifications, limitations or restrictions thereof, if any, may differ from those of any and all other series at any time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- 2</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SIXTH.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EIGHTH: The Corporation shall provide indemnification and advancement of expenses as follows: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Actions, Suits and Proceedings Other than by or in the Right of the Corporation</w:t>
      </w:r>
      <w:r>
        <w:rPr>
          <w:rFonts w:ascii="Times New Roman;serif" w:hAnsi="Times New Roman;serif"/>
          <w:b w:val="false"/>
          <w:sz w:val="24"/>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serif" w:hAnsi="Times New Roman;serif"/>
          <w:b w:val="false"/>
          <w:sz w:val="24"/>
          <w:u w:val="single"/>
        </w:rPr>
        <w:t>nolo contendere</w:t>
      </w:r>
      <w:r>
        <w:rPr>
          <w:rFonts w:ascii="Times New Roman" w:hAnsi="Times New Roman"/>
          <w:sz w:val="20"/>
        </w:rPr>
        <w:t xml:space="preserve"> </w:t>
      </w:r>
      <w:r>
        <w:rPr>
          <w:rFonts w:ascii="Times New Roman;serif" w:hAnsi="Times New Roman;serif"/>
          <w:b w:val="false"/>
          <w:sz w:val="24"/>
        </w:rPr>
        <w:t>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- 3</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Actions or Suits by or in the Right of the Corporation</w:t>
      </w:r>
      <w:r>
        <w:rPr>
          <w:rFonts w:ascii="Times New Roman;serif" w:hAnsi="Times New Roman;serif"/>
          <w:b w:val="false"/>
          <w:sz w:val="24"/>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Indemnification for Expenses of Successful Party</w:t>
      </w:r>
      <w:r>
        <w:rPr>
          <w:rFonts w:ascii="Times New Roman;serif" w:hAnsi="Times New Roman;serif"/>
          <w:b w:val="false"/>
          <w:sz w:val="24"/>
        </w:rPr>
        <w:t xml:space="preserve">.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Times New Roman;serif" w:hAnsi="Times New Roman;serif"/>
          <w:b w:val="false"/>
          <w:sz w:val="24"/>
          <w:u w:val="single"/>
        </w:rPr>
        <w:t>nolo</w:t>
      </w:r>
      <w:r>
        <w:rPr>
          <w:rFonts w:ascii="Times New Roman" w:hAnsi="Times New Roman"/>
          <w:sz w:val="20"/>
        </w:rPr>
        <w:t xml:space="preserve"> </w:t>
      </w:r>
      <w:r>
        <w:rPr>
          <w:rFonts w:ascii="Times New Roman;serif" w:hAnsi="Times New Roman;serif"/>
          <w:b w:val="false"/>
          <w:sz w:val="24"/>
          <w:u w:val="single"/>
        </w:rPr>
        <w:t>contendere</w:t>
      </w:r>
      <w:r>
        <w:rPr>
          <w:rFonts w:ascii="Times New Roman" w:hAnsi="Times New Roman"/>
          <w:sz w:val="20"/>
        </w:rPr>
        <w:t xml:space="preserve"> </w:t>
      </w:r>
      <w:r>
        <w:rPr>
          <w:rFonts w:ascii="Times New Roman;serif" w:hAnsi="Times New Roman;serif"/>
          <w:b w:val="false"/>
          <w:sz w:val="24"/>
        </w:rPr>
        <w:t>by Indemnitee, (iv) an adjudication that Indemnitee did not act in good faith and in a manner he or she reasonably believed to be in or not</w:t>
      </w:r>
      <w:r>
        <w:rPr>
          <w:rFonts w:ascii="Times New Roman" w:hAnsi="Times New Roman"/>
          <w:sz w:val="20"/>
          <w:u w:val="single"/>
        </w:rPr>
        <w:t xml:space="preserve"> </w:t>
      </w:r>
      <w:r>
        <w:rPr>
          <w:rFonts w:ascii="Times New Roman;serif" w:hAnsi="Times New Roman;serif"/>
          <w:b w:val="false"/>
          <w:sz w:val="24"/>
        </w:rPr>
        <w:t>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4. </w:t>
      </w:r>
      <w:r>
        <w:rPr>
          <w:rFonts w:ascii="Times New Roman;serif" w:hAnsi="Times New Roman;serif"/>
          <w:b w:val="false"/>
          <w:sz w:val="24"/>
          <w:u w:val="single"/>
        </w:rPr>
        <w:t>Notification and Defense of Claim</w:t>
      </w:r>
      <w:r>
        <w:rPr>
          <w:rFonts w:ascii="Times New Roman;serif" w:hAnsi="Times New Roman;serif"/>
          <w:b w:val="false"/>
          <w:sz w:val="24"/>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- 4</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 xml:space="preserve">5. </w:t>
      </w:r>
      <w:r>
        <w:rPr>
          <w:rFonts w:ascii="Times New Roman;serif" w:hAnsi="Times New Roman;serif"/>
          <w:b w:val="false"/>
          <w:sz w:val="24"/>
          <w:u w:val="single"/>
        </w:rPr>
        <w:t>Advancement of Expenses</w:t>
      </w:r>
      <w:r>
        <w:rPr>
          <w:rFonts w:ascii="Times New Roman;serif" w:hAnsi="Times New Roman;serif"/>
          <w:b w:val="false"/>
          <w:sz w:val="24"/>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u w:val="single"/>
        </w:rPr>
        <w:t>further</w:t>
      </w:r>
      <w:r>
        <w:rPr>
          <w:rFonts w:ascii="Times New Roman" w:hAnsi="Times New Roman"/>
          <w:sz w:val="20"/>
        </w:rPr>
        <w:t xml:space="preserve"> </w:t>
      </w:r>
      <w:r>
        <w:rPr>
          <w:rFonts w:ascii="Times New Roman;serif" w:hAnsi="Times New Roman;serif"/>
          <w:b w:val="false"/>
          <w:sz w:val="24"/>
        </w:rPr>
        <w:t>that no such advancement of expenses shall be made under this Article EIGHTH if it is determined (in the manner described in Section 6 of this Article EIGHTH)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6. </w:t>
      </w:r>
      <w:r>
        <w:rPr>
          <w:rFonts w:ascii="Times New Roman;serif" w:hAnsi="Times New Roman;serif"/>
          <w:b w:val="false"/>
          <w:sz w:val="24"/>
          <w:u w:val="single"/>
        </w:rPr>
        <w:t>Procedure for Indemnification and Advancement of Expenses</w:t>
      </w:r>
      <w:r>
        <w:rPr>
          <w:rFonts w:ascii="Times New Roman;serif" w:hAnsi="Times New Roman;serif"/>
          <w:b w:val="false"/>
          <w:sz w:val="24"/>
        </w:rPr>
        <w:t>.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of this Article EIGHTH only as authorized in the specific case upon a determination by the Corporation that the indemnification of Indemnitee is proper because Indemnitee has met the applicable standard of conduct set forth in Section 1 or 2 of this Article EIGHTH, as the case may be. Such determination shall be made in each instance (a) by 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- 5</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7. </w:t>
      </w:r>
      <w:r>
        <w:rPr>
          <w:rFonts w:ascii="Times New Roman;serif" w:hAnsi="Times New Roman;serif"/>
          <w:b w:val="false"/>
          <w:sz w:val="24"/>
          <w:u w:val="single"/>
        </w:rPr>
        <w:t>Remedies</w:t>
      </w:r>
      <w:r>
        <w:rPr>
          <w:rFonts w:ascii="Times New Roman;serif" w:hAnsi="Times New Roman;serif"/>
          <w:b w:val="false"/>
          <w:sz w:val="24"/>
        </w:rPr>
        <w:t>. Subject to Article TWELFTH,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advancement of expenses,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or advancement of expenses, in whole or in part, in any such proceeding shall also be indemnified by the Corporation to the fullest extent permitted by applicable law. Notwithstanding the foregoing, in any suit brought by Indemnitee to enforce a right to indemnification or advancement of expenses hereunder it shall be a defense that the Indemnitee has not met any applicable standard for indemnification set forth in the General Corporation Law of the State of Delaware.</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 xml:space="preserve">8. </w:t>
      </w:r>
      <w:r>
        <w:rPr>
          <w:rFonts w:ascii="Times New Roman;serif" w:hAnsi="Times New Roman;serif"/>
          <w:b w:val="false"/>
          <w:sz w:val="24"/>
          <w:u w:val="single"/>
        </w:rPr>
        <w:t>Limitations</w:t>
      </w:r>
      <w:r>
        <w:rPr>
          <w:rFonts w:ascii="Times New Roman;serif" w:hAnsi="Times New Roman;serif"/>
          <w:b w:val="false"/>
          <w:sz w:val="24"/>
        </w:rPr>
        <w:t>.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9. </w:t>
      </w:r>
      <w:r>
        <w:rPr>
          <w:rFonts w:ascii="Times New Roman;serif" w:hAnsi="Times New Roman;serif"/>
          <w:b w:val="false"/>
          <w:sz w:val="24"/>
          <w:u w:val="single"/>
        </w:rPr>
        <w:t>Subsequent Amendment</w:t>
      </w:r>
      <w:r>
        <w:rPr>
          <w:rFonts w:ascii="Times New Roman;serif" w:hAnsi="Times New Roman;serif"/>
          <w:b w:val="false"/>
          <w:sz w:val="24"/>
        </w:rPr>
        <w:t>. No amendment, termination or repeal of this Article EIGHTH or of the relevant provisions of the General Corporation Law of the State of Delaware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- 6</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10. </w:t>
      </w:r>
      <w:r>
        <w:rPr>
          <w:rFonts w:ascii="Times New Roman;serif" w:hAnsi="Times New Roman;serif"/>
          <w:b w:val="false"/>
          <w:sz w:val="24"/>
          <w:u w:val="single"/>
        </w:rPr>
        <w:t>Other Rights</w:t>
      </w:r>
      <w:r>
        <w:rPr>
          <w:rFonts w:ascii="Times New Roman;serif" w:hAnsi="Times New Roman;serif"/>
          <w:b w:val="false"/>
          <w:sz w:val="24"/>
        </w:rPr>
        <w:t>.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expense advancement rights and procedures different from those set forth in this Article EIGHTH. In addition, the Corporation may, to the extent authorized from time to time by its Board of Directors, grant indemnification and expense advancement rights to other employees or agents of the Corporation or other persons serving the Corporation and such rights may be equivalent to, or greater or less than, those set forth in this Article EIGHTH.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11. </w:t>
      </w:r>
      <w:r>
        <w:rPr>
          <w:rFonts w:ascii="Times New Roman;serif" w:hAnsi="Times New Roman;serif"/>
          <w:b w:val="false"/>
          <w:sz w:val="24"/>
          <w:u w:val="single"/>
        </w:rPr>
        <w:t>Partial Indemnification</w:t>
      </w:r>
      <w:r>
        <w:rPr>
          <w:rFonts w:ascii="Times New Roman;serif" w:hAnsi="Times New Roman;serif"/>
          <w:b w:val="false"/>
          <w:sz w:val="24"/>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 xml:space="preserve">12. </w:t>
      </w:r>
      <w:r>
        <w:rPr>
          <w:rFonts w:ascii="Times New Roman;serif" w:hAnsi="Times New Roman;serif"/>
          <w:b w:val="false"/>
          <w:sz w:val="24"/>
          <w:u w:val="single"/>
        </w:rPr>
        <w:t>Insurance</w:t>
      </w:r>
      <w:r>
        <w:rPr>
          <w:rFonts w:ascii="Times New Roman;serif" w:hAnsi="Times New Roman;serif"/>
          <w:b w:val="false"/>
          <w:sz w:val="24"/>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13. </w:t>
      </w:r>
      <w:r>
        <w:rPr>
          <w:rFonts w:ascii="Times New Roman;serif" w:hAnsi="Times New Roman;serif"/>
          <w:b w:val="false"/>
          <w:sz w:val="24"/>
          <w:u w:val="single"/>
        </w:rPr>
        <w:t>Savings Clause</w:t>
      </w:r>
      <w:r>
        <w:rPr>
          <w:rFonts w:ascii="Times New Roman;serif" w:hAnsi="Times New Roman;serif"/>
          <w:b w:val="false"/>
          <w:sz w:val="24"/>
        </w:rPr>
        <w:t>.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14. </w:t>
      </w:r>
      <w:r>
        <w:rPr>
          <w:rFonts w:ascii="Times New Roman;serif" w:hAnsi="Times New Roman;serif"/>
          <w:b w:val="false"/>
          <w:sz w:val="24"/>
          <w:u w:val="single"/>
        </w:rPr>
        <w:t>Definitions</w:t>
      </w:r>
      <w:r>
        <w:rPr>
          <w:rFonts w:ascii="Times New Roman;serif" w:hAnsi="Times New Roman;serif"/>
          <w:b w:val="false"/>
          <w:sz w:val="24"/>
        </w:rPr>
        <w:t>. Terms used herein and defined in Section 145(h) and Section 145(i) of the General Corporation Law of the State of Delaware shall have the respective meanings assigned to such terms in such Section 145(h) and Section 145(i).</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- 7</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NINTH: This Article NINTH is inserted for the management of the business and for the conduct of the affairs of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General Powers</w:t>
      </w:r>
      <w:r>
        <w:rPr>
          <w:rFonts w:ascii="Times New Roman;serif" w:hAnsi="Times New Roman;serif"/>
          <w:b w:val="false"/>
          <w:sz w:val="24"/>
        </w:rPr>
        <w:t>. The business and affairs of the Corporation shall be managed by or under the direction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Number of Directors; Election of Directors</w:t>
      </w:r>
      <w:r>
        <w:rPr>
          <w:rFonts w:ascii="Times New Roman;serif" w:hAnsi="Times New Roman;serif"/>
          <w:b w:val="false"/>
          <w:sz w:val="24"/>
        </w:rPr>
        <w:t>. Subject to the rights of holders of any series of Preferred Stock to elect directors, the number of directors of the Corporation shall be established from time to time by the Board of Directors. Election of directors need not be by written ballot, except as and to the extent provided in the Bylaws of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Classes of Directors</w:t>
      </w:r>
      <w:r>
        <w:rPr>
          <w:rFonts w:ascii="Times New Roman;serif" w:hAnsi="Times New Roman;serif"/>
          <w:b w:val="false"/>
          <w:sz w:val="24"/>
        </w:rPr>
        <w:t>.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 xml:space="preserve">4. </w:t>
      </w:r>
      <w:r>
        <w:rPr>
          <w:rFonts w:ascii="Times New Roman;serif" w:hAnsi="Times New Roman;serif"/>
          <w:b w:val="false"/>
          <w:sz w:val="24"/>
          <w:u w:val="single"/>
        </w:rPr>
        <w:t>Terms of Office</w:t>
      </w:r>
      <w:r>
        <w:rPr>
          <w:rFonts w:ascii="Times New Roman;serif" w:hAnsi="Times New Roman;serif"/>
          <w:b w:val="false"/>
          <w:sz w:val="24"/>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rPr>
        <w:t xml:space="preserve">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w:t>
      </w:r>
      <w:r>
        <w:rPr>
          <w:rFonts w:ascii="Times New Roman;serif" w:hAnsi="Times New Roman;serif"/>
          <w:b w:val="false"/>
          <w:sz w:val="24"/>
          <w:u w:val="single"/>
        </w:rPr>
        <w:t>provided</w:t>
      </w:r>
      <w:r>
        <w:rPr>
          <w:rFonts w:ascii="Times New Roman" w:hAnsi="Times New Roman"/>
          <w:sz w:val="20"/>
        </w:rPr>
        <w:t xml:space="preserve"> </w:t>
      </w:r>
      <w:r>
        <w:rPr>
          <w:rFonts w:ascii="Times New Roman;serif" w:hAnsi="Times New Roman;serif"/>
          <w:b w:val="false"/>
          <w:sz w:val="24"/>
          <w:u w:val="single"/>
        </w:rPr>
        <w:t>further</w:t>
      </w:r>
      <w:r>
        <w:rPr>
          <w:rFonts w:ascii="Times New Roman;serif" w:hAnsi="Times New Roman;serif"/>
          <w:b w:val="false"/>
          <w:sz w:val="24"/>
        </w:rPr>
        <w:t>, that the term of each director shall continue until the election and qualification of his or her successor and be subject to his or her earlier death, resignation or removal.</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5. </w:t>
      </w:r>
      <w:r>
        <w:rPr>
          <w:rFonts w:ascii="Times New Roman;serif" w:hAnsi="Times New Roman;serif"/>
          <w:b w:val="false"/>
          <w:sz w:val="24"/>
          <w:u w:val="single"/>
        </w:rPr>
        <w:t>Quorum</w:t>
      </w:r>
      <w:r>
        <w:rPr>
          <w:rFonts w:ascii="Times New Roman;serif" w:hAnsi="Times New Roman;serif"/>
          <w:b w:val="false"/>
          <w:sz w:val="24"/>
        </w:rPr>
        <w:t>.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6. </w:t>
      </w:r>
      <w:r>
        <w:rPr>
          <w:rFonts w:ascii="Times New Roman;serif" w:hAnsi="Times New Roman;serif"/>
          <w:b w:val="false"/>
          <w:sz w:val="24"/>
          <w:u w:val="single"/>
        </w:rPr>
        <w:t>Action at Meeting</w:t>
      </w:r>
      <w:r>
        <w:rPr>
          <w:rFonts w:ascii="Times New Roman;serif" w:hAnsi="Times New Roman;serif"/>
          <w:b w:val="false"/>
          <w:sz w:val="24"/>
        </w:rPr>
        <w:t>. Every act or decision done or made by a majority of the directors present at a meeting duly held at which a quorum is present shall be regarded as the act of the Board of Directors unless a greater number is required by law or by this 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7. </w:t>
      </w:r>
      <w:r>
        <w:rPr>
          <w:rFonts w:ascii="Times New Roman;serif" w:hAnsi="Times New Roman;serif"/>
          <w:b w:val="false"/>
          <w:sz w:val="24"/>
          <w:u w:val="single"/>
        </w:rPr>
        <w:t>Removal</w:t>
      </w:r>
      <w:r>
        <w:rPr>
          <w:rFonts w:ascii="Times New Roman;serif" w:hAnsi="Times New Roman;serif"/>
          <w:b w:val="false"/>
          <w:sz w:val="24"/>
        </w:rPr>
        <w:t>. Subject to the rights of holders of any series of Preferred Stock, directors of the Corporation may be removed only for cause and only by the affirmative vote of the holders of at least seventy-five percent (75%) of the votes that all the stockholders would be entitled to cast in an election of directors or class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8. </w:t>
      </w:r>
      <w:r>
        <w:rPr>
          <w:rFonts w:ascii="Times New Roman;serif" w:hAnsi="Times New Roman;serif"/>
          <w:b w:val="false"/>
          <w:sz w:val="24"/>
          <w:u w:val="single"/>
        </w:rPr>
        <w:t>Vacancies</w:t>
      </w:r>
      <w:r>
        <w:rPr>
          <w:rFonts w:ascii="Times New Roman;serif" w:hAnsi="Times New Roman;serif"/>
          <w:b w:val="false"/>
          <w:sz w:val="24"/>
        </w:rPr>
        <w:t>. Subject to the rights of holders of any series of Preferred Stock, any vacancies or newly-created directorships on the Board of Directors, however occurring, shall be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- 8</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filled only by vote of a majority of the directors then in office, although less than a quorum, or by a sole remaining director and shall not be filled by the stockholders. A director elected to fill a vacancy or to fill a position resulting from a newly-created directorship shall hold office until the next election of the class for which such director shall have been chosen, subject to the election and qualification of a successor and to such director’s earlier death, resignation or removal.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9. </w:t>
      </w:r>
      <w:r>
        <w:rPr>
          <w:rFonts w:ascii="Times New Roman;serif" w:hAnsi="Times New Roman;serif"/>
          <w:b w:val="false"/>
          <w:sz w:val="24"/>
          <w:u w:val="single"/>
        </w:rPr>
        <w:t>Stockholder Nominations and Introduction of Business, Etc</w:t>
      </w:r>
      <w:r>
        <w:rPr>
          <w:rFonts w:ascii="Times New Roman;serif" w:hAnsi="Times New Roman;serif"/>
          <w:b w:val="false"/>
          <w:sz w:val="24"/>
        </w:rPr>
        <w:t>. Advance notice of stockholder nominations for election of directors and other business to be brought by stockholders before a meeting of stockholders shall be given in the manner provided by the Bylaws of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 xml:space="preserve">10. </w:t>
      </w:r>
      <w:r>
        <w:rPr>
          <w:rFonts w:ascii="Times New Roman;serif" w:hAnsi="Times New Roman;serif"/>
          <w:b w:val="false"/>
          <w:sz w:val="24"/>
          <w:u w:val="single"/>
        </w:rPr>
        <w:t>Amendments to Article</w:t>
      </w:r>
      <w:r>
        <w:rPr>
          <w:rFonts w:ascii="Times New Roman;serif" w:hAnsi="Times New Roman;serif"/>
          <w:b w:val="false"/>
          <w:sz w:val="24"/>
        </w:rPr>
        <w:t>.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NINTH.</w:t>
      </w:r>
      <w:r>
        <w:rPr>
          <w:rFonts w:ascii="Times New Roman" w:hAnsi="Times New Roman"/>
          <w:sz w:val="20"/>
        </w:rPr>
        <w:t xml:space="preserve"> </w:t>
      </w:r>
    </w:p>
    <w:p>
      <w:pPr>
        <w:pStyle w:val="TextBody"/>
        <w:bidi w:val="0"/>
        <w:spacing w:before="240" w:after="240"/>
        <w:jc w:val="left"/>
        <w:rPr>
          <w:rFonts w:ascii="Times New Roman" w:hAnsi="Times New Roman"/>
          <w:sz w:val="20"/>
        </w:rPr>
      </w:pPr>
      <w:r>
        <w:rPr>
          <w:rFonts w:ascii="Times New Roman;serif" w:hAnsi="Times New Roman;serif"/>
          <w:b w:val="false"/>
          <w:sz w:val="24"/>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TENTH.</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ELEVENTH: Special meetings of stockholders for any purpose or purposes may be called at any time only by the Board of Directors,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that all the stockholders would be entitled to cast in an election of directors or class of directors shall be required to amend or repeal, or to adopt any provision inconsistent with, this Article ELEVENTH.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TWELFTH: Unless the Corporation consents in writing to the selection 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the Corporation’s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this Certificate of Incorporation or the Bylaws of the Corporation (in each case, as they may be amended from time to time) or governed by the internal affairs doctrine; provided that this sentence shall not apply to suits brought to enforce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4"/>
        </w:rPr>
        <w:t>- 9</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4"/>
        </w:rPr>
        <w:t>any duty or liability created by the Securities Exchange Act of 1934 or the rules and regulations thereunder or any other claim for which the federal courts have exclusive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Any person or entity purchasing or otherwise acquiring or holding any interest in shares of capital stock of the Corporation shall be deemed to have notice of and consented to the provisions of this Article TWELFTH.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4"/>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9th day of May, 2019.</w:t>
      </w:r>
      <w:r>
        <w:rPr>
          <w:rFonts w:ascii="Times New Roman" w:hAnsi="Times New Roman"/>
          <w:sz w:val="20"/>
        </w:rPr>
        <w:t xml:space="preserve">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TREVI THERAPEUTICS, INC.</w:t>
            </w:r>
          </w:p>
        </w:tc>
      </w:tr>
    </w:tbl>
    <w:p>
      <w:pPr>
        <w:pStyle w:val="TextBody"/>
        <w:bidi w:val="0"/>
        <w:spacing w:before="0" w:after="0"/>
        <w:jc w:val="left"/>
        <w:rPr/>
      </w:pPr>
      <w:r>
        <w:rPr/>
        <w:t> </w:t>
      </w:r>
    </w:p>
    <w:tbl>
      <w:tblPr>
        <w:tblW w:w="3583" w:type="dxa"/>
        <w:jc w:val="left"/>
        <w:tblInd w:w="0" w:type="dxa"/>
        <w:tblLayout w:type="fixed"/>
        <w:tblCellMar>
          <w:top w:w="28" w:type="dxa"/>
          <w:left w:w="28" w:type="dxa"/>
          <w:bottom w:w="28" w:type="dxa"/>
          <w:right w:w="28" w:type="dxa"/>
        </w:tblCellMar>
      </w:tblPr>
      <w:tblGrid>
        <w:gridCol w:w="466"/>
        <w:gridCol w:w="146"/>
        <w:gridCol w:w="2971"/>
      </w:tblGrid>
      <w:tr>
        <w:trPr/>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4"/>
              </w:rPr>
            </w:pPr>
            <w:r>
              <w:rPr>
                <w:rFonts w:ascii="Times New Roman;serif" w:hAnsi="Times New Roman;serif"/>
                <w:b w:val="false"/>
                <w:sz w:val="24"/>
              </w:rPr>
              <w:t>/s/ Jennifer Good</w:t>
            </w:r>
          </w:p>
        </w:tc>
      </w:tr>
      <w:tr>
        <w:trPr/>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Name: Jennifer Good</w:t>
            </w:r>
          </w:p>
        </w:tc>
      </w:tr>
      <w:tr>
        <w:trPr/>
        <w:tc>
          <w:tcPr>
            <w:tcW w:w="4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 Chief Executive Officer</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- 10</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120"/>
        <w:jc w:val="center"/>
        <w:rPr>
          <w:rFonts w:ascii="Times New Roman;serif" w:hAnsi="Times New Roman;serif"/>
          <w:b/>
          <w:caps/>
          <w:sz w:val="24"/>
        </w:rPr>
      </w:pPr>
      <w:r>
        <w:rPr>
          <w:rFonts w:ascii="Times New Roman;serif" w:hAnsi="Times New Roman;serif"/>
          <w:b/>
          <w:caps/>
          <w:sz w:val="24"/>
        </w:rPr>
        <w:t>CERTIFICATE OF AMENDMENT</w:t>
      </w:r>
    </w:p>
    <w:p>
      <w:pPr>
        <w:pStyle w:val="TextBody"/>
        <w:bidi w:val="0"/>
        <w:spacing w:before="0" w:after="120"/>
        <w:jc w:val="center"/>
        <w:rPr>
          <w:rFonts w:ascii="Times New Roman;serif" w:hAnsi="Times New Roman;serif"/>
          <w:b/>
          <w:caps/>
          <w:sz w:val="24"/>
        </w:rPr>
      </w:pPr>
      <w:r>
        <w:rPr>
          <w:rFonts w:ascii="Times New Roman;serif" w:hAnsi="Times New Roman;serif"/>
          <w:b/>
          <w:caps/>
          <w:sz w:val="24"/>
        </w:rPr>
        <w:t>TO THE</w:t>
      </w:r>
    </w:p>
    <w:p>
      <w:pPr>
        <w:pStyle w:val="TextBody"/>
        <w:bidi w:val="0"/>
        <w:spacing w:before="0" w:after="120"/>
        <w:jc w:val="center"/>
        <w:rPr>
          <w:rFonts w:ascii="Times New Roman;serif" w:hAnsi="Times New Roman;serif"/>
          <w:b/>
          <w:caps/>
          <w:sz w:val="24"/>
        </w:rPr>
      </w:pPr>
      <w:r>
        <w:rPr>
          <w:rFonts w:ascii="Times New Roman;serif" w:hAnsi="Times New Roman;serif"/>
          <w:b/>
          <w:caps/>
          <w:sz w:val="24"/>
        </w:rPr>
        <w:t>restated CERTIFICATE OF INCORPORATION</w:t>
      </w:r>
    </w:p>
    <w:p>
      <w:pPr>
        <w:pStyle w:val="TextBody"/>
        <w:bidi w:val="0"/>
        <w:spacing w:before="0" w:after="120"/>
        <w:jc w:val="center"/>
        <w:rPr>
          <w:rFonts w:ascii="Times New Roman;serif" w:hAnsi="Times New Roman;serif"/>
          <w:b/>
          <w:caps/>
          <w:sz w:val="24"/>
        </w:rPr>
      </w:pPr>
      <w:r>
        <w:rPr>
          <w:rFonts w:ascii="Times New Roman;serif" w:hAnsi="Times New Roman;serif"/>
          <w:b/>
          <w:caps/>
          <w:sz w:val="24"/>
        </w:rPr>
        <w:t>OF</w:t>
      </w:r>
    </w:p>
    <w:p>
      <w:pPr>
        <w:pStyle w:val="TextBody"/>
        <w:bidi w:val="0"/>
        <w:spacing w:before="0" w:after="240"/>
        <w:jc w:val="center"/>
        <w:rPr>
          <w:rFonts w:ascii="Times New Roman;serif" w:hAnsi="Times New Roman;serif"/>
          <w:b/>
          <w:caps/>
          <w:sz w:val="24"/>
        </w:rPr>
      </w:pPr>
      <w:r>
        <w:rPr>
          <w:rFonts w:ascii="Times New Roman;serif" w:hAnsi="Times New Roman;serif"/>
          <w:b/>
          <w:caps/>
          <w:sz w:val="24"/>
        </w:rPr>
        <w:t>TREVI THERAPEUTICS, INC.</w:t>
      </w:r>
    </w:p>
    <w:p>
      <w:pPr>
        <w:pStyle w:val="TextBody"/>
        <w:bidi w:val="0"/>
        <w:spacing w:before="0" w:after="240"/>
        <w:jc w:val="center"/>
        <w:rPr>
          <w:rFonts w:ascii="Times New Roman;serif" w:hAnsi="Times New Roman;serif"/>
          <w:b w:val="false"/>
          <w:sz w:val="24"/>
        </w:rPr>
      </w:pPr>
      <w:r>
        <w:rPr>
          <w:rFonts w:ascii="Times New Roman;serif" w:hAnsi="Times New Roman;serif"/>
          <w:b w:val="false"/>
          <w:sz w:val="24"/>
        </w:rPr>
        <w:t>(Pursuant to Section 242 of the</w:t>
        <w:br/>
        <w:t>General Corporation Law of the State of Delaware)</w:t>
      </w:r>
    </w:p>
    <w:p>
      <w:pPr>
        <w:pStyle w:val="TextBody"/>
        <w:bidi w:val="0"/>
        <w:spacing w:before="0" w:after="240"/>
        <w:jc w:val="both"/>
        <w:rPr>
          <w:rFonts w:ascii="Times New Roman" w:hAnsi="Times New Roman"/>
          <w:sz w:val="20"/>
        </w:rPr>
      </w:pPr>
      <w:r>
        <w:rPr>
          <w:rFonts w:ascii="Times New Roman;serif" w:hAnsi="Times New Roman;serif"/>
          <w:b w:val="false"/>
          <w:sz w:val="24"/>
        </w:rPr>
        <w:t>Trevi Therapeutics, Inc. (the “</w:t>
      </w:r>
      <w:r>
        <w:rPr>
          <w:rFonts w:ascii="Times New Roman;serif" w:hAnsi="Times New Roman;serif"/>
          <w:b/>
          <w:sz w:val="24"/>
        </w:rPr>
        <w:t>Corporation</w:t>
      </w:r>
      <w:r>
        <w:rPr>
          <w:rFonts w:ascii="Times New Roman" w:hAnsi="Times New Roman"/>
          <w:sz w:val="20"/>
        </w:rPr>
        <w:t>”</w:t>
      </w:r>
      <w:r>
        <w:rPr>
          <w:rFonts w:ascii="Times New Roman;serif" w:hAnsi="Times New Roman;serif"/>
          <w:b w:val="false"/>
          <w:sz w:val="24"/>
        </w:rPr>
        <w:t>), a corporation organized and existing under and by virtue of the General Corporation Law of the State of Delaware (the “</w:t>
      </w:r>
      <w:r>
        <w:rPr>
          <w:rFonts w:ascii="Times New Roman;serif" w:hAnsi="Times New Roman;serif"/>
          <w:b/>
          <w:sz w:val="24"/>
        </w:rPr>
        <w:t>General Corporation Law</w:t>
      </w:r>
      <w:r>
        <w:rPr>
          <w:rFonts w:ascii="Times New Roman" w:hAnsi="Times New Roman"/>
          <w:sz w:val="20"/>
        </w:rPr>
        <w:t>”</w:t>
      </w:r>
      <w:r>
        <w:rPr>
          <w:rFonts w:ascii="Times New Roman;serif" w:hAnsi="Times New Roman;serif"/>
          <w:b w:val="false"/>
          <w:sz w:val="24"/>
        </w:rPr>
        <w:t>), does hereby certify as follows:</w:t>
      </w:r>
    </w:p>
    <w:p>
      <w:pPr>
        <w:pStyle w:val="TextBody"/>
        <w:bidi w:val="0"/>
        <w:spacing w:before="0" w:after="240"/>
        <w:jc w:val="both"/>
        <w:rPr>
          <w:rFonts w:ascii="Times New Roman" w:hAnsi="Times New Roman"/>
          <w:sz w:val="20"/>
        </w:rPr>
      </w:pPr>
      <w:r>
        <w:rPr>
          <w:rFonts w:ascii="Times New Roman;serif" w:hAnsi="Times New Roman;serif"/>
          <w:b w:val="false"/>
          <w:sz w:val="24"/>
        </w:rPr>
        <w:t>A resolution was duly adopted by the Board of Directors of the Corporation pursuant to Section 242 of the General Corporation Law setting forth a proposed amendment to the Corporation’s Restated Certificate of Incorporation (the “</w:t>
      </w:r>
      <w:r>
        <w:rPr>
          <w:rFonts w:ascii="Times New Roman;serif" w:hAnsi="Times New Roman;serif"/>
          <w:b/>
          <w:sz w:val="24"/>
        </w:rPr>
        <w:t>Certificate of Incorporation</w:t>
      </w:r>
      <w:r>
        <w:rPr>
          <w:rFonts w:ascii="Times New Roman" w:hAnsi="Times New Roman"/>
          <w:sz w:val="20"/>
        </w:rPr>
        <w:t>”</w:t>
      </w:r>
      <w:r>
        <w:rPr>
          <w:rFonts w:ascii="Times New Roman;serif" w:hAnsi="Times New Roman;serif"/>
          <w:b w:val="false"/>
          <w:sz w:val="24"/>
        </w:rPr>
        <w:t>), and declaring said amendment to be advisable. The stockholders of the Corporation duly approved said proposed amendment in acccordance with Section 242 of the General Corporation Law. Accordingly, to effect such proposed amendment, it is</w:t>
      </w:r>
    </w:p>
    <w:p>
      <w:pPr>
        <w:pStyle w:val="TextBody"/>
        <w:bidi w:val="0"/>
        <w:spacing w:before="0" w:after="240"/>
        <w:jc w:val="both"/>
        <w:rPr>
          <w:rFonts w:ascii="Times New Roman" w:hAnsi="Times New Roman"/>
          <w:sz w:val="20"/>
        </w:rPr>
      </w:pPr>
      <w:r>
        <w:rPr>
          <w:rFonts w:ascii="Times New Roman;serif" w:hAnsi="Times New Roman;serif"/>
          <w:b w:val="false"/>
          <w:sz w:val="24"/>
          <w:u w:val="single"/>
        </w:rPr>
        <w:t>RESOLVED</w:t>
      </w:r>
      <w:r>
        <w:rPr>
          <w:rFonts w:ascii="Times New Roman;serif" w:hAnsi="Times New Roman;serif"/>
          <w:b w:val="false"/>
          <w:sz w:val="24"/>
        </w:rPr>
        <w:t>: That Article SEVENTH of the Certificate of Incorporation be and hereby is deleted in its entirety and the following is inserted in lieu thereof:</w:t>
      </w:r>
    </w:p>
    <w:p>
      <w:pPr>
        <w:pStyle w:val="TextBody"/>
        <w:bidi w:val="0"/>
        <w:spacing w:before="0" w:after="240"/>
        <w:jc w:val="left"/>
        <w:rPr/>
      </w:pPr>
      <w:r>
        <w:rPr/>
        <w:t>“</w:t>
      </w:r>
      <w:r>
        <w:rPr>
          <w:rFonts w:ascii="Times New Roman;serif" w:hAnsi="Times New Roman;serif"/>
          <w:b w:val="false"/>
          <w:sz w:val="24"/>
        </w:rPr>
        <w:t>SEVENTH: To the fullest extent permitted by the General Corporation Law of the State of Delaware, no director or officer of the Corporation shall be personally liable to the Corporation (in the case of directors) or its stockholders (in the case of directors and officers) for monetary damages for any breach of fiduciary duty as a director or officer. No amendment, repeal or elimination of this provision shall apply to or have any effect on its application with respect to any act or omission of a director or officer occurring before such amendment, repeal or elimination. If the General Corporation Law of the State of Delaware is amended to permit further elimination or limitation of the personal liability of directors or officers, then the liability of a director or officer of the Corporation shall be eliminated or limited to the fullest extent permitted by the General Corporation Law of the State of Delaware as so amended.”</w:t>
      </w:r>
    </w:p>
    <w:p>
      <w:pPr>
        <w:pStyle w:val="TextBody"/>
        <w:bidi w:val="0"/>
        <w:spacing w:before="0" w:after="240"/>
        <w:jc w:val="both"/>
        <w:rPr/>
      </w:pPr>
      <w:r>
        <w:rPr/>
        <w:t> </w:t>
      </w:r>
    </w:p>
    <w:p>
      <w:pPr>
        <w:pStyle w:val="TextBody"/>
        <w:bidi w:val="0"/>
        <w:spacing w:before="240" w:after="240"/>
        <w:jc w:val="center"/>
        <w:rPr>
          <w:rFonts w:ascii="Times New Roman;serif" w:hAnsi="Times New Roman;serif"/>
          <w:b w:val="false"/>
          <w:i/>
          <w:sz w:val="24"/>
        </w:rPr>
      </w:pPr>
      <w:r>
        <w:rPr>
          <w:rFonts w:ascii="Times New Roman;serif" w:hAnsi="Times New Roman;serif"/>
          <w:b w:val="false"/>
          <w:i/>
          <w:sz w:val="24"/>
        </w:rPr>
        <w:t>[Remainder of Page Intentionally Left Blank]</w:t>
      </w:r>
    </w:p>
    <w:p>
      <w:pPr>
        <w:pStyle w:val="TextBody"/>
        <w:bidi w:val="0"/>
        <w:spacing w:before="240" w:after="240"/>
        <w:jc w:val="center"/>
        <w:rPr/>
      </w:pPr>
      <w:r>
        <w:rPr/>
        <w:t> </w:t>
      </w:r>
    </w:p>
    <w:p>
      <w:pPr>
        <w:pStyle w:val="TextBody"/>
        <w:bidi w:val="0"/>
        <w:spacing w:before="240" w:after="24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- 11</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val="false"/>
          <w:sz w:val="24"/>
        </w:rPr>
      </w:pPr>
      <w:r>
        <w:rPr>
          <w:rFonts w:ascii="Times New Roman;serif" w:hAnsi="Times New Roman;serif"/>
          <w:b w:val="false"/>
          <w:sz w:val="24"/>
        </w:rPr>
        <w:t>IN WITNESS WHEREOF, this Certificate of Amendment has been executed by a duly authorized officer of the Corporation on this 28th day of June, 2023.</w:t>
      </w:r>
    </w:p>
    <w:p>
      <w:pPr>
        <w:pStyle w:val="TextBody"/>
        <w:bidi w:val="0"/>
        <w:spacing w:before="480" w:after="240"/>
        <w:jc w:val="left"/>
        <w:rPr>
          <w:rFonts w:ascii="Times New Roman;serif" w:hAnsi="Times New Roman;serif"/>
          <w:b w:val="false"/>
          <w:sz w:val="24"/>
        </w:rPr>
      </w:pPr>
      <w:r>
        <w:rPr>
          <w:rFonts w:ascii="Times New Roman;serif" w:hAnsi="Times New Roman;serif"/>
          <w:b w:val="false"/>
          <w:sz w:val="24"/>
        </w:rPr>
        <w:t>TREVI THERAPEUTICS, INC.</w:t>
      </w:r>
    </w:p>
    <w:p>
      <w:pPr>
        <w:pStyle w:val="TextBody"/>
        <w:bidi w:val="0"/>
        <w:spacing w:before="0" w:after="0"/>
        <w:jc w:val="left"/>
        <w:rPr>
          <w:rFonts w:ascii="Times New Roman" w:hAnsi="Times New Roman"/>
          <w:sz w:val="20"/>
        </w:rPr>
      </w:pPr>
      <w:bookmarkStart w:id="19" w:name="opinion"/>
      <w:bookmarkEnd w:id="19"/>
      <w:r>
        <w:rPr>
          <w:rFonts w:ascii="Times New Roman;serif" w:hAnsi="Times New Roman;serif"/>
          <w:b w:val="false"/>
          <w:sz w:val="24"/>
        </w:rPr>
        <w:t>By:</w:t>
      </w:r>
      <w:r>
        <w:rPr>
          <w:rFonts w:ascii="Times New Roman" w:hAnsi="Times New Roman"/>
          <w:sz w:val="20"/>
          <w:u w:val="single"/>
        </w:rPr>
        <w:t xml:space="preserve"> </w:t>
      </w:r>
      <w:r>
        <w:rPr>
          <w:rFonts w:ascii="Times New Roman;serif" w:hAnsi="Times New Roman;serif"/>
          <w:b w:val="false"/>
          <w:sz w:val="24"/>
          <w:u w:val="single"/>
        </w:rPr>
        <w:t>/s/ Jennifer Good</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 Jennifer Good</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 Chief Executive Officer</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4"/>
        </w:rPr>
        <w:t>- 12</w:t>
      </w:r>
      <w:r>
        <w:rPr>
          <w:rFonts w:ascii="Times New Roman" w:hAnsi="Times New Roman"/>
          <w:sz w:val="20"/>
        </w:rPr>
        <w:t xml:space="preserve"> </w:t>
      </w:r>
      <w:r>
        <w:rPr>
          <w:rFonts w:ascii="Times New Roman;serif" w:hAnsi="Times New Roman;serif"/>
          <w:b w:val="false"/>
          <w:sz w:val="24"/>
        </w:rPr>
        <w:t>-</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0" w:name="trvi-ex31_1.htm"/>
      <w:bookmarkStart w:id="21" w:name="kstrviex31_1"/>
      <w:bookmarkEnd w:id="20"/>
      <w:bookmarkEnd w:id="2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OR 15d-14(a) UNDER THE SECURITIES EXCHANGE ACT OF 1934, 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Jennifer L. Good, certify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Trevi Therapeutics, Inc.;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6006" w:type="dxa"/>
        <w:jc w:val="left"/>
        <w:tblInd w:w="0" w:type="dxa"/>
        <w:tblLayout w:type="fixed"/>
        <w:tblCellMar>
          <w:top w:w="28" w:type="dxa"/>
          <w:left w:w="28" w:type="dxa"/>
          <w:bottom w:w="28" w:type="dxa"/>
          <w:right w:w="28" w:type="dxa"/>
        </w:tblCellMar>
      </w:tblPr>
      <w:tblGrid>
        <w:gridCol w:w="1951"/>
        <w:gridCol w:w="146"/>
        <w:gridCol w:w="146"/>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Jennifer L. Good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L. Good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2" w:name="trvi-ex31_2.htm"/>
      <w:bookmarkStart w:id="23" w:name="kstrviex31_2"/>
      <w:bookmarkEnd w:id="22"/>
      <w:bookmarkEnd w:id="2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RULES 13a-14(a) OR 15d-14(a) UNDER THE SECURITIES EXCHANGE ACT OF 1934, 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Lisa Delfini, certify that: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Trevi Therapeutics, Inc.;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tbl>
      <w:tblPr>
        <w:tblW w:w="5211" w:type="dxa"/>
        <w:jc w:val="left"/>
        <w:tblInd w:w="0" w:type="dxa"/>
        <w:tblLayout w:type="fixed"/>
        <w:tblCellMar>
          <w:top w:w="28" w:type="dxa"/>
          <w:left w:w="28" w:type="dxa"/>
          <w:bottom w:w="28" w:type="dxa"/>
          <w:right w:w="28" w:type="dxa"/>
        </w:tblCellMar>
      </w:tblPr>
      <w:tblGrid>
        <w:gridCol w:w="1951"/>
        <w:gridCol w:w="146"/>
        <w:gridCol w:w="146"/>
        <w:gridCol w:w="406"/>
        <w:gridCol w:w="14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Lisa Delfini</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Lisa Delfini</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trvi-ex32_1.htm"/>
      <w:bookmarkStart w:id="25" w:name="kstrviex32_1"/>
      <w:bookmarkEnd w:id="24"/>
      <w:bookmarkEnd w:id="25"/>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Trevi Therapeutics, Inc. (the “Company”) for the period ended June 30, 2023,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860" w:type="dxa"/>
        <w:jc w:val="left"/>
        <w:tblInd w:w="0" w:type="dxa"/>
        <w:tblLayout w:type="fixed"/>
        <w:tblCellMar>
          <w:top w:w="28" w:type="dxa"/>
          <w:left w:w="28" w:type="dxa"/>
          <w:bottom w:w="28" w:type="dxa"/>
          <w:right w:w="28" w:type="dxa"/>
        </w:tblCellMar>
      </w:tblPr>
      <w:tblGrid>
        <w:gridCol w:w="1951"/>
        <w:gridCol w:w="146"/>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Jennifer L. Good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L. Good</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trvi-ex32_2.htm"/>
      <w:bookmarkStart w:id="27" w:name="kstrviex32_2"/>
      <w:bookmarkEnd w:id="26"/>
      <w:bookmarkEnd w:id="27"/>
      <w:r>
        <w:rPr>
          <w:rFonts w:ascii="Times New Roman;serif" w:hAnsi="Times New Roman;serif"/>
          <w:b/>
          <w:sz w:val="20"/>
        </w:rPr>
        <w:t>Exhibit 32.2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Trevi Therapeutics, Inc. (the “Company”) for the period ended June 30, 2023,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065" w:type="dxa"/>
        <w:jc w:val="left"/>
        <w:tblInd w:w="0" w:type="dxa"/>
        <w:tblLayout w:type="fixed"/>
        <w:tblCellMar>
          <w:top w:w="28" w:type="dxa"/>
          <w:left w:w="28" w:type="dxa"/>
          <w:bottom w:w="28" w:type="dxa"/>
          <w:right w:w="28" w:type="dxa"/>
        </w:tblCellMar>
      </w:tblPr>
      <w:tblGrid>
        <w:gridCol w:w="1951"/>
        <w:gridCol w:w="146"/>
        <w:gridCol w:w="406"/>
        <w:gridCol w:w="14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Lisa Delfini</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Lisa Delfini</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3880/000095017023012870/trvi-ex3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74202</Words>
  <Characters>402287</Characters>
  <CharactersWithSpaces>477165</CharactersWithSpaces>
  <Paragraphs>6138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