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660" w:right="1580" w:hanging="3652"/>
        <w:spacing w:after="0" w:line="391" w:lineRule="auto"/>
        <w:tabs>
          <w:tab w:leader="none" w:pos="511"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2022</w:t>
      </w:r>
    </w:p>
    <w:p>
      <w:pPr>
        <w:spacing w:after="0" w:line="280"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72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3833495</wp:posOffset>
            </wp:positionH>
            <wp:positionV relativeFrom="paragraph">
              <wp:posOffset>-5080</wp:posOffset>
            </wp:positionV>
            <wp:extent cx="9518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b w:val="1"/>
          <w:bCs w:val="1"/>
          <w:color w:val="222222"/>
        </w:rPr>
        <w:t>001-38886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TREVI 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4500" w:type="dxa"/>
            <w:vAlign w:val="bottom"/>
            <w:gridSpan w:val="3"/>
          </w:tcPr>
          <w:p>
            <w:pPr>
              <w:jc w:val="center"/>
              <w:ind w:left="105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80" w:type="dxa"/>
            <w:vAlign w:val="bottom"/>
          </w:tcPr>
          <w:p>
            <w:pPr>
              <w:jc w:val="right"/>
              <w:ind w:right="2300"/>
              <w:spacing w:after="0"/>
              <w:rPr>
                <w:sz w:val="20"/>
                <w:szCs w:val="20"/>
                <w:color w:val="auto"/>
              </w:rPr>
            </w:pPr>
            <w:r>
              <w:rPr>
                <w:rFonts w:ascii="Times New Roman" w:cs="Times New Roman" w:eastAsia="Times New Roman" w:hAnsi="Times New Roman"/>
                <w:sz w:val="18"/>
                <w:szCs w:val="18"/>
                <w:b w:val="1"/>
                <w:bCs w:val="1"/>
                <w:color w:val="auto"/>
              </w:rPr>
              <w:t>45-0834299</w:t>
            </w:r>
          </w:p>
        </w:tc>
        <w:tc>
          <w:tcPr>
            <w:tcW w:w="0" w:type="dxa"/>
            <w:vAlign w:val="bottom"/>
          </w:tcPr>
          <w:p>
            <w:pPr>
              <w:spacing w:after="0"/>
              <w:rPr>
                <w:sz w:val="1"/>
                <w:szCs w:val="1"/>
                <w:color w:val="auto"/>
              </w:rPr>
            </w:pPr>
          </w:p>
        </w:tc>
      </w:tr>
      <w:tr>
        <w:trPr>
          <w:trHeight w:val="148"/>
        </w:trPr>
        <w:tc>
          <w:tcPr>
            <w:tcW w:w="4500" w:type="dxa"/>
            <w:vAlign w:val="bottom"/>
            <w:gridSpan w:val="3"/>
          </w:tcPr>
          <w:p>
            <w:pPr>
              <w:jc w:val="center"/>
              <w:ind w:left="1058"/>
              <w:spacing w:after="0" w:line="149" w:lineRule="exact"/>
              <w:rPr>
                <w:sz w:val="20"/>
                <w:szCs w:val="20"/>
                <w:color w:val="auto"/>
              </w:rPr>
            </w:pPr>
            <w:r>
              <w:rPr>
                <w:rFonts w:ascii="Times New Roman" w:cs="Times New Roman" w:eastAsia="Times New Roman" w:hAnsi="Times New Roman"/>
                <w:sz w:val="14"/>
                <w:szCs w:val="14"/>
                <w:b w:val="1"/>
                <w:bCs w:val="1"/>
                <w:color w:val="auto"/>
              </w:rPr>
              <w:t>( State or other jurisdiction of</w:t>
            </w:r>
          </w:p>
        </w:tc>
        <w:tc>
          <w:tcPr>
            <w:tcW w:w="2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80" w:type="dxa"/>
            <w:vAlign w:val="bottom"/>
          </w:tcPr>
          <w:p>
            <w:pPr>
              <w:jc w:val="center"/>
              <w:ind w:right="204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500" w:type="dxa"/>
            <w:vAlign w:val="bottom"/>
            <w:gridSpan w:val="3"/>
          </w:tcPr>
          <w:p>
            <w:pPr>
              <w:jc w:val="center"/>
              <w:ind w:left="105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80" w:type="dxa"/>
            <w:vAlign w:val="bottom"/>
          </w:tcPr>
          <w:p>
            <w:pPr>
              <w:jc w:val="center"/>
              <w:ind w:right="206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85"/>
        </w:trPr>
        <w:tc>
          <w:tcPr>
            <w:tcW w:w="4500" w:type="dxa"/>
            <w:vAlign w:val="bottom"/>
            <w:gridSpan w:val="3"/>
          </w:tcPr>
          <w:p>
            <w:pPr>
              <w:jc w:val="center"/>
              <w:ind w:left="1058"/>
              <w:spacing w:after="0"/>
              <w:rPr>
                <w:sz w:val="20"/>
                <w:szCs w:val="20"/>
                <w:color w:val="auto"/>
              </w:rPr>
            </w:pPr>
            <w:r>
              <w:rPr>
                <w:rFonts w:ascii="Times New Roman" w:cs="Times New Roman" w:eastAsia="Times New Roman" w:hAnsi="Times New Roman"/>
                <w:sz w:val="18"/>
                <w:szCs w:val="18"/>
                <w:b w:val="1"/>
                <w:bCs w:val="1"/>
                <w:color w:val="auto"/>
              </w:rPr>
              <w:t>195 Church Street, 14</w:t>
            </w:r>
            <w:r>
              <w:rPr>
                <w:rFonts w:ascii="Times New Roman" w:cs="Times New Roman" w:eastAsia="Times New Roman" w:hAnsi="Times New Roman"/>
                <w:sz w:val="15"/>
                <w:szCs w:val="15"/>
                <w:b w:val="1"/>
                <w:bCs w:val="1"/>
                <w:color w:val="auto"/>
              </w:rPr>
              <w:t>th</w:t>
            </w:r>
            <w:r>
              <w:rPr>
                <w:rFonts w:ascii="Times New Roman" w:cs="Times New Roman" w:eastAsia="Times New Roman" w:hAnsi="Times New Roman"/>
                <w:sz w:val="18"/>
                <w:szCs w:val="18"/>
                <w:b w:val="1"/>
                <w:bCs w:val="1"/>
                <w:color w:val="auto"/>
              </w:rPr>
              <w:t xml:space="preserve"> Floor</w:t>
            </w:r>
          </w:p>
        </w:tc>
        <w:tc>
          <w:tcPr>
            <w:tcW w:w="2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500" w:type="dxa"/>
            <w:vAlign w:val="bottom"/>
            <w:gridSpan w:val="3"/>
          </w:tcPr>
          <w:p>
            <w:pPr>
              <w:jc w:val="center"/>
              <w:ind w:left="1038"/>
              <w:spacing w:after="0"/>
              <w:rPr>
                <w:sz w:val="20"/>
                <w:szCs w:val="20"/>
                <w:color w:val="auto"/>
              </w:rPr>
            </w:pPr>
            <w:r>
              <w:rPr>
                <w:rFonts w:ascii="Times New Roman" w:cs="Times New Roman" w:eastAsia="Times New Roman" w:hAnsi="Times New Roman"/>
                <w:sz w:val="18"/>
                <w:szCs w:val="18"/>
                <w:b w:val="1"/>
                <w:bCs w:val="1"/>
                <w:color w:val="auto"/>
                <w:w w:val="99"/>
              </w:rPr>
              <w:t>New Haven, Connecticut</w:t>
            </w:r>
          </w:p>
        </w:tc>
        <w:tc>
          <w:tcPr>
            <w:tcW w:w="2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80" w:type="dxa"/>
            <w:vAlign w:val="bottom"/>
          </w:tcPr>
          <w:p>
            <w:pPr>
              <w:jc w:val="right"/>
              <w:ind w:right="2500"/>
              <w:spacing w:after="0"/>
              <w:rPr>
                <w:sz w:val="20"/>
                <w:szCs w:val="20"/>
                <w:color w:val="auto"/>
              </w:rPr>
            </w:pPr>
            <w:r>
              <w:rPr>
                <w:rFonts w:ascii="Times New Roman" w:cs="Times New Roman" w:eastAsia="Times New Roman" w:hAnsi="Times New Roman"/>
                <w:sz w:val="18"/>
                <w:szCs w:val="18"/>
                <w:b w:val="1"/>
                <w:bCs w:val="1"/>
                <w:color w:val="auto"/>
              </w:rPr>
              <w:t>06510</w:t>
            </w:r>
          </w:p>
        </w:tc>
        <w:tc>
          <w:tcPr>
            <w:tcW w:w="0" w:type="dxa"/>
            <w:vAlign w:val="bottom"/>
          </w:tcPr>
          <w:p>
            <w:pPr>
              <w:spacing w:after="0"/>
              <w:rPr>
                <w:sz w:val="1"/>
                <w:szCs w:val="1"/>
                <w:color w:val="auto"/>
              </w:rPr>
            </w:pPr>
          </w:p>
        </w:tc>
      </w:tr>
      <w:tr>
        <w:trPr>
          <w:trHeight w:val="190"/>
        </w:trPr>
        <w:tc>
          <w:tcPr>
            <w:tcW w:w="4500" w:type="dxa"/>
            <w:vAlign w:val="bottom"/>
            <w:gridSpan w:val="3"/>
          </w:tcPr>
          <w:p>
            <w:pPr>
              <w:jc w:val="center"/>
              <w:ind w:left="103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80" w:type="dxa"/>
            <w:vAlign w:val="bottom"/>
          </w:tcPr>
          <w:p>
            <w:pPr>
              <w:jc w:val="center"/>
              <w:ind w:right="206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98"/>
        </w:trPr>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(203) 304-2499</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760" w:type="dxa"/>
            <w:vAlign w:val="bottom"/>
            <w:gridSpan w:val="7"/>
          </w:tcPr>
          <w:p>
            <w:pPr>
              <w:jc w:val="center"/>
              <w:ind w:left="341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3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4500" w:type="dxa"/>
            <w:vAlign w:val="bottom"/>
            <w:gridSpan w:val="3"/>
            <w:vMerge w:val="restart"/>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224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4500" w:type="dxa"/>
            <w:vAlign w:val="bottom"/>
            <w:gridSpan w:val="3"/>
            <w:vMerge w:val="continue"/>
          </w:tcPr>
          <w:p>
            <w:pPr>
              <w:spacing w:after="0"/>
              <w:rPr>
                <w:sz w:val="24"/>
                <w:szCs w:val="24"/>
                <w:color w:val="auto"/>
              </w:rPr>
            </w:pPr>
          </w:p>
        </w:tc>
        <w:tc>
          <w:tcPr>
            <w:tcW w:w="2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500" w:type="dxa"/>
            <w:vAlign w:val="bottom"/>
            <w:gridSpan w:val="3"/>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260" w:type="dxa"/>
            <w:vAlign w:val="bottom"/>
            <w:gridSpan w:val="4"/>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480" w:type="dxa"/>
            <w:vAlign w:val="bottom"/>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500" w:type="dxa"/>
            <w:vAlign w:val="bottom"/>
            <w:gridSpan w:val="3"/>
            <w:vMerge w:val="continue"/>
          </w:tcPr>
          <w:p>
            <w:pPr>
              <w:spacing w:after="0"/>
              <w:rPr>
                <w:sz w:val="15"/>
                <w:szCs w:val="15"/>
                <w:color w:val="auto"/>
              </w:rPr>
            </w:pPr>
          </w:p>
        </w:tc>
        <w:tc>
          <w:tcPr>
            <w:tcW w:w="3260" w:type="dxa"/>
            <w:vAlign w:val="bottom"/>
            <w:gridSpan w:val="4"/>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$0.001 par value per share</w:t>
            </w:r>
          </w:p>
        </w:tc>
        <w:tc>
          <w:tcPr>
            <w:tcW w:w="14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700" w:type="dxa"/>
            <w:vAlign w:val="bottom"/>
            <w:tcBorders>
              <w:top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TRVI</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3480" w:type="dxa"/>
            <w:vAlign w:val="bottom"/>
            <w:tcBorders>
              <w:top w:val="single" w:sz="8" w:color="auto"/>
            </w:tcBorders>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72" w:lineRule="exact"/>
        <w:rPr>
          <w:sz w:val="24"/>
          <w:szCs w:val="24"/>
          <w:color w:val="auto"/>
        </w:rPr>
      </w:pPr>
    </w:p>
    <w:p>
      <w:pPr>
        <w:jc w:val="both"/>
        <w:ind w:firstLine="510"/>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60"/>
        <w:spacing w:after="0" w:line="184" w:lineRule="exact"/>
        <w:tabs>
          <w:tab w:leader="none" w:pos="78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19" w:lineRule="exact"/>
        <w:rPr>
          <w:sz w:val="24"/>
          <w:szCs w:val="24"/>
          <w:color w:val="auto"/>
        </w:rPr>
      </w:pPr>
    </w:p>
    <w:p>
      <w:pPr>
        <w:ind w:right="180" w:firstLine="51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2" w:lineRule="exact"/>
        <w:rPr>
          <w:sz w:val="24"/>
          <w:szCs w:val="24"/>
          <w:color w:val="auto"/>
        </w:rPr>
      </w:pPr>
    </w:p>
    <w:p>
      <w:pPr>
        <w:jc w:val="both"/>
        <w:ind w:right="240" w:firstLine="51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84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96" w:lineRule="exact"/>
        <w:rPr>
          <w:sz w:val="24"/>
          <w:szCs w:val="24"/>
          <w:color w:val="auto"/>
        </w:rPr>
      </w:pPr>
    </w:p>
    <w:p>
      <w:pPr>
        <w:jc w:val="both"/>
        <w:ind w:right="80" w:firstLine="51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6" w:lineRule="exact"/>
        <w:rPr>
          <w:sz w:val="24"/>
          <w:szCs w:val="24"/>
          <w:color w:val="auto"/>
        </w:rPr>
      </w:pPr>
    </w:p>
    <w:p>
      <w:pPr>
        <w:ind w:left="520" w:right="2160"/>
        <w:spacing w:after="0" w:line="27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November 10, 2022, the registrant had 59,922,945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540385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 AND INDUSTRY DATA</w:t>
      </w:r>
    </w:p>
    <w:p>
      <w:pPr>
        <w:spacing w:after="0" w:line="121"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substantial risks and uncertainties. All statements, other than statements of historical fact, contained in this Quarterly Report on Form 10-Q, including statements regarding our strategy, future operations, future financial position, future revenues and profitability, projected costs, prospects, plans and objectives of management, are forward-looking statements. The words “anticipate,” “believe,” “continue,” “could,” “estimate,” “expect,” “intend,” “may,” “might,” “plan,” “potential,” “predict,” “project,” “should,” “target,” “would” and similar expressions are intended to identify forward-looking statements, although not all forward-looking statements contain these identifying words.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forward-looking statements in this Quarterly Report on Form 10-Q include, among other things, statements about:</w:t>
      </w:r>
    </w:p>
    <w:p>
      <w:pPr>
        <w:spacing w:after="0" w:line="117" w:lineRule="exact"/>
        <w:rPr>
          <w:sz w:val="20"/>
          <w:szCs w:val="20"/>
          <w:color w:val="auto"/>
        </w:rPr>
      </w:pPr>
    </w:p>
    <w:p>
      <w:pPr>
        <w:ind w:left="880" w:right="240" w:hanging="373"/>
        <w:spacing w:after="0" w:line="282"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including our planned trials of Haduvio for the treatment of chronic cough in adults with idiopathic pulmonary fibrosis, or IPF, and for refractory chronic cough, and our Phase 2b/3 PRISM trial of Haduvio for the treatment of prurigo nodularis;</w:t>
      </w:r>
    </w:p>
    <w:p>
      <w:pPr>
        <w:spacing w:after="0" w:line="53" w:lineRule="exact"/>
        <w:rPr>
          <w:rFonts w:ascii="Times New Roman" w:cs="Times New Roman" w:eastAsia="Times New Roman" w:hAnsi="Times New Roman"/>
          <w:sz w:val="18"/>
          <w:szCs w:val="18"/>
          <w:color w:val="auto"/>
        </w:rPr>
      </w:pPr>
    </w:p>
    <w:p>
      <w:pPr>
        <w:ind w:left="880" w:right="40" w:hanging="373"/>
        <w:spacing w:after="0" w:line="282"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if approved, subsequently commercialize Haduvio for the treatment of chronic cough in adults with IPF and for other chronic cough indications and for the treatment of prurigo nodularis;</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timing for the initiation of clinical trials and the reporting of data from such trials;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submit applications for and to obtain and maintain regulatory approvals for Haduvio;</w:t>
      </w:r>
    </w:p>
    <w:p>
      <w:pPr>
        <w:spacing w:after="0" w:line="144" w:lineRule="exact"/>
        <w:rPr>
          <w:rFonts w:ascii="Times New Roman" w:cs="Times New Roman" w:eastAsia="Times New Roman" w:hAnsi="Times New Roman"/>
          <w:sz w:val="18"/>
          <w:szCs w:val="18"/>
          <w:color w:val="auto"/>
        </w:rPr>
      </w:pPr>
    </w:p>
    <w:p>
      <w:pPr>
        <w:ind w:left="880" w:right="660" w:hanging="373"/>
        <w:spacing w:after="0" w:line="282"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fund our operating expenses, including our planned clinical trials, and our capital expenditure requirements with our cash, cash equivalents and marketable securities;</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timing of any future revenue, capital requirements and needs for additional financing;</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and</w:t>
      </w:r>
    </w:p>
    <w:p>
      <w:pPr>
        <w:spacing w:after="0" w:line="117" w:lineRule="exact"/>
        <w:rPr>
          <w:rFonts w:ascii="Times New Roman" w:cs="Times New Roman" w:eastAsia="Times New Roman" w:hAnsi="Times New Roman"/>
          <w:sz w:val="18"/>
          <w:szCs w:val="18"/>
          <w:color w:val="auto"/>
        </w:rPr>
      </w:pPr>
    </w:p>
    <w:p>
      <w:pPr>
        <w:ind w:left="880" w:right="640" w:hanging="373"/>
        <w:spacing w:after="0" w:line="282"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and other outbreaks of infectious disease on our clinical trials, business and operations, and our response to the COVID-19 pandemic and any other such outbreaks.</w:t>
      </w:r>
    </w:p>
    <w:p>
      <w:pPr>
        <w:spacing w:after="0" w:line="54"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particularly in the section titled “Risk Factors,” that we believe could cause actual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79"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have filed as exhibits to this Quarterly Report on Form 10-Q completely and with the understanding that our actual future results may differ materially from what we expect. The forward-looking statements contained in this Quarterly Report on Form 10-Q are made as of the date of this Quarterly Report on Form 10-Q, and we do not assume any obligation to update any forward-looking statements except as required by applicable law.</w:t>
      </w:r>
    </w:p>
    <w:p>
      <w:pPr>
        <w:spacing w:after="0" w:line="72"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This report includes statistical and other industry and market data that we obtained from industry publications and research, surveys, and studies conducted by third parties as well as our own estimates. All of the market data used in this report involve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Haduvio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spacing w:after="0" w:line="81" w:lineRule="exact"/>
        <w:rPr>
          <w:sz w:val="20"/>
          <w:szCs w:val="20"/>
          <w:color w:val="auto"/>
        </w:rPr>
      </w:pPr>
    </w:p>
    <w:p>
      <w:pPr>
        <w:ind w:right="140" w:firstLine="510"/>
        <w:spacing w:after="0" w:line="256" w:lineRule="auto"/>
        <w:rPr>
          <w:sz w:val="20"/>
          <w:szCs w:val="20"/>
          <w:color w:val="auto"/>
        </w:rPr>
      </w:pPr>
      <w:r>
        <w:rPr>
          <w:rFonts w:ascii="Times New Roman" w:cs="Times New Roman" w:eastAsia="Times New Roman" w:hAnsi="Times New Roman"/>
          <w:sz w:val="18"/>
          <w:szCs w:val="18"/>
          <w:color w:val="auto"/>
        </w:rPr>
        <w:t>We own or have rights to trademarks, service marks and trade names that we use in connection with the operation of our business, including our corporate name, logos and website names. We own the trademarks Trevi® and Haduvio™. Other trademarks, service marks and trade names appearing in this Quarterly Report on Form 10-Q are the property of their respective owners. Solely for convenience, some of the trademarks, service marks and trade names referred to in this Quarterly Report on Form 10-Q are listed without the ® and ™ symbols, but we will assert, to the fullest extent under applicable law, our rights to our trademarks, service marks and trade names. We intend to propose Haduvio as the trade name for our oral nalbuphine ER investigational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2" w:name="page3"/>
    <w:bookmarkEnd w:id="2"/>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43"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The following is a summary of the principal factors that make an investment in our company speculative or risky. This summary does not address all of the risks and uncertainties that we face. Additional risk and uncertainties not presently known to us or that we presently deem less significant may also impair our business operations. Additional discussion of the risks summarized in this summary and other risks that we face, can be found in the “Risk Factors” section of this Quarterly Report on Form 10-Q and should be carefully considered, together with other information in this Quarterly Report on Form 10-Q and our other filings with the Securities and Exchange Commission, before making an investment decision regarding our common stock. The forward-looking statements discussed above are qualified by these risk factors. If any of the following risks occur, our business, financial condition, results of operations and future growth prospects could be materially and adversely affected.</w:t>
      </w:r>
    </w:p>
    <w:p>
      <w:pPr>
        <w:spacing w:after="0" w:line="189" w:lineRule="exact"/>
        <w:rPr>
          <w:sz w:val="20"/>
          <w:szCs w:val="20"/>
          <w:color w:val="auto"/>
        </w:rPr>
      </w:pPr>
    </w:p>
    <w:p>
      <w:pPr>
        <w:ind w:left="740" w:hanging="368"/>
        <w:spacing w:after="0" w:line="282"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inception and expect to continue to incur significant and increasing losses for the foreseeable future. We may never achieve or maintain profitability.</w:t>
      </w:r>
    </w:p>
    <w:p>
      <w:pPr>
        <w:spacing w:after="0" w:line="161" w:lineRule="exact"/>
        <w:rPr>
          <w:rFonts w:ascii="Times New Roman" w:cs="Times New Roman" w:eastAsia="Times New Roman" w:hAnsi="Times New Roman"/>
          <w:sz w:val="18"/>
          <w:szCs w:val="18"/>
          <w:color w:val="auto"/>
        </w:rPr>
      </w:pPr>
    </w:p>
    <w:p>
      <w:pPr>
        <w:ind w:left="740" w:right="280" w:hanging="368"/>
        <w:spacing w:after="0" w:line="282"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If we are unable to raise sufficient capital when needed on acceptable terms or at all, we could be forced to delay, reduce or abandon our product development programs or commercialization efforts.</w:t>
      </w:r>
    </w:p>
    <w:p>
      <w:pPr>
        <w:spacing w:after="0" w:line="161" w:lineRule="exact"/>
        <w:rPr>
          <w:rFonts w:ascii="Times New Roman" w:cs="Times New Roman" w:eastAsia="Times New Roman" w:hAnsi="Times New Roman"/>
          <w:sz w:val="18"/>
          <w:szCs w:val="18"/>
          <w:color w:val="auto"/>
        </w:rPr>
      </w:pPr>
    </w:p>
    <w:p>
      <w:pPr>
        <w:jc w:val="both"/>
        <w:ind w:left="740" w:right="20" w:hanging="368"/>
        <w:spacing w:after="0" w:line="266"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the successful development and commercialization of Haduvio, our sole product candidate. If we are unable to complete the clinical development of, obtain marketing approval for or successfully commercialize Haduvio or if we experience significant delays in doing so, our business would be substantially harmed.</w:t>
      </w:r>
    </w:p>
    <w:p>
      <w:pPr>
        <w:spacing w:after="0" w:line="175" w:lineRule="exact"/>
        <w:rPr>
          <w:rFonts w:ascii="Times New Roman" w:cs="Times New Roman" w:eastAsia="Times New Roman" w:hAnsi="Times New Roman"/>
          <w:sz w:val="18"/>
          <w:szCs w:val="18"/>
          <w:color w:val="auto"/>
        </w:rPr>
      </w:pPr>
    </w:p>
    <w:p>
      <w:pPr>
        <w:ind w:left="740" w:right="120" w:hanging="368"/>
        <w:spacing w:after="0" w:line="258"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 the process of designing future clinical trials of Haduvio for the treatment of chronic cough in adults with IPF and refractory chronic cough, as well as for the treatment of prurigo nodularis. Before commencing the trials, we plan to discuss the design of the trials with regulatory authorities and will need to submit an IND for Haduvio before proceeding with our planned trials for chronic cough in adults with IPF. Changes in the design of planned trials or regulatory delays may affect the timing and costs of the trials and changes in the timing or costs of the trials for these or other reasons may affect our ability to complete the planned trials with our existing cash resources.</w:t>
      </w:r>
    </w:p>
    <w:p>
      <w:pPr>
        <w:spacing w:after="0" w:line="183" w:lineRule="exact"/>
        <w:rPr>
          <w:rFonts w:ascii="Times New Roman" w:cs="Times New Roman" w:eastAsia="Times New Roman" w:hAnsi="Times New Roman"/>
          <w:sz w:val="18"/>
          <w:szCs w:val="18"/>
          <w:color w:val="auto"/>
        </w:rPr>
      </w:pPr>
    </w:p>
    <w:p>
      <w:pPr>
        <w:ind w:left="740" w:right="20" w:hanging="368"/>
        <w:spacing w:after="0" w:line="258"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clinical trials may not be predictive of the success of later clinical trials. For instance, Haduvio may fail to show the desired safety and efficacy in clinical development despite demonstrating positive results in earlier clinical trials. The results of our Phase 2 CANAL trial may not be predictive of the results of future trials of Haduvio for the treatment of chronic cough in adults with IPF or other chronic cough indications, and the results of our Phase 2b/3 PRISM trial in Haduvio for the treatment of prurigo nodularis may not be predictive of the results of any future trial in prurigo nodularis.</w:t>
      </w:r>
    </w:p>
    <w:p>
      <w:pPr>
        <w:spacing w:after="0" w:line="183" w:lineRule="exact"/>
        <w:rPr>
          <w:rFonts w:ascii="Times New Roman" w:cs="Times New Roman" w:eastAsia="Times New Roman" w:hAnsi="Times New Roman"/>
          <w:sz w:val="18"/>
          <w:szCs w:val="18"/>
          <w:color w:val="auto"/>
        </w:rPr>
      </w:pPr>
    </w:p>
    <w:p>
      <w:pPr>
        <w:ind w:left="740" w:right="60" w:hanging="368"/>
        <w:spacing w:after="0" w:line="255"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delays and difficulties in the enrollment of subjects in our clinical trials in the past, including in our Phase 2 CANAL trial and our Phase 2b/3 PRISM trial. If we experience delays or difficulties in the enrollment of subjects in future clinical trials, our receipt of necessary regulatory approvals could be delayed or prevented. Other companies are conducting clinical trials or have announced plans for future clinical trials that are seeking or are likely to seek to enroll subjects with chronic cough in adults with IPF, refractory chronic cough and prurigo nodularis, and subjects are generally only able to enroll in a single trial at a time. In addition, many patients use various treatments off-label to treat chronic cough in adults with IPF, refractory chronic cough and prurigo nodularis, and these patients and their physicians may be reluctant to forgo, discontinue or otherwise alter their use of such off-label therapeutic approaches to participate in our clinical trials.</w:t>
      </w:r>
    </w:p>
    <w:p>
      <w:pPr>
        <w:spacing w:after="0" w:line="188" w:lineRule="exact"/>
        <w:rPr>
          <w:rFonts w:ascii="Times New Roman" w:cs="Times New Roman" w:eastAsia="Times New Roman" w:hAnsi="Times New Roman"/>
          <w:sz w:val="18"/>
          <w:szCs w:val="18"/>
          <w:color w:val="auto"/>
        </w:rPr>
      </w:pPr>
    </w:p>
    <w:p>
      <w:pPr>
        <w:ind w:left="740" w:right="220" w:hanging="368"/>
        <w:spacing w:after="0" w:line="266"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drug development involves a lengthy and expensive process with an uncertain outcome. Even if we complete the necessary preclinical studies and clinical trials, the regulatory approval process is expensive, time-consuming and uncertain, which may prevent us from obtaining approvals for the commercialization of Haduvio or any future product candidate.</w:t>
      </w:r>
    </w:p>
    <w:p>
      <w:pPr>
        <w:spacing w:after="0" w:line="175" w:lineRule="exact"/>
        <w:rPr>
          <w:rFonts w:ascii="Times New Roman" w:cs="Times New Roman" w:eastAsia="Times New Roman" w:hAnsi="Times New Roman"/>
          <w:sz w:val="18"/>
          <w:szCs w:val="18"/>
          <w:color w:val="auto"/>
        </w:rPr>
      </w:pPr>
    </w:p>
    <w:p>
      <w:pPr>
        <w:ind w:left="740" w:right="20" w:hanging="368"/>
        <w:spacing w:after="0" w:line="256"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events or undesirable side effects caused by, or other unexpected properties of, Haduvio or any future project candidate may be identified during development and could delay or prevent the marketing approval or limit the use of Haduvio or any future product. Haduvio, as a mixed κ-opioid receptor agonist and μ-opioid receptor antagonist, may be susceptible to side effects associated with drugs having either of those mechanisms of action, including psychiatric side effects, withdrawal effects, respiratory depression and potential cardiac risk, as well as endocrine side effects associated with opioids generally. The drug label for nalbuphine, the active ingredient in Haduvio, carries a warning for serious, life-threatening or fatal respiratory depression and Haduvio, if approved for marketing in any indication, will likely carry a similar label.</w:t>
      </w:r>
    </w:p>
    <w:p>
      <w:pPr>
        <w:spacing w:after="0" w:line="187" w:lineRule="exact"/>
        <w:rPr>
          <w:rFonts w:ascii="Times New Roman" w:cs="Times New Roman" w:eastAsia="Times New Roman" w:hAnsi="Times New Roman"/>
          <w:sz w:val="18"/>
          <w:szCs w:val="18"/>
          <w:color w:val="auto"/>
        </w:rPr>
      </w:pPr>
    </w:p>
    <w:p>
      <w:pPr>
        <w:ind w:left="740" w:right="60" w:hanging="368"/>
        <w:spacing w:after="0" w:line="266"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currently approved μ-opioid products are subject to restrictive marketing and distribution regulations which, if applied to Haduvio, could potentially restrict its use and harm our ability to generate profits. We are initiating a human abuse liability, or HAL, study to further characterize the abuse potential of oral nalbuphine. If the results of the HAL study suggest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 w:name="page4"/>
    <w:bookmarkEnd w:id="3"/>
    <w:p>
      <w:pPr>
        <w:jc w:val="both"/>
        <w:ind w:left="368" w:right="20"/>
        <w:spacing w:after="0" w:line="289" w:lineRule="auto"/>
        <w:rPr>
          <w:sz w:val="20"/>
          <w:szCs w:val="20"/>
          <w:color w:val="auto"/>
        </w:rPr>
      </w:pPr>
      <w:r>
        <w:rPr>
          <w:rFonts w:ascii="Times New Roman" w:cs="Times New Roman" w:eastAsia="Times New Roman" w:hAnsi="Times New Roman"/>
          <w:sz w:val="17"/>
          <w:szCs w:val="17"/>
          <w:color w:val="auto"/>
        </w:rPr>
        <w:t>that Haduvio may carry risks of misuse, abuse or addiction or even if the trial indicates that Haduvio does not carry such risks, the U.S. Food and Drug Administration, or FDA, may require us to implement a Risk Evaluation and Mitigation Strategy in connection with any commercialization of Haduvio and the U.S. Drug Enforcement Agency could determine that Haduvio should be classified as a controlled substance.</w:t>
      </w:r>
    </w:p>
    <w:p>
      <w:pPr>
        <w:spacing w:after="0" w:line="158" w:lineRule="exact"/>
        <w:rPr>
          <w:sz w:val="20"/>
          <w:szCs w:val="20"/>
          <w:color w:val="auto"/>
        </w:rPr>
      </w:pPr>
    </w:p>
    <w:p>
      <w:pPr>
        <w:ind w:left="368" w:right="120" w:hanging="368"/>
        <w:spacing w:after="0" w:line="282" w:lineRule="auto"/>
        <w:tabs>
          <w:tab w:leader="none" w:pos="3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establish sales, marketing and distribution capabilities or enter into sales, marketing and distribution arrangements with third parties, we may not be successful in commercializing Haduvio or any future product candidates if and when they are approved.</w:t>
      </w:r>
    </w:p>
    <w:p>
      <w:pPr>
        <w:spacing w:after="0" w:line="161" w:lineRule="exact"/>
        <w:rPr>
          <w:rFonts w:ascii="Times New Roman" w:cs="Times New Roman" w:eastAsia="Times New Roman" w:hAnsi="Times New Roman"/>
          <w:sz w:val="18"/>
          <w:szCs w:val="18"/>
          <w:color w:val="auto"/>
        </w:rPr>
      </w:pPr>
    </w:p>
    <w:p>
      <w:pPr>
        <w:ind w:left="368" w:hanging="368"/>
        <w:spacing w:after="0"/>
        <w:tabs>
          <w:tab w:leader="none" w:pos="3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developing or commercializing products before or more successfully than we do.</w:t>
      </w:r>
    </w:p>
    <w:p>
      <w:pPr>
        <w:spacing w:after="0" w:line="225" w:lineRule="exact"/>
        <w:rPr>
          <w:rFonts w:ascii="Times New Roman" w:cs="Times New Roman" w:eastAsia="Times New Roman" w:hAnsi="Times New Roman"/>
          <w:sz w:val="18"/>
          <w:szCs w:val="18"/>
          <w:color w:val="auto"/>
        </w:rPr>
      </w:pPr>
    </w:p>
    <w:p>
      <w:pPr>
        <w:ind w:left="368" w:right="180" w:hanging="368"/>
        <w:spacing w:after="0" w:line="261" w:lineRule="auto"/>
        <w:tabs>
          <w:tab w:leader="none" w:pos="3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contract with third parties to conduct our clinical trials and for the manufacture, storage, packaging and distribution of Haduvio for clinical trials, including a single supplier for the active ingredient in Haduvio. We expect to continue to rely on third parties for these services in connection with our future development and commercialization efforts for Haduvio. If they do not perform satisfactorily, our business could be harmed.</w:t>
      </w:r>
    </w:p>
    <w:p>
      <w:pPr>
        <w:spacing w:after="0" w:line="179" w:lineRule="exact"/>
        <w:rPr>
          <w:rFonts w:ascii="Times New Roman" w:cs="Times New Roman" w:eastAsia="Times New Roman" w:hAnsi="Times New Roman"/>
          <w:sz w:val="18"/>
          <w:szCs w:val="18"/>
          <w:color w:val="auto"/>
        </w:rPr>
      </w:pPr>
    </w:p>
    <w:p>
      <w:pPr>
        <w:jc w:val="both"/>
        <w:ind w:left="368" w:right="140" w:hanging="368"/>
        <w:spacing w:after="0" w:line="266" w:lineRule="auto"/>
        <w:tabs>
          <w:tab w:leader="none" w:pos="3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obligations under our existing and any future intellectual property licenses with third parties, including our license with Endo Pharmaceuticals Inc., we could lose license rights that are critical to our business or owe damages to the licensor of such intellectual property.</w:t>
      </w:r>
    </w:p>
    <w:p>
      <w:pPr>
        <w:spacing w:after="0" w:line="175" w:lineRule="exact"/>
        <w:rPr>
          <w:rFonts w:ascii="Times New Roman" w:cs="Times New Roman" w:eastAsia="Times New Roman" w:hAnsi="Times New Roman"/>
          <w:sz w:val="18"/>
          <w:szCs w:val="18"/>
          <w:color w:val="auto"/>
        </w:rPr>
      </w:pPr>
    </w:p>
    <w:p>
      <w:pPr>
        <w:ind w:left="368" w:right="240" w:hanging="368"/>
        <w:spacing w:after="0" w:line="261" w:lineRule="auto"/>
        <w:tabs>
          <w:tab w:leader="none" w:pos="3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sufficient patent protection for Haduvio or any future product candidate and the disease indications for which we are developing or may in the future develop Haduvio or any other product candidate, or if the scope of the patent protection is not sufficiently broad, competitors could develop and commercialize products similar or identical to such product candidate and our ability to successfully commercialize such product candidate may be adversely affected.</w:t>
      </w:r>
    </w:p>
    <w:p>
      <w:pPr>
        <w:spacing w:after="0" w:line="179" w:lineRule="exact"/>
        <w:rPr>
          <w:rFonts w:ascii="Times New Roman" w:cs="Times New Roman" w:eastAsia="Times New Roman" w:hAnsi="Times New Roman"/>
          <w:sz w:val="18"/>
          <w:szCs w:val="18"/>
          <w:color w:val="auto"/>
        </w:rPr>
      </w:pPr>
    </w:p>
    <w:p>
      <w:pPr>
        <w:jc w:val="both"/>
        <w:ind w:left="368" w:hanging="368"/>
        <w:spacing w:after="0" w:line="266" w:lineRule="auto"/>
        <w:tabs>
          <w:tab w:leader="none" w:pos="3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underlying our outstanding warrants is significant in relation to our currently outstanding common stock, which could have a negative effect on the market price of our common stock and make it more difficult for us to raise funds through future equity financings.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727710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8"/>
          </w:cols>
          <w:pgMar w:left="692" w:top="337"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66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color w:val="0000EE"/>
              </w:rPr>
              <w:t>FINANCIAL INFORMATION</w:t>
            </w:r>
          </w:p>
        </w:tc>
        <w:tc>
          <w:tcPr>
            <w:tcW w:w="6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3"/>
        </w:trPr>
        <w:tc>
          <w:tcPr>
            <w:tcW w:w="920" w:type="dxa"/>
            <w:vAlign w:val="bottom"/>
            <w:gridSpan w:val="2"/>
            <w:vMerge w:val="continue"/>
          </w:tcPr>
          <w:p>
            <w:pPr>
              <w:spacing w:after="0"/>
              <w:rPr>
                <w:sz w:val="15"/>
                <w:szCs w:val="15"/>
                <w:color w:val="auto"/>
              </w:rPr>
            </w:pPr>
          </w:p>
        </w:tc>
        <w:tc>
          <w:tcPr>
            <w:tcW w:w="9660" w:type="dxa"/>
            <w:vAlign w:val="bottom"/>
            <w:gridSpan w:val="15"/>
            <w:vMerge w:val="continue"/>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Financial Statements (Unaudited)</w:t>
            </w:r>
          </w:p>
        </w:tc>
        <w:tc>
          <w:tcPr>
            <w:tcW w:w="7240" w:type="dxa"/>
            <w:vAlign w:val="bottom"/>
            <w:gridSpan w:val="7"/>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Condensed Consolidated Balance Sheets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8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Comprehensive Loss</w:t>
            </w:r>
          </w:p>
        </w:tc>
        <w:tc>
          <w:tcPr>
            <w:tcW w:w="5280" w:type="dxa"/>
            <w:vAlign w:val="bottom"/>
            <w:gridSpan w:val="3"/>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Condensed Consolidated Statements of Stockholders’ Equity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8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5280" w:type="dxa"/>
            <w:vAlign w:val="bottom"/>
            <w:gridSpan w:val="3"/>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20" w:type="dxa"/>
            <w:vAlign w:val="bottom"/>
            <w:gridSpan w:val="4"/>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Notes to Unaudited Condensed Consolidated Financial Statements</w:t>
            </w:r>
          </w:p>
        </w:tc>
        <w:tc>
          <w:tcPr>
            <w:tcW w:w="4880" w:type="dxa"/>
            <w:vAlign w:val="bottom"/>
            <w:gridSpan w:val="2"/>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6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9"/>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6440" w:type="dxa"/>
            <w:vAlign w:val="bottom"/>
            <w:tcBorders>
              <w:top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3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34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5320" w:type="dxa"/>
            <w:vAlign w:val="bottom"/>
            <w:gridSpan w:val="4"/>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780" w:type="dxa"/>
            <w:vAlign w:val="bottom"/>
            <w:gridSpan w:val="9"/>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gridSpan w:val="2"/>
            <w:vMerge w:val="continue"/>
          </w:tcPr>
          <w:p>
            <w:pPr>
              <w:spacing w:after="0"/>
              <w:rPr>
                <w:sz w:val="18"/>
                <w:szCs w:val="18"/>
                <w:color w:val="auto"/>
              </w:rPr>
            </w:pPr>
          </w:p>
        </w:tc>
        <w:tc>
          <w:tcPr>
            <w:tcW w:w="18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7"/>
              </w:rPr>
              <w:t>OTHER INFORMATION</w:t>
            </w:r>
          </w:p>
        </w:tc>
        <w:tc>
          <w:tcPr>
            <w:tcW w:w="7780" w:type="dxa"/>
            <w:vAlign w:val="bottom"/>
            <w:gridSpan w:val="9"/>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6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9"/>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Risk Factors</w:t>
            </w:r>
          </w:p>
        </w:tc>
        <w:tc>
          <w:tcPr>
            <w:tcW w:w="420" w:type="dxa"/>
            <w:vAlign w:val="bottom"/>
            <w:tcBorders>
              <w:top w:val="single" w:sz="8" w:color="0000EE"/>
            </w:tcBorders>
            <w:gridSpan w:val="2"/>
          </w:tcPr>
          <w:p>
            <w:pPr>
              <w:spacing w:after="0"/>
              <w:rPr>
                <w:sz w:val="18"/>
                <w:szCs w:val="18"/>
                <w:color w:val="auto"/>
              </w:rPr>
            </w:pPr>
          </w:p>
        </w:tc>
        <w:tc>
          <w:tcPr>
            <w:tcW w:w="8340" w:type="dxa"/>
            <w:vAlign w:val="bottom"/>
            <w:gridSpan w:val="11"/>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6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9"/>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Exhibits</w:t>
            </w:r>
          </w:p>
        </w:tc>
        <w:tc>
          <w:tcPr>
            <w:tcW w:w="8360" w:type="dxa"/>
            <w:vAlign w:val="bottom"/>
            <w:gridSpan w:val="12"/>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60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Trevi Therapeutics,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6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6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66,574</w:t>
            </w:r>
          </w:p>
        </w:tc>
        <w:tc>
          <w:tcPr>
            <w:tcW w:w="260" w:type="dxa"/>
            <w:vAlign w:val="bottom"/>
          </w:tcPr>
          <w:p>
            <w:pPr>
              <w:spacing w:after="0"/>
              <w:rPr>
                <w:sz w:val="18"/>
                <w:szCs w:val="18"/>
                <w:color w:val="auto"/>
              </w:rPr>
            </w:pPr>
          </w:p>
        </w:tc>
        <w:tc>
          <w:tcPr>
            <w:tcW w:w="24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Marketable securities</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59,029</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76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Prepaid expenses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Other current assets</w:t>
            </w: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421</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6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Total current assets</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127,318</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37,957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680" w:type="dxa"/>
            <w:vAlign w:val="bottom"/>
          </w:tcPr>
          <w:p>
            <w:pPr>
              <w:spacing w:after="0"/>
              <w:rPr>
                <w:sz w:val="20"/>
                <w:szCs w:val="20"/>
                <w:color w:val="auto"/>
              </w:rPr>
            </w:pPr>
            <w:r>
              <w:rPr>
                <w:rFonts w:ascii="Times New Roman" w:cs="Times New Roman" w:eastAsia="Times New Roman" w:hAnsi="Times New Roman"/>
                <w:sz w:val="17"/>
                <w:szCs w:val="17"/>
                <w:color w:val="auto"/>
              </w:rPr>
              <w:t>Other non-current assets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Operating lease right-of-use asset</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Property, equipment and leasehold improvements, net</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2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Total assets</w:t>
            </w: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128,361</w:t>
            </w:r>
          </w:p>
        </w:tc>
        <w:tc>
          <w:tcPr>
            <w:tcW w:w="2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38,475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Accounts payable</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2,333</w:t>
            </w:r>
          </w:p>
        </w:tc>
        <w:tc>
          <w:tcPr>
            <w:tcW w:w="260" w:type="dxa"/>
            <w:vAlign w:val="bottom"/>
          </w:tcPr>
          <w:p>
            <w:pPr>
              <w:spacing w:after="0"/>
              <w:rPr>
                <w:sz w:val="18"/>
                <w:szCs w:val="18"/>
                <w:color w:val="auto"/>
              </w:rPr>
            </w:pPr>
          </w:p>
        </w:tc>
        <w:tc>
          <w:tcPr>
            <w:tcW w:w="24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Accrued expenses</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5,249</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3,808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Term loan</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Term loan derivative liability</w:t>
            </w:r>
          </w:p>
        </w:tc>
        <w:tc>
          <w:tcPr>
            <w:tcW w:w="2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7"/>
                <w:szCs w:val="17"/>
                <w:color w:val="auto"/>
              </w:rPr>
              <w:t>Operating lease liability</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2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14,641</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12,724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7"/>
                <w:szCs w:val="17"/>
                <w:color w:val="auto"/>
              </w:rPr>
              <w:t>Term loan</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Operating lease liability</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768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Total liabilities</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18,458</w:t>
            </w:r>
          </w:p>
        </w:tc>
        <w:tc>
          <w:tcPr>
            <w:tcW w:w="2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21,400</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680" w:type="dxa"/>
            <w:vAlign w:val="bottom"/>
          </w:tcPr>
          <w:p>
            <w:pPr>
              <w:spacing w:after="0"/>
              <w:rPr>
                <w:sz w:val="20"/>
                <w:szCs w:val="20"/>
                <w:color w:val="auto"/>
              </w:rPr>
            </w:pPr>
            <w:r>
              <w:rPr>
                <w:rFonts w:ascii="Times New Roman" w:cs="Times New Roman" w:eastAsia="Times New Roman" w:hAnsi="Times New Roman"/>
                <w:sz w:val="17"/>
                <w:szCs w:val="17"/>
                <w:color w:val="auto"/>
              </w:rPr>
              <w:t>Commitments and contingencies (Note 12)</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680" w:type="dxa"/>
            <w:vAlign w:val="bottom"/>
          </w:tcPr>
          <w:p>
            <w:pPr>
              <w:ind w:left="260"/>
              <w:spacing w:after="0" w:line="194" w:lineRule="exact"/>
              <w:rPr>
                <w:sz w:val="20"/>
                <w:szCs w:val="20"/>
                <w:color w:val="auto"/>
              </w:rPr>
            </w:pPr>
            <w:r>
              <w:rPr>
                <w:rFonts w:ascii="Times New Roman" w:cs="Times New Roman" w:eastAsia="Times New Roman" w:hAnsi="Times New Roman"/>
                <w:sz w:val="17"/>
                <w:szCs w:val="17"/>
                <w:color w:val="auto"/>
              </w:rPr>
              <w:t>Preferred stock: $0.001 par value; 5,000,000 shares authorized at September 30, 2022 and December 31,</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6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2021; no shares issued or outstanding at September 30, 2022 and December 31, 2021.</w:t>
            </w:r>
          </w:p>
        </w:tc>
        <w:tc>
          <w:tcPr>
            <w:tcW w:w="22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5"/>
        </w:trPr>
        <w:tc>
          <w:tcPr>
            <w:tcW w:w="7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Common stock: $0.001 par value; 200,000,000 shares authorized at September 30, 2022 and December</w:t>
            </w: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31, 2021; and 58,322,517 and 28,505,804 shares issued and outstanding at September 30, 2022 and</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December 31, 2021, respectively.</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314,672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197,963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(263)</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76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Accumulated deficit</w:t>
            </w:r>
          </w:p>
        </w:tc>
        <w:tc>
          <w:tcPr>
            <w:tcW w:w="22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(204,564)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(180,917)</w:t>
            </w:r>
          </w:p>
        </w:tc>
        <w:tc>
          <w:tcPr>
            <w:tcW w:w="0" w:type="dxa"/>
            <w:vAlign w:val="bottom"/>
          </w:tcPr>
          <w:p>
            <w:pPr>
              <w:spacing w:after="0"/>
              <w:rPr>
                <w:sz w:val="1"/>
                <w:szCs w:val="1"/>
                <w:color w:val="auto"/>
              </w:rPr>
            </w:pPr>
          </w:p>
        </w:tc>
      </w:tr>
      <w:tr>
        <w:trPr>
          <w:trHeight w:val="209"/>
        </w:trPr>
        <w:tc>
          <w:tcPr>
            <w:tcW w:w="768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109,903</w:t>
            </w:r>
          </w:p>
        </w:tc>
        <w:tc>
          <w:tcPr>
            <w:tcW w:w="2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17,075</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128,361</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38,475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Trevi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4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244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5"/>
        </w:trPr>
        <w:tc>
          <w:tcPr>
            <w:tcW w:w="5300" w:type="dxa"/>
            <w:vAlign w:val="bottom"/>
            <w:tcBorders>
              <w:bottom w:val="single" w:sz="8" w:color="CFF0FC"/>
            </w:tcBorders>
          </w:tcPr>
          <w:p>
            <w:pPr>
              <w:spacing w:after="0"/>
              <w:rPr>
                <w:sz w:val="13"/>
                <w:szCs w:val="13"/>
                <w:color w:val="auto"/>
              </w:rPr>
            </w:pPr>
          </w:p>
        </w:tc>
        <w:tc>
          <w:tcPr>
            <w:tcW w:w="5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r>
      <w:tr>
        <w:trPr>
          <w:trHeight w:val="223"/>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5,769</w:t>
            </w:r>
          </w:p>
        </w:tc>
        <w:tc>
          <w:tcPr>
            <w:tcW w:w="240" w:type="dxa"/>
            <w:vAlign w:val="bottom"/>
          </w:tcPr>
          <w:p>
            <w:pPr>
              <w:spacing w:after="0"/>
              <w:rPr>
                <w:sz w:val="19"/>
                <w:szCs w:val="19"/>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240" w:type="dxa"/>
            <w:vAlign w:val="bottom"/>
          </w:tcPr>
          <w:p>
            <w:pPr>
              <w:spacing w:after="0"/>
              <w:rPr>
                <w:sz w:val="19"/>
                <w:szCs w:val="19"/>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15,517</w:t>
            </w:r>
          </w:p>
        </w:tc>
        <w:tc>
          <w:tcPr>
            <w:tcW w:w="240" w:type="dxa"/>
            <w:vAlign w:val="bottom"/>
          </w:tcPr>
          <w:p>
            <w:pPr>
              <w:spacing w:after="0"/>
              <w:rPr>
                <w:sz w:val="19"/>
                <w:szCs w:val="19"/>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16,805</w:t>
            </w:r>
          </w:p>
        </w:tc>
        <w:tc>
          <w:tcPr>
            <w:tcW w:w="120" w:type="dxa"/>
            <w:vAlign w:val="bottom"/>
          </w:tcPr>
          <w:p>
            <w:pPr>
              <w:spacing w:after="0"/>
              <w:rPr>
                <w:sz w:val="19"/>
                <w:szCs w:val="19"/>
                <w:color w:val="auto"/>
              </w:rPr>
            </w:pPr>
          </w:p>
        </w:tc>
      </w:tr>
      <w:tr>
        <w:trPr>
          <w:trHeight w:val="230"/>
        </w:trPr>
        <w:tc>
          <w:tcPr>
            <w:tcW w:w="5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7,733</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7,398</w:t>
            </w:r>
          </w:p>
        </w:tc>
        <w:tc>
          <w:tcPr>
            <w:tcW w:w="120" w:type="dxa"/>
            <w:vAlign w:val="bottom"/>
            <w:shd w:val="clear" w:color="auto" w:fill="CFF0FC"/>
          </w:tcPr>
          <w:p>
            <w:pPr>
              <w:spacing w:after="0"/>
              <w:rPr>
                <w:sz w:val="19"/>
                <w:szCs w:val="19"/>
                <w:color w:val="auto"/>
              </w:rPr>
            </w:pPr>
          </w:p>
        </w:tc>
      </w:tr>
      <w:tr>
        <w:trPr>
          <w:trHeight w:val="223"/>
        </w:trPr>
        <w:tc>
          <w:tcPr>
            <w:tcW w:w="530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8,405</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6,947</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23,250</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24,203</w:t>
            </w:r>
          </w:p>
        </w:tc>
        <w:tc>
          <w:tcPr>
            <w:tcW w:w="120" w:type="dxa"/>
            <w:vAlign w:val="bottom"/>
            <w:tcBorders>
              <w:bottom w:val="single" w:sz="8" w:color="CFF0FC"/>
            </w:tcBorders>
          </w:tcPr>
          <w:p>
            <w:pPr>
              <w:spacing w:after="0"/>
              <w:rPr>
                <w:sz w:val="19"/>
                <w:szCs w:val="19"/>
                <w:color w:val="auto"/>
              </w:rPr>
            </w:pPr>
          </w:p>
        </w:tc>
      </w:tr>
      <w:tr>
        <w:trPr>
          <w:trHeight w:val="223"/>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(23,250)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(24,203)</w:t>
            </w:r>
          </w:p>
        </w:tc>
        <w:tc>
          <w:tcPr>
            <w:tcW w:w="120" w:type="dxa"/>
            <w:vAlign w:val="bottom"/>
            <w:shd w:val="clear" w:color="auto" w:fill="CFF0FC"/>
          </w:tcPr>
          <w:p>
            <w:pPr>
              <w:spacing w:after="0"/>
              <w:rPr>
                <w:sz w:val="19"/>
                <w:szCs w:val="19"/>
                <w:color w:val="auto"/>
              </w:rPr>
            </w:pPr>
          </w:p>
        </w:tc>
      </w:tr>
      <w:tr>
        <w:trPr>
          <w:trHeight w:val="22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 in fair value of term loan derivative liability</w:t>
            </w:r>
          </w:p>
        </w:tc>
        <w:tc>
          <w:tcPr>
            <w:tcW w:w="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(147)</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FF0FC"/>
          </w:tcPr>
          <w:p>
            <w:pPr>
              <w:spacing w:after="0"/>
              <w:rPr>
                <w:sz w:val="19"/>
                <w:szCs w:val="19"/>
                <w:color w:val="auto"/>
              </w:rPr>
            </w:pPr>
          </w:p>
        </w:tc>
      </w:tr>
      <w:tr>
        <w:trPr>
          <w:trHeight w:val="229"/>
        </w:trPr>
        <w:tc>
          <w:tcPr>
            <w:tcW w:w="5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expense</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(375)</w:t>
            </w:r>
          </w:p>
        </w:tc>
      </w:tr>
      <w:tr>
        <w:trPr>
          <w:trHeight w:val="229"/>
        </w:trPr>
        <w:tc>
          <w:tcPr>
            <w:tcW w:w="5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income, net</w:t>
            </w:r>
          </w:p>
        </w:tc>
        <w:tc>
          <w:tcPr>
            <w:tcW w:w="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19"/>
                <w:szCs w:val="19"/>
                <w:color w:val="auto"/>
              </w:rPr>
            </w:pPr>
          </w:p>
        </w:tc>
      </w:tr>
      <w:tr>
        <w:trPr>
          <w:trHeight w:val="230"/>
        </w:trPr>
        <w:tc>
          <w:tcPr>
            <w:tcW w:w="5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(292)</w:t>
            </w:r>
          </w:p>
        </w:tc>
        <w:tc>
          <w:tcPr>
            <w:tcW w:w="3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(303)</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(889)</w:t>
            </w:r>
          </w:p>
        </w:tc>
        <w:tc>
          <w:tcPr>
            <w:tcW w:w="3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(893)</w:t>
            </w:r>
          </w:p>
        </w:tc>
      </w:tr>
      <w:tr>
        <w:trPr>
          <w:trHeight w:val="223"/>
        </w:trPr>
        <w:tc>
          <w:tcPr>
            <w:tcW w:w="530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5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(25,435)</w:t>
            </w:r>
          </w:p>
        </w:tc>
        <w:tc>
          <w:tcPr>
            <w:tcW w:w="120" w:type="dxa"/>
            <w:vAlign w:val="bottom"/>
          </w:tcPr>
          <w:p>
            <w:pPr>
              <w:spacing w:after="0"/>
              <w:rPr>
                <w:sz w:val="19"/>
                <w:szCs w:val="19"/>
                <w:color w:val="auto"/>
              </w:rPr>
            </w:pPr>
          </w:p>
        </w:tc>
      </w:tr>
      <w:tr>
        <w:trPr>
          <w:trHeight w:val="229"/>
        </w:trPr>
        <w:tc>
          <w:tcPr>
            <w:tcW w:w="5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FF0FC"/>
          </w:tcPr>
          <w:p>
            <w:pPr>
              <w:spacing w:after="0"/>
              <w:rPr>
                <w:sz w:val="19"/>
                <w:szCs w:val="19"/>
                <w:color w:val="auto"/>
              </w:rPr>
            </w:pPr>
          </w:p>
        </w:tc>
      </w:tr>
      <w:tr>
        <w:trPr>
          <w:trHeight w:val="263"/>
        </w:trPr>
        <w:tc>
          <w:tcPr>
            <w:tcW w:w="53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56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(8,266)</w:t>
            </w:r>
          </w:p>
        </w:tc>
        <w:tc>
          <w:tcPr>
            <w:tcW w:w="24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(7,255)</w:t>
            </w:r>
          </w:p>
        </w:tc>
        <w:tc>
          <w:tcPr>
            <w:tcW w:w="24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(23,647)</w:t>
            </w:r>
          </w:p>
        </w:tc>
        <w:tc>
          <w:tcPr>
            <w:tcW w:w="24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(25,420)</w:t>
            </w:r>
          </w:p>
        </w:tc>
        <w:tc>
          <w:tcPr>
            <w:tcW w:w="120" w:type="dxa"/>
            <w:vAlign w:val="bottom"/>
            <w:tcBorders>
              <w:bottom w:val="single" w:sz="8" w:color="CFF0FC"/>
            </w:tcBorders>
          </w:tcPr>
          <w:p>
            <w:pPr>
              <w:spacing w:after="0"/>
              <w:rPr>
                <w:sz w:val="22"/>
                <w:szCs w:val="22"/>
                <w:color w:val="auto"/>
              </w:rPr>
            </w:pPr>
          </w:p>
        </w:tc>
      </w:tr>
      <w:tr>
        <w:trPr>
          <w:trHeight w:val="21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 outstanding</w:t>
            </w: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FF0FC"/>
          </w:tcPr>
          <w:p>
            <w:pPr>
              <w:spacing w:after="0"/>
              <w:rPr>
                <w:sz w:val="18"/>
                <w:szCs w:val="18"/>
                <w:color w:val="auto"/>
              </w:rPr>
            </w:pPr>
          </w:p>
        </w:tc>
      </w:tr>
      <w:tr>
        <w:trPr>
          <w:trHeight w:val="211"/>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used in net loss per share</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attributable to common stockholders, basic and diluted</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68,898,810</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21,607,979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53,221,949</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20,390,852</w:t>
            </w:r>
          </w:p>
        </w:tc>
        <w:tc>
          <w:tcPr>
            <w:tcW w:w="120" w:type="dxa"/>
            <w:vAlign w:val="bottom"/>
          </w:tcPr>
          <w:p>
            <w:pPr>
              <w:spacing w:after="0"/>
              <w:rPr>
                <w:sz w:val="20"/>
                <w:szCs w:val="20"/>
                <w:color w:val="auto"/>
              </w:rPr>
            </w:pPr>
          </w:p>
        </w:tc>
      </w:tr>
      <w:tr>
        <w:trPr>
          <w:trHeight w:val="229"/>
        </w:trPr>
        <w:tc>
          <w:tcPr>
            <w:tcW w:w="5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76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(8,266)</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(7,255)</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(23,647)</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(25,420)</w:t>
            </w:r>
          </w:p>
        </w:tc>
      </w:tr>
      <w:tr>
        <w:trPr>
          <w:trHeight w:val="23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unrealized losses on available-for-sale marketable securities</w:t>
            </w:r>
          </w:p>
        </w:tc>
        <w:tc>
          <w:tcPr>
            <w:tcW w:w="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(128)</w:t>
            </w:r>
          </w:p>
        </w:tc>
        <w:tc>
          <w:tcPr>
            <w:tcW w:w="3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(263)</w:t>
            </w:r>
          </w:p>
        </w:tc>
        <w:tc>
          <w:tcPr>
            <w:tcW w:w="3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5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(8,394)</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(7,255)</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(23,910)</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(25,420)</w:t>
            </w:r>
          </w:p>
        </w:tc>
        <w:tc>
          <w:tcPr>
            <w:tcW w:w="120" w:type="dxa"/>
            <w:vAlign w:val="bottom"/>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Trevi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6"/>
        </w:trPr>
        <w:tc>
          <w:tcPr>
            <w:tcW w:w="4660" w:type="dxa"/>
            <w:vAlign w:val="bottom"/>
          </w:tcPr>
          <w:p>
            <w:pPr>
              <w:spacing w:after="0"/>
              <w:rPr>
                <w:sz w:val="18"/>
                <w:szCs w:val="18"/>
                <w:color w:val="auto"/>
              </w:rPr>
            </w:pPr>
          </w:p>
        </w:tc>
        <w:tc>
          <w:tcPr>
            <w:tcW w:w="142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Paid-</w:t>
            </w:r>
          </w:p>
        </w:tc>
        <w:tc>
          <w:tcPr>
            <w:tcW w:w="24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8"/>
                <w:szCs w:val="18"/>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Stockholders’</w:t>
            </w:r>
          </w:p>
        </w:tc>
      </w:tr>
      <w:tr>
        <w:trPr>
          <w:trHeight w:val="214"/>
        </w:trPr>
        <w:tc>
          <w:tcPr>
            <w:tcW w:w="466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2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4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 Capital</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60" w:type="dxa"/>
            <w:vAlign w:val="bottom"/>
          </w:tcPr>
          <w:p>
            <w:pPr>
              <w:spacing w:after="0"/>
              <w:rPr>
                <w:sz w:val="18"/>
                <w:szCs w:val="18"/>
                <w:color w:val="auto"/>
              </w:rPr>
            </w:pPr>
          </w:p>
        </w:tc>
        <w:tc>
          <w:tcPr>
            <w:tcW w:w="960" w:type="dxa"/>
            <w:vAlign w:val="bottom"/>
            <w:gridSpan w:val="2"/>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211"/>
        </w:trPr>
        <w:tc>
          <w:tcPr>
            <w:tcW w:w="46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June 30, 2022</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39,719,572</w:t>
            </w:r>
          </w:p>
        </w:tc>
        <w:tc>
          <w:tcPr>
            <w:tcW w:w="5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256,908</w:t>
            </w:r>
          </w:p>
        </w:tc>
        <w:tc>
          <w:tcPr>
            <w:tcW w:w="46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(135)</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(196,298)</w:t>
            </w:r>
          </w:p>
        </w:tc>
        <w:tc>
          <w:tcPr>
            <w:tcW w:w="2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60,515</w:t>
            </w:r>
          </w:p>
        </w:tc>
        <w:tc>
          <w:tcPr>
            <w:tcW w:w="120" w:type="dxa"/>
            <w:vAlign w:val="bottom"/>
            <w:shd w:val="clear" w:color="auto" w:fill="CFF0FC"/>
          </w:tcPr>
          <w:p>
            <w:pPr>
              <w:spacing w:after="0"/>
              <w:rPr>
                <w:sz w:val="18"/>
                <w:szCs w:val="18"/>
                <w:color w:val="auto"/>
              </w:rPr>
            </w:pPr>
          </w:p>
        </w:tc>
      </w:tr>
      <w:tr>
        <w:trPr>
          <w:trHeight w:val="213"/>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20" w:type="dxa"/>
            <w:vAlign w:val="bottom"/>
          </w:tcPr>
          <w:p>
            <w:pPr>
              <w:spacing w:after="0"/>
              <w:rPr>
                <w:sz w:val="18"/>
                <w:szCs w:val="18"/>
                <w:color w:val="auto"/>
              </w:rPr>
            </w:pPr>
          </w:p>
        </w:tc>
      </w:tr>
      <w:tr>
        <w:trPr>
          <w:trHeight w:val="219"/>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common stock from exercise of stock options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51,005</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shd w:val="clear" w:color="auto" w:fill="CFF0FC"/>
          </w:tcPr>
          <w:p>
            <w:pPr>
              <w:spacing w:after="0"/>
              <w:rPr>
                <w:sz w:val="19"/>
                <w:szCs w:val="19"/>
                <w:color w:val="auto"/>
              </w:rPr>
            </w:pPr>
          </w:p>
        </w:tc>
      </w:tr>
      <w:tr>
        <w:trPr>
          <w:trHeight w:val="202"/>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and warrants under public offering, less</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3"/>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issuance costs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14,252,670</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51,170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51,184</w:t>
            </w:r>
          </w:p>
        </w:tc>
        <w:tc>
          <w:tcPr>
            <w:tcW w:w="120" w:type="dxa"/>
            <w:vAlign w:val="bottom"/>
          </w:tcPr>
          <w:p>
            <w:pPr>
              <w:spacing w:after="0"/>
              <w:rPr>
                <w:sz w:val="18"/>
                <w:szCs w:val="18"/>
                <w:color w:val="auto"/>
              </w:rPr>
            </w:pPr>
          </w:p>
        </w:tc>
      </w:tr>
      <w:tr>
        <w:trPr>
          <w:trHeight w:val="219"/>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common stock from warrant exercise</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4,299,270</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5,886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5,890</w:t>
            </w:r>
          </w:p>
        </w:tc>
        <w:tc>
          <w:tcPr>
            <w:tcW w:w="120" w:type="dxa"/>
            <w:vAlign w:val="bottom"/>
            <w:shd w:val="clear" w:color="auto" w:fill="CFF0FC"/>
          </w:tcPr>
          <w:p>
            <w:pPr>
              <w:spacing w:after="0"/>
              <w:rPr>
                <w:sz w:val="19"/>
                <w:szCs w:val="19"/>
                <w:color w:val="auto"/>
              </w:rPr>
            </w:pPr>
          </w:p>
        </w:tc>
      </w:tr>
      <w:tr>
        <w:trPr>
          <w:trHeight w:val="213"/>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Unrealized losses on available-for-sale marketable securities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(128)</w:t>
            </w:r>
          </w:p>
        </w:tc>
        <w:tc>
          <w:tcPr>
            <w:tcW w:w="160" w:type="dxa"/>
            <w:vAlign w:val="bottom"/>
          </w:tcPr>
          <w:p>
            <w:pPr>
              <w:spacing w:after="0"/>
              <w:rPr>
                <w:sz w:val="18"/>
                <w:szCs w:val="18"/>
                <w:color w:val="auto"/>
              </w:rPr>
            </w:pPr>
          </w:p>
        </w:tc>
        <w:tc>
          <w:tcPr>
            <w:tcW w:w="9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(128)</w:t>
            </w:r>
          </w:p>
        </w:tc>
      </w:tr>
      <w:tr>
        <w:trPr>
          <w:trHeight w:val="219"/>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(8,266)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(8,266)</w:t>
            </w:r>
          </w:p>
        </w:tc>
      </w:tr>
      <w:tr>
        <w:trPr>
          <w:trHeight w:val="207"/>
        </w:trPr>
        <w:tc>
          <w:tcPr>
            <w:tcW w:w="4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September 30, 2022</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58,322,517</w:t>
            </w:r>
          </w:p>
        </w:tc>
        <w:tc>
          <w:tcPr>
            <w:tcW w:w="24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314,672</w:t>
            </w:r>
          </w:p>
        </w:tc>
        <w:tc>
          <w:tcPr>
            <w:tcW w:w="2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2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(204,564</w:t>
            </w:r>
          </w:p>
        </w:tc>
        <w:tc>
          <w:tcPr>
            <w:tcW w:w="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109,903</w:t>
            </w:r>
          </w:p>
        </w:tc>
        <w:tc>
          <w:tcPr>
            <w:tcW w:w="120" w:type="dxa"/>
            <w:vAlign w:val="bottom"/>
          </w:tcPr>
          <w:p>
            <w:pPr>
              <w:spacing w:after="0"/>
              <w:rPr>
                <w:sz w:val="17"/>
                <w:szCs w:val="17"/>
                <w:color w:val="auto"/>
              </w:rPr>
            </w:pPr>
          </w:p>
        </w:tc>
      </w:tr>
      <w:tr>
        <w:trPr>
          <w:trHeight w:val="20"/>
        </w:trPr>
        <w:tc>
          <w:tcPr>
            <w:tcW w:w="4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4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June 30, 2021</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21,459,498</w:t>
            </w:r>
          </w:p>
        </w:tc>
        <w:tc>
          <w:tcPr>
            <w:tcW w:w="5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182,857</w:t>
            </w:r>
          </w:p>
        </w:tc>
        <w:tc>
          <w:tcPr>
            <w:tcW w:w="46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(165,142)</w:t>
            </w:r>
          </w:p>
        </w:tc>
        <w:tc>
          <w:tcPr>
            <w:tcW w:w="2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17,736</w:t>
            </w:r>
          </w:p>
        </w:tc>
        <w:tc>
          <w:tcPr>
            <w:tcW w:w="120" w:type="dxa"/>
            <w:vAlign w:val="bottom"/>
            <w:shd w:val="clear" w:color="auto" w:fill="CFF0FC"/>
          </w:tcPr>
          <w:p>
            <w:pPr>
              <w:spacing w:after="0"/>
              <w:rPr>
                <w:sz w:val="18"/>
                <w:szCs w:val="18"/>
                <w:color w:val="auto"/>
              </w:rPr>
            </w:pPr>
          </w:p>
        </w:tc>
      </w:tr>
      <w:tr>
        <w:trPr>
          <w:trHeight w:val="213"/>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120" w:type="dxa"/>
            <w:vAlign w:val="bottom"/>
          </w:tcPr>
          <w:p>
            <w:pPr>
              <w:spacing w:after="0"/>
              <w:rPr>
                <w:sz w:val="18"/>
                <w:szCs w:val="18"/>
                <w:color w:val="auto"/>
              </w:rPr>
            </w:pPr>
          </w:p>
        </w:tc>
      </w:tr>
      <w:tr>
        <w:trPr>
          <w:trHeight w:val="205"/>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common stock under the at-the-market sales agreement,</w:t>
            </w: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of commissions and allocated fees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162,026</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20" w:type="dxa"/>
            <w:vAlign w:val="bottom"/>
            <w:shd w:val="clear" w:color="auto" w:fill="CFF0FC"/>
          </w:tcPr>
          <w:p>
            <w:pPr>
              <w:spacing w:after="0"/>
              <w:rPr>
                <w:sz w:val="18"/>
                <w:szCs w:val="18"/>
                <w:color w:val="auto"/>
              </w:rPr>
            </w:pPr>
          </w:p>
        </w:tc>
      </w:tr>
      <w:tr>
        <w:trPr>
          <w:trHeight w:val="213"/>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(7,255)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(7,255)</w:t>
            </w:r>
          </w:p>
        </w:tc>
      </w:tr>
      <w:tr>
        <w:trPr>
          <w:trHeight w:val="209"/>
        </w:trPr>
        <w:tc>
          <w:tcPr>
            <w:tcW w:w="46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September 30, 2021</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21,621,524</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183,755</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(172,397</w:t>
            </w:r>
          </w:p>
        </w:tc>
        <w:tc>
          <w:tcPr>
            <w:tcW w:w="160" w:type="dxa"/>
            <w:vAlign w:val="bottom"/>
            <w:tcBorders>
              <w:top w:val="single" w:sz="8" w:color="CFF0FC"/>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11,380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2"/>
        </w:trPr>
        <w:tc>
          <w:tcPr>
            <w:tcW w:w="4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4"/>
          </w:tcPr>
          <w:p>
            <w:pPr>
              <w:ind w:lef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6"/>
        </w:trPr>
        <w:tc>
          <w:tcPr>
            <w:tcW w:w="4660" w:type="dxa"/>
            <w:vAlign w:val="bottom"/>
          </w:tcPr>
          <w:p>
            <w:pPr>
              <w:spacing w:after="0"/>
              <w:rPr>
                <w:sz w:val="18"/>
                <w:szCs w:val="18"/>
                <w:color w:val="auto"/>
              </w:rPr>
            </w:pPr>
          </w:p>
        </w:tc>
        <w:tc>
          <w:tcPr>
            <w:tcW w:w="144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Paid-</w:t>
            </w: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8"/>
                <w:szCs w:val="18"/>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Stockholders’</w:t>
            </w:r>
          </w:p>
        </w:tc>
      </w:tr>
      <w:tr>
        <w:trPr>
          <w:trHeight w:val="214"/>
        </w:trPr>
        <w:tc>
          <w:tcPr>
            <w:tcW w:w="4660" w:type="dxa"/>
            <w:vAlign w:val="bottom"/>
          </w:tcPr>
          <w:p>
            <w:pPr>
              <w:spacing w:after="0"/>
              <w:rPr>
                <w:sz w:val="18"/>
                <w:szCs w:val="18"/>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5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40" w:type="dxa"/>
            <w:vAlign w:val="bottom"/>
          </w:tcPr>
          <w:p>
            <w:pPr>
              <w:spacing w:after="0"/>
              <w:rPr>
                <w:sz w:val="18"/>
                <w:szCs w:val="18"/>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in Capital</w:t>
            </w: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60" w:type="dxa"/>
            <w:vAlign w:val="bottom"/>
          </w:tcPr>
          <w:p>
            <w:pPr>
              <w:spacing w:after="0"/>
              <w:rPr>
                <w:sz w:val="18"/>
                <w:szCs w:val="18"/>
                <w:color w:val="auto"/>
              </w:rPr>
            </w:pPr>
          </w:p>
        </w:tc>
        <w:tc>
          <w:tcPr>
            <w:tcW w:w="960" w:type="dxa"/>
            <w:vAlign w:val="bottom"/>
            <w:gridSpan w:val="2"/>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211"/>
        </w:trPr>
        <w:tc>
          <w:tcPr>
            <w:tcW w:w="4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2021</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28,505,804</w:t>
            </w:r>
          </w:p>
        </w:tc>
        <w:tc>
          <w:tcPr>
            <w:tcW w:w="24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197,963</w:t>
            </w: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(180,917)</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17,075</w:t>
            </w: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1,826</w:t>
            </w:r>
          </w:p>
        </w:tc>
        <w:tc>
          <w:tcPr>
            <w:tcW w:w="120" w:type="dxa"/>
            <w:vAlign w:val="bottom"/>
          </w:tcPr>
          <w:p>
            <w:pPr>
              <w:spacing w:after="0"/>
              <w:rPr>
                <w:sz w:val="18"/>
                <w:szCs w:val="18"/>
                <w:color w:val="auto"/>
              </w:rPr>
            </w:pPr>
          </w:p>
        </w:tc>
      </w:tr>
      <w:tr>
        <w:trPr>
          <w:trHeight w:val="219"/>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common stock from exercise of stock options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51,005</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shd w:val="clear" w:color="auto" w:fill="CFF0FC"/>
          </w:tcPr>
          <w:p>
            <w:pPr>
              <w:spacing w:after="0"/>
              <w:rPr>
                <w:sz w:val="19"/>
                <w:szCs w:val="19"/>
                <w:color w:val="auto"/>
              </w:rPr>
            </w:pPr>
          </w:p>
        </w:tc>
      </w:tr>
      <w:tr>
        <w:trPr>
          <w:trHeight w:val="202"/>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under the at-the-market sales agreement,</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3"/>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net of commissions and allocated fees</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(42)</w:t>
            </w:r>
          </w:p>
        </w:tc>
      </w:tr>
      <w:tr>
        <w:trPr>
          <w:trHeight w:val="219"/>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common stock from Employee Stock Purchase Plan</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33,972</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FF0FC"/>
          </w:tcPr>
          <w:p>
            <w:pPr>
              <w:spacing w:after="0"/>
              <w:rPr>
                <w:sz w:val="19"/>
                <w:szCs w:val="19"/>
                <w:color w:val="auto"/>
              </w:rPr>
            </w:pPr>
          </w:p>
        </w:tc>
      </w:tr>
      <w:tr>
        <w:trPr>
          <w:trHeight w:val="202"/>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and warrants under public offering and</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3"/>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private placement, less issuance costs</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18,833,196</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102,991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103,010</w:t>
            </w:r>
          </w:p>
        </w:tc>
        <w:tc>
          <w:tcPr>
            <w:tcW w:w="120" w:type="dxa"/>
            <w:vAlign w:val="bottom"/>
          </w:tcPr>
          <w:p>
            <w:pPr>
              <w:spacing w:after="0"/>
              <w:rPr>
                <w:sz w:val="18"/>
                <w:szCs w:val="18"/>
                <w:color w:val="auto"/>
              </w:rPr>
            </w:pPr>
          </w:p>
        </w:tc>
      </w:tr>
      <w:tr>
        <w:trPr>
          <w:trHeight w:val="219"/>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common stock from warrant exercise</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10,898,540</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11,772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11,782</w:t>
            </w:r>
          </w:p>
        </w:tc>
        <w:tc>
          <w:tcPr>
            <w:tcW w:w="120" w:type="dxa"/>
            <w:vAlign w:val="bottom"/>
            <w:shd w:val="clear" w:color="auto" w:fill="CFF0FC"/>
          </w:tcPr>
          <w:p>
            <w:pPr>
              <w:spacing w:after="0"/>
              <w:rPr>
                <w:sz w:val="19"/>
                <w:szCs w:val="19"/>
                <w:color w:val="auto"/>
              </w:rPr>
            </w:pPr>
          </w:p>
        </w:tc>
      </w:tr>
      <w:tr>
        <w:trPr>
          <w:trHeight w:val="213"/>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Unrealized losses on available-for-sale marketable securities</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(263)</w:t>
            </w:r>
          </w:p>
        </w:tc>
        <w:tc>
          <w:tcPr>
            <w:tcW w:w="160" w:type="dxa"/>
            <w:vAlign w:val="bottom"/>
          </w:tcPr>
          <w:p>
            <w:pPr>
              <w:spacing w:after="0"/>
              <w:rPr>
                <w:sz w:val="18"/>
                <w:szCs w:val="18"/>
                <w:color w:val="auto"/>
              </w:rPr>
            </w:pPr>
          </w:p>
        </w:tc>
        <w:tc>
          <w:tcPr>
            <w:tcW w:w="9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(263)</w:t>
            </w:r>
          </w:p>
        </w:tc>
      </w:tr>
      <w:tr>
        <w:trPr>
          <w:trHeight w:val="219"/>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(23,647)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(23,647)</w:t>
            </w:r>
          </w:p>
        </w:tc>
      </w:tr>
      <w:tr>
        <w:trPr>
          <w:trHeight w:val="207"/>
        </w:trPr>
        <w:tc>
          <w:tcPr>
            <w:tcW w:w="4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September 30, 2022</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58,322,517</w:t>
            </w:r>
          </w:p>
        </w:tc>
        <w:tc>
          <w:tcPr>
            <w:tcW w:w="24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314,672</w:t>
            </w:r>
          </w:p>
        </w:tc>
        <w:tc>
          <w:tcPr>
            <w:tcW w:w="2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2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(204,564</w:t>
            </w:r>
          </w:p>
        </w:tc>
        <w:tc>
          <w:tcPr>
            <w:tcW w:w="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109,903</w:t>
            </w:r>
          </w:p>
        </w:tc>
        <w:tc>
          <w:tcPr>
            <w:tcW w:w="120" w:type="dxa"/>
            <w:vAlign w:val="bottom"/>
          </w:tcPr>
          <w:p>
            <w:pPr>
              <w:spacing w:after="0"/>
              <w:rPr>
                <w:sz w:val="17"/>
                <w:szCs w:val="17"/>
                <w:color w:val="auto"/>
              </w:rPr>
            </w:pPr>
          </w:p>
        </w:tc>
      </w:tr>
      <w:tr>
        <w:trPr>
          <w:trHeight w:val="20"/>
        </w:trPr>
        <w:tc>
          <w:tcPr>
            <w:tcW w:w="46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4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2020</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18,546,786</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3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174,240</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(146,977)</w:t>
            </w:r>
          </w:p>
        </w:tc>
        <w:tc>
          <w:tcPr>
            <w:tcW w:w="2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27,282</w:t>
            </w:r>
          </w:p>
        </w:tc>
        <w:tc>
          <w:tcPr>
            <w:tcW w:w="120" w:type="dxa"/>
            <w:vAlign w:val="bottom"/>
            <w:shd w:val="clear" w:color="auto" w:fill="CFF0FC"/>
          </w:tcPr>
          <w:p>
            <w:pPr>
              <w:spacing w:after="0"/>
              <w:rPr>
                <w:sz w:val="18"/>
                <w:szCs w:val="18"/>
                <w:color w:val="auto"/>
              </w:rPr>
            </w:pPr>
          </w:p>
        </w:tc>
      </w:tr>
      <w:tr>
        <w:trPr>
          <w:trHeight w:val="213"/>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2,003</w:t>
            </w:r>
          </w:p>
        </w:tc>
        <w:tc>
          <w:tcPr>
            <w:tcW w:w="120" w:type="dxa"/>
            <w:vAlign w:val="bottom"/>
          </w:tcPr>
          <w:p>
            <w:pPr>
              <w:spacing w:after="0"/>
              <w:rPr>
                <w:sz w:val="18"/>
                <w:szCs w:val="18"/>
                <w:color w:val="auto"/>
              </w:rPr>
            </w:pPr>
          </w:p>
        </w:tc>
      </w:tr>
      <w:tr>
        <w:trPr>
          <w:trHeight w:val="205"/>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common stock under the at-the-market sales agreement,</w:t>
            </w: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of commissions and allocated fees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2,895,518</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7,120</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7,123</w:t>
            </w:r>
          </w:p>
        </w:tc>
        <w:tc>
          <w:tcPr>
            <w:tcW w:w="120" w:type="dxa"/>
            <w:vAlign w:val="bottom"/>
            <w:shd w:val="clear" w:color="auto" w:fill="CFF0FC"/>
          </w:tcPr>
          <w:p>
            <w:pPr>
              <w:spacing w:after="0"/>
              <w:rPr>
                <w:sz w:val="18"/>
                <w:szCs w:val="18"/>
                <w:color w:val="auto"/>
              </w:rPr>
            </w:pPr>
          </w:p>
        </w:tc>
      </w:tr>
      <w:tr>
        <w:trPr>
          <w:trHeight w:val="213"/>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from Employee Stock Purchase Plan</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r>
      <w:tr>
        <w:trPr>
          <w:trHeight w:val="219"/>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common stock to Lincoln Park Capital Fund (see Note 8)</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170,088</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20" w:type="dxa"/>
            <w:vAlign w:val="bottom"/>
            <w:shd w:val="clear" w:color="auto" w:fill="CFF0FC"/>
          </w:tcPr>
          <w:p>
            <w:pPr>
              <w:spacing w:after="0"/>
              <w:rPr>
                <w:sz w:val="19"/>
                <w:szCs w:val="19"/>
                <w:color w:val="auto"/>
              </w:rPr>
            </w:pPr>
          </w:p>
        </w:tc>
      </w:tr>
      <w:tr>
        <w:trPr>
          <w:trHeight w:val="213"/>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(25,420)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(25,420)</w:t>
            </w:r>
          </w:p>
        </w:tc>
      </w:tr>
      <w:tr>
        <w:trPr>
          <w:trHeight w:val="209"/>
        </w:trPr>
        <w:tc>
          <w:tcPr>
            <w:tcW w:w="46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September 30, 2021</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21,621,524</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183,755</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(172,397</w:t>
            </w:r>
          </w:p>
        </w:tc>
        <w:tc>
          <w:tcPr>
            <w:tcW w:w="160" w:type="dxa"/>
            <w:vAlign w:val="bottom"/>
            <w:tcBorders>
              <w:top w:val="single" w:sz="8" w:color="CFF0FC"/>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11,380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Trevi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80" w:type="dxa"/>
            <w:vAlign w:val="bottom"/>
          </w:tcPr>
          <w:p>
            <w:pPr>
              <w:spacing w:after="0"/>
              <w:rPr>
                <w:sz w:val="15"/>
                <w:szCs w:val="15"/>
                <w:color w:val="auto"/>
              </w:rPr>
            </w:pPr>
          </w:p>
        </w:tc>
        <w:tc>
          <w:tcPr>
            <w:tcW w:w="3120" w:type="dxa"/>
            <w:vAlign w:val="bottom"/>
            <w:tcBorders>
              <w:bottom w:val="single" w:sz="8" w:color="auto"/>
            </w:tcBorders>
            <w:gridSpan w:val="5"/>
          </w:tcPr>
          <w:p>
            <w:pPr>
              <w:jc w:val="right"/>
              <w:ind w:right="127"/>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7380" w:type="dxa"/>
            <w:vAlign w:val="bottom"/>
          </w:tcPr>
          <w:p>
            <w:pPr>
              <w:spacing w:after="0"/>
              <w:rPr>
                <w:sz w:val="13"/>
                <w:szCs w:val="13"/>
                <w:color w:val="auto"/>
              </w:rPr>
            </w:pPr>
          </w:p>
        </w:tc>
        <w:tc>
          <w:tcPr>
            <w:tcW w:w="1080" w:type="dxa"/>
            <w:vAlign w:val="bottom"/>
          </w:tcPr>
          <w:p>
            <w:pPr>
              <w:jc w:val="right"/>
              <w:ind w:right="1"/>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gridSpan w:val="2"/>
          </w:tcPr>
          <w:p>
            <w:pPr>
              <w:jc w:val="right"/>
              <w:ind w:right="47"/>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9"/>
        </w:trPr>
        <w:tc>
          <w:tcPr>
            <w:tcW w:w="73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108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1080" w:type="dxa"/>
            <w:vAlign w:val="bottom"/>
          </w:tcPr>
          <w:p>
            <w:pPr>
              <w:jc w:val="right"/>
              <w:ind w:right="921"/>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(23,647)</w:t>
            </w:r>
          </w:p>
        </w:tc>
        <w:tc>
          <w:tcPr>
            <w:tcW w:w="1100" w:type="dxa"/>
            <w:vAlign w:val="bottom"/>
            <w:gridSpan w:val="2"/>
          </w:tcPr>
          <w:p>
            <w:pPr>
              <w:jc w:val="right"/>
              <w:ind w:right="96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(25,420)</w:t>
            </w:r>
          </w:p>
        </w:tc>
      </w:tr>
      <w:tr>
        <w:trPr>
          <w:trHeight w:val="216"/>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10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Depreciation</w:t>
            </w: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Accretion of available-for-sale marketable securities, net</w:t>
            </w:r>
          </w:p>
        </w:tc>
        <w:tc>
          <w:tcPr>
            <w:tcW w:w="10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(268)</w:t>
            </w:r>
          </w:p>
        </w:tc>
        <w:tc>
          <w:tcPr>
            <w:tcW w:w="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29"/>
        </w:trPr>
        <w:tc>
          <w:tcPr>
            <w:tcW w:w="7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fair value of term loan derivative liability</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(29)</w:t>
            </w:r>
          </w:p>
        </w:tc>
      </w:tr>
      <w:tr>
        <w:trPr>
          <w:trHeight w:val="216"/>
        </w:trPr>
        <w:tc>
          <w:tcPr>
            <w:tcW w:w="7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Accretion/accrual of term loan discounts and debt issuance costs</w:t>
            </w:r>
          </w:p>
        </w:tc>
        <w:tc>
          <w:tcPr>
            <w:tcW w:w="10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419</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442</w:t>
            </w: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Other expense related to transaction with Lincoln Park Capital Fund, LLC</w:t>
            </w:r>
          </w:p>
        </w:tc>
        <w:tc>
          <w:tcPr>
            <w:tcW w:w="10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Stock-based compensation</w:t>
            </w:r>
          </w:p>
        </w:tc>
        <w:tc>
          <w:tcPr>
            <w:tcW w:w="10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1,826</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2,003</w:t>
            </w: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0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(492)</w:t>
            </w:r>
          </w:p>
        </w:tc>
        <w:tc>
          <w:tcPr>
            <w:tcW w:w="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(122)</w:t>
            </w:r>
          </w:p>
        </w:tc>
      </w:tr>
      <w:tr>
        <w:trPr>
          <w:trHeight w:val="216"/>
        </w:trPr>
        <w:tc>
          <w:tcPr>
            <w:tcW w:w="73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Accounts payable</w:t>
            </w:r>
          </w:p>
        </w:tc>
        <w:tc>
          <w:tcPr>
            <w:tcW w:w="10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(527)</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Accrued expenses and other liabilities</w:t>
            </w:r>
          </w:p>
        </w:tc>
        <w:tc>
          <w:tcPr>
            <w:tcW w:w="10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670</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(220)</w:t>
            </w:r>
          </w:p>
        </w:tc>
      </w:tr>
      <w:tr>
        <w:trPr>
          <w:trHeight w:val="210"/>
        </w:trPr>
        <w:tc>
          <w:tcPr>
            <w:tcW w:w="738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0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(21,844)</w:t>
            </w:r>
          </w:p>
        </w:tc>
        <w:tc>
          <w:tcPr>
            <w:tcW w:w="3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(22,717)</w:t>
            </w:r>
          </w:p>
        </w:tc>
        <w:tc>
          <w:tcPr>
            <w:tcW w:w="100" w:type="dxa"/>
            <w:vAlign w:val="bottom"/>
            <w:tcBorders>
              <w:bottom w:val="single" w:sz="8" w:color="CFF0FC"/>
            </w:tcBorders>
          </w:tcPr>
          <w:p>
            <w:pPr>
              <w:spacing w:after="0"/>
              <w:rPr>
                <w:sz w:val="18"/>
                <w:szCs w:val="18"/>
                <w:color w:val="auto"/>
              </w:rPr>
            </w:pPr>
          </w:p>
        </w:tc>
      </w:tr>
      <w:tr>
        <w:trPr>
          <w:trHeight w:val="209"/>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10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maturities of available-for-sale marketable securities</w:t>
            </w: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Purchases of available-for-sale marketable securities</w:t>
            </w:r>
          </w:p>
        </w:tc>
        <w:tc>
          <w:tcPr>
            <w:tcW w:w="10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(61,025)</w:t>
            </w:r>
          </w:p>
        </w:tc>
        <w:tc>
          <w:tcPr>
            <w:tcW w:w="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7"/>
                <w:szCs w:val="17"/>
                <w:color w:val="auto"/>
              </w:rPr>
              <w:t>Purchases of property, equipment and leasehold improvements</w:t>
            </w:r>
          </w:p>
        </w:tc>
        <w:tc>
          <w:tcPr>
            <w:tcW w:w="10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(43)</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09"/>
        </w:trPr>
        <w:tc>
          <w:tcPr>
            <w:tcW w:w="7380" w:type="dxa"/>
            <w:vAlign w:val="bottom"/>
            <w:tcBorders>
              <w:top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080" w:type="dxa"/>
            <w:vAlign w:val="bottom"/>
            <w:tcBorders>
              <w:top w:val="single" w:sz="8" w:color="auto"/>
              <w:bottom w:val="single" w:sz="8" w:color="auto"/>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(59,067)</w:t>
            </w: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FF0FC"/>
            </w:tcBorders>
            <w:shd w:val="clear" w:color="auto" w:fill="CFF0FC"/>
          </w:tcPr>
          <w:p>
            <w:pPr>
              <w:spacing w:after="0"/>
              <w:rPr>
                <w:sz w:val="18"/>
                <w:szCs w:val="18"/>
                <w:color w:val="auto"/>
              </w:rPr>
            </w:pPr>
          </w:p>
        </w:tc>
      </w:tr>
      <w:tr>
        <w:trPr>
          <w:trHeight w:val="208"/>
        </w:trPr>
        <w:tc>
          <w:tcPr>
            <w:tcW w:w="73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Repayments of term loan</w:t>
            </w:r>
          </w:p>
        </w:tc>
        <w:tc>
          <w:tcPr>
            <w:tcW w:w="10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(4,083)</w:t>
            </w:r>
          </w:p>
        </w:tc>
        <w:tc>
          <w:tcPr>
            <w:tcW w:w="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7"/>
                <w:szCs w:val="17"/>
                <w:color w:val="auto"/>
              </w:rPr>
              <w:t>Payments of financing costs of term loan</w:t>
            </w:r>
          </w:p>
        </w:tc>
        <w:tc>
          <w:tcPr>
            <w:tcW w:w="10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(21)</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(68)</w:t>
            </w:r>
          </w:p>
        </w:tc>
      </w:tr>
      <w:tr>
        <w:trPr>
          <w:trHeight w:val="194"/>
        </w:trPr>
        <w:tc>
          <w:tcPr>
            <w:tcW w:w="738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7"/>
                <w:szCs w:val="17"/>
                <w:color w:val="auto"/>
              </w:rPr>
              <w:t>Proceeds from sale of common stock and warrants under public offering and private placement, net of</w:t>
            </w:r>
          </w:p>
        </w:tc>
        <w:tc>
          <w:tcPr>
            <w:tcW w:w="10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24"/>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issuance costs</w:t>
            </w:r>
          </w:p>
        </w:tc>
        <w:tc>
          <w:tcPr>
            <w:tcW w:w="10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103,010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exercises of warrants</w:t>
            </w: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11,782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Proceeds from exercises of stock options</w:t>
            </w:r>
          </w:p>
        </w:tc>
        <w:tc>
          <w:tcPr>
            <w:tcW w:w="10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employee stock purchase plan</w:t>
            </w: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Proceeds from at-the-market sales, net of commissions</w:t>
            </w:r>
          </w:p>
        </w:tc>
        <w:tc>
          <w:tcPr>
            <w:tcW w:w="10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7,505</w:t>
            </w: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7"/>
                <w:szCs w:val="17"/>
                <w:color w:val="auto"/>
              </w:rPr>
              <w:t>Payments of offering costs</w:t>
            </w:r>
          </w:p>
        </w:tc>
        <w:tc>
          <w:tcPr>
            <w:tcW w:w="10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(195)</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(420)</w:t>
            </w:r>
          </w:p>
        </w:tc>
      </w:tr>
      <w:tr>
        <w:trPr>
          <w:trHeight w:val="209"/>
        </w:trPr>
        <w:tc>
          <w:tcPr>
            <w:tcW w:w="7380" w:type="dxa"/>
            <w:vAlign w:val="bottom"/>
            <w:tcBorders>
              <w:top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080" w:type="dxa"/>
            <w:vAlign w:val="bottom"/>
            <w:tcBorders>
              <w:top w:val="single" w:sz="8" w:color="auto"/>
              <w:bottom w:val="single" w:sz="8" w:color="auto"/>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110,655</w:t>
            </w: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7,034</w:t>
            </w:r>
          </w:p>
        </w:tc>
        <w:tc>
          <w:tcPr>
            <w:tcW w:w="100" w:type="dxa"/>
            <w:vAlign w:val="bottom"/>
            <w:tcBorders>
              <w:top w:val="single" w:sz="8" w:color="CFF0FC"/>
            </w:tcBorders>
            <w:shd w:val="clear" w:color="auto" w:fill="CFF0FC"/>
          </w:tcPr>
          <w:p>
            <w:pPr>
              <w:spacing w:after="0"/>
              <w:rPr>
                <w:sz w:val="18"/>
                <w:szCs w:val="18"/>
                <w:color w:val="auto"/>
              </w:rPr>
            </w:pPr>
          </w:p>
        </w:tc>
      </w:tr>
      <w:tr>
        <w:trPr>
          <w:trHeight w:val="210"/>
        </w:trPr>
        <w:tc>
          <w:tcPr>
            <w:tcW w:w="7380" w:type="dxa"/>
            <w:vAlign w:val="bottom"/>
          </w:tcPr>
          <w:p>
            <w:pPr>
              <w:spacing w:after="0"/>
              <w:rPr>
                <w:sz w:val="20"/>
                <w:szCs w:val="20"/>
                <w:color w:val="auto"/>
              </w:rPr>
            </w:pPr>
            <w:r>
              <w:rPr>
                <w:rFonts w:ascii="Times New Roman" w:cs="Times New Roman" w:eastAsia="Times New Roman" w:hAnsi="Times New Roman"/>
                <w:sz w:val="17"/>
                <w:szCs w:val="17"/>
                <w:color w:val="auto"/>
              </w:rPr>
              <w:t>Net increase (decrease) in cash and cash equivalents</w:t>
            </w: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29,744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(15,683)</w:t>
            </w: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and cash equivalents at beginning of period</w:t>
            </w:r>
          </w:p>
        </w:tc>
        <w:tc>
          <w:tcPr>
            <w:tcW w:w="10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36,830</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45,001</w:t>
            </w:r>
          </w:p>
        </w:tc>
        <w:tc>
          <w:tcPr>
            <w:tcW w:w="100" w:type="dxa"/>
            <w:vAlign w:val="bottom"/>
            <w:shd w:val="clear" w:color="auto" w:fill="CFF0FC"/>
          </w:tcPr>
          <w:p>
            <w:pPr>
              <w:spacing w:after="0"/>
              <w:rPr>
                <w:sz w:val="18"/>
                <w:szCs w:val="18"/>
                <w:color w:val="auto"/>
              </w:rPr>
            </w:pPr>
          </w:p>
        </w:tc>
      </w:tr>
      <w:tr>
        <w:trPr>
          <w:trHeight w:val="210"/>
        </w:trPr>
        <w:tc>
          <w:tcPr>
            <w:tcW w:w="738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 at end of period</w:t>
            </w:r>
          </w:p>
        </w:tc>
        <w:tc>
          <w:tcPr>
            <w:tcW w:w="1080" w:type="dxa"/>
            <w:vAlign w:val="bottom"/>
            <w:tcBorders>
              <w:bottom w:val="single" w:sz="8" w:color="auto"/>
            </w:tcBorders>
          </w:tcPr>
          <w:p>
            <w:pPr>
              <w:jc w:val="right"/>
              <w:ind w:right="921"/>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66,574</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6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29,318</w:t>
            </w:r>
          </w:p>
        </w:tc>
        <w:tc>
          <w:tcPr>
            <w:tcW w:w="100" w:type="dxa"/>
            <w:vAlign w:val="bottom"/>
          </w:tcPr>
          <w:p>
            <w:pPr>
              <w:spacing w:after="0"/>
              <w:rPr>
                <w:sz w:val="18"/>
                <w:szCs w:val="18"/>
                <w:color w:val="auto"/>
              </w:rPr>
            </w:pPr>
          </w:p>
        </w:tc>
      </w:tr>
      <w:tr>
        <w:trPr>
          <w:trHeight w:val="20"/>
        </w:trPr>
        <w:tc>
          <w:tcPr>
            <w:tcW w:w="73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Trevi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5" w:lineRule="exact"/>
        <w:rPr>
          <w:sz w:val="20"/>
          <w:szCs w:val="20"/>
          <w:color w:val="auto"/>
        </w:rPr>
      </w:pPr>
    </w:p>
    <w:p>
      <w:pPr>
        <w:ind w:left="500" w:hanging="492"/>
        <w:spacing w:after="0"/>
        <w:tabs>
          <w:tab w:leader="none" w:pos="5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the Business</w:t>
      </w:r>
    </w:p>
    <w:p>
      <w:pPr>
        <w:spacing w:after="0" w:line="121"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Trevi Therapeutics, Inc. (“Trevi” or the “Company”) is a clinical-stage biopharmaceutical company focused on the development and commercialization of the investigational therapy Haduvio (oral nalbuphine ER) for the treatment of chronic cough in adults with idiopathic pulmonary fibrosis (“IPF”) and other chronic cough indications, and for the treatment of prurigo nodularis. These conditions share a common pathophysiology that is mediated through opioid receptors in the central and peripheral nervous systems. Due to nalbuphine’s mechanism of action as a modulator of opioid receptors, the Company believes Haduvio has the potential to be effective in treating each of these conditions.</w:t>
      </w:r>
    </w:p>
    <w:p>
      <w:pPr>
        <w:spacing w:after="0" w:line="75" w:lineRule="exact"/>
        <w:rPr>
          <w:sz w:val="20"/>
          <w:szCs w:val="20"/>
          <w:color w:val="auto"/>
        </w:rPr>
      </w:pPr>
    </w:p>
    <w:p>
      <w:pPr>
        <w:ind w:right="220" w:firstLine="510"/>
        <w:spacing w:after="0" w:line="258" w:lineRule="auto"/>
        <w:rPr>
          <w:sz w:val="20"/>
          <w:szCs w:val="20"/>
          <w:color w:val="auto"/>
        </w:rPr>
      </w:pPr>
      <w:r>
        <w:rPr>
          <w:rFonts w:ascii="Times New Roman" w:cs="Times New Roman" w:eastAsia="Times New Roman" w:hAnsi="Times New Roman"/>
          <w:sz w:val="18"/>
          <w:szCs w:val="18"/>
          <w:color w:val="auto"/>
        </w:rPr>
        <w:t>Haduvio is an oral extended-release formulation of nalbuphine. Nalbuphine is a mixed κ-opioid receptor agonist and μ-opioid receptor antagonist that has been approved and marketed as an injectable for pain indications for more than 20 years in the United States (“U.S.”) and Europe. The κ- and μ-opioid receptors are known to be critical mediators of cough, itch and certain movement disorders. Nalbuphine’s mechanism of action also mitigates the risk of abuse associated with μ-opioid agonists because it antagonizes or blocks, the μ-opioid receptor. Parenteral nalbuphine is not scheduled as a controlled substance in the U.S. and most of Europe.</w:t>
      </w:r>
    </w:p>
    <w:p>
      <w:pPr>
        <w:spacing w:after="0" w:line="71" w:lineRule="exact"/>
        <w:rPr>
          <w:sz w:val="20"/>
          <w:szCs w:val="20"/>
          <w:color w:val="auto"/>
        </w:rPr>
      </w:pPr>
    </w:p>
    <w:p>
      <w:pPr>
        <w:ind w:left="520" w:right="7340" w:hanging="512"/>
        <w:spacing w:after="0" w:line="377" w:lineRule="auto"/>
        <w:tabs>
          <w:tab w:leader="none" w:pos="51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spacing w:after="0" w:line="2" w:lineRule="exact"/>
        <w:rPr>
          <w:sz w:val="20"/>
          <w:szCs w:val="20"/>
          <w:color w:val="auto"/>
        </w:rPr>
      </w:pPr>
    </w:p>
    <w:p>
      <w:pPr>
        <w:ind w:right="180" w:firstLine="510"/>
        <w:spacing w:after="0" w:line="256"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for the three and nine months ended September 30, 2022 and 2021 included herein have been prepared in accordance with accounting principles generally accepted in the U.S. (“GAAP”) for interim financial information and the rules and regulations of the Securities and Exchange Commission (“SEC”) for interim information. Certain information and footnote disclosures typically prepared in accordance with GAAP have been condensed or omitted pursuant to SEC rules and regulations. The accompanying unaudited Condensed Consolidated Financial Statements and notes should be read in conjunction with the audited consolidated financial statements and related notes included in the Company’s Annual Report on Form 10-K for the year ended December 31, 2021 (the “Annual Report on Form 10-K”).</w:t>
      </w:r>
    </w:p>
    <w:p>
      <w:pPr>
        <w:spacing w:after="0" w:line="79" w:lineRule="exact"/>
        <w:rPr>
          <w:sz w:val="20"/>
          <w:szCs w:val="20"/>
          <w:color w:val="auto"/>
        </w:rPr>
      </w:pPr>
    </w:p>
    <w:p>
      <w:pPr>
        <w:ind w:right="80" w:firstLine="510"/>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Trevi Therapeutics, Inc. and its wholly-owned subsidiary Trevi Therapeutics Limited. Intercompany balances and transactions have been eliminated.</w:t>
      </w:r>
    </w:p>
    <w:p>
      <w:pPr>
        <w:spacing w:after="0" w:line="54" w:lineRule="exact"/>
        <w:rPr>
          <w:sz w:val="20"/>
          <w:szCs w:val="20"/>
          <w:color w:val="auto"/>
        </w:rPr>
      </w:pPr>
    </w:p>
    <w:p>
      <w:pPr>
        <w:ind w:right="120" w:firstLine="510"/>
        <w:spacing w:after="0" w:line="266" w:lineRule="auto"/>
        <w:rPr>
          <w:sz w:val="20"/>
          <w:szCs w:val="20"/>
          <w:color w:val="auto"/>
        </w:rPr>
      </w:pPr>
      <w:r>
        <w:rPr>
          <w:rFonts w:ascii="Times New Roman" w:cs="Times New Roman" w:eastAsia="Times New Roman" w:hAnsi="Times New Roman"/>
          <w:sz w:val="18"/>
          <w:szCs w:val="18"/>
          <w:color w:val="auto"/>
        </w:rPr>
        <w:t>All amounts presented are in thousands of dollars, except share and per share amounts, unless noted otherwise. The Company has evaluated events occurring subsequent to September 30, 2022 for potential recognition or disclosure in the Condensed Consolidated Financial Statements and concluded there were no subsequent events that required recognition or disclosure other than those provided in Note 13.</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the expenses during the reporting periods. Significant estimates and assumptions reflected in these Condensed Consolidated Financial Statements include, but are not limited to, the recognition of research and development (“R&amp;D”) expenses, the valuation of stock-based awards and the valuation allowance of deferred tax assets resulting from net operating losses. In addition, management’s assessment of the Company’s ability to continue as a going concern involves the estimation of the amount and timing of future cash inflows and outflows. Changes in estimates are recorded in the period in which they become known. Actual results could differ from those estimates.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21" w:lineRule="exact"/>
        <w:rPr>
          <w:sz w:val="20"/>
          <w:szCs w:val="20"/>
          <w:color w:val="auto"/>
        </w:rPr>
      </w:pPr>
    </w:p>
    <w:p>
      <w:pPr>
        <w:ind w:firstLine="510"/>
        <w:spacing w:after="0" w:line="273" w:lineRule="auto"/>
        <w:rPr>
          <w:sz w:val="20"/>
          <w:szCs w:val="20"/>
          <w:color w:val="auto"/>
        </w:rPr>
      </w:pPr>
      <w:r>
        <w:rPr>
          <w:rFonts w:ascii="Times New Roman" w:cs="Times New Roman" w:eastAsia="Times New Roman" w:hAnsi="Times New Roman"/>
          <w:sz w:val="17"/>
          <w:szCs w:val="17"/>
          <w:color w:val="auto"/>
        </w:rPr>
        <w:t>The accompanying interim Condensed Consolidated Balance Sheet as of September 30, 2022 and the Condensed Consolidated Statements of Comprehensive Loss, the Condensed Consolidated Statements of Stockholders’ Equity and the Condensed Consolidated Statements of Cash Flows for the three and nine months ended September 30, 2022 and 2021 are unaudited. The unaudited interim Condensed Consolidated Financial Statements have been prepared on the same basis as the audited annual consolidated financial statements and, in the Company’s opinion, reflect all adjustments, which include only normal recurring adjustments, necessary for the fair statements of its financial position as of September 30, 2022 and the results of its operations and its cash flows for the three and nine months ended September 30, 2022 and 2021. The results for the three and nine months ended September 30, 2022 and 2021 are not necessarily indicative of results to be expected for the year ending December 31, 2022 or any other interim period or any future year or period.</w:t>
      </w:r>
    </w:p>
    <w:p>
      <w:pPr>
        <w:spacing w:after="0" w:line="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1" w:name="page12"/>
    <w:bookmarkEnd w:id="11"/>
    <w:p>
      <w:pPr>
        <w:ind w:right="820" w:firstLine="510"/>
        <w:spacing w:after="0" w:line="282" w:lineRule="auto"/>
        <w:rPr>
          <w:sz w:val="20"/>
          <w:szCs w:val="20"/>
          <w:color w:val="auto"/>
        </w:rPr>
      </w:pPr>
      <w:r>
        <w:rPr>
          <w:rFonts w:ascii="Times New Roman" w:cs="Times New Roman" w:eastAsia="Times New Roman" w:hAnsi="Times New Roman"/>
          <w:sz w:val="18"/>
          <w:szCs w:val="18"/>
          <w:color w:val="auto"/>
        </w:rPr>
        <w:t>The Company classifies short-term, highly liquid investments with an original term of three months or less at the date of purchase as cash equivalents.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The Company generally invests its excess cash in money market funds and investment grade short- to intermediate-term fixed income securities. Such investments are included in cash and cash equivalents, short-term marketable securities or long-term marketable securities on the Condensed Consolidated Balance Sheet. Marketable securities with an original maturity date greater than 90 days and less than one year at each balance sheet date are classified as short-term. Marketable securities with a maturity date greater than one year at each balance sheet date are classified as long-term. All of the Company’s marketable securities are considered available-for-sale and are reported at fair value with unrealized gains and losses included as a component of stockholders’ equity. The amortized cost of debt securities is adjusted for amortization of premiums and accretion of discounts to maturity, which is included in interest income, net on the Condensed Consolidated Statements of Comprehensive Loss. Realized gains and losses and declines in value judged to be other-than-temporary, if any, on marketable securities are included in interest income, net on the Condensed Consolidated Statements of Comprehensive Loss. The cost of securities sold is determined using specific identification.</w:t>
      </w:r>
    </w:p>
    <w:p>
      <w:pPr>
        <w:spacing w:after="0" w:line="80" w:lineRule="exact"/>
        <w:rPr>
          <w:sz w:val="20"/>
          <w:szCs w:val="20"/>
          <w:color w:val="auto"/>
        </w:rPr>
      </w:pPr>
    </w:p>
    <w:p>
      <w:pPr>
        <w:ind w:right="140" w:firstLine="510"/>
        <w:spacing w:after="0" w:line="255" w:lineRule="auto"/>
        <w:rPr>
          <w:sz w:val="20"/>
          <w:szCs w:val="20"/>
          <w:color w:val="auto"/>
        </w:rPr>
      </w:pPr>
      <w:r>
        <w:rPr>
          <w:rFonts w:ascii="Times New Roman" w:cs="Times New Roman" w:eastAsia="Times New Roman" w:hAnsi="Times New Roman"/>
          <w:sz w:val="18"/>
          <w:szCs w:val="18"/>
          <w:color w:val="auto"/>
        </w:rPr>
        <w:t>The Company evaluates whether declines in the fair values of its marketable securities below their amortized cost are other-than temporary on a quarterly basis. This evaluation consists of several qualitative and quantitative factors regarding the severity and duration of the unrealized loss, as well as the Company’s ability and intent to hold the marketable security until a forecasted recovery occurs. Additionally, the Company assesses whether it has plans to sell the marketable security or whether it is more likely than not that it will be required to sell any marketable securities before recovery of its amortized cost basis. Factors considered include quoted market prices, recent financial results and operating trends, implied values from any recent transactions or offers of investee securities, credit quality of debt instrument issuers, other publicly available information that may affect the value of the marketable security, duration and severity of the decline in value, and the Company’s strategy and intentions for holding the marketable security.</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The Company’s financial instruments have consisted of cash and cash equivalents, available-for-sale marketable securities, other current assets, accounts payable, accrued expenses, term loans, term loan derivative liability and warrants to acquire the Company’s common stock. Fair value estimates of these instruments are made at a specific point in time, based on relevant market information. The carrying amounts of cash and cash equivalents, other current assets, accounts payable and accrued expenses are generally considered to be representative of their respective fair values because of the short-term nature of those instruments. Available-for-sale marketable securities are reported at their fair values, based upon pricing of securities with the same or similar investment characteristics as provided by third-party pricing services, as described below. The carrying amount of the term loan approximates its fair value due to its floating market-based interest rate. The fair value of the term loan derivative liability is estimated utilizing a probability-weighted cash flow approach. The warrants to acquire the Company’s common stock are not required to be accounted for at fair value.</w:t>
      </w:r>
    </w:p>
    <w:p>
      <w:pPr>
        <w:spacing w:after="0" w:line="84" w:lineRule="exact"/>
        <w:rPr>
          <w:sz w:val="20"/>
          <w:szCs w:val="20"/>
          <w:color w:val="auto"/>
        </w:rPr>
      </w:pPr>
    </w:p>
    <w:p>
      <w:pPr>
        <w:ind w:right="180" w:firstLine="510"/>
        <w:spacing w:after="0" w:line="261" w:lineRule="auto"/>
        <w:rPr>
          <w:sz w:val="20"/>
          <w:szCs w:val="20"/>
          <w:color w:val="auto"/>
        </w:rPr>
      </w:pPr>
      <w:r>
        <w:rPr>
          <w:rFonts w:ascii="Times New Roman" w:cs="Times New Roman" w:eastAsia="Times New Roman" w:hAnsi="Times New Roman"/>
          <w:sz w:val="18"/>
          <w:szCs w:val="18"/>
          <w:color w:val="auto"/>
        </w:rPr>
        <w:t xml:space="preserve">Current accounting guidance defines fair value, establishes a framework for measuring fair value in accordance with Accounting Standards Codification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and requires certain disclosures about fair value measurements. The valuation techniques included in the guidance are based on observable and unobservable inputs. Observable inputs reflect readily obtainable data from independent sources, while unobservable inputs reflect market assumptions and are classified into the following fair value hierarchy:</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1—Observable inputs—quoted prices in active markets for identical assets and liabilities.</w:t>
      </w:r>
    </w:p>
    <w:p>
      <w:pPr>
        <w:spacing w:after="0" w:line="117" w:lineRule="exact"/>
        <w:rPr>
          <w:sz w:val="20"/>
          <w:szCs w:val="20"/>
          <w:color w:val="auto"/>
        </w:rPr>
      </w:pPr>
    </w:p>
    <w:p>
      <w:pPr>
        <w:jc w:val="both"/>
        <w:ind w:left="520" w:right="440"/>
        <w:spacing w:after="0" w:line="266" w:lineRule="auto"/>
        <w:rPr>
          <w:sz w:val="20"/>
          <w:szCs w:val="20"/>
          <w:color w:val="auto"/>
        </w:rPr>
      </w:pPr>
      <w:r>
        <w:rPr>
          <w:rFonts w:ascii="Times New Roman" w:cs="Times New Roman" w:eastAsia="Times New Roman" w:hAnsi="Times New Roman"/>
          <w:sz w:val="18"/>
          <w:szCs w:val="18"/>
          <w:color w:val="auto"/>
        </w:rPr>
        <w:t>Level 2—Observable inputs other than the quoted prices in active markets for identical assets and liabilities—such as quoted prices for similar instruments, quoted prices for identical or similar instruments in inactive markets, or other inputs that are observable or can be corroborated by observable market data.</w:t>
      </w:r>
    </w:p>
    <w:p>
      <w:pPr>
        <w:spacing w:after="0" w:line="68"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Level 3—Unobservable inputs—includes amounts derived from valuation models where one or more significant inputs are unobservable and require the company to develop relevant assumptions.</w:t>
      </w:r>
    </w:p>
    <w:p>
      <w:pPr>
        <w:spacing w:after="0" w:line="45" w:lineRule="exact"/>
        <w:rPr>
          <w:sz w:val="20"/>
          <w:szCs w:val="20"/>
          <w:color w:val="auto"/>
        </w:rPr>
      </w:pPr>
    </w:p>
    <w:p>
      <w:pPr>
        <w:ind w:left="520"/>
        <w:spacing w:after="0"/>
        <w:rPr>
          <w:sz w:val="20"/>
          <w:szCs w:val="20"/>
          <w:color w:val="auto"/>
        </w:rPr>
      </w:pPr>
      <w:r>
        <w:rPr>
          <w:rFonts w:ascii="Calibri" w:cs="Calibri" w:eastAsia="Calibri" w:hAnsi="Calibri"/>
          <w:sz w:val="18"/>
          <w:szCs w:val="18"/>
          <w:i w:val="1"/>
          <w:iCs w:val="1"/>
          <w:color w:val="auto"/>
        </w:rPr>
        <w:t>Valuaton Techniques - Level 2 Inputs</w:t>
      </w:r>
    </w:p>
    <w:p>
      <w:pPr>
        <w:spacing w:after="0" w:line="113" w:lineRule="exact"/>
        <w:rPr>
          <w:sz w:val="20"/>
          <w:szCs w:val="20"/>
          <w:color w:val="auto"/>
        </w:rPr>
      </w:pPr>
    </w:p>
    <w:p>
      <w:pPr>
        <w:ind w:right="120" w:firstLine="510"/>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values of its financial instruments categorized as level 2 in the fair value hierarchy, including U.S. Treasury securities, U.S. government agency obligations, corporate bonds, commercial paper and municipal bonds, by taking into consideration valuations obtained from third-party pricing services. The pricing services use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benchmark yields, issuer credit spreads, benchmark securities, and other observable inputs. The Company obtains a single price for each financial instrument and does not adjust the prices obtained from the pricing service.</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Property, Equipment and Leasehold Improvements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 w:name="page13"/>
    <w:bookmarkEnd w:id="12"/>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Property, equipment and leasehold improvements (consisting of furniture, computer and office equipment and leasehold improvements) are stated at cost, net of accumulated depreciation. Depreciation is calculated using the straight-line method over the estimated useful lives of the respective assets (three years for computer equipment, five years for furniture and office equipment and the shorter of the term of the lease or useful life for leasehold improvements).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19" w:lineRule="exact"/>
        <w:rPr>
          <w:sz w:val="20"/>
          <w:szCs w:val="20"/>
          <w:color w:val="auto"/>
        </w:rPr>
      </w:pPr>
    </w:p>
    <w:p>
      <w:pPr>
        <w:ind w:right="80" w:firstLine="510"/>
        <w:spacing w:after="0" w:line="267" w:lineRule="auto"/>
        <w:rPr>
          <w:sz w:val="20"/>
          <w:szCs w:val="20"/>
          <w:color w:val="auto"/>
        </w:rPr>
      </w:pPr>
      <w:r>
        <w:rPr>
          <w:rFonts w:ascii="Times New Roman" w:cs="Times New Roman" w:eastAsia="Times New Roman" w:hAnsi="Times New Roman"/>
          <w:sz w:val="18"/>
          <w:szCs w:val="18"/>
          <w:color w:val="auto"/>
        </w:rPr>
        <w:t xml:space="preserve">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addresses the financial accounting and reporting for impairment or disposal of long-lived assets. The Company reviews the recorded values of long-lived assets for impairment whenever events or changes in business circumstances indicate that the carrying amount of an asset or group of assets may not be fully recoverable.</w:t>
      </w:r>
    </w:p>
    <w:p>
      <w:pPr>
        <w:spacing w:after="0" w:line="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Transactions</w:t>
      </w:r>
    </w:p>
    <w:p>
      <w:pPr>
        <w:spacing w:after="0" w:line="121" w:lineRule="exact"/>
        <w:rPr>
          <w:sz w:val="20"/>
          <w:szCs w:val="20"/>
          <w:color w:val="auto"/>
        </w:rPr>
      </w:pPr>
    </w:p>
    <w:p>
      <w:pPr>
        <w:ind w:right="280" w:firstLine="510"/>
        <w:spacing w:after="0" w:line="266" w:lineRule="auto"/>
        <w:rPr>
          <w:sz w:val="20"/>
          <w:szCs w:val="20"/>
          <w:color w:val="auto"/>
        </w:rPr>
      </w:pPr>
      <w:r>
        <w:rPr>
          <w:rFonts w:ascii="Times New Roman" w:cs="Times New Roman" w:eastAsia="Times New Roman" w:hAnsi="Times New Roman"/>
          <w:sz w:val="18"/>
          <w:szCs w:val="18"/>
          <w:color w:val="auto"/>
        </w:rPr>
        <w:t>The Company, at times, contracts with vendors and consultants outside of the U.S., resulting in liabilities denominated in foreign currency. The transactions are recorded in U.S. dollars on the transaction dates and any currency fluctuation through the payment date is recorded as currency gains or losses in the Condensed Consolidated Statements of Comprehensive Loss.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21"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The Company capitalizes certain legal, professional, accounting and other third-party fees that are directly associated with in-process equity financings as deferred offering costs until such financings are consummated. After consummation of an equity financing, these costs are recorded in stockholders’ equity as a reduction of additional paid-in capital generated as a result of the financings. Should the planned equity financing no longer be considered probable of being consummated, the deferred offering costs are expensed immediately as a charge to operating expenses. The deferred offering costs are included in Other non-current assets on the Condensed Consolidated Balance Sheets.</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(“R&amp;D”) Expenses</w:t>
      </w:r>
    </w:p>
    <w:p>
      <w:pPr>
        <w:spacing w:after="0" w:line="121" w:lineRule="exact"/>
        <w:rPr>
          <w:sz w:val="20"/>
          <w:szCs w:val="20"/>
          <w:color w:val="auto"/>
        </w:rPr>
      </w:pPr>
    </w:p>
    <w:p>
      <w:pPr>
        <w:ind w:right="80" w:firstLine="510"/>
        <w:spacing w:after="0" w:line="256" w:lineRule="auto"/>
        <w:rPr>
          <w:sz w:val="20"/>
          <w:szCs w:val="20"/>
          <w:color w:val="auto"/>
        </w:rPr>
      </w:pPr>
      <w:r>
        <w:rPr>
          <w:rFonts w:ascii="Times New Roman" w:cs="Times New Roman" w:eastAsia="Times New Roman" w:hAnsi="Times New Roman"/>
          <w:sz w:val="18"/>
          <w:szCs w:val="18"/>
          <w:color w:val="auto"/>
        </w:rPr>
        <w:t>All of the Company’s R&amp;D expenses consist of expenses incurred in connection with the development of Haduvio. These expenses include certain payroll and personnel expenses, including stock-based compensation, consulting costs, contract manufacturing costs and fees paid to contract research organizations (“CROs”) to conduct certain R&amp;D activities on the Company’s behalf. The Company does not allocate its costs by each indication for which it is developing Haduvio, as a significant amount of the Company’s development activities broadly support all indications. In addition, several of the Company’s departments support the Company’s Haduvio drug candidate development program and the Company does not identify internal costs for each potential indication. The Company expenses both internal and external R&amp;D expenses as they are incurred.</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R&amp;D Expenses</w:t>
      </w:r>
    </w:p>
    <w:p>
      <w:pPr>
        <w:spacing w:after="0" w:line="121" w:lineRule="exact"/>
        <w:rPr>
          <w:sz w:val="20"/>
          <w:szCs w:val="20"/>
          <w:color w:val="auto"/>
        </w:rPr>
      </w:pPr>
    </w:p>
    <w:p>
      <w:pPr>
        <w:ind w:right="140" w:firstLine="510"/>
        <w:spacing w:after="0" w:line="255" w:lineRule="auto"/>
        <w:rPr>
          <w:sz w:val="20"/>
          <w:szCs w:val="20"/>
          <w:color w:val="auto"/>
        </w:rPr>
      </w:pPr>
      <w:r>
        <w:rPr>
          <w:rFonts w:ascii="Times New Roman" w:cs="Times New Roman" w:eastAsia="Times New Roman" w:hAnsi="Times New Roman"/>
          <w:sz w:val="18"/>
          <w:szCs w:val="18"/>
          <w:color w:val="auto"/>
        </w:rPr>
        <w:t>The Company has entered into agreements with CROs, contract manufacturing organizations (“CMOs”) and other companies that provide services in connection with the Company’s R&amp;D activities. The Company’s R&amp;D accruals are estimated based on the level of services performed, progress of the studies, including the phase or completion of events and contracted costs. The estimated costs of R&amp;D provided, but not yet invoiced, are included in accrued expenses on the Condensed Consolidated Balance Sheets. If the actual timing of the performance of services or the level of effort varies from the original estimates, the Company will adjust the accrual accordingly. Payments made to CROs, CMOs and other companies under these arrangements in advance of the performance of the related services are recorded as prepaid expenses or as other non-current assets, as applicable, and are recognized as expenses as the goods are delivered or the related services are performed.</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121"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All patent-related costs in connection with filing and prosecuting patent applications are expensed to general and administrative expense as incurred, as recoverability of such expenditures is uncertain.</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 xml:space="preserve">The Company determines the accounting classification of warrants that are issued, as either liability or equity, by first assessing whether the warrants meet liability classification in accordance with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 and then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depending on the specific terms of the warrant. Under ASC 480, warrants are considered liability classified if the warrants are mandatorily redeemable, obligate the issuer to settle the warrants or the underlying shares by paying cash or other assets, or must or may require settlement by issuing variable number of shares.</w:t>
      </w:r>
    </w:p>
    <w:p>
      <w:pPr>
        <w:spacing w:after="0" w:line="75" w:lineRule="exact"/>
        <w:rPr>
          <w:sz w:val="20"/>
          <w:szCs w:val="20"/>
          <w:color w:val="auto"/>
        </w:rPr>
      </w:pPr>
    </w:p>
    <w:p>
      <w:pPr>
        <w:ind w:right="60" w:firstLine="510"/>
        <w:spacing w:after="0" w:line="255" w:lineRule="auto"/>
        <w:rPr>
          <w:sz w:val="20"/>
          <w:szCs w:val="20"/>
          <w:color w:val="auto"/>
        </w:rPr>
      </w:pPr>
      <w:r>
        <w:rPr>
          <w:rFonts w:ascii="Times New Roman" w:cs="Times New Roman" w:eastAsia="Times New Roman" w:hAnsi="Times New Roman"/>
          <w:sz w:val="18"/>
          <w:szCs w:val="18"/>
          <w:color w:val="auto"/>
        </w:rPr>
        <w:t>If the warrants do not meet liability classification under ASC 480, the Company assesses the requirements under ASC 815, which states that contracts that require or may require the issuer to settle the contract for cash are liabilities recorded at fair value, irrespective of the likelihood of the transaction occurring that triggers the net cash settlement feature. If the warrants do not require liability classification under ASC 815, in order to conclude equity classification, the Company assesses whether the warrants are indexed to its common stock and whether the warrants are classified as equity under ASC 815 or other applicable GAAP. After all relevant assessments are made, the Company concludes whether the warrants are classified as liability or equity. Liability classified warrants are required to be accounted for at fair value both on the date of issuance and on subsequent accounting period ending dates,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3" w:name="page14"/>
    <w:bookmarkEnd w:id="13"/>
    <w:p>
      <w:pPr>
        <w:ind w:right="240"/>
        <w:spacing w:after="0" w:line="282" w:lineRule="auto"/>
        <w:rPr>
          <w:sz w:val="20"/>
          <w:szCs w:val="20"/>
          <w:color w:val="auto"/>
        </w:rPr>
      </w:pPr>
      <w:r>
        <w:rPr>
          <w:rFonts w:ascii="Times New Roman" w:cs="Times New Roman" w:eastAsia="Times New Roman" w:hAnsi="Times New Roman"/>
          <w:sz w:val="18"/>
          <w:szCs w:val="18"/>
          <w:color w:val="auto"/>
        </w:rPr>
        <w:t>with all changes in fair value after the issuance date recorded in the statements of comprehensive loss as a gain or loss. For equity classified warrants, no changes in fair value are recognized after the issuance date.</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stock-based compensation arrangements with employees and non-employees for consultancy services in accordance with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xml:space="preserve"> (“ASC 718”). ASC 718 requires the recognition of compensation expense, using a fair-value based method, for costs related to all stock-based awards including stock options. The Company’s determination of the fair value of stock-based awards on the date of grant utilizes the Black-Scholes valuation model for stock options with time-based and performance-based vesting and is impacted by the price of its common stock as well as changes in assumptions regarding a number of subjective variables. These variables include the expected term that stock options will remain outstanding, expected common stock price volatility over the term of the stock options, risk-free interest rates and expected dividends.</w:t>
      </w:r>
    </w:p>
    <w:p>
      <w:pPr>
        <w:spacing w:after="0" w:line="79" w:lineRule="exact"/>
        <w:rPr>
          <w:sz w:val="20"/>
          <w:szCs w:val="20"/>
          <w:color w:val="auto"/>
        </w:rPr>
      </w:pPr>
    </w:p>
    <w:p>
      <w:pPr>
        <w:ind w:right="480" w:firstLine="510"/>
        <w:spacing w:after="0" w:line="282" w:lineRule="auto"/>
        <w:rPr>
          <w:sz w:val="20"/>
          <w:szCs w:val="20"/>
          <w:color w:val="auto"/>
        </w:rPr>
      </w:pPr>
      <w:r>
        <w:rPr>
          <w:rFonts w:ascii="Times New Roman" w:cs="Times New Roman" w:eastAsia="Times New Roman" w:hAnsi="Times New Roman"/>
          <w:sz w:val="18"/>
          <w:szCs w:val="18"/>
          <w:color w:val="auto"/>
        </w:rPr>
        <w:t>Changes in the variables can materially affect the fair value and ultimately how much stock-based compensation expense is recognized. These inputs are subjective and generally require analysis and judgment to develop.</w:t>
      </w:r>
    </w:p>
    <w:p>
      <w:pPr>
        <w:spacing w:after="0" w:line="54" w:lineRule="exact"/>
        <w:rPr>
          <w:sz w:val="20"/>
          <w:szCs w:val="20"/>
          <w:color w:val="auto"/>
        </w:rPr>
      </w:pPr>
    </w:p>
    <w:p>
      <w:pPr>
        <w:ind w:right="80" w:firstLine="510"/>
        <w:spacing w:after="0" w:line="266" w:lineRule="auto"/>
        <w:rPr>
          <w:sz w:val="20"/>
          <w:szCs w:val="20"/>
          <w:color w:val="auto"/>
        </w:rPr>
      </w:pPr>
      <w:r>
        <w:rPr>
          <w:rFonts w:ascii="Times New Roman" w:cs="Times New Roman" w:eastAsia="Times New Roman" w:hAnsi="Times New Roman"/>
          <w:sz w:val="18"/>
          <w:szCs w:val="18"/>
          <w:color w:val="auto"/>
        </w:rPr>
        <w:t>Expected Term—The expected term assumption represents the weighted average period that the stock-based awards are expected to be outstanding. The Company has elected to use the “simplified method” for estimating the expected term of its stock options, whereby the expected term equals the arithmetic average of the vesting term and the original contractual term of the stock option.</w:t>
      </w:r>
    </w:p>
    <w:p>
      <w:pPr>
        <w:spacing w:after="0" w:line="68" w:lineRule="exact"/>
        <w:rPr>
          <w:sz w:val="20"/>
          <w:szCs w:val="20"/>
          <w:color w:val="auto"/>
        </w:rPr>
      </w:pPr>
    </w:p>
    <w:p>
      <w:pPr>
        <w:ind w:right="240" w:firstLine="510"/>
        <w:spacing w:after="0" w:line="266" w:lineRule="auto"/>
        <w:rPr>
          <w:sz w:val="20"/>
          <w:szCs w:val="20"/>
          <w:color w:val="auto"/>
        </w:rPr>
      </w:pPr>
      <w:r>
        <w:rPr>
          <w:rFonts w:ascii="Times New Roman" w:cs="Times New Roman" w:eastAsia="Times New Roman" w:hAnsi="Times New Roman"/>
          <w:sz w:val="18"/>
          <w:szCs w:val="18"/>
          <w:color w:val="auto"/>
        </w:rPr>
        <w:t>Expected Volatility—For all stock options granted to date, the volatility data was estimated based on a study of publicly traded industry peer companies. For purposes of identifying these peer companies, the Company considered the industry, stage of development, size and financial leverage of potential comparable companies.</w:t>
      </w:r>
    </w:p>
    <w:p>
      <w:pPr>
        <w:spacing w:after="0" w:line="68" w:lineRule="exact"/>
        <w:rPr>
          <w:sz w:val="20"/>
          <w:szCs w:val="20"/>
          <w:color w:val="auto"/>
        </w:rPr>
      </w:pPr>
    </w:p>
    <w:p>
      <w:pPr>
        <w:ind w:right="440" w:firstLine="510"/>
        <w:spacing w:after="0" w:line="282" w:lineRule="auto"/>
        <w:rPr>
          <w:sz w:val="20"/>
          <w:szCs w:val="20"/>
          <w:color w:val="auto"/>
        </w:rPr>
      </w:pPr>
      <w:r>
        <w:rPr>
          <w:rFonts w:ascii="Times New Roman" w:cs="Times New Roman" w:eastAsia="Times New Roman" w:hAnsi="Times New Roman"/>
          <w:sz w:val="18"/>
          <w:szCs w:val="18"/>
          <w:color w:val="auto"/>
        </w:rPr>
        <w:t>Expected Dividend—The Black-Scholes valuation model calls for a single expected dividend yield as an input. The Company currently has no history or expectation of paying cash dividends on its common stock.</w:t>
      </w:r>
    </w:p>
    <w:p>
      <w:pPr>
        <w:spacing w:after="0" w:line="54" w:lineRule="exact"/>
        <w:rPr>
          <w:sz w:val="20"/>
          <w:szCs w:val="20"/>
          <w:color w:val="auto"/>
        </w:rPr>
      </w:pPr>
    </w:p>
    <w:p>
      <w:pPr>
        <w:ind w:right="340" w:firstLine="510"/>
        <w:spacing w:after="0" w:line="282" w:lineRule="auto"/>
        <w:rPr>
          <w:sz w:val="20"/>
          <w:szCs w:val="20"/>
          <w:color w:val="auto"/>
        </w:rPr>
      </w:pPr>
      <w:r>
        <w:rPr>
          <w:rFonts w:ascii="Times New Roman" w:cs="Times New Roman" w:eastAsia="Times New Roman" w:hAnsi="Times New Roman"/>
          <w:sz w:val="18"/>
          <w:szCs w:val="18"/>
          <w:color w:val="auto"/>
        </w:rPr>
        <w:t>Risk-Free Interest Rate—The risk-free interest rate is based on the yield available on U.S. Treasury zero-coupon issues similar in duration to the expected term of the stock-based award.</w:t>
      </w:r>
    </w:p>
    <w:p>
      <w:pPr>
        <w:spacing w:after="0" w:line="54"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The fair value is recognized over the period during which an optionee is required to provide services in exchange for the stock option, known as the requisite service period (usually the vesting period) on a straight-line basis. For performance-based vesting, the fair value is recognized when the performance conditions are probable of being achieved. The Company reassesses the probability of achieving the performance conditions at each reporting date. Forfeitures are accounted for as they occur.</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Under this method, deferred tax assets and liabilities are determined based on differences between the financial reporting and tax bases of assets and liabilities and are measured using the enacted tax rates and laws that will be in effect when the differences are expected to reverse. Deferred income tax assets are reduced, as necessary, by a valuation allowance when management determines it is more likely than not that some or all of the tax benefits will not be realized.</w:t>
      </w:r>
    </w:p>
    <w:p>
      <w:pPr>
        <w:spacing w:after="0" w:line="70" w:lineRule="exact"/>
        <w:rPr>
          <w:sz w:val="20"/>
          <w:szCs w:val="20"/>
          <w:color w:val="auto"/>
        </w:rPr>
      </w:pPr>
    </w:p>
    <w:p>
      <w:pPr>
        <w:ind w:right="100" w:firstLine="510"/>
        <w:spacing w:after="0" w:line="257" w:lineRule="auto"/>
        <w:rPr>
          <w:sz w:val="20"/>
          <w:szCs w:val="20"/>
          <w:color w:val="auto"/>
        </w:rPr>
      </w:pPr>
      <w:r>
        <w:rPr>
          <w:rFonts w:ascii="Times New Roman" w:cs="Times New Roman" w:eastAsia="Times New Roman" w:hAnsi="Times New Roman"/>
          <w:sz w:val="18"/>
          <w:szCs w:val="18"/>
          <w:color w:val="auto"/>
        </w:rPr>
        <w:t xml:space="preserve">The Company applies the provisions of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prescribes a comprehensive model for how a company should recognize, measure, present and disclose in its financial statements uncertain tax positions that the company has taken or expects to take on a tax return. These Condensed Consolidated Financial Statements reflect expected future tax consequences of such positions presuming the taxing authorities possess full knowledge of the position and all relevant facts. There are no material uncertainties regarding the tax positions that the Company has taken through September 30, 2022 and December 31, 2021. The Company does not have any interest or penalties accrued related to tax positions as it does not have any unrecognized tax benefits.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9"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 xml:space="preserve">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the Company determines if an arrangement is a lease at its inception. If an operating lease has a term greater than one year, the lease is recognized in the balance sheet as a right-of-use asset and an operating lease liability at lease commencement. The Company elected the short-term lease practical expedient, therefore, if an operating lease has a term less than one year, the Company will not recognize the lease on its balance sheet. The operating right-of-use asset represents the Company’s right of use to an underlying asset for the term of the lease and the operating liability represents the Company’s obligation to make lease payments arising from the lease.</w:t>
      </w:r>
    </w:p>
    <w:p>
      <w:pPr>
        <w:spacing w:after="0" w:line="77"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Operating lease right-of-use assets and operating lease liabilities are determined and recognized on the commencement date of the lease based on the present value of lease payments over the term of the lease. As the Company’s leases do not provide an implicit rate within the lease, the Company uses its incremental borrowing rate, based on information available at the commencement date of the lease to determine the present value of the lease payments.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Basic and Diluted Net Loss per Common Share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4" w:name="page15"/>
    <w:bookmarkEnd w:id="14"/>
    <w:p>
      <w:pPr>
        <w:ind w:right="120" w:firstLine="510"/>
        <w:spacing w:after="0" w:line="266" w:lineRule="auto"/>
        <w:rPr>
          <w:sz w:val="20"/>
          <w:szCs w:val="20"/>
          <w:color w:val="auto"/>
        </w:rPr>
      </w:pPr>
      <w:r>
        <w:rPr>
          <w:rFonts w:ascii="Times New Roman" w:cs="Times New Roman" w:eastAsia="Times New Roman" w:hAnsi="Times New Roman"/>
          <w:sz w:val="18"/>
          <w:szCs w:val="18"/>
          <w:color w:val="auto"/>
        </w:rPr>
        <w:t>Basic and diluted net loss per common share outstanding is determined by dividing net loss by the weighted average common shares outstanding during the period. Basic shares outstanding includes the weighted average effect of the Company’s outstanding pre-funded warrants, the exercise of which requires little or no consideration for the delivery of shares of common stock.</w:t>
      </w:r>
    </w:p>
    <w:p>
      <w:pPr>
        <w:spacing w:after="0" w:line="68" w:lineRule="exact"/>
        <w:rPr>
          <w:sz w:val="20"/>
          <w:szCs w:val="20"/>
          <w:color w:val="auto"/>
        </w:rPr>
      </w:pPr>
    </w:p>
    <w:p>
      <w:pPr>
        <w:jc w:val="both"/>
        <w:ind w:right="240" w:firstLine="510"/>
        <w:spacing w:after="0" w:line="266" w:lineRule="auto"/>
        <w:rPr>
          <w:sz w:val="20"/>
          <w:szCs w:val="20"/>
          <w:color w:val="auto"/>
        </w:rPr>
      </w:pPr>
      <w:r>
        <w:rPr>
          <w:rFonts w:ascii="Times New Roman" w:cs="Times New Roman" w:eastAsia="Times New Roman" w:hAnsi="Times New Roman"/>
          <w:sz w:val="18"/>
          <w:szCs w:val="18"/>
          <w:color w:val="auto"/>
        </w:rPr>
        <w:t>For all periods presented, shares issuable upon exercise of stock options and warrants to purchase shares of common stock (other than pre-funded warrants) have been excluded from the calculation because their effects would be anti-dilutive. Therefore, the weighted average common shares used to calculate both basic and diluted net loss per share are the same for each of the periods presented.</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21" w:lineRule="exact"/>
        <w:rPr>
          <w:sz w:val="20"/>
          <w:szCs w:val="20"/>
          <w:color w:val="auto"/>
        </w:rPr>
      </w:pPr>
    </w:p>
    <w:p>
      <w:pPr>
        <w:ind w:right="120" w:firstLine="510"/>
        <w:spacing w:after="0" w:line="282" w:lineRule="auto"/>
        <w:rPr>
          <w:sz w:val="20"/>
          <w:szCs w:val="20"/>
          <w:color w:val="auto"/>
        </w:rPr>
      </w:pPr>
      <w:r>
        <w:rPr>
          <w:rFonts w:ascii="Times New Roman" w:cs="Times New Roman" w:eastAsia="Times New Roman" w:hAnsi="Times New Roman"/>
          <w:sz w:val="18"/>
          <w:szCs w:val="18"/>
          <w:color w:val="auto"/>
        </w:rPr>
        <w:t>The Company has one reporting segment which is also the Company’s only operating segment. Management uses one measurement of profitability and does not segregate its business for internal reporting. All long-lived assets are maintained in the U.S.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ind w:right="80" w:firstLine="510"/>
        <w:spacing w:after="0" w:line="282" w:lineRule="auto"/>
        <w:rPr>
          <w:sz w:val="20"/>
          <w:szCs w:val="20"/>
          <w:color w:val="auto"/>
        </w:rPr>
      </w:pPr>
      <w:r>
        <w:rPr>
          <w:rFonts w:ascii="Times New Roman" w:cs="Times New Roman" w:eastAsia="Times New Roman" w:hAnsi="Times New Roman"/>
          <w:sz w:val="18"/>
          <w:szCs w:val="18"/>
          <w:color w:val="auto"/>
        </w:rPr>
        <w:t>There have been no new pronouncements adopted during the nine months ended September 30, 2022, which could be expected to materially impact the Company’s Condensed Consolidated Financial Statements.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ind w:right="200" w:firstLine="510"/>
        <w:spacing w:after="0" w:line="282" w:lineRule="auto"/>
        <w:rPr>
          <w:sz w:val="20"/>
          <w:szCs w:val="20"/>
          <w:color w:val="auto"/>
        </w:rPr>
      </w:pPr>
      <w:r>
        <w:rPr>
          <w:rFonts w:ascii="Times New Roman" w:cs="Times New Roman" w:eastAsia="Times New Roman" w:hAnsi="Times New Roman"/>
          <w:sz w:val="18"/>
          <w:szCs w:val="18"/>
          <w:color w:val="auto"/>
        </w:rPr>
        <w:t>There have been no new pronouncements issued during the nine months ended September 30, 2022, which could be expected to materially impact the Company’s Condensed Consolidated Financial Statements.</w:t>
      </w:r>
    </w:p>
    <w:p>
      <w:pPr>
        <w:spacing w:after="0" w:line="50" w:lineRule="exact"/>
        <w:rPr>
          <w:sz w:val="20"/>
          <w:szCs w:val="20"/>
          <w:color w:val="auto"/>
        </w:rPr>
      </w:pPr>
    </w:p>
    <w:p>
      <w:pPr>
        <w:ind w:left="500" w:hanging="492"/>
        <w:spacing w:after="0"/>
        <w:tabs>
          <w:tab w:leader="none" w:pos="5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Marketable Securities</w:t>
      </w:r>
    </w:p>
    <w:p>
      <w:pPr>
        <w:spacing w:after="0" w:line="121" w:lineRule="exact"/>
        <w:rPr>
          <w:sz w:val="20"/>
          <w:szCs w:val="20"/>
          <w:color w:val="auto"/>
        </w:rPr>
      </w:pPr>
    </w:p>
    <w:p>
      <w:pPr>
        <w:ind w:right="260" w:firstLine="510"/>
        <w:spacing w:after="0" w:line="282" w:lineRule="auto"/>
        <w:rPr>
          <w:sz w:val="20"/>
          <w:szCs w:val="20"/>
          <w:color w:val="auto"/>
        </w:rPr>
      </w:pPr>
      <w:r>
        <w:rPr>
          <w:rFonts w:ascii="Times New Roman" w:cs="Times New Roman" w:eastAsia="Times New Roman" w:hAnsi="Times New Roman"/>
          <w:sz w:val="18"/>
          <w:szCs w:val="18"/>
          <w:color w:val="auto"/>
        </w:rPr>
        <w:t>The fair value and amortized cost of available-for-sale marketable securities by major security type as of September 30, 2022 are presented in the following table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6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1"/>
        </w:trPr>
        <w:tc>
          <w:tcPr>
            <w:tcW w:w="4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ind w:right="50"/>
              <w:spacing w:after="0" w:line="201" w:lineRule="exact"/>
              <w:rPr>
                <w:sz w:val="20"/>
                <w:szCs w:val="20"/>
                <w:color w:val="auto"/>
              </w:rPr>
            </w:pPr>
            <w:r>
              <w:rPr>
                <w:rFonts w:ascii="Times New Roman" w:cs="Times New Roman" w:eastAsia="Times New Roman" w:hAnsi="Times New Roman"/>
                <w:sz w:val="18"/>
                <w:szCs w:val="18"/>
                <w:b w:val="1"/>
                <w:bCs w:val="1"/>
                <w:color w:val="auto"/>
              </w:rPr>
              <w:t>Gross</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500"/>
              <w:spacing w:after="0" w:line="201"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540" w:type="dxa"/>
            <w:vAlign w:val="bottom"/>
            <w:gridSpan w:val="2"/>
          </w:tcPr>
          <w:p>
            <w:pPr>
              <w:ind w:left="1540"/>
              <w:spacing w:after="0"/>
              <w:rPr>
                <w:sz w:val="20"/>
                <w:szCs w:val="20"/>
                <w:color w:val="auto"/>
              </w:rPr>
            </w:pPr>
            <w:r>
              <w:rPr>
                <w:rFonts w:ascii="Times New Roman" w:cs="Times New Roman" w:eastAsia="Times New Roman" w:hAnsi="Times New Roman"/>
                <w:sz w:val="18"/>
                <w:szCs w:val="18"/>
                <w:b w:val="1"/>
                <w:bCs w:val="1"/>
                <w:color w:val="auto"/>
              </w:rPr>
              <w:t>Type of security</w:t>
            </w:r>
          </w:p>
        </w:tc>
        <w:tc>
          <w:tcPr>
            <w:tcW w:w="120" w:type="dxa"/>
            <w:vAlign w:val="bottom"/>
          </w:tcPr>
          <w:p>
            <w:pPr>
              <w:spacing w:after="0"/>
              <w:rPr>
                <w:sz w:val="20"/>
                <w:szCs w:val="20"/>
                <w:color w:val="auto"/>
              </w:rPr>
            </w:pP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20" w:type="dxa"/>
            <w:vAlign w:val="bottom"/>
          </w:tcPr>
          <w:p>
            <w:pPr>
              <w:spacing w:after="0"/>
              <w:rPr>
                <w:sz w:val="20"/>
                <w:szCs w:val="20"/>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8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 Fair Value</w:t>
            </w:r>
          </w:p>
        </w:tc>
      </w:tr>
      <w:tr>
        <w:trPr>
          <w:trHeight w:val="223"/>
        </w:trPr>
        <w:tc>
          <w:tcPr>
            <w:tcW w:w="43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21,830</w:t>
            </w:r>
          </w:p>
        </w:tc>
        <w:tc>
          <w:tcPr>
            <w:tcW w:w="3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34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21,738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15,425</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(171)</w:t>
            </w: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15,254</w:t>
            </w:r>
          </w:p>
        </w:tc>
        <w:tc>
          <w:tcPr>
            <w:tcW w:w="100" w:type="dxa"/>
            <w:vAlign w:val="bottom"/>
          </w:tcPr>
          <w:p>
            <w:pPr>
              <w:spacing w:after="0"/>
              <w:rPr>
                <w:sz w:val="19"/>
                <w:szCs w:val="19"/>
                <w:color w:val="auto"/>
              </w:rPr>
            </w:pPr>
          </w:p>
        </w:tc>
      </w:tr>
      <w:tr>
        <w:trPr>
          <w:trHeight w:val="229"/>
        </w:trPr>
        <w:tc>
          <w:tcPr>
            <w:tcW w:w="4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22,037</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22,037</w:t>
            </w:r>
          </w:p>
        </w:tc>
        <w:tc>
          <w:tcPr>
            <w:tcW w:w="100" w:type="dxa"/>
            <w:vAlign w:val="bottom"/>
            <w:shd w:val="clear" w:color="auto" w:fill="CFF0FC"/>
          </w:tcPr>
          <w:p>
            <w:pPr>
              <w:spacing w:after="0"/>
              <w:rPr>
                <w:sz w:val="19"/>
                <w:szCs w:val="19"/>
                <w:color w:val="auto"/>
              </w:rPr>
            </w:pPr>
          </w:p>
        </w:tc>
      </w:tr>
      <w:tr>
        <w:trPr>
          <w:trHeight w:val="223"/>
        </w:trPr>
        <w:tc>
          <w:tcPr>
            <w:tcW w:w="4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59,292</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340" w:type="dxa"/>
            <w:vAlign w:val="bottom"/>
          </w:tcPr>
          <w:p>
            <w:pPr>
              <w:spacing w:after="0"/>
              <w:rPr>
                <w:sz w:val="19"/>
                <w:szCs w:val="19"/>
                <w:color w:val="auto"/>
              </w:rPr>
            </w:pPr>
          </w:p>
        </w:tc>
        <w:tc>
          <w:tcPr>
            <w:tcW w:w="6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59,029</w:t>
            </w:r>
          </w:p>
        </w:tc>
        <w:tc>
          <w:tcPr>
            <w:tcW w:w="100" w:type="dxa"/>
            <w:vAlign w:val="bottom"/>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0" w:lineRule="exact"/>
        <w:rPr>
          <w:sz w:val="20"/>
          <w:szCs w:val="20"/>
          <w:color w:val="auto"/>
        </w:rPr>
      </w:pPr>
    </w:p>
    <w:p>
      <w:pPr>
        <w:ind w:right="60" w:firstLine="510"/>
        <w:spacing w:after="0" w:line="282" w:lineRule="auto"/>
        <w:rPr>
          <w:sz w:val="20"/>
          <w:szCs w:val="20"/>
          <w:color w:val="auto"/>
        </w:rPr>
      </w:pPr>
      <w:r>
        <w:rPr>
          <w:rFonts w:ascii="Times New Roman" w:cs="Times New Roman" w:eastAsia="Times New Roman" w:hAnsi="Times New Roman"/>
          <w:sz w:val="18"/>
          <w:szCs w:val="18"/>
          <w:color w:val="auto"/>
        </w:rPr>
        <w:t>As of September 30, 2022, all remaining contractual maturities of the Company’s available-for-sale marketable securities were due to mature in less than one year.</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three and nine months ended September 30, 2022, there have been no realized gains or losses on available-for-sale marketable securities.</w:t>
      </w:r>
    </w:p>
    <w:p>
      <w:pPr>
        <w:spacing w:after="0" w:line="117" w:lineRule="exact"/>
        <w:rPr>
          <w:sz w:val="20"/>
          <w:szCs w:val="20"/>
          <w:color w:val="auto"/>
        </w:rPr>
      </w:pPr>
    </w:p>
    <w:p>
      <w:pPr>
        <w:ind w:right="220" w:firstLine="510"/>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2022, no marketable securities had been in a continuous unrealized loss position for more than 12 months and the Company did not recognize any other-than-temporary impairment losses on marketable securities.</w:t>
      </w:r>
    </w:p>
    <w:p>
      <w:pPr>
        <w:spacing w:after="0" w:line="50" w:lineRule="exact"/>
        <w:rPr>
          <w:sz w:val="20"/>
          <w:szCs w:val="20"/>
          <w:color w:val="auto"/>
        </w:rPr>
      </w:pPr>
    </w:p>
    <w:p>
      <w:pPr>
        <w:ind w:left="500" w:hanging="492"/>
        <w:spacing w:after="0"/>
        <w:tabs>
          <w:tab w:leader="none" w:pos="5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financial assets and financial liabilities measured at fair value on a recurring basis as of September 30,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and the basis for that measurement, by level within the fair value hierarchy: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9"/>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Fair Value Measurement Using:</w:t>
            </w:r>
          </w:p>
        </w:tc>
        <w:tc>
          <w:tcPr>
            <w:tcW w:w="7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0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3720" w:type="dxa"/>
            <w:vAlign w:val="bottom"/>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rPr>
              <w:t>Type of Instrument</w:t>
            </w:r>
          </w:p>
        </w:tc>
        <w:tc>
          <w:tcPr>
            <w:tcW w:w="120" w:type="dxa"/>
            <w:vAlign w:val="bottom"/>
          </w:tcPr>
          <w:p>
            <w:pPr>
              <w:spacing w:after="0"/>
              <w:rPr>
                <w:sz w:val="19"/>
                <w:szCs w:val="19"/>
                <w:color w:val="auto"/>
              </w:rPr>
            </w:pP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19"/>
                <w:szCs w:val="19"/>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80" w:type="dxa"/>
            <w:vAlign w:val="bottom"/>
          </w:tcPr>
          <w:p>
            <w:pPr>
              <w:spacing w:after="0"/>
              <w:rPr>
                <w:sz w:val="18"/>
                <w:szCs w:val="18"/>
                <w:color w:val="auto"/>
              </w:rPr>
            </w:pPr>
          </w:p>
        </w:tc>
        <w:tc>
          <w:tcPr>
            <w:tcW w:w="35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3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equivalents</w:t>
            </w:r>
          </w:p>
        </w:tc>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65,574</w:t>
            </w:r>
          </w:p>
        </w:tc>
        <w:tc>
          <w:tcPr>
            <w:tcW w:w="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21,738</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15,254</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tcBorders>
              <w:bottom w:val="single" w:sz="8" w:color="CFF0FC"/>
            </w:tcBorders>
            <w:gridSpan w:val="2"/>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372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22,037</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22,037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5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87,312</w:t>
            </w:r>
          </w:p>
        </w:tc>
        <w:tc>
          <w:tcPr>
            <w:tcW w:w="2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37,291</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124,603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40" w:type="dxa"/>
            <w:vAlign w:val="bottom"/>
            <w:vMerge w:val="restart"/>
          </w:tcPr>
          <w:p>
            <w:pPr>
              <w:ind w:left="234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8"/>
        </w:trPr>
        <w:tc>
          <w:tcPr>
            <w:tcW w:w="3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11"/>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Fair Value Measurement Using:</w:t>
            </w:r>
          </w:p>
        </w:tc>
        <w:tc>
          <w:tcPr>
            <w:tcW w:w="7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0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3720" w:type="dxa"/>
            <w:vAlign w:val="bottom"/>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rPr>
              <w:t>Type of Instrument</w:t>
            </w:r>
          </w:p>
        </w:tc>
        <w:tc>
          <w:tcPr>
            <w:tcW w:w="120" w:type="dxa"/>
            <w:vAlign w:val="bottom"/>
          </w:tcPr>
          <w:p>
            <w:pPr>
              <w:spacing w:after="0"/>
              <w:rPr>
                <w:sz w:val="19"/>
                <w:szCs w:val="19"/>
                <w:color w:val="auto"/>
              </w:rPr>
            </w:pPr>
          </w:p>
        </w:tc>
        <w:tc>
          <w:tcPr>
            <w:tcW w:w="7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80" w:type="dxa"/>
            <w:vAlign w:val="bottom"/>
          </w:tcPr>
          <w:p>
            <w:pPr>
              <w:spacing w:after="0"/>
              <w:rPr>
                <w:sz w:val="18"/>
                <w:szCs w:val="18"/>
                <w:color w:val="auto"/>
              </w:rPr>
            </w:pPr>
          </w:p>
        </w:tc>
        <w:tc>
          <w:tcPr>
            <w:tcW w:w="35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3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equivalents</w:t>
            </w:r>
          </w:p>
        </w:tc>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35,835</w:t>
            </w:r>
          </w:p>
        </w:tc>
        <w:tc>
          <w:tcPr>
            <w:tcW w:w="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35,835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35,835</w:t>
            </w: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35,835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3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200" w:type="dxa"/>
            <w:vAlign w:val="bottom"/>
            <w:gridSpan w:val="2"/>
            <w:vMerge w:val="continue"/>
          </w:tcPr>
          <w:p>
            <w:pPr>
              <w:spacing w:after="0"/>
              <w:rPr>
                <w:sz w:val="24"/>
                <w:szCs w:val="24"/>
                <w:color w:val="auto"/>
              </w:rPr>
            </w:pPr>
          </w:p>
        </w:tc>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2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Term loan derivative liability</w:t>
            </w:r>
          </w:p>
        </w:tc>
        <w:tc>
          <w:tcPr>
            <w:tcW w:w="3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9160" w:type="dxa"/>
            <w:vAlign w:val="bottom"/>
            <w:gridSpan w:val="12"/>
          </w:tcPr>
          <w:p>
            <w:pPr>
              <w:ind w:left="520"/>
              <w:spacing w:after="0"/>
              <w:rPr>
                <w:sz w:val="20"/>
                <w:szCs w:val="20"/>
                <w:color w:val="auto"/>
              </w:rPr>
            </w:pPr>
            <w:r>
              <w:rPr>
                <w:rFonts w:ascii="Times New Roman" w:cs="Times New Roman" w:eastAsia="Times New Roman" w:hAnsi="Times New Roman"/>
                <w:sz w:val="18"/>
                <w:szCs w:val="18"/>
                <w:color w:val="auto"/>
              </w:rPr>
              <w:t>The following table represents a roll-forward of the fair value of Level 3 instruments (significant unobservable inputs):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23"/>
        </w:trPr>
        <w:tc>
          <w:tcPr>
            <w:tcW w:w="320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35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476"/>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80" w:type="dxa"/>
            <w:vAlign w:val="bottom"/>
          </w:tcPr>
          <w:p>
            <w:pPr>
              <w:spacing w:after="0"/>
              <w:rPr>
                <w:sz w:val="19"/>
                <w:szCs w:val="19"/>
                <w:color w:val="auto"/>
              </w:rPr>
            </w:pPr>
          </w:p>
        </w:tc>
        <w:tc>
          <w:tcPr>
            <w:tcW w:w="320" w:type="dxa"/>
            <w:vAlign w:val="bottom"/>
            <w:gridSpan w:val="3"/>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20" w:type="dxa"/>
            <w:vAlign w:val="bottom"/>
            <w:gridSpan w:val="4"/>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 in fair value of term loan derivative liability</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0"/>
        </w:trPr>
        <w:tc>
          <w:tcPr>
            <w:tcW w:w="32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Net settlements (see Note 7)</w:t>
            </w:r>
          </w:p>
        </w:tc>
        <w:tc>
          <w:tcPr>
            <w:tcW w:w="3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2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35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left="500" w:hanging="492"/>
        <w:spacing w:after="0"/>
        <w:tabs>
          <w:tab w:leader="none" w:pos="5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280" w:firstLine="510"/>
        <w:spacing w:after="0" w:line="258" w:lineRule="auto"/>
        <w:rPr>
          <w:sz w:val="20"/>
          <w:szCs w:val="20"/>
          <w:color w:val="auto"/>
        </w:rPr>
      </w:pPr>
      <w:r>
        <w:rPr>
          <w:rFonts w:ascii="Times New Roman" w:cs="Times New Roman" w:eastAsia="Times New Roman" w:hAnsi="Times New Roman"/>
          <w:sz w:val="18"/>
          <w:szCs w:val="18"/>
          <w:color w:val="auto"/>
        </w:rPr>
        <w:t>Effective March 1, 2013, the Company entered into a lease for office space in New Haven, CT and commencing March 1, 2018, the Company entered into the First Amendment to the lease (collectively, the “Office Space Lease”). The leased space approximates 5,600 square feet and the Office Space Lease has a term of 60 months. The Office Space Lease requires monthly payments ranging from approximately $10 to $12 through February 1, 2023 and provides for two designated months of free rent. The Company also entered into an immaterial office equipment lease during the three months ended June 30, 2022 that has a term of 36 months.</w:t>
      </w:r>
    </w:p>
    <w:p>
      <w:pPr>
        <w:spacing w:after="0" w:line="75" w:lineRule="exact"/>
        <w:rPr>
          <w:sz w:val="20"/>
          <w:szCs w:val="20"/>
          <w:color w:val="auto"/>
        </w:rPr>
      </w:pPr>
    </w:p>
    <w:p>
      <w:pPr>
        <w:ind w:right="200" w:firstLine="510"/>
        <w:spacing w:after="0" w:line="266" w:lineRule="auto"/>
        <w:rPr>
          <w:sz w:val="20"/>
          <w:szCs w:val="20"/>
          <w:color w:val="auto"/>
        </w:rPr>
      </w:pPr>
      <w:r>
        <w:rPr>
          <w:rFonts w:ascii="Times New Roman" w:cs="Times New Roman" w:eastAsia="Times New Roman" w:hAnsi="Times New Roman"/>
          <w:sz w:val="18"/>
          <w:szCs w:val="18"/>
          <w:color w:val="auto"/>
        </w:rPr>
        <w:t>The incremental borrowing rate used on the Office Space Lease was 13.0%. The right-of-use asset also includes any lease payments related to initial direct costs and prepayments and excludes lease incentives. Lease expense is recognized on a straight-line basis over the lease term. The Company had no significant new leases during the nine months ended September 30, 2022.</w:t>
      </w:r>
    </w:p>
    <w:p>
      <w:pPr>
        <w:spacing w:after="0" w:line="68" w:lineRule="exact"/>
        <w:rPr>
          <w:sz w:val="20"/>
          <w:szCs w:val="20"/>
          <w:color w:val="auto"/>
        </w:rPr>
      </w:pPr>
    </w:p>
    <w:p>
      <w:pPr>
        <w:ind w:right="60" w:firstLine="510"/>
        <w:spacing w:after="0" w:line="282" w:lineRule="auto"/>
        <w:rPr>
          <w:sz w:val="20"/>
          <w:szCs w:val="20"/>
          <w:color w:val="auto"/>
        </w:rPr>
      </w:pPr>
      <w:r>
        <w:rPr>
          <w:rFonts w:ascii="Times New Roman" w:cs="Times New Roman" w:eastAsia="Times New Roman" w:hAnsi="Times New Roman"/>
          <w:sz w:val="18"/>
          <w:szCs w:val="18"/>
          <w:color w:val="auto"/>
        </w:rPr>
        <w:t>The Office Space Lease is an operating lease and the remaining term as of September 30, 2022 is less than one year. The Company has no financing leases. The following table summarizes the Company’s operating leases as presented on its Condensed Consolidated Balance Sheets: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23"/>
        </w:trPr>
        <w:tc>
          <w:tcPr>
            <w:tcW w:w="7020" w:type="dxa"/>
            <w:vAlign w:val="bottom"/>
            <w:vMerge w:val="continue"/>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640" w:type="dxa"/>
            <w:vAlign w:val="bottom"/>
            <w:tcBorders>
              <w:bottom w:val="single" w:sz="8" w:color="auto"/>
            </w:tcBorders>
            <w:shd w:val="clear" w:color="auto" w:fill="CFF0FC"/>
          </w:tcPr>
          <w:p>
            <w:pPr>
              <w:jc w:val="right"/>
              <w:ind w:right="145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164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long term portion</w:t>
            </w:r>
          </w:p>
        </w:tc>
        <w:tc>
          <w:tcPr>
            <w:tcW w:w="16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640" w:type="dxa"/>
            <w:vAlign w:val="bottom"/>
            <w:tcBorders>
              <w:bottom w:val="single" w:sz="8" w:color="auto"/>
            </w:tcBorders>
            <w:shd w:val="clear" w:color="auto" w:fill="CFF0FC"/>
          </w:tcPr>
          <w:p>
            <w:pPr>
              <w:jc w:val="right"/>
              <w:ind w:right="145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minimum lease payments from September 30, 2022 until the expiration of the operating leases are as follows:</w:t>
      </w:r>
    </w:p>
    <w:p>
      <w:pPr>
        <w:spacing w:after="0" w:line="243"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1720" w:type="dxa"/>
            <w:vAlign w:val="bottom"/>
            <w:gridSpan w:val="2"/>
            <w:shd w:val="clear" w:color="auto" w:fill="CFF0FC"/>
          </w:tcPr>
          <w:p>
            <w:pPr>
              <w:jc w:val="right"/>
              <w:ind w:right="47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FF0FC"/>
          </w:tcPr>
          <w:p>
            <w:pPr>
              <w:spacing w:after="0"/>
              <w:rPr>
                <w:sz w:val="19"/>
                <w:szCs w:val="19"/>
                <w:color w:val="auto"/>
              </w:rPr>
            </w:pPr>
          </w:p>
        </w:tc>
      </w:tr>
      <w:tr>
        <w:trPr>
          <w:trHeight w:val="22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9"/>
                <w:szCs w:val="19"/>
                <w:color w:val="auto"/>
              </w:rPr>
            </w:pPr>
          </w:p>
        </w:tc>
      </w:tr>
      <w:tr>
        <w:trPr>
          <w:trHeight w:val="23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10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19"/>
                <w:szCs w:val="19"/>
                <w:color w:val="auto"/>
              </w:rPr>
            </w:pPr>
          </w:p>
        </w:tc>
      </w:tr>
      <w:tr>
        <w:trPr>
          <w:trHeight w:val="230"/>
        </w:trPr>
        <w:tc>
          <w:tcPr>
            <w:tcW w:w="4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2025</w:t>
            </w:r>
          </w:p>
        </w:tc>
        <w:tc>
          <w:tcPr>
            <w:tcW w:w="108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FF0FC"/>
            </w:tcBorders>
          </w:tcPr>
          <w:p>
            <w:pPr>
              <w:spacing w:after="0"/>
              <w:rPr>
                <w:sz w:val="19"/>
                <w:szCs w:val="19"/>
                <w:color w:val="auto"/>
              </w:rPr>
            </w:pPr>
          </w:p>
        </w:tc>
      </w:tr>
      <w:tr>
        <w:trPr>
          <w:trHeight w:val="223"/>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0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FF0FC"/>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discount rate</w:t>
            </w: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42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Carrying value of operating lease liabilities</w:t>
            </w: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40" w:firstLine="510"/>
        <w:spacing w:after="0" w:line="266" w:lineRule="auto"/>
        <w:rPr>
          <w:sz w:val="20"/>
          <w:szCs w:val="20"/>
          <w:color w:val="auto"/>
        </w:rPr>
      </w:pPr>
      <w:r>
        <w:rPr>
          <w:rFonts w:ascii="Times New Roman" w:cs="Times New Roman" w:eastAsia="Times New Roman" w:hAnsi="Times New Roman"/>
          <w:sz w:val="18"/>
          <w:szCs w:val="18"/>
          <w:color w:val="auto"/>
        </w:rPr>
        <w:t>Lease expense under operating leases, including leases of office equipment, was $31 and $29 for the three months ended September 30, 2022 and 2021, respectively, and $92 and $90 for the nine months ended September 30, 2022 and 2021, respectively. Lease payments made in the three months ended September 30, 2022 and 2021 were $36 and $35, respectively, and $95 and $104 for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6" w:name="page17"/>
    <w:bookmarkEnd w:id="16"/>
    <w:p>
      <w:pPr>
        <w:ind w:right="120"/>
        <w:spacing w:after="0" w:line="282" w:lineRule="auto"/>
        <w:rPr>
          <w:sz w:val="20"/>
          <w:szCs w:val="20"/>
          <w:color w:val="auto"/>
        </w:rPr>
      </w:pPr>
      <w:r>
        <w:rPr>
          <w:rFonts w:ascii="Times New Roman" w:cs="Times New Roman" w:eastAsia="Times New Roman" w:hAnsi="Times New Roman"/>
          <w:sz w:val="18"/>
          <w:szCs w:val="18"/>
          <w:color w:val="auto"/>
        </w:rPr>
        <w:t>the nine months ended September 30, 2022 and 2021, respectively, with such amounts reflected in the Condensed Consolidated Statements of Cash Flows in operating activities.</w:t>
      </w:r>
    </w:p>
    <w:p>
      <w:pPr>
        <w:spacing w:after="0" w:line="50" w:lineRule="exact"/>
        <w:rPr>
          <w:sz w:val="20"/>
          <w:szCs w:val="20"/>
          <w:color w:val="auto"/>
        </w:rPr>
      </w:pPr>
    </w:p>
    <w:p>
      <w:pPr>
        <w:ind w:left="500" w:hanging="492"/>
        <w:spacing w:after="0"/>
        <w:tabs>
          <w:tab w:leader="none" w:pos="5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consisted of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23"/>
        </w:trPr>
        <w:tc>
          <w:tcPr>
            <w:tcW w:w="77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R&amp;D projects</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3,018</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consulting and professional fees</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FF0FC"/>
            </w:tcBorders>
          </w:tcPr>
          <w:p>
            <w:pPr>
              <w:spacing w:after="0"/>
              <w:rPr>
                <w:sz w:val="19"/>
                <w:szCs w:val="19"/>
                <w:color w:val="auto"/>
              </w:rPr>
            </w:pPr>
          </w:p>
        </w:tc>
      </w:tr>
      <w:tr>
        <w:trPr>
          <w:trHeight w:val="223"/>
        </w:trPr>
        <w:tc>
          <w:tcPr>
            <w:tcW w:w="77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accrued expenses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ind w:left="500" w:hanging="492"/>
        <w:spacing w:after="0"/>
        <w:tabs>
          <w:tab w:leader="none" w:pos="5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17"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Silicon Valley Bank Term Loan</w:t>
      </w:r>
    </w:p>
    <w:p>
      <w:pPr>
        <w:spacing w:after="0" w:line="121" w:lineRule="exact"/>
        <w:rPr>
          <w:sz w:val="20"/>
          <w:szCs w:val="20"/>
          <w:color w:val="auto"/>
        </w:rPr>
      </w:pPr>
    </w:p>
    <w:p>
      <w:pPr>
        <w:ind w:right="100" w:firstLine="510"/>
        <w:spacing w:after="0" w:line="268" w:lineRule="auto"/>
        <w:rPr>
          <w:sz w:val="20"/>
          <w:szCs w:val="20"/>
          <w:color w:val="auto"/>
        </w:rPr>
      </w:pPr>
      <w:r>
        <w:rPr>
          <w:rFonts w:ascii="Times New Roman" w:cs="Times New Roman" w:eastAsia="Times New Roman" w:hAnsi="Times New Roman"/>
          <w:sz w:val="17"/>
          <w:szCs w:val="17"/>
          <w:color w:val="auto"/>
        </w:rPr>
        <w:t>On August 13, 2020 (the “Effective Date”), the Company entered into a loan and security agreement (the “SVB Loan Agreement”) with Silicon Valley Bank, as lender (“SVB”), pursuant to which SVB provided a term loan to the Company in the original principal amount of $14.0 million (the “SVB Term Loan”). The SVB Term Loan bears interest at a floating rate per annum equal to the greater of (A) the prime rate plus 1.00% and (B) 4.25%. If SVB received evidence satisfactory to it that the Company had (i) received positive data for the Phase 2b/3 clinical trial of Haduvio sufficient to advance Haduvio into a second Phase 3 clinical trial for prurigo nodularis, and (ii) raised sufficient financing to fund such Phase 3 clinical trial and the Company’s operations, (together, the “Phase 3 Event”), the interest rate under the SVB Term Loan would have been adjusted to a floating rate equal to the greater of</w:t>
      </w:r>
    </w:p>
    <w:p>
      <w:pPr>
        <w:spacing w:after="0" w:line="5" w:lineRule="exact"/>
        <w:rPr>
          <w:sz w:val="20"/>
          <w:szCs w:val="20"/>
          <w:color w:val="auto"/>
        </w:rPr>
      </w:pPr>
    </w:p>
    <w:p>
      <w:pPr>
        <w:ind w:firstLine="8"/>
        <w:spacing w:after="0" w:line="251" w:lineRule="auto"/>
        <w:tabs>
          <w:tab w:leader="none" w:pos="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prime rate plus 3.00% and (B) 6.25% (see term loan derivative liability discussion below). Commencing on March 1, 2022 and on the first business day of each month thereafter, the Company is required to make monthly interest payments and the Company will be required to repay the SVB Term Loan in 24 consecutive installments of principal plus monthly payments of accrued interest. All outstanding principal and accrued and unpaid interest under the SVB Term Loan and all other outstanding obligations with respect to the SVB Term Loan are due and payable in full on February 1, 2024. The SVB Loan Agreement permits voluntary prepayment of all, but not less than all, of the SVB Term Loan, subject to a prepayment premium. Such prepayment premium would be 3.00% of the principal amount of the SVB Term Loan if prepaid prior to the first anniversary of the Effective Date, 2.00% of the principal amount of the SVB Term Loan if prepaid on or after the first anniversary of the Effective Date but prior to the second anniversary of the Effective Date, and 1.00% of the principal amount of the SVB Term Loan if prepaid on or after the second anniversary of the Effective Date but prior to February 1, 2024. Upon repayment in full of the SVB Term Loan, the Company will be required to pay a final payment fee equal to $1.2 million. The SVB Term Loan and related obligations under the SVB Loan Agreement are secured by substantially all of the Company’s properties, rights and assets, except for its intellectual property (which is subject to a negative pledge under the SVB Loan Agreement).</w:t>
      </w:r>
    </w:p>
    <w:p>
      <w:pPr>
        <w:spacing w:after="0" w:line="84"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On July 6, 2021, the Company and SVB entered into a First Amendment (the “Loan Amendment”) to the SVB Loan Agreement. The Loan Amendment modified the conditions under which the Company was required to cash collateralize all outstanding amounts owed to SVB under the SVB Loan Agreement. Under the Loan Amendment, if the Company failed to receive positive data in its Phase 2b/3 PRISM trial or to raise by June 30, 2022 sufficient net proceeds from the sale of equity securities to finance its planned second Phase 3 clinical trial of Haduvio for prurigo nodularis and its ongoing operations (each a “Milestone Condition”), the Company would be required to deposit unrestricted and unencumbered cash equal to 100% of all outstanding amounts owed to SVB in a cash collateral account with SVB, which could be used by SVB to prepay the SVB Term Loan at any time. In addition, the Loan Amendment provided that if the Company failed to maintain at least $20.0 million in unrestricted and unencumbered cash in its accounts with SVB at any time prior to the satisfaction of all the Milestone Conditions (the “Minimum Required Cash”), the Company would be required to cash collateralize all outstanding amounts owed to SVB under the SVB Loan Agreement. The Company would also have been required to cash collateralize all outstanding amounts owed to SVB under the SVB Loan Agreement if it did not raise at least $15.0 million in net proceeds from the sale of equity securities during the period from June 1, 2021 through October 31, 2021. The Company satisfied this equity funding condition through a combination of equity issuances under the Company’s ATM Sales Agreement and two private placements, which took place in October 2021 (see Note 8).</w:t>
      </w:r>
    </w:p>
    <w:p>
      <w:pPr>
        <w:spacing w:after="0" w:line="82" w:lineRule="exact"/>
        <w:rPr>
          <w:sz w:val="20"/>
          <w:szCs w:val="20"/>
          <w:color w:val="auto"/>
        </w:rPr>
      </w:pPr>
    </w:p>
    <w:p>
      <w:pPr>
        <w:ind w:right="60" w:firstLine="510"/>
        <w:spacing w:after="0" w:line="274" w:lineRule="auto"/>
        <w:rPr>
          <w:sz w:val="20"/>
          <w:szCs w:val="20"/>
          <w:color w:val="auto"/>
        </w:rPr>
      </w:pPr>
      <w:r>
        <w:rPr>
          <w:rFonts w:ascii="Times New Roman" w:cs="Times New Roman" w:eastAsia="Times New Roman" w:hAnsi="Times New Roman"/>
          <w:sz w:val="17"/>
          <w:szCs w:val="17"/>
          <w:color w:val="auto"/>
        </w:rPr>
        <w:t>On April 6, 2022, the Company and SVB entered into a Third Amendment (the “Third Amendment”) to the SVB Loan Agreement. The Third Amendment principally modified the conditions under which the Company would be required to cash collateralize all outstanding amounts owed to SVB under the SVB Loan Agreement. Under the terms of the Third Amendment, if the Company raised $45.0 million in net proceeds from the sale of equity securities (the “2022 Equity Event”), the Company’s obligations to achieve the Milestone Conditions and maintain the Minimum Required Cash would terminate and the sole remaining trigger for cash collateralization would be if the Company did not receive positive final data by December 31, 2022 from either its Phase 2b/3 PRISM trial of Haduvio for prurigo nodularis or its Phase 2 CANAL trial of Haduvio for the treatment of chronic cough in adults with</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ind w:right="160"/>
        <w:spacing w:after="0" w:line="272" w:lineRule="auto"/>
        <w:rPr>
          <w:sz w:val="20"/>
          <w:szCs w:val="20"/>
          <w:color w:val="auto"/>
        </w:rPr>
      </w:pPr>
      <w:r>
        <w:rPr>
          <w:rFonts w:ascii="Times New Roman" w:cs="Times New Roman" w:eastAsia="Times New Roman" w:hAnsi="Times New Roman"/>
          <w:sz w:val="17"/>
          <w:szCs w:val="17"/>
          <w:color w:val="auto"/>
        </w:rPr>
        <w:t>IPF. In addition, the Third Amendment modified the interest rate on the principal amount outstanding under the Loan Agreement. As a result of the Third Amendment, amounts outstanding under the Loan Agreement accrue interest at a floating per annum rate equal to (i) prior to the occurrence of the 2022 Equity Event, the greater of (A) the prime rate plus 1.00% and (B) 4.25%, and (ii) upon and after the occurrence of the 2022 Equity Event, the greater of</w:t>
      </w:r>
    </w:p>
    <w:p>
      <w:pPr>
        <w:spacing w:after="0" w:line="2" w:lineRule="exact"/>
        <w:rPr>
          <w:sz w:val="20"/>
          <w:szCs w:val="20"/>
          <w:color w:val="auto"/>
        </w:rPr>
      </w:pPr>
    </w:p>
    <w:p>
      <w:pPr>
        <w:ind w:right="160" w:firstLine="8"/>
        <w:spacing w:after="0" w:line="253" w:lineRule="auto"/>
        <w:tabs>
          <w:tab w:leader="none" w:pos="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prime rate plus 3.00% and (B) 6.25%. The closing of the April 2022 Private Placement, as discussed in Note 8 below, constituted the 2022 Equity Event and thereby terminated the Company’s obligations to achieve the Milestone Conditions and maintain the Minimum Required Cash. On August 3, 2022, SVB confirmed that the reported data from the Phase 2b/3 PRISM trial satisfied the requirement for positive final data and that the cash collateralization requirements of the SVB Loan Agreement were no longer in effect.</w:t>
      </w:r>
    </w:p>
    <w:p>
      <w:pPr>
        <w:spacing w:after="0" w:line="81" w:lineRule="exact"/>
        <w:rPr>
          <w:sz w:val="20"/>
          <w:szCs w:val="20"/>
          <w:color w:val="auto"/>
        </w:rPr>
      </w:pPr>
    </w:p>
    <w:p>
      <w:pPr>
        <w:ind w:right="80" w:firstLine="510"/>
        <w:spacing w:after="0" w:line="256" w:lineRule="auto"/>
        <w:rPr>
          <w:sz w:val="20"/>
          <w:szCs w:val="20"/>
          <w:color w:val="auto"/>
        </w:rPr>
      </w:pPr>
      <w:r>
        <w:rPr>
          <w:rFonts w:ascii="Times New Roman" w:cs="Times New Roman" w:eastAsia="Times New Roman" w:hAnsi="Times New Roman"/>
          <w:sz w:val="18"/>
          <w:szCs w:val="18"/>
          <w:color w:val="auto"/>
        </w:rPr>
        <w:t>The SVB Loan Agreement contains customary representations, warranties, events of default and covenants. The occurrence and continuation of an event of default could cause interest to be charged at the rate that is otherwise applicable plus 5.00% (unless SVB elects to impose a smaller increase) and would provide SVB with the right to accelerate all obligations under the SVB Loan Agreement and exercise remedies against the Company and the collateral securing the SVB Term Loan and other obligations under the SVB Loan Agreement, including foreclosure against assets securing the SVB Term Loan and other obligations under the SVB Loan Agreement, including the Company’s cash. The SVB Loan Agreement also restricts the payment of dividends on the Company’s common stock.</w:t>
      </w:r>
    </w:p>
    <w:p>
      <w:pPr>
        <w:spacing w:after="0" w:line="79"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In August 2020, in connection with the SVB Term Loan, the Company paid $57 in financing costs to a third-party, which were recorded as deferred charges and will be amortized over the life of the SVB Term Loan using the effective interest method. In connection with the Loan Amendment, the Company paid $68 in financing costs to a third-party, which were recorded as deferred charges and will be amortized over the remaining life of the SVB Term Loan using the effective interest method. In connection with the Third Amendment, the Company paid $21 in financing costs to a third party, which were recorded as deferred charges and will be amortized over the remaining life of the SVB Term Loan using the effective interest method. Amortization of these deferred financing charges totaled $17 and $11 for the three months ended September 30, 2022 and 2021, respectively, and $54 and $22 for the nine months ended September 30, 2022 and 2021, respectively, and is included in interest expense in the Company’s Condensed Consolidated Statements of Comprehensive Loss. The unamortized deferred charges totaled $43 and $76 at September 30, 2022 and December 31, 2021, respectively, and are included as a direct reduction of the carrying value of the term loan payable on the Company’s Condensed Consolidated Balance Sheets.</w:t>
      </w:r>
    </w:p>
    <w:p>
      <w:pPr>
        <w:spacing w:after="0" w:line="80"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In August 2020, in connection with the execution of the SVB Loan Agreement, the Company paid $27 in financing costs to SVB, which were recorded as loan discounts. These loan discounts are included as a reduction in the balance of the term loan payable on the Company’s Condensed Consolidated Balance Sheets and will be accreted over the life of the SVB Term Loan using the effective interest method. Accretion of these loan discounts totaled $2 and $3 for the three months ended September 30, 2022 and 2021, respectively, and $7 and $8 for the nine months ended September 30, 2022 and 2021, respectively, and is included in interest expense in the Company’s Condensed Consolidated Statements of Comprehensive Loss. At September 30, 2022 and December 31, 2021, the loan discount-financing costs balance was $5 and $12, respectively.</w:t>
      </w:r>
    </w:p>
    <w:p>
      <w:pPr>
        <w:spacing w:after="0" w:line="79" w:lineRule="exact"/>
        <w:rPr>
          <w:sz w:val="20"/>
          <w:szCs w:val="20"/>
          <w:color w:val="auto"/>
        </w:rPr>
      </w:pPr>
    </w:p>
    <w:p>
      <w:pPr>
        <w:ind w:right="140" w:firstLine="510"/>
        <w:spacing w:after="0" w:line="256" w:lineRule="auto"/>
        <w:rPr>
          <w:sz w:val="20"/>
          <w:szCs w:val="20"/>
          <w:color w:val="auto"/>
        </w:rPr>
      </w:pPr>
      <w:r>
        <w:rPr>
          <w:rFonts w:ascii="Times New Roman" w:cs="Times New Roman" w:eastAsia="Times New Roman" w:hAnsi="Times New Roman"/>
          <w:sz w:val="18"/>
          <w:szCs w:val="18"/>
          <w:color w:val="auto"/>
        </w:rPr>
        <w:t>In connection with the SVB Loan Agreement, the Company is obligated to pay a final payment fee of $1.2 million upon repayment in full of the SVB Term Loan. The final payment fee is being accrued over the life of the SVB Term Loan using the effective interest method and is included as an increase in the balance of the term loan payable on the Company’s Condensed Consolidated Balance Sheets. Accrual of this final payment fee totaled $89 and $118 for the three months ended September 30, 2022 and 2021, respectively, and $309 and $355 for the nine months ended September 30, 2022 and 2021, respectively, and is included in interest expense in the Company’s Condensed Consolidated Statements of Comprehensive Loss. At September 30, 2022 and December 31, 2021, $966 and $657 was accrued for the final payment fee, respectively.</w:t>
      </w:r>
    </w:p>
    <w:p>
      <w:pPr>
        <w:spacing w:after="0" w:line="79" w:lineRule="exact"/>
        <w:rPr>
          <w:sz w:val="20"/>
          <w:szCs w:val="20"/>
          <w:color w:val="auto"/>
        </w:rPr>
      </w:pPr>
    </w:p>
    <w:p>
      <w:pPr>
        <w:ind w:right="40" w:firstLine="510"/>
        <w:spacing w:after="0" w:line="252" w:lineRule="auto"/>
        <w:rPr>
          <w:sz w:val="20"/>
          <w:szCs w:val="20"/>
          <w:color w:val="auto"/>
        </w:rPr>
      </w:pPr>
      <w:r>
        <w:rPr>
          <w:rFonts w:ascii="Times New Roman" w:cs="Times New Roman" w:eastAsia="Times New Roman" w:hAnsi="Times New Roman"/>
          <w:sz w:val="18"/>
          <w:szCs w:val="18"/>
          <w:color w:val="auto"/>
        </w:rPr>
        <w:t xml:space="preserve">Prior to the Third Amendment, the SVB Loan Agreement provided that upon SVB receiving evidence satisfactory to it that the Company had (i) received positive data for the Phase 2b/3 PRISM trial sufficient to advance Haduvio into a second Phase 3 clinical trial for prurigo nodularis and (ii) raised sufficient financing to fund such Phase 3 clinical trial and the Company’s operations, the interest rate on the SVB Term Loan would increase by 2.00% (the “Contingent Interest Rate Increase”) as described above. The Contingent Interest Rate Increase represented a free-standing financial instrument. Accordingly, the Company accounted for the Contingent Interest Rate Increase as a derivative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and therefore, recorded a term loan derivative liability for the Contingent Interest Rate Increase at its fair value of $187 on the Effective Date of the SVB Loan Agreement. The Company adjusted this liability to fair value at each reporting date it remained outstanding, with such adjustments recorded as non-cash charges in other expense, net in the Company’s Condensed Consolidated Statements of Comprehensive Loss. The term loan derivative liability was presented as a current liability on the Company’s Condensed Consolidated Balance Sheets as of December 31, 2021. Upon recording such term loan derivative liability, the Company also recorded an offsetting term loan discount – interest, to be amortized to interest expense in the Company’s Condensed Consolidated Statements of Comprehensive Loss through the SVB Term Loan’s maturity date using the effective interest method. Such amortization was $14 and $19 for the three months ended September 30, 2022 and 2021, respectively, and $49 and $56 for the nine months ended September 30, 2022 and 2021, respectively. At September 30, 2022 and December 31, 2021, the balance of the term loan discount – interest was $35 and $84, respectively, and is included as a reduction in the balance of the term loan payable on the Company’s Condensed Consolidated</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8" w:name="page19"/>
    <w:bookmarkEnd w:id="18"/>
    <w:p>
      <w:pPr>
        <w:ind w:right="180"/>
        <w:spacing w:after="0" w:line="261" w:lineRule="auto"/>
        <w:rPr>
          <w:sz w:val="20"/>
          <w:szCs w:val="20"/>
          <w:color w:val="auto"/>
        </w:rPr>
      </w:pPr>
      <w:r>
        <w:rPr>
          <w:rFonts w:ascii="Times New Roman" w:cs="Times New Roman" w:eastAsia="Times New Roman" w:hAnsi="Times New Roman"/>
          <w:sz w:val="18"/>
          <w:szCs w:val="18"/>
          <w:color w:val="auto"/>
        </w:rPr>
        <w:t>Balance Sheets. Upon entering into the Third Amendment, the Contingent Interest Rate Increase became effective and the Company recorded an increase to the total fair value of the term loan derivative liability of $136 for the three months ended June 30, 2022. The term loan derivative liability was then settled and reclassed to both current and non-current interest payable, which are presented as accrued liabilities and other non-current liabilities on the Company’s Condensed Consolidated Balance Sheet as of September 30, 2022.</w:t>
      </w:r>
    </w:p>
    <w:p>
      <w:pPr>
        <w:spacing w:after="0" w:line="72" w:lineRule="exact"/>
        <w:rPr>
          <w:sz w:val="20"/>
          <w:szCs w:val="20"/>
          <w:color w:val="auto"/>
        </w:rPr>
      </w:pPr>
    </w:p>
    <w:p>
      <w:pPr>
        <w:ind w:right="100" w:firstLine="510"/>
        <w:spacing w:after="0" w:line="261" w:lineRule="auto"/>
        <w:rPr>
          <w:sz w:val="20"/>
          <w:szCs w:val="20"/>
          <w:color w:val="auto"/>
        </w:rPr>
      </w:pPr>
      <w:r>
        <w:rPr>
          <w:rFonts w:ascii="Times New Roman" w:cs="Times New Roman" w:eastAsia="Times New Roman" w:hAnsi="Times New Roman"/>
          <w:sz w:val="18"/>
          <w:szCs w:val="18"/>
          <w:color w:val="auto"/>
        </w:rPr>
        <w:t>Fair values of the term loan derivative liability were estimated utilizing a probability-weighted cash flow approach, including variables for the timing of the Phase 3 Event and other probability estimates. For the fair value calculations of the term loan derivative liability at June 30, 2022 and December 31, 2021, significant inputs included the Contingent Interest Rate Increase of 2.00%, a discount rate of 12.0% and the SVB Term Loan maturity date of February 1, 2024.</w:t>
      </w:r>
    </w:p>
    <w:p>
      <w:pPr>
        <w:spacing w:after="0" w:line="72" w:lineRule="exact"/>
        <w:rPr>
          <w:sz w:val="20"/>
          <w:szCs w:val="20"/>
          <w:color w:val="auto"/>
        </w:rPr>
      </w:pPr>
    </w:p>
    <w:p>
      <w:pPr>
        <w:jc w:val="both"/>
        <w:ind w:right="80" w:firstLine="510"/>
        <w:spacing w:after="0" w:line="281" w:lineRule="auto"/>
        <w:rPr>
          <w:sz w:val="20"/>
          <w:szCs w:val="20"/>
          <w:color w:val="auto"/>
        </w:rPr>
      </w:pPr>
      <w:r>
        <w:rPr>
          <w:rFonts w:ascii="Times New Roman" w:cs="Times New Roman" w:eastAsia="Times New Roman" w:hAnsi="Times New Roman"/>
          <w:sz w:val="18"/>
          <w:szCs w:val="18"/>
          <w:color w:val="auto"/>
        </w:rPr>
        <w:t>As of September 30, 2022 and December 31, 2021, the Company had outstanding borrowings of $9.9 million and $14.0 million, respectively, under the SVB Term Loan and the term loan payable balance as presented on the Company’s Condensed Consolidated Balance Sheets as of September 30, 2022 and December 31, 2021 was comprised as shown below.</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Principal outstanding under term loan</w:t>
            </w:r>
          </w:p>
        </w:tc>
        <w:tc>
          <w:tcPr>
            <w:tcW w:w="1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80" w:type="dxa"/>
            <w:vAlign w:val="bottom"/>
          </w:tcPr>
          <w:p>
            <w:pPr>
              <w:spacing w:after="0"/>
              <w:rPr>
                <w:sz w:val="15"/>
                <w:szCs w:val="15"/>
                <w:color w:val="auto"/>
              </w:rPr>
            </w:pPr>
          </w:p>
        </w:tc>
        <w:tc>
          <w:tcPr>
            <w:tcW w:w="16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23"/>
        </w:trPr>
        <w:tc>
          <w:tcPr>
            <w:tcW w:w="5500" w:type="dxa"/>
            <w:vAlign w:val="bottom"/>
            <w:vMerge w:val="continue"/>
          </w:tcPr>
          <w:p>
            <w:pPr>
              <w:spacing w:after="0"/>
              <w:rPr>
                <w:sz w:val="19"/>
                <w:szCs w:val="19"/>
                <w:color w:val="auto"/>
              </w:rPr>
            </w:pPr>
          </w:p>
        </w:tc>
        <w:tc>
          <w:tcPr>
            <w:tcW w:w="1760" w:type="dxa"/>
            <w:vAlign w:val="bottom"/>
          </w:tcPr>
          <w:p>
            <w:pPr>
              <w:spacing w:after="0"/>
              <w:rPr>
                <w:sz w:val="19"/>
                <w:szCs w:val="19"/>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9,917</w:t>
            </w:r>
          </w:p>
        </w:tc>
        <w:tc>
          <w:tcPr>
            <w:tcW w:w="3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 discount-interest</w:t>
            </w:r>
          </w:p>
        </w:tc>
        <w:tc>
          <w:tcPr>
            <w:tcW w:w="1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9"/>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Term loan discount-unamortized deferred charges</w:t>
            </w:r>
          </w:p>
        </w:tc>
        <w:tc>
          <w:tcPr>
            <w:tcW w:w="1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 discount-financing costs, net of accretion</w:t>
            </w:r>
          </w:p>
        </w:tc>
        <w:tc>
          <w:tcPr>
            <w:tcW w:w="1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5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Term loan-final payment fee</w:t>
            </w:r>
          </w:p>
        </w:tc>
        <w:tc>
          <w:tcPr>
            <w:tcW w:w="17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3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10,800</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7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3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 payable, non-current</w:t>
            </w:r>
          </w:p>
        </w:tc>
        <w:tc>
          <w:tcPr>
            <w:tcW w:w="17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3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60" w:firstLine="510"/>
        <w:spacing w:after="0" w:line="281" w:lineRule="auto"/>
        <w:rPr>
          <w:sz w:val="20"/>
          <w:szCs w:val="20"/>
          <w:color w:val="auto"/>
        </w:rPr>
      </w:pPr>
      <w:r>
        <w:rPr>
          <w:rFonts w:ascii="Times New Roman" w:cs="Times New Roman" w:eastAsia="Times New Roman" w:hAnsi="Times New Roman"/>
          <w:sz w:val="17"/>
          <w:szCs w:val="17"/>
          <w:color w:val="auto"/>
        </w:rPr>
        <w:t>Interest expense on the SVB Term Loan, which is comprised of interest payments, accretion and amortization of term loan discounts and the accrual of the final payment fee, is shown below for the three and nine months ended September 30, 2022 and 2021, respectively. For the three and nine months ended September 30, 2022, the weighted average interest rate applicable to borrowings under the SVB Term Loan was 6.97% and 5.27%, respectively. For the three and nine months ended September 30, 2021, the weighted average interest rate applicable to borrowings under the SVB Term Loan was 4.25%.</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6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50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5"/>
        </w:trPr>
        <w:tc>
          <w:tcPr>
            <w:tcW w:w="506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3"/>
                <w:szCs w:val="13"/>
                <w:color w:val="auto"/>
              </w:rPr>
            </w:pPr>
          </w:p>
        </w:tc>
        <w:tc>
          <w:tcPr>
            <w:tcW w:w="1180" w:type="dxa"/>
            <w:vAlign w:val="bottom"/>
            <w:gridSpan w:val="2"/>
          </w:tcPr>
          <w:p>
            <w:pPr>
              <w:jc w:val="right"/>
              <w:ind w:right="30"/>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jc w:val="right"/>
              <w:ind w:right="474"/>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3"/>
                <w:szCs w:val="13"/>
                <w:color w:val="auto"/>
              </w:rPr>
            </w:pPr>
          </w:p>
        </w:tc>
      </w:tr>
      <w:tr>
        <w:trPr>
          <w:trHeight w:val="223"/>
        </w:trPr>
        <w:tc>
          <w:tcPr>
            <w:tcW w:w="50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payments</w:t>
            </w:r>
          </w:p>
        </w:tc>
        <w:tc>
          <w:tcPr>
            <w:tcW w:w="760" w:type="dxa"/>
            <w:vAlign w:val="bottom"/>
            <w:tcBorders>
              <w:top w:val="single" w:sz="8" w:color="auto"/>
            </w:tcBorders>
            <w:shd w:val="clear" w:color="auto" w:fill="CFF0FC"/>
          </w:tcPr>
          <w:p>
            <w:pPr>
              <w:jc w:val="right"/>
              <w:ind w:right="600"/>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4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8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Accrual of the final payment fee</w:t>
            </w:r>
          </w:p>
        </w:tc>
        <w:tc>
          <w:tcPr>
            <w:tcW w:w="7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Pr>
          <w:p>
            <w:pPr>
              <w:spacing w:after="0"/>
              <w:rPr>
                <w:sz w:val="19"/>
                <w:szCs w:val="19"/>
                <w:color w:val="auto"/>
              </w:rPr>
            </w:pPr>
          </w:p>
        </w:tc>
      </w:tr>
      <w:tr>
        <w:trPr>
          <w:trHeight w:val="230"/>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Accretion and amortization of term loan discounts</w:t>
            </w:r>
          </w:p>
        </w:tc>
        <w:tc>
          <w:tcPr>
            <w:tcW w:w="76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CFF0FC"/>
          </w:tcPr>
          <w:p>
            <w:pPr>
              <w:spacing w:after="0"/>
              <w:rPr>
                <w:sz w:val="19"/>
                <w:szCs w:val="19"/>
                <w:color w:val="auto"/>
              </w:rPr>
            </w:pPr>
          </w:p>
        </w:tc>
      </w:tr>
      <w:tr>
        <w:trPr>
          <w:trHeight w:val="223"/>
        </w:trPr>
        <w:tc>
          <w:tcPr>
            <w:tcW w:w="5060" w:type="dxa"/>
            <w:vAlign w:val="bottom"/>
          </w:tcPr>
          <w:p>
            <w:pPr>
              <w:spacing w:after="0"/>
              <w:rPr>
                <w:sz w:val="19"/>
                <w:szCs w:val="19"/>
                <w:color w:val="auto"/>
              </w:rPr>
            </w:pPr>
          </w:p>
        </w:tc>
        <w:tc>
          <w:tcPr>
            <w:tcW w:w="76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20" w:type="dxa"/>
            <w:vAlign w:val="bottom"/>
          </w:tcPr>
          <w:p>
            <w:pPr>
              <w:spacing w:after="0"/>
              <w:rPr>
                <w:sz w:val="19"/>
                <w:szCs w:val="19"/>
                <w:color w:val="auto"/>
              </w:rPr>
            </w:pPr>
          </w:p>
        </w:tc>
        <w:tc>
          <w:tcPr>
            <w:tcW w:w="9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40" w:type="dxa"/>
            <w:vAlign w:val="bottom"/>
          </w:tcPr>
          <w:p>
            <w:pPr>
              <w:spacing w:after="0"/>
              <w:rPr>
                <w:sz w:val="19"/>
                <w:szCs w:val="19"/>
                <w:color w:val="auto"/>
              </w:rPr>
            </w:pPr>
          </w:p>
        </w:tc>
        <w:tc>
          <w:tcPr>
            <w:tcW w:w="84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20" w:type="dxa"/>
            <w:vAlign w:val="bottom"/>
          </w:tcPr>
          <w:p>
            <w:pPr>
              <w:spacing w:after="0"/>
              <w:rPr>
                <w:sz w:val="19"/>
                <w:szCs w:val="19"/>
                <w:color w:val="auto"/>
              </w:rPr>
            </w:pPr>
          </w:p>
        </w:tc>
      </w:tr>
      <w:tr>
        <w:trPr>
          <w:trHeight w:val="20"/>
        </w:trPr>
        <w:tc>
          <w:tcPr>
            <w:tcW w:w="50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2" w:lineRule="exact"/>
        <w:rPr>
          <w:sz w:val="20"/>
          <w:szCs w:val="20"/>
          <w:color w:val="auto"/>
        </w:rPr>
      </w:pPr>
    </w:p>
    <w:p>
      <w:pPr>
        <w:ind w:left="500" w:hanging="492"/>
        <w:spacing w:after="0"/>
        <w:tabs>
          <w:tab w:leader="none" w:pos="5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2022 and December 31, 2021, the Company had reserved shares of common stock for future issuance as shown in the table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tbl>
      <w:tblPr>
        <w:tblLayout w:type="fixed"/>
        <w:tblInd w:w="0" w:type="dxa"/>
        <w:tblCellMar>
          <w:top w:w="0" w:type="dxa"/>
          <w:left w:w="0" w:type="dxa"/>
          <w:bottom w:w="0" w:type="dxa"/>
          <w:right w:w="0" w:type="dxa"/>
        </w:tblCellMar>
      </w:tblPr>
      <w:tr>
        <w:trPr>
          <w:trHeight w:val="146"/>
        </w:trPr>
        <w:tc>
          <w:tcPr>
            <w:tcW w:w="49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680" w:type="dxa"/>
            <w:vAlign w:val="bottom"/>
            <w:gridSpan w:val="2"/>
          </w:tcPr>
          <w:p>
            <w:pPr>
              <w:ind w:left="280"/>
              <w:spacing w:after="0" w:line="14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540" w:type="dxa"/>
            <w:vAlign w:val="bottom"/>
            <w:gridSpan w:val="2"/>
          </w:tcPr>
          <w:p>
            <w:pPr>
              <w:ind w:left="280"/>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960" w:type="dxa"/>
            <w:vAlign w:val="bottom"/>
            <w:tcBorders>
              <w:bottom w:val="single" w:sz="8" w:color="CFF0FC"/>
            </w:tcBorders>
          </w:tcPr>
          <w:p>
            <w:pPr>
              <w:spacing w:after="0"/>
              <w:rPr>
                <w:sz w:val="15"/>
                <w:szCs w:val="15"/>
                <w:color w:val="auto"/>
              </w:rPr>
            </w:pPr>
          </w:p>
        </w:tc>
        <w:tc>
          <w:tcPr>
            <w:tcW w:w="3060" w:type="dxa"/>
            <w:vAlign w:val="bottom"/>
            <w:tcBorders>
              <w:bottom w:val="single" w:sz="8" w:color="CFF0FC"/>
            </w:tcBorders>
          </w:tcPr>
          <w:p>
            <w:pPr>
              <w:spacing w:after="0"/>
              <w:rPr>
                <w:sz w:val="15"/>
                <w:szCs w:val="15"/>
                <w:color w:val="auto"/>
              </w:rPr>
            </w:pPr>
          </w:p>
        </w:tc>
        <w:tc>
          <w:tcPr>
            <w:tcW w:w="14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CFF0FC"/>
            </w:tcBorders>
          </w:tcPr>
          <w:p>
            <w:pPr>
              <w:spacing w:after="0"/>
              <w:rPr>
                <w:sz w:val="15"/>
                <w:szCs w:val="15"/>
                <w:color w:val="auto"/>
              </w:rPr>
            </w:pPr>
          </w:p>
        </w:tc>
        <w:tc>
          <w:tcPr>
            <w:tcW w:w="14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r>
      <w:tr>
        <w:trPr>
          <w:trHeight w:val="223"/>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of common stock reserved for future issuance under the 2012</w:t>
            </w:r>
          </w:p>
        </w:tc>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Incentive Plan</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607,494</w:t>
            </w: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665,720</w:t>
            </w:r>
          </w:p>
        </w:tc>
        <w:tc>
          <w:tcPr>
            <w:tcW w:w="120" w:type="dxa"/>
            <w:vAlign w:val="bottom"/>
            <w:shd w:val="clear" w:color="auto" w:fill="CFF0FC"/>
          </w:tcPr>
          <w:p>
            <w:pPr>
              <w:spacing w:after="0"/>
              <w:rPr>
                <w:sz w:val="19"/>
                <w:szCs w:val="19"/>
                <w:color w:val="auto"/>
              </w:rPr>
            </w:pP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Shares of common stock reserved for future issuance under the 2019</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Incentive Plan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4,547,939</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3,400,489</w:t>
            </w:r>
          </w:p>
        </w:tc>
        <w:tc>
          <w:tcPr>
            <w:tcW w:w="120" w:type="dxa"/>
            <w:vAlign w:val="bottom"/>
          </w:tcPr>
          <w:p>
            <w:pPr>
              <w:spacing w:after="0"/>
              <w:rPr>
                <w:sz w:val="19"/>
                <w:szCs w:val="19"/>
                <w:color w:val="auto"/>
              </w:rPr>
            </w:pPr>
          </w:p>
        </w:tc>
      </w:tr>
      <w:tr>
        <w:trPr>
          <w:trHeight w:val="230"/>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of common stock reserved for future issuance under the 2019</w:t>
            </w:r>
          </w:p>
        </w:tc>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721,717</w:t>
            </w: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470,631</w:t>
            </w:r>
          </w:p>
        </w:tc>
        <w:tc>
          <w:tcPr>
            <w:tcW w:w="120" w:type="dxa"/>
            <w:vAlign w:val="bottom"/>
            <w:shd w:val="clear" w:color="auto" w:fill="CFF0FC"/>
          </w:tcPr>
          <w:p>
            <w:pPr>
              <w:spacing w:after="0"/>
              <w:rPr>
                <w:sz w:val="19"/>
                <w:szCs w:val="19"/>
                <w:color w:val="auto"/>
              </w:rPr>
            </w:pPr>
          </w:p>
        </w:tc>
      </w:tr>
      <w:tr>
        <w:trPr>
          <w:trHeight w:val="229"/>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to be issued upon exercise of common stock warrants and pre-funded warrants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48,330,707</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20,602,244</w:t>
            </w:r>
          </w:p>
        </w:tc>
        <w:tc>
          <w:tcPr>
            <w:tcW w:w="120" w:type="dxa"/>
            <w:vAlign w:val="bottom"/>
          </w:tcPr>
          <w:p>
            <w:pPr>
              <w:spacing w:after="0"/>
              <w:rPr>
                <w:sz w:val="19"/>
                <w:szCs w:val="19"/>
                <w:color w:val="auto"/>
              </w:rPr>
            </w:pPr>
          </w:p>
        </w:tc>
      </w:tr>
      <w:tr>
        <w:trPr>
          <w:trHeight w:val="230"/>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to be issued upon sales under the LPC Purchase Agreement</w:t>
            </w:r>
          </w:p>
        </w:tc>
        <w:tc>
          <w:tcPr>
            <w:tcW w:w="3060" w:type="dxa"/>
            <w:vAlign w:val="bottom"/>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30,000,000</w:t>
            </w:r>
          </w:p>
        </w:tc>
        <w:tc>
          <w:tcPr>
            <w:tcW w:w="260" w:type="dxa"/>
            <w:vAlign w:val="bottom"/>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30,000,000</w:t>
            </w:r>
          </w:p>
        </w:tc>
        <w:tc>
          <w:tcPr>
            <w:tcW w:w="120" w:type="dxa"/>
            <w:vAlign w:val="bottom"/>
            <w:shd w:val="clear" w:color="auto" w:fill="CFF0FC"/>
          </w:tcPr>
          <w:p>
            <w:pPr>
              <w:spacing w:after="0"/>
              <w:rPr>
                <w:sz w:val="19"/>
                <w:szCs w:val="19"/>
                <w:color w:val="auto"/>
              </w:rPr>
            </w:pPr>
          </w:p>
        </w:tc>
      </w:tr>
      <w:tr>
        <w:trPr>
          <w:trHeight w:val="223"/>
        </w:trPr>
        <w:tc>
          <w:tcPr>
            <w:tcW w:w="49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84,207,857</w:t>
            </w:r>
          </w:p>
        </w:tc>
        <w:tc>
          <w:tcPr>
            <w:tcW w:w="26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55,139,084</w:t>
            </w:r>
          </w:p>
        </w:tc>
        <w:tc>
          <w:tcPr>
            <w:tcW w:w="120" w:type="dxa"/>
            <w:vAlign w:val="bottom"/>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w:t>
      </w:r>
    </w:p>
    <w:p>
      <w:pPr>
        <w:spacing w:after="0" w:line="121"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In June 2020, the Company entered into the ATM Sales Agreement with SVB Leerink LLC, under which the Company may issue and sell shares of its common stock, from time to time, having an aggregate offering price of up to $12.0 million. Sales of common stock under the ATM Sales Agreement may be made by any method that is deemed an “at-the-market” offering as defined in Rule 415(a)(4) under the Securities Act of 1933, as amended. The Company is not obligated to make any sales of its common stock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9" w:name="page20"/>
    <w:bookmarkEnd w:id="19"/>
    <w:p>
      <w:pPr>
        <w:spacing w:after="0" w:line="256" w:lineRule="auto"/>
        <w:rPr>
          <w:sz w:val="20"/>
          <w:szCs w:val="20"/>
          <w:color w:val="auto"/>
        </w:rPr>
      </w:pPr>
      <w:r>
        <w:rPr>
          <w:rFonts w:ascii="Times New Roman" w:cs="Times New Roman" w:eastAsia="Times New Roman" w:hAnsi="Times New Roman"/>
          <w:sz w:val="18"/>
          <w:szCs w:val="18"/>
          <w:color w:val="auto"/>
        </w:rPr>
        <w:t>under the ATM Sales Agreement. The Company began making sales pursuant to the ATM Sales Agreement in July 2020. During the three and nine months ended September 30, 2021, the Company issued and sold an aggregate of 162,026 and 2,895,518 shares of common stock, respectively, for gross proceeds of $0.3 million and $7.7 million, respectively, before deducting estimated commissions and allocated fees of less than $0.1 million and $0.6 million, respectively. No sales were made during the three and nine months ended September 30, 2022. As of September 30, 2022, the Company had issued and sold an aggregate of 3,583,394 shares of common stock for gross proceeds of $11.0 million, before deducting estimated commissions and allocated fees of $0.8 million.</w:t>
      </w:r>
    </w:p>
    <w:p>
      <w:pPr>
        <w:spacing w:after="0" w:line="79" w:lineRule="exact"/>
        <w:rPr>
          <w:sz w:val="20"/>
          <w:szCs w:val="20"/>
          <w:color w:val="auto"/>
        </w:rPr>
      </w:pPr>
    </w:p>
    <w:p>
      <w:pPr>
        <w:ind w:right="280" w:firstLine="510"/>
        <w:spacing w:after="0" w:line="312" w:lineRule="auto"/>
        <w:rPr>
          <w:sz w:val="20"/>
          <w:szCs w:val="20"/>
          <w:color w:val="auto"/>
        </w:rPr>
      </w:pPr>
      <w:r>
        <w:rPr>
          <w:rFonts w:ascii="Times New Roman" w:cs="Times New Roman" w:eastAsia="Times New Roman" w:hAnsi="Times New Roman"/>
          <w:sz w:val="17"/>
          <w:szCs w:val="17"/>
          <w:color w:val="auto"/>
        </w:rPr>
        <w:t>In May 2022, the Company amended the ATM Sales Agreement with SVB Leerink LLC to increase the maximum aggregate offering price of common stock that it may issue and sell from time to time under the ATM Sales Agreement by $50.0 million, from $12.0 million to up to $62.0 million.</w:t>
      </w:r>
    </w:p>
    <w:p>
      <w:pPr>
        <w:spacing w:after="0" w:line="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Equity Purchase Agreement</w:t>
      </w:r>
    </w:p>
    <w:p>
      <w:pPr>
        <w:spacing w:after="0" w:line="121"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On June 18, 2021, the Company entered into a common stock purchase agreement (“LPC Purchase Agreement”) with Lincoln Park Capital Fund, LLC (“Lincoln Park”). The LPC Purchase Agreement provides that, subject to the terms and conditions therein, the Company has the right, but not the obligation, to sell, at its discretion, to Lincoln Park up to $15.0 million of shares of common stock over a 24-month period commencing on July 23, 2021. In addition, under the LPC Purchase Agreement, the Company issued 170,088 shares of common stock to Lincoln Park as consideration for Lincoln Park’s commitment to purchase shares of the Company’s common stock under the LPC Purchase Agreement. The purchase price per share of the shares sold will be based on the market prices prevailing immediately preceding the time of sale as computed under the LPC Purchase Agreement. Lincoln Park has covenanted not to cause or engage in any manner whatsoever, any direct or indirect short selling or hedging of the Company’s common stock. The agreement may be terminated by the Company at any time, at its sole discretion, without any additional cost or penalty. Under the terms of the October 2021 private placements described below, the Company agreed to not issue or sell additional shares under the LPC Purchase Agreement on or prior to April 6, 2023.</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Placements</w:t>
      </w:r>
    </w:p>
    <w:p>
      <w:pPr>
        <w:spacing w:after="0" w:line="121"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On October 5, 2021, the Company issued and sold to an initial investor, in a private placement priced at-the-market under Nasdaq rules, (i) 2,373,201 shares of the Company’s common stock and accompanying warrants to purchase an aggregate of 4,746,402 shares of the Company’s common stock, and (ii) pre-funded warrants to purchase up to an aggregate of 4,926,069 shares of the Company’s common stock and accompanying warrants to purchase an aggregate of 9,852,138 shares of the Company’s common stock. Each share of the Company’s common stock and accompanying common stock warrants were sold together at a combined price of $1.62, and each pre-funded warrant and accompanying common stock warrants were sold together at a combined price of $1.619, for gross proceeds of approximately $11.8 million. Each pre-funded warrant had an exercise price of $0.001 per share, became exercisable immediately upon issuance and was exercisable until exercised in full. Of the accompanying common stock warrants, warrants to purchase an aggregate of 7,299,270 shares will expire on April 5, 2025, and warrants to purchase an aggregate of 7,299,270 shares will expire on October 5, 2028. The accompanying common stock warrants have an exercise price of $1.37 per share and became exercisable immediately upon issuance.</w:t>
      </w:r>
    </w:p>
    <w:p>
      <w:pPr>
        <w:spacing w:after="0" w:line="80"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On October 18, 2021, the Company issued and sold to New Enterprise Associates 16, L.P., an existing stockholder of the Company (“NEA”) and related party, in a private placement, 1,851,852 shares of the Company’s common stock and accompanying warrants to purchase an aggregate of 3,703,704 shares of the Company’s common stock. Each share of the Company’s common stock and accompanying common stock warrants were sold together at a combined price of $1.62 for gross proceeds of approximately $3.0 million. Of the accompanying common stock warrants, warrants to purchase an aggregate of 1,851,852 shares of the Company’s common stock will expire on April 18, 2025, and warrants to purchase an aggregate of 1,851,852 shares of the Company’s common stock will expire on October 18, 2028. The accompanying common stock warrants have an exercise price of $1.37 per share and became exercisable immediately upon issuance.</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 net proceeds from the two October 2021 private placements were $13.7 million, after deducting issuance costs of $1.1 million</w:t>
      </w:r>
      <w:r>
        <w:rPr>
          <w:rFonts w:ascii="Times New Roman" w:cs="Times New Roman" w:eastAsia="Times New Roman" w:hAnsi="Times New Roman"/>
          <w:sz w:val="16"/>
          <w:szCs w:val="16"/>
          <w:color w:val="auto"/>
        </w:rPr>
        <w:t>.</w:t>
      </w:r>
    </w:p>
    <w:p>
      <w:pPr>
        <w:spacing w:after="0" w:line="117" w:lineRule="exact"/>
        <w:rPr>
          <w:sz w:val="20"/>
          <w:szCs w:val="20"/>
          <w:color w:val="auto"/>
        </w:rPr>
      </w:pPr>
    </w:p>
    <w:p>
      <w:pPr>
        <w:ind w:right="100" w:firstLine="510"/>
        <w:spacing w:after="0" w:line="255" w:lineRule="auto"/>
        <w:rPr>
          <w:sz w:val="20"/>
          <w:szCs w:val="20"/>
          <w:color w:val="auto"/>
        </w:rPr>
      </w:pPr>
      <w:r>
        <w:rPr>
          <w:rFonts w:ascii="Times New Roman" w:cs="Times New Roman" w:eastAsia="Times New Roman" w:hAnsi="Times New Roman"/>
          <w:sz w:val="18"/>
          <w:szCs w:val="18"/>
          <w:color w:val="auto"/>
        </w:rPr>
        <w:t>On April 6, 2022, the Company entered into a securities purchase agreement (the “Securities Purchase Agreement”) with certain purchasers, pursuant to which the Company agreed to issue and sell to the purchasers, in a private placement priced at-the-market under Nasdaq rules, (i) 4,580,526 shares of the Company’s common stock at a purchase price of $1.90 per share, and (ii) pre-funded warrants to purchase up to an aggregate of 24,379,673 shares of common stock at a purchase price of $1.899 per warrant (the “April 2022 Private Placement”). Each pre-funded warrant has an exercise price of $0.001 per share, is exercisable immediately and will be exercisable until the pre-funded warrant is exercised in full. The April 2022 Private Placement, which closed on April 11, 2022, resulted in gross proceeds to the Company of approximately $55.0 million. NEA, an existing stockholder of the Company and a related party, as well as an affiliate of NEA, participated in the offering.</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Public Offering</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0" w:name="page21"/>
    <w:bookmarkEnd w:id="20"/>
    <w:p>
      <w:pPr>
        <w:ind w:right="40" w:firstLine="510"/>
        <w:spacing w:after="0" w:line="248" w:lineRule="auto"/>
        <w:rPr>
          <w:sz w:val="20"/>
          <w:szCs w:val="20"/>
          <w:color w:val="auto"/>
        </w:rPr>
      </w:pPr>
      <w:r>
        <w:rPr>
          <w:rFonts w:ascii="Times New Roman" w:cs="Times New Roman" w:eastAsia="Times New Roman" w:hAnsi="Times New Roman"/>
          <w:sz w:val="18"/>
          <w:szCs w:val="18"/>
          <w:color w:val="auto"/>
        </w:rPr>
        <w:t xml:space="preserve">On September 27, 2022, the Company issued and sold 14,252,670 shares of the Company’s common stock and, in lieu of common stock to certain investors, pre-funded warrants to purchase 14,247,330 shares of common stock in a public offering (the “September 2022 Offering”), at a public offering price of $1.93 per share of common stock and $1.929 per pre-funded warrant pursuant to an underwriting agreement (the “Underwriting Agreement”) with SVB Securities LLC, Stifel, Nicolaus &amp; Company, Incorporated and Oppenheimer &amp; Co. Inc., as representatives of the several underwriters (the “Underwriters”). Each pre-funded warrant has an exercise price of $0.001 per share, is exercisable immediately and will be exercisable until the pre-funded warrant is exercised in full. Under the terms of the Underwriting Agreement, the Company agreed not to issue and sell additional shares until after November 21, 2022 except in certain circumstances, including the issuance and sale of additional shares pursuant to the Underwriting Agreement. Under the terms of the Underwriting Agreement, the Company granted the Underwriters an option (the “Option”), exercisable for 30 days, to purchase up to an additional 4,275,000 shares of common stock (the “Additional Shares”), at the public offering price of $1.93 per share. </w:t>
      </w:r>
      <w:r>
        <w:rPr>
          <w:rFonts w:ascii="Calibri" w:cs="Calibri" w:eastAsia="Calibri" w:hAnsi="Calibri"/>
          <w:sz w:val="18"/>
          <w:szCs w:val="18"/>
          <w:color w:val="auto"/>
        </w:rPr>
        <w:t>The Underwriters partally exercised</w:t>
      </w:r>
      <w:r>
        <w:rPr>
          <w:rFonts w:ascii="Times New Roman" w:cs="Times New Roman" w:eastAsia="Times New Roman" w:hAnsi="Times New Roman"/>
          <w:sz w:val="18"/>
          <w:szCs w:val="18"/>
          <w:color w:val="auto"/>
        </w:rPr>
        <w:t xml:space="preserve"> </w:t>
      </w:r>
      <w:r>
        <w:rPr>
          <w:rFonts w:ascii="Calibri" w:cs="Calibri" w:eastAsia="Calibri" w:hAnsi="Calibri"/>
          <w:sz w:val="18"/>
          <w:szCs w:val="18"/>
          <w:color w:val="auto"/>
        </w:rPr>
        <w:t xml:space="preserve">the Opton to purchase 1,600,428 Additonal Shares, which shares were issued and sold on October 25, 2022. The </w:t>
      </w:r>
      <w:r>
        <w:rPr>
          <w:rFonts w:ascii="Times New Roman" w:cs="Times New Roman" w:eastAsia="Times New Roman" w:hAnsi="Times New Roman"/>
          <w:sz w:val="18"/>
          <w:szCs w:val="18"/>
          <w:color w:val="auto"/>
        </w:rPr>
        <w:t>September 2022 Offering</w:t>
      </w:r>
      <w:r>
        <w:rPr>
          <w:rFonts w:ascii="Calibri" w:cs="Calibri" w:eastAsia="Calibri" w:hAnsi="Calibri"/>
          <w:sz w:val="18"/>
          <w:szCs w:val="18"/>
          <w:color w:val="auto"/>
        </w:rPr>
        <w:t>, including the inital closing on September 27, 2022 and the Opton closing on October 25, 2022, resulted in aggregate gross proceeds to the Company of approximately $58.1 million.</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Warrant activity, including activity related to pre-funded warrants, for the nine months ended September 30, 2022 is shown in the table below:</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460" w:type="dxa"/>
            <w:vAlign w:val="bottom"/>
          </w:tcPr>
          <w:p>
            <w:pPr>
              <w:spacing w:after="0"/>
              <w:rPr>
                <w:sz w:val="12"/>
                <w:szCs w:val="12"/>
                <w:color w:val="auto"/>
              </w:rPr>
            </w:pPr>
          </w:p>
        </w:tc>
        <w:tc>
          <w:tcPr>
            <w:tcW w:w="14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Pre-funded</w:t>
            </w:r>
          </w:p>
        </w:tc>
        <w:tc>
          <w:tcPr>
            <w:tcW w:w="16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460" w:type="dxa"/>
            <w:vAlign w:val="bottom"/>
          </w:tcPr>
          <w:p>
            <w:pPr>
              <w:spacing w:after="0"/>
              <w:rPr>
                <w:sz w:val="12"/>
                <w:szCs w:val="12"/>
                <w:color w:val="auto"/>
              </w:rPr>
            </w:pPr>
          </w:p>
        </w:tc>
        <w:tc>
          <w:tcPr>
            <w:tcW w:w="14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Warrant</w:t>
            </w:r>
          </w:p>
        </w:tc>
        <w:tc>
          <w:tcPr>
            <w:tcW w:w="16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Warrant</w:t>
            </w:r>
          </w:p>
        </w:tc>
        <w:tc>
          <w:tcPr>
            <w:tcW w:w="16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Warrant</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73"/>
        </w:trPr>
        <w:tc>
          <w:tcPr>
            <w:tcW w:w="5460" w:type="dxa"/>
            <w:vAlign w:val="bottom"/>
          </w:tcPr>
          <w:p>
            <w:pPr>
              <w:spacing w:after="0"/>
              <w:rPr>
                <w:sz w:val="15"/>
                <w:szCs w:val="15"/>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23"/>
        </w:trPr>
        <w:tc>
          <w:tcPr>
            <w:tcW w:w="54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2,300,000</w:t>
            </w:r>
          </w:p>
        </w:tc>
        <w:tc>
          <w:tcPr>
            <w:tcW w:w="30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18,302,244</w:t>
            </w:r>
          </w:p>
        </w:tc>
        <w:tc>
          <w:tcPr>
            <w:tcW w:w="30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20,602,244</w:t>
            </w: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Issued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38,627,003</w:t>
            </w:r>
          </w:p>
        </w:tc>
        <w:tc>
          <w:tcPr>
            <w:tcW w:w="300" w:type="dxa"/>
            <w:vAlign w:val="bottom"/>
          </w:tcPr>
          <w:p>
            <w:pPr>
              <w:spacing w:after="0"/>
              <w:rPr>
                <w:sz w:val="19"/>
                <w:szCs w:val="19"/>
                <w:color w:val="auto"/>
              </w:rPr>
            </w:pP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38,627,003</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(2,300,000)</w:t>
            </w:r>
          </w:p>
        </w:tc>
        <w:tc>
          <w:tcPr>
            <w:tcW w:w="1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(8,598,540)</w:t>
            </w:r>
          </w:p>
        </w:tc>
        <w:tc>
          <w:tcPr>
            <w:tcW w:w="1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(10,898,540)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September 30, 2022</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38,627,003</w:t>
            </w:r>
          </w:p>
        </w:tc>
        <w:tc>
          <w:tcPr>
            <w:tcW w:w="3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9,703,704</w:t>
            </w:r>
          </w:p>
        </w:tc>
        <w:tc>
          <w:tcPr>
            <w:tcW w:w="3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48,330,707</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0" w:firstLine="510"/>
        <w:spacing w:after="0" w:line="266" w:lineRule="auto"/>
        <w:rPr>
          <w:sz w:val="20"/>
          <w:szCs w:val="20"/>
          <w:color w:val="auto"/>
        </w:rPr>
      </w:pPr>
      <w:r>
        <w:rPr>
          <w:rFonts w:ascii="Times New Roman" w:cs="Times New Roman" w:eastAsia="Times New Roman" w:hAnsi="Times New Roman"/>
          <w:sz w:val="18"/>
          <w:szCs w:val="18"/>
          <w:color w:val="auto"/>
        </w:rPr>
        <w:t>As of March 31, 2022, all of the pre-funded warrants from the October 2021 private placements had been exercised at the exercise price of $0.001 per share. The pre-funded and common stock warrants are classified as equity in accordance with ASC 815 given that the pre-funded and common stock warrants are indexed to the Company’s own shares of common stock and meet the requirements to be classified in permanent equity.</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Awards</w:t>
      </w:r>
    </w:p>
    <w:p>
      <w:pPr>
        <w:spacing w:after="0" w:line="121"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In April 2019, the Company’s board of directors adopted the 2019 Stock Incentive Plan (the “2019 Plan”), which became effective on May 7, 2019. The 2019 Plan provides for the grant of incentive stock options, non-statutory stock options, stock appreciation rights, restricted stock awards, restricted stock units and other stock-based awards. The Company’s employees, officers, directors, consultants and advisors are eligible to receive awards under the 2019 Plan. The 2019 Plan is administered by the Company’s board of directors.</w:t>
      </w:r>
    </w:p>
    <w:p>
      <w:pPr>
        <w:spacing w:after="0" w:line="72"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The total number of shares of common stock that may be issued under the 2019 Plan and the 2012 Stock Incentive Plan (the “2012 Plan”) was 5,155,433 as of September 30, 2022, of which 1,013,526 shares remained available for grant under the 2019 Plan. Awards may be made under the 2019 Plan for up to such number of shares of the Company’s common stock as is equal to the sum of: i) 1,578,947 shares; plus ii) the number of shares (up to 1,157,894 shares) of the Company’s common stock subject to outstanding awards under the 2012 Plan that expire, terminate or are otherwise cancelled, forfeited or repurchased by the Company at their original issuance price pursuant to a contractual repurchase right; plus iii) an annual increase to be added on the first day of each fiscal year, beginning with 2020 and continuing through 2029, equal to the least of (a) 2,105,623 shares of common stock, (b) 4% of the number of outstanding shares of the Company’s common stock on such date, and (c) an amount determined by the Company’s board of directors. Effective January 1, 2022 and January 1, 2021, respectively, the number of shares reserved for issuance under the 2019 Plan increased, pursuant to the terms of the 2019 Plan, by an additional 1,140,232 shares and 741,871 shares, equal to 4% of the Company’s then-outstanding common stock.</w:t>
      </w:r>
    </w:p>
    <w:p>
      <w:pPr>
        <w:spacing w:after="0" w:line="80" w:lineRule="exact"/>
        <w:rPr>
          <w:sz w:val="20"/>
          <w:szCs w:val="20"/>
          <w:color w:val="auto"/>
        </w:rPr>
      </w:pPr>
    </w:p>
    <w:p>
      <w:pPr>
        <w:jc w:val="both"/>
        <w:ind w:right="100" w:firstLine="510"/>
        <w:spacing w:after="0" w:line="266" w:lineRule="auto"/>
        <w:rPr>
          <w:sz w:val="20"/>
          <w:szCs w:val="20"/>
          <w:color w:val="auto"/>
        </w:rPr>
      </w:pPr>
      <w:r>
        <w:rPr>
          <w:rFonts w:ascii="Times New Roman" w:cs="Times New Roman" w:eastAsia="Times New Roman" w:hAnsi="Times New Roman"/>
          <w:sz w:val="18"/>
          <w:szCs w:val="18"/>
          <w:color w:val="auto"/>
        </w:rPr>
        <w:t>The 2012 Plan was adopted by the Company’s board of directors and stockholders. The 2012 Plan provides for the issuance of stock-based awards to the Company’s employees, officers, directors, consultants and advisors. The Company’s board of directors administers the 2012 Plan. In April 2019, the Company’s board of directors adopted a resolution effective on May 7, 2019, that no further equity-based awards may be granted under the 2012 Plan.</w:t>
      </w:r>
    </w:p>
    <w:p>
      <w:pPr>
        <w:spacing w:after="0" w:line="68" w:lineRule="exact"/>
        <w:rPr>
          <w:sz w:val="20"/>
          <w:szCs w:val="20"/>
          <w:color w:val="auto"/>
        </w:rPr>
      </w:pPr>
    </w:p>
    <w:p>
      <w:pPr>
        <w:ind w:right="140" w:firstLine="510"/>
        <w:spacing w:after="0" w:line="258" w:lineRule="auto"/>
        <w:rPr>
          <w:sz w:val="20"/>
          <w:szCs w:val="20"/>
          <w:color w:val="auto"/>
        </w:rPr>
      </w:pPr>
      <w:r>
        <w:rPr>
          <w:rFonts w:ascii="Times New Roman" w:cs="Times New Roman" w:eastAsia="Times New Roman" w:hAnsi="Times New Roman"/>
          <w:sz w:val="18"/>
          <w:szCs w:val="18"/>
          <w:color w:val="auto"/>
        </w:rPr>
        <w:t>Options granted under the 2019 Plan and the 2012 Plan have a maximum term of ten years. Options granted to employees, officers and non-employees generally vest over four years based on varying vesting schedules that primarily include: 25% vesting on the first anniversary date of grant and the balance ratably over the next 36 months or vesting in equal monthly or quarterly installments over four years. Options granted to directors generally vest over one to two years. As of September 30, 2022 and December 31, 2021, respectively, options to purchase 3,534,413 shares and 2,263,752 shares of common stock were granted and outstanding, net of</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1" w:name="page22"/>
    <w:bookmarkEnd w:id="21"/>
    <w:p>
      <w:pPr>
        <w:ind w:right="340"/>
        <w:spacing w:after="0" w:line="282" w:lineRule="auto"/>
        <w:rPr>
          <w:sz w:val="20"/>
          <w:szCs w:val="20"/>
          <w:color w:val="auto"/>
        </w:rPr>
      </w:pPr>
      <w:r>
        <w:rPr>
          <w:rFonts w:ascii="Times New Roman" w:cs="Times New Roman" w:eastAsia="Times New Roman" w:hAnsi="Times New Roman"/>
          <w:sz w:val="18"/>
          <w:szCs w:val="18"/>
          <w:color w:val="auto"/>
        </w:rPr>
        <w:t>cancellations, under the 2019 Plan. As of September 30, 2022 and December 31, 2021, respectively, options to purchase 607,494 and 665,720 shares of common stock, were granted and outstanding, net of cancellations, under the 2012 Plan.</w:t>
      </w:r>
    </w:p>
    <w:p>
      <w:pPr>
        <w:spacing w:after="0" w:line="54" w:lineRule="exact"/>
        <w:rPr>
          <w:sz w:val="20"/>
          <w:szCs w:val="20"/>
          <w:color w:val="auto"/>
        </w:rPr>
      </w:pPr>
    </w:p>
    <w:p>
      <w:pPr>
        <w:ind w:right="80" w:firstLine="510"/>
        <w:spacing w:after="0" w:line="266" w:lineRule="auto"/>
        <w:rPr>
          <w:sz w:val="20"/>
          <w:szCs w:val="20"/>
          <w:color w:val="auto"/>
        </w:rPr>
      </w:pPr>
      <w:r>
        <w:rPr>
          <w:rFonts w:ascii="Times New Roman" w:cs="Times New Roman" w:eastAsia="Times New Roman" w:hAnsi="Times New Roman"/>
          <w:sz w:val="18"/>
          <w:szCs w:val="18"/>
          <w:color w:val="auto"/>
        </w:rPr>
        <w:t>In February 2021, the compensation committee of the Company’s board of directors approved the grant of stock options to purchase 450,875 shares of common stock with performance-based vesting (“PSOs”) to employees of the Company. The PSOs granted in February 2021, vest based on the timing and successful results of the Company’s PRISM or CANAL clinical trials.</w:t>
      </w:r>
    </w:p>
    <w:p>
      <w:pPr>
        <w:spacing w:after="0" w:line="68"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A summary of the Company’s combined stock option activity for the 2019 Plan and the 2012 Plan for the nine months ended September 30, 2022 is as follows:</w:t>
      </w:r>
    </w:p>
    <w:tbl>
      <w:tblPr>
        <w:tblLayout w:type="fixed"/>
        <w:tblInd w:w="0" w:type="dxa"/>
        <w:tblCellMar>
          <w:top w:w="0" w:type="dxa"/>
          <w:left w:w="0" w:type="dxa"/>
          <w:bottom w:w="0" w:type="dxa"/>
          <w:right w:w="0" w:type="dxa"/>
        </w:tblCellMar>
      </w:tblPr>
      <w:tr>
        <w:trPr>
          <w:trHeight w:val="137"/>
        </w:trPr>
        <w:tc>
          <w:tcPr>
            <w:tcW w:w="7740" w:type="dxa"/>
            <w:vAlign w:val="bottom"/>
          </w:tcPr>
          <w:p>
            <w:pPr>
              <w:spacing w:after="0"/>
              <w:rPr>
                <w:sz w:val="11"/>
                <w:szCs w:val="11"/>
                <w:color w:val="auto"/>
              </w:rPr>
            </w:pPr>
          </w:p>
        </w:tc>
        <w:tc>
          <w:tcPr>
            <w:tcW w:w="1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40"/>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74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7740" w:type="dxa"/>
            <w:vAlign w:val="bottom"/>
          </w:tcPr>
          <w:p>
            <w:pPr>
              <w:spacing w:after="0"/>
              <w:rPr>
                <w:sz w:val="12"/>
                <w:szCs w:val="12"/>
                <w:color w:val="auto"/>
              </w:rPr>
            </w:pPr>
          </w:p>
        </w:tc>
        <w:tc>
          <w:tcPr>
            <w:tcW w:w="1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0" w:type="dxa"/>
            <w:vAlign w:val="bottom"/>
          </w:tcPr>
          <w:p>
            <w:pPr>
              <w:spacing w:after="0"/>
              <w:rPr>
                <w:sz w:val="1"/>
                <w:szCs w:val="1"/>
                <w:color w:val="auto"/>
              </w:rPr>
            </w:pPr>
          </w:p>
        </w:tc>
      </w:tr>
      <w:tr>
        <w:trPr>
          <w:trHeight w:val="173"/>
        </w:trPr>
        <w:tc>
          <w:tcPr>
            <w:tcW w:w="7740" w:type="dxa"/>
            <w:vAlign w:val="bottom"/>
          </w:tcPr>
          <w:p>
            <w:pPr>
              <w:spacing w:after="0"/>
              <w:rPr>
                <w:sz w:val="15"/>
                <w:szCs w:val="15"/>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23"/>
        </w:trPr>
        <w:tc>
          <w:tcPr>
            <w:tcW w:w="7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2,929,472</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1,352,250</w:t>
            </w:r>
          </w:p>
        </w:tc>
        <w:tc>
          <w:tcPr>
            <w:tcW w:w="220" w:type="dxa"/>
            <w:vAlign w:val="bottom"/>
          </w:tcPr>
          <w:p>
            <w:pPr>
              <w:spacing w:after="0"/>
              <w:rPr>
                <w:sz w:val="19"/>
                <w:szCs w:val="19"/>
                <w:color w:val="auto"/>
              </w:rPr>
            </w:pPr>
          </w:p>
        </w:tc>
        <w:tc>
          <w:tcPr>
            <w:tcW w:w="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Forfeited</w:t>
            </w:r>
          </w:p>
        </w:tc>
        <w:tc>
          <w:tcPr>
            <w:tcW w:w="1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(52,513)</w:t>
            </w:r>
          </w:p>
        </w:tc>
        <w:tc>
          <w:tcPr>
            <w:tcW w:w="3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Expired</w:t>
            </w: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(36,297)</w:t>
            </w:r>
          </w:p>
        </w:tc>
        <w:tc>
          <w:tcPr>
            <w:tcW w:w="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Exercised</w:t>
            </w:r>
          </w:p>
        </w:tc>
        <w:tc>
          <w:tcPr>
            <w:tcW w:w="1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(51,005)</w:t>
            </w:r>
          </w:p>
        </w:tc>
        <w:tc>
          <w:tcPr>
            <w:tcW w:w="3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as of September 30, 2022</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4,141,907</w:t>
            </w:r>
          </w:p>
        </w:tc>
        <w:tc>
          <w:tcPr>
            <w:tcW w:w="220" w:type="dxa"/>
            <w:vAlign w:val="bottom"/>
            <w:tcBorders>
              <w:bottom w:val="single" w:sz="8" w:color="CFF0FC"/>
            </w:tcBorders>
          </w:tcPr>
          <w:p>
            <w:pPr>
              <w:spacing w:after="0"/>
              <w:rPr>
                <w:sz w:val="22"/>
                <w:szCs w:val="22"/>
                <w:color w:val="auto"/>
              </w:rPr>
            </w:pPr>
          </w:p>
        </w:tc>
        <w:tc>
          <w:tcPr>
            <w:tcW w:w="380" w:type="dxa"/>
            <w:vAlign w:val="bottom"/>
            <w:tcBorders>
              <w:bottom w:val="single" w:sz="8" w:color="CFF0FC"/>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exercisable as of September 30, 2022</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2,107,177</w:t>
            </w:r>
          </w:p>
        </w:tc>
        <w:tc>
          <w:tcPr>
            <w:tcW w:w="2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Options unvested as of September 30, 2022</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2,034,730</w:t>
            </w:r>
          </w:p>
        </w:tc>
        <w:tc>
          <w:tcPr>
            <w:tcW w:w="220" w:type="dxa"/>
            <w:vAlign w:val="bottom"/>
          </w:tcPr>
          <w:p>
            <w:pPr>
              <w:spacing w:after="0"/>
              <w:rPr>
                <w:sz w:val="20"/>
                <w:szCs w:val="20"/>
                <w:color w:val="auto"/>
              </w:rPr>
            </w:pPr>
          </w:p>
        </w:tc>
        <w:tc>
          <w:tcPr>
            <w:tcW w:w="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right="240" w:firstLine="510"/>
        <w:spacing w:after="0" w:line="282" w:lineRule="auto"/>
        <w:rPr>
          <w:sz w:val="20"/>
          <w:szCs w:val="20"/>
          <w:color w:val="auto"/>
        </w:rPr>
      </w:pPr>
      <w:r>
        <w:rPr>
          <w:rFonts w:ascii="Times New Roman" w:cs="Times New Roman" w:eastAsia="Times New Roman" w:hAnsi="Times New Roman"/>
          <w:sz w:val="18"/>
          <w:szCs w:val="18"/>
          <w:color w:val="auto"/>
        </w:rPr>
        <w:t>In April 2019, the Company’s board of directors adopted the 2019 Employee Stock Purchase Plan (the “2019 ESPP”), which became effective on May 7, 2019. The 2019 ESPP is administered by the Company’s board of directors.</w:t>
      </w:r>
    </w:p>
    <w:p>
      <w:pPr>
        <w:spacing w:after="0" w:line="54" w:lineRule="exact"/>
        <w:rPr>
          <w:sz w:val="20"/>
          <w:szCs w:val="20"/>
          <w:color w:val="auto"/>
        </w:rPr>
      </w:pPr>
    </w:p>
    <w:p>
      <w:pPr>
        <w:ind w:right="120" w:firstLine="510"/>
        <w:spacing w:after="0" w:line="254" w:lineRule="auto"/>
        <w:rPr>
          <w:sz w:val="20"/>
          <w:szCs w:val="20"/>
          <w:color w:val="auto"/>
        </w:rPr>
      </w:pPr>
      <w:r>
        <w:rPr>
          <w:rFonts w:ascii="Times New Roman" w:cs="Times New Roman" w:eastAsia="Times New Roman" w:hAnsi="Times New Roman"/>
          <w:sz w:val="18"/>
          <w:szCs w:val="18"/>
          <w:color w:val="auto"/>
        </w:rPr>
        <w:t>The total number of shares of common stock that may be issued under the 2019 ESPP was 803,976 as of September 30, 2022, of which 721,717 shares remain available for issuance. The number of shares of the Company’s common stock that have been approved to be issued under the 2019 ESPP is equal to the sum of i) 155,106 shares plus ii) an annual increase to be added on the first day of each fiscal year, beginning with the fiscal year ending December 31, 2020 and continuing for each fiscal year until and including, the fiscal year ending December 31, 2029, equal to the least of (a) 526,315 shares of common stock, (b) 1% of the number of outstanding shares of the Company’s common stock on such date and (c) an amount determined by the Company’s board of directors. Effective January 1, 2022 and January 1, 2021, respectively, the aggregate number of shares of the Company’s common stock that may be issued under the 2019 ESPP increased, pursuant to the terms of the 2019 ESPP, by an additional 285,058 shares and 185,467 shares, in each case equal to 1% of the Company’s then-outstanding common stock.</w:t>
      </w:r>
    </w:p>
    <w:p>
      <w:pPr>
        <w:spacing w:after="0" w:line="84" w:lineRule="exact"/>
        <w:rPr>
          <w:sz w:val="20"/>
          <w:szCs w:val="20"/>
          <w:color w:val="auto"/>
        </w:rPr>
      </w:pPr>
    </w:p>
    <w:p>
      <w:pPr>
        <w:ind w:right="44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classifications of stock-based compensation expenses for the 2012 Plan, the 2019 Plan and the 2019 ESPP recognized in the Condensed Consolidated Statements of Comprehensive Loss: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9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3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5"/>
        </w:trPr>
        <w:tc>
          <w:tcPr>
            <w:tcW w:w="3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3"/>
                <w:szCs w:val="13"/>
                <w:color w:val="auto"/>
              </w:rPr>
            </w:pPr>
          </w:p>
        </w:tc>
        <w:tc>
          <w:tcPr>
            <w:tcW w:w="1380" w:type="dxa"/>
            <w:vAlign w:val="bottom"/>
            <w:gridSpan w:val="2"/>
          </w:tcPr>
          <w:p>
            <w:pPr>
              <w:jc w:val="right"/>
              <w:ind w:right="96"/>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jc w:val="right"/>
              <w:ind w:right="16"/>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tcPr>
          <w:p>
            <w:pPr>
              <w:jc w:val="right"/>
              <w:ind w:right="57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r>
      <w:tr>
        <w:trPr>
          <w:trHeight w:val="223"/>
        </w:trPr>
        <w:tc>
          <w:tcPr>
            <w:tcW w:w="3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7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82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96"/>
              </w:rPr>
              <w:t>371</w:t>
            </w:r>
          </w:p>
        </w:tc>
        <w:tc>
          <w:tcPr>
            <w:tcW w:w="28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ind w:right="936"/>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6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28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3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7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96"/>
              </w:rPr>
              <w:t>198</w:t>
            </w:r>
          </w:p>
        </w:tc>
        <w:tc>
          <w:tcPr>
            <w:tcW w:w="28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6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2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Borders>
              <w:bottom w:val="single" w:sz="8" w:color="CFF0FC"/>
            </w:tcBorders>
          </w:tcPr>
          <w:p>
            <w:pPr>
              <w:spacing w:after="0"/>
              <w:rPr>
                <w:sz w:val="19"/>
                <w:szCs w:val="19"/>
                <w:color w:val="auto"/>
              </w:rPr>
            </w:pPr>
          </w:p>
        </w:tc>
      </w:tr>
      <w:tr>
        <w:trPr>
          <w:trHeight w:val="223"/>
        </w:trPr>
        <w:tc>
          <w:tcPr>
            <w:tcW w:w="330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82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96"/>
              </w:rPr>
              <w:t>569</w:t>
            </w:r>
          </w:p>
        </w:tc>
        <w:tc>
          <w:tcPr>
            <w:tcW w:w="28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36"/>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6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2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ind w:left="500" w:hanging="492"/>
        <w:spacing w:after="0"/>
        <w:tabs>
          <w:tab w:leader="none" w:pos="5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35" w:lineRule="exact"/>
        <w:rPr>
          <w:sz w:val="20"/>
          <w:szCs w:val="20"/>
          <w:color w:val="auto"/>
        </w:rPr>
      </w:pPr>
    </w:p>
    <w:p>
      <w:pPr>
        <w:ind w:right="460" w:firstLine="510"/>
        <w:spacing w:after="0" w:line="266" w:lineRule="auto"/>
        <w:rPr>
          <w:sz w:val="20"/>
          <w:szCs w:val="20"/>
          <w:color w:val="auto"/>
        </w:rPr>
      </w:pPr>
      <w:r>
        <w:rPr>
          <w:rFonts w:ascii="Times New Roman" w:cs="Times New Roman" w:eastAsia="Times New Roman" w:hAnsi="Times New Roman"/>
          <w:sz w:val="18"/>
          <w:szCs w:val="18"/>
          <w:color w:val="auto"/>
        </w:rPr>
        <w:t>As of September 30, 2022 and December 31, 2021, the Company maintained a full valuation allowance on deferred tax assets. The income tax benefit (expense) recorded during the three and nine months ended September 30, 2022 and 2021 was to align the Company’s estimates for its state research and development tax credits in each given year.</w:t>
      </w:r>
    </w:p>
    <w:p>
      <w:pPr>
        <w:spacing w:after="0" w:line="64" w:lineRule="exact"/>
        <w:rPr>
          <w:sz w:val="20"/>
          <w:szCs w:val="20"/>
          <w:color w:val="auto"/>
        </w:rPr>
      </w:pPr>
    </w:p>
    <w:p>
      <w:pPr>
        <w:ind w:left="500" w:hanging="492"/>
        <w:spacing w:after="0"/>
        <w:tabs>
          <w:tab w:leader="none" w:pos="50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the computation of basic and diluted net loss per share attributable to common stockholders of the Company:</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8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50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5"/>
        </w:trPr>
        <w:tc>
          <w:tcPr>
            <w:tcW w:w="50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8"/>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5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55"/>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CFF0FC"/>
            </w:tcBorders>
          </w:tcPr>
          <w:p>
            <w:pPr>
              <w:spacing w:after="0"/>
              <w:rPr>
                <w:sz w:val="13"/>
                <w:szCs w:val="13"/>
                <w:color w:val="auto"/>
              </w:rPr>
            </w:pPr>
          </w:p>
        </w:tc>
      </w:tr>
      <w:tr>
        <w:trPr>
          <w:trHeight w:val="223"/>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(8,266)</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(23,647)</w:t>
            </w: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(25,420)</w:t>
            </w:r>
          </w:p>
        </w:tc>
        <w:tc>
          <w:tcPr>
            <w:tcW w:w="120" w:type="dxa"/>
            <w:vAlign w:val="bottom"/>
            <w:shd w:val="clear" w:color="auto" w:fill="CFF0FC"/>
          </w:tcPr>
          <w:p>
            <w:pPr>
              <w:spacing w:after="0"/>
              <w:rPr>
                <w:sz w:val="19"/>
                <w:szCs w:val="19"/>
                <w:color w:val="auto"/>
              </w:rPr>
            </w:pPr>
          </w:p>
        </w:tc>
      </w:tr>
      <w:tr>
        <w:trPr>
          <w:trHeight w:val="211"/>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used in net loss per share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5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attributable to common stockholders, basic and diluted</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68,898,810</w:t>
            </w:r>
          </w:p>
        </w:tc>
        <w:tc>
          <w:tcPr>
            <w:tcW w:w="240" w:type="dxa"/>
            <w:vAlign w:val="bottom"/>
            <w:tcBorders>
              <w:bottom w:val="single" w:sz="8" w:color="CFF0FC"/>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21,607,979</w:t>
            </w:r>
          </w:p>
        </w:tc>
        <w:tc>
          <w:tcPr>
            <w:tcW w:w="2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53,221,949</w:t>
            </w:r>
          </w:p>
        </w:tc>
        <w:tc>
          <w:tcPr>
            <w:tcW w:w="240" w:type="dxa"/>
            <w:vAlign w:val="bottom"/>
            <w:tcBorders>
              <w:bottom w:val="single" w:sz="8" w:color="CFF0FC"/>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20,390,852</w:t>
            </w:r>
          </w:p>
        </w:tc>
        <w:tc>
          <w:tcPr>
            <w:tcW w:w="120" w:type="dxa"/>
            <w:vAlign w:val="bottom"/>
            <w:tcBorders>
              <w:bottom w:val="single" w:sz="8" w:color="CFF0FC"/>
            </w:tcBorders>
          </w:tcPr>
          <w:p>
            <w:pPr>
              <w:spacing w:after="0"/>
              <w:rPr>
                <w:sz w:val="20"/>
                <w:szCs w:val="20"/>
                <w:color w:val="auto"/>
              </w:rPr>
            </w:pPr>
          </w:p>
        </w:tc>
      </w:tr>
      <w:tr>
        <w:trPr>
          <w:trHeight w:val="223"/>
        </w:trPr>
        <w:tc>
          <w:tcPr>
            <w:tcW w:w="5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 outstanding</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24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5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538"/>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50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2" w:name="page23"/>
    <w:bookmarkEnd w:id="22"/>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Basic shares outstanding includes the weighted average effect of the Company’s pre-funded warrants from the date of issuance, the exercise of which requires little or no consideration for the delivery of shares of common stock. As of September 30, 2022, the Company had pre-funded warrants to purchase 38,627,003 shares of common stock outstanding, which were issued in the April 2022 Private Placement and the September 2022 Offering, which warrants are included in the weighted average common shares used in calculating the net loss per share attributable to common stockholders, basic and diluted in both the three and nine months ended September 30, 2022.</w:t>
      </w:r>
    </w:p>
    <w:p>
      <w:pPr>
        <w:spacing w:after="0" w:line="75"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The Company’s potential dilutive securities, which include stock options and warrants, have been excluded from the computation of diluted net loss per share attributable to common stockholders whenever the effect of including them would be to reduce the net loss per share. In periods where there is a net loss, the weighted average number of common shares outstanding used to calculate both basic and diluted net loss per share attributable to common stockholders is the same. The following potential common shares, presented based on shares outstanding as of September 30, 2022 and 2021, respectively, were excluded from the calculation of diluted net loss per share attributable to common stockholders for the periods indicated because including them would have had an anti-dilutive effect: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80" w:type="dxa"/>
            <w:vAlign w:val="bottom"/>
          </w:tcPr>
          <w:p>
            <w:pPr>
              <w:spacing w:after="0"/>
              <w:rPr>
                <w:sz w:val="15"/>
                <w:szCs w:val="15"/>
                <w:color w:val="auto"/>
              </w:rPr>
            </w:pPr>
          </w:p>
        </w:tc>
        <w:tc>
          <w:tcPr>
            <w:tcW w:w="3580" w:type="dxa"/>
            <w:vAlign w:val="bottom"/>
            <w:tcBorders>
              <w:bottom w:val="single" w:sz="8" w:color="auto"/>
            </w:tcBorders>
            <w:gridSpan w:val="3"/>
          </w:tcPr>
          <w:p>
            <w:pPr>
              <w:ind w:left="1740"/>
              <w:spacing w:after="0"/>
              <w:rPr>
                <w:sz w:val="20"/>
                <w:szCs w:val="20"/>
                <w:color w:val="auto"/>
              </w:rPr>
            </w:pPr>
            <w:r>
              <w:rPr>
                <w:rFonts w:ascii="Times New Roman" w:cs="Times New Roman" w:eastAsia="Times New Roman" w:hAnsi="Times New Roman"/>
                <w:sz w:val="14"/>
                <w:szCs w:val="14"/>
                <w:b w:val="1"/>
                <w:bCs w:val="1"/>
                <w:color w:val="auto"/>
              </w:rPr>
              <w:t>Shares as of September 30,</w:t>
            </w:r>
          </w:p>
        </w:tc>
        <w:tc>
          <w:tcPr>
            <w:tcW w:w="1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980" w:type="dxa"/>
            <w:vAlign w:val="bottom"/>
            <w:tcBorders>
              <w:bottom w:val="single" w:sz="8" w:color="CFF0FC"/>
            </w:tcBorders>
          </w:tcPr>
          <w:p>
            <w:pPr>
              <w:spacing w:after="0"/>
              <w:rPr>
                <w:sz w:val="13"/>
                <w:szCs w:val="13"/>
                <w:color w:val="auto"/>
              </w:rPr>
            </w:pPr>
          </w:p>
        </w:tc>
        <w:tc>
          <w:tcPr>
            <w:tcW w:w="2380" w:type="dxa"/>
            <w:vAlign w:val="bottom"/>
            <w:tcBorders>
              <w:bottom w:val="single" w:sz="8" w:color="auto"/>
            </w:tcBorders>
          </w:tcPr>
          <w:p>
            <w:pPr>
              <w:jc w:val="right"/>
              <w:ind w:right="977"/>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97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r>
      <w:tr>
        <w:trPr>
          <w:trHeight w:val="223"/>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4,141,907</w:t>
            </w: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3,049,180</w:t>
            </w:r>
          </w:p>
        </w:tc>
        <w:tc>
          <w:tcPr>
            <w:tcW w:w="120" w:type="dxa"/>
            <w:vAlign w:val="bottom"/>
            <w:shd w:val="clear" w:color="auto" w:fill="CFF0FC"/>
          </w:tcPr>
          <w:p>
            <w:pPr>
              <w:spacing w:after="0"/>
              <w:rPr>
                <w:sz w:val="19"/>
                <w:szCs w:val="19"/>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9,703,704</w:t>
            </w: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80" w:type="dxa"/>
            <w:vAlign w:val="bottom"/>
            <w:tcBorders>
              <w:top w:val="single" w:sz="8" w:color="CFF0FC"/>
              <w:bottom w:val="single" w:sz="8" w:color="CFF0FC"/>
            </w:tcBorders>
            <w:shd w:val="clear" w:color="auto" w:fill="CFF0FC"/>
          </w:tcPr>
          <w:p>
            <w:pPr>
              <w:spacing w:after="0"/>
              <w:rPr>
                <w:sz w:val="19"/>
                <w:szCs w:val="19"/>
                <w:color w:val="auto"/>
              </w:rPr>
            </w:pPr>
          </w:p>
        </w:tc>
        <w:tc>
          <w:tcPr>
            <w:tcW w:w="2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13,845,611</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spacing w:after="0"/>
              <w:rPr>
                <w:sz w:val="19"/>
                <w:szCs w:val="19"/>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3,049,180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9" w:lineRule="exact"/>
        <w:rPr>
          <w:sz w:val="20"/>
          <w:szCs w:val="20"/>
          <w:color w:val="auto"/>
        </w:rPr>
      </w:pPr>
    </w:p>
    <w:p>
      <w:pPr>
        <w:ind w:left="500" w:hanging="492"/>
        <w:spacing w:after="0"/>
        <w:tabs>
          <w:tab w:leader="none" w:pos="50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Collaborative and Licensing Agreements</w:t>
      </w:r>
    </w:p>
    <w:p>
      <w:pPr>
        <w:spacing w:after="0" w:line="121" w:lineRule="exact"/>
        <w:rPr>
          <w:sz w:val="20"/>
          <w:szCs w:val="20"/>
          <w:color w:val="auto"/>
        </w:rPr>
      </w:pPr>
    </w:p>
    <w:p>
      <w:pPr>
        <w:ind w:right="100" w:firstLine="510"/>
        <w:spacing w:after="0" w:line="282" w:lineRule="auto"/>
        <w:rPr>
          <w:sz w:val="20"/>
          <w:szCs w:val="20"/>
          <w:color w:val="auto"/>
        </w:rPr>
      </w:pPr>
      <w:r>
        <w:rPr>
          <w:rFonts w:ascii="Times New Roman" w:cs="Times New Roman" w:eastAsia="Times New Roman" w:hAnsi="Times New Roman"/>
          <w:sz w:val="18"/>
          <w:szCs w:val="18"/>
          <w:color w:val="auto"/>
        </w:rPr>
        <w:t>The Company enters into collaborative and licensing agreements with pharmaceutical companies to in-license, develop, manufacture and/or market products that fit within its business strategy.</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Endo Pharmaceuticals Inc.</w:t>
      </w:r>
    </w:p>
    <w:p>
      <w:pPr>
        <w:spacing w:after="0" w:line="121"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In May 2011, the Company entered into an agreement with Penwest Pharmaceuticals Co., which subsequently merged into its parent, Endo Pharmaceuticals Inc. (“Endo”), for an exclusive worldwide sublicensable license under certain patent rights and know-how controlled by Endo to develop and commercialize products incorporating nalbuphine hydrochloride in any formulation, including an extended-release formulation such as Haduvio, in all fields and for any use.</w:t>
      </w:r>
    </w:p>
    <w:p>
      <w:pPr>
        <w:spacing w:after="0" w:line="72" w:lineRule="exact"/>
        <w:rPr>
          <w:sz w:val="20"/>
          <w:szCs w:val="20"/>
          <w:color w:val="auto"/>
        </w:rPr>
      </w:pPr>
    </w:p>
    <w:p>
      <w:pPr>
        <w:ind w:right="80" w:firstLine="510"/>
        <w:spacing w:after="0" w:line="256" w:lineRule="auto"/>
        <w:rPr>
          <w:sz w:val="20"/>
          <w:szCs w:val="20"/>
          <w:color w:val="auto"/>
        </w:rPr>
      </w:pPr>
      <w:r>
        <w:rPr>
          <w:rFonts w:ascii="Times New Roman" w:cs="Times New Roman" w:eastAsia="Times New Roman" w:hAnsi="Times New Roman"/>
          <w:sz w:val="18"/>
          <w:szCs w:val="18"/>
          <w:color w:val="auto"/>
        </w:rPr>
        <w:t>Under the license agreement, the Company paid Endo a non-creditable, non-refundable upfront license fee. The Company may also become obligated to make milestone payments to Endo of $0.3 million, which would become due upon the successful completion of the first Phase 3 clinical trial of a licensed product candidate, such as the Phase 2b/3 PRISM trial, and $0.8 million, which would become due upon the marketing approval of a licensed product in the U.S. and to pay mid-single-digit royalties based on net sales of the licensed products by the Company, its affiliates and sublicensees. In addition, the Company is obligated to pay Endo a low-to-mid double-digit percentage of certain income it receives from sublicensees, based on the date of the definitive agreement under which the sublicense was granted.</w:t>
      </w:r>
    </w:p>
    <w:p>
      <w:pPr>
        <w:spacing w:after="0" w:line="79"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The Company’s royalty obligation with respect to each licensed product in each country commences upon the first commercial sale of the product in that country and extends until the later of the expiration, unenforceability or invalidation of the last valid claim of any licensed patent or application covering the licensed product in the country or the expiration of 10 years after the first commercial sale of the licensed product in the country, which period is referred to as the royalty term. Upon the expiration of the royalty term for a product in a country, the Company is thereafter obligated to pay a low single-digit know-how and trademark royalty.</w:t>
      </w:r>
    </w:p>
    <w:p>
      <w:pPr>
        <w:spacing w:after="0" w:line="75"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Under the agreement, the Company has granted Endo a non-exclusive, royalty-free (except for pass-through payments to third parties), sublicensable license under its relevant patent rights to use any improvement the Company makes to Endo’s controlled release technology for any product other than the products under which it is licensed by Endo.</w:t>
      </w:r>
    </w:p>
    <w:p>
      <w:pPr>
        <w:spacing w:after="0" w:line="68" w:lineRule="exact"/>
        <w:rPr>
          <w:sz w:val="20"/>
          <w:szCs w:val="20"/>
          <w:color w:val="auto"/>
        </w:rPr>
      </w:pPr>
    </w:p>
    <w:p>
      <w:pPr>
        <w:ind w:right="200" w:firstLine="510"/>
        <w:spacing w:after="0" w:line="256" w:lineRule="auto"/>
        <w:rPr>
          <w:sz w:val="20"/>
          <w:szCs w:val="20"/>
          <w:color w:val="auto"/>
        </w:rPr>
      </w:pPr>
      <w:r>
        <w:rPr>
          <w:rFonts w:ascii="Times New Roman" w:cs="Times New Roman" w:eastAsia="Times New Roman" w:hAnsi="Times New Roman"/>
          <w:sz w:val="18"/>
          <w:szCs w:val="18"/>
          <w:color w:val="auto"/>
        </w:rPr>
        <w:t>Both the Company and Endo have the right to terminate the agreement if the other party materially breaches the agreement and fails to cure the breach within specified cure periods. Endo also has the right to terminate in the event the Company undergoes specified bankruptcy, insolvency or liquidation events. The Company has the right to terminate the agreement at its convenience at any time on 180 days’ notice to Endo. Additionally, if the Company or any of the Company’s sublicensees challenge the validity or enforceability of any licensed patent rights covering a licensed product and that challenge is not terminated within a specified period, the agreement will immediately terminate and all licenses granted under the agreement shall be revoked.</w:t>
      </w:r>
    </w:p>
    <w:p>
      <w:pPr>
        <w:spacing w:after="0" w:line="79" w:lineRule="exact"/>
        <w:rPr>
          <w:sz w:val="20"/>
          <w:szCs w:val="20"/>
          <w:color w:val="auto"/>
        </w:rPr>
      </w:pPr>
    </w:p>
    <w:p>
      <w:pPr>
        <w:ind w:right="160" w:firstLine="510"/>
        <w:spacing w:after="0" w:line="261" w:lineRule="auto"/>
        <w:rPr>
          <w:sz w:val="20"/>
          <w:szCs w:val="20"/>
          <w:color w:val="auto"/>
        </w:rPr>
      </w:pPr>
      <w:r>
        <w:rPr>
          <w:rFonts w:ascii="Times New Roman" w:cs="Times New Roman" w:eastAsia="Times New Roman" w:hAnsi="Times New Roman"/>
          <w:sz w:val="18"/>
          <w:szCs w:val="18"/>
          <w:color w:val="auto"/>
        </w:rPr>
        <w:t>Upon termination of the agreement, the Company must transfer to Endo all regulatory filings and approvals relating to the development, manufacture or commercialization of the licensed products and all trademarks, other than the Company’s corporate trademarks, then being used in connection with the licensed products. If the agreement is terminated under certain specified circumstances, the Company will be deemed to have granted Endo a perpetual, royalty-free (except for pass-through payments to third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ind w:right="180"/>
        <w:spacing w:after="0" w:line="282" w:lineRule="auto"/>
        <w:rPr>
          <w:sz w:val="20"/>
          <w:szCs w:val="20"/>
          <w:color w:val="auto"/>
        </w:rPr>
      </w:pPr>
      <w:r>
        <w:rPr>
          <w:rFonts w:ascii="Times New Roman" w:cs="Times New Roman" w:eastAsia="Times New Roman" w:hAnsi="Times New Roman"/>
          <w:sz w:val="18"/>
          <w:szCs w:val="18"/>
          <w:color w:val="auto"/>
        </w:rPr>
        <w:t>parties), worldwide, exclusive, sublicensable license under any improvements the Company made to the licensed know-how and any related patent rights the Company has to manufacture and commercialize the licensed products.</w:t>
      </w:r>
    </w:p>
    <w:p>
      <w:pPr>
        <w:spacing w:after="0" w:line="50" w:lineRule="exact"/>
        <w:rPr>
          <w:sz w:val="20"/>
          <w:szCs w:val="20"/>
          <w:color w:val="auto"/>
        </w:rPr>
      </w:pPr>
    </w:p>
    <w:p>
      <w:pPr>
        <w:ind w:left="500" w:hanging="492"/>
        <w:spacing w:after="0"/>
        <w:tabs>
          <w:tab w:leader="none" w:pos="5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21" w:lineRule="exact"/>
        <w:rPr>
          <w:sz w:val="20"/>
          <w:szCs w:val="20"/>
          <w:color w:val="auto"/>
        </w:rPr>
      </w:pPr>
    </w:p>
    <w:p>
      <w:pPr>
        <w:jc w:val="both"/>
        <w:ind w:right="140" w:firstLine="510"/>
        <w:spacing w:after="0" w:line="266" w:lineRule="auto"/>
        <w:rPr>
          <w:sz w:val="20"/>
          <w:szCs w:val="20"/>
          <w:color w:val="auto"/>
        </w:rPr>
      </w:pPr>
      <w:r>
        <w:rPr>
          <w:rFonts w:ascii="Times New Roman" w:cs="Times New Roman" w:eastAsia="Times New Roman" w:hAnsi="Times New Roman"/>
          <w:sz w:val="18"/>
          <w:szCs w:val="18"/>
          <w:color w:val="auto"/>
        </w:rPr>
        <w:t>A significant portion of the Company’s development activities are outsourced to third parties under agreements, including with CROs and contract manufacturers in connection with the production of clinical trial materials. These arrangements may require the Company to pay termination costs to the third parties for reimbursement of costs and expenses incurred in the event of the orderly termination of contractual services.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also has commitments under lease and licensing agreements (Note 5 and Note 11).</w:t>
      </w:r>
    </w:p>
    <w:p>
      <w:pPr>
        <w:spacing w:after="0" w:line="113" w:lineRule="exact"/>
        <w:rPr>
          <w:sz w:val="20"/>
          <w:szCs w:val="20"/>
          <w:color w:val="auto"/>
        </w:rPr>
      </w:pPr>
    </w:p>
    <w:p>
      <w:pPr>
        <w:ind w:left="500" w:hanging="492"/>
        <w:spacing w:after="0"/>
        <w:tabs>
          <w:tab w:leader="none" w:pos="50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w:t>
      </w:r>
    </w:p>
    <w:p>
      <w:pPr>
        <w:spacing w:after="0" w:line="121" w:lineRule="exact"/>
        <w:rPr>
          <w:sz w:val="20"/>
          <w:szCs w:val="20"/>
          <w:color w:val="auto"/>
        </w:rPr>
      </w:pPr>
    </w:p>
    <w:p>
      <w:pPr>
        <w:ind w:right="160" w:firstLine="510"/>
        <w:spacing w:after="0" w:line="282" w:lineRule="auto"/>
        <w:rPr>
          <w:sz w:val="20"/>
          <w:szCs w:val="20"/>
          <w:color w:val="auto"/>
        </w:rPr>
      </w:pPr>
      <w:r>
        <w:rPr>
          <w:rFonts w:ascii="Times New Roman" w:cs="Times New Roman" w:eastAsia="Times New Roman" w:hAnsi="Times New Roman"/>
          <w:sz w:val="18"/>
          <w:szCs w:val="18"/>
          <w:color w:val="auto"/>
        </w:rPr>
        <w:t>On October 25, 2022, the Company sold 1,600,428 shares of common stock at $1.93 per share to the Underwriters upon the exercise of the Option pursuant to the Underwriting Agreement for gross proceeds of approximately $3.1 million (Note 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20" w:firstLine="510"/>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audited consolidated financial statements and related notes for the year ended December 31, 2021 included in our Annual Report on Form 10-K, filed with the Securities and Exchange Commission, or SEC, on March 17, 2022. Some of the statements contained in this discussion and analysis or set forth elsewhere in this Quarterly Report on Form 10-Q, including information with respect to our plans and strategy for our business, constitute forward-looking statements within the meaning of Section 27A of the Securities Act of 1933, as amended, and Section 21E of the Securities Exchange Act of 1934, as amended. The words “anticipate,” “believe,” “continue,” “could,” “estimate,” “expect,” “intend,” “may,” “might,” “plan,” “potential,” “predict,” “project,” “should,” “target,” “would,” and similar expressions are intended to identify forward-looking statements, although not all forward-looking statements contain these identifying words. We have based these forward-looking statements on our current expectations and projections about future events. The following information and any forward-looking statements should be considered in light of factors discussed elsewhere in this Quarterly Report on Form 10-Q, particularly including those risks identified in Part II-Item 1A “Risk Factors” and our other filings with the SEC.</w:t>
      </w:r>
    </w:p>
    <w:p>
      <w:pPr>
        <w:spacing w:after="0" w:line="84" w:lineRule="exact"/>
        <w:rPr>
          <w:sz w:val="20"/>
          <w:szCs w:val="20"/>
          <w:color w:val="auto"/>
        </w:rPr>
      </w:pPr>
    </w:p>
    <w:p>
      <w:pPr>
        <w:ind w:right="100" w:firstLine="510"/>
        <w:spacing w:after="0" w:line="254" w:lineRule="auto"/>
        <w:rPr>
          <w:sz w:val="20"/>
          <w:szCs w:val="20"/>
          <w:color w:val="auto"/>
        </w:rPr>
      </w:pPr>
      <w:r>
        <w:rPr>
          <w:rFonts w:ascii="Times New Roman" w:cs="Times New Roman" w:eastAsia="Times New Roman" w:hAnsi="Times New Roman"/>
          <w:sz w:val="18"/>
          <w:szCs w:val="18"/>
          <w:i w:val="1"/>
          <w:iCs w:val="1"/>
          <w:color w:val="auto"/>
        </w:rPr>
        <w:t>Our actual results and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on Form 10-Q. Statements made herein are as of the date of the filing of this Quarterly Report on Form 10-Q with the SEC and should not be relied upon as of any subsequent date. Even if our results of operations, financial condition and liquidity, and the development of the industry in which we operate are consistent with the forward-looking statements contained in this Quarterly Report on Form 10-Q, they may not be predictive of results or developments in future periods.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80" w:lineRule="exact"/>
        <w:rPr>
          <w:sz w:val="20"/>
          <w:szCs w:val="20"/>
          <w:color w:val="auto"/>
        </w:rPr>
      </w:pPr>
    </w:p>
    <w:p>
      <w:pPr>
        <w:ind w:right="460" w:firstLine="510"/>
        <w:spacing w:after="0" w:line="376" w:lineRule="auto"/>
        <w:rPr>
          <w:sz w:val="20"/>
          <w:szCs w:val="20"/>
          <w:color w:val="auto"/>
        </w:rPr>
      </w:pPr>
      <w:r>
        <w:rPr>
          <w:rFonts w:ascii="Times New Roman" w:cs="Times New Roman" w:eastAsia="Times New Roman" w:hAnsi="Times New Roman"/>
          <w:sz w:val="18"/>
          <w:szCs w:val="18"/>
          <w:i w:val="1"/>
          <w:iCs w:val="1"/>
          <w:color w:val="auto"/>
        </w:rPr>
        <w:t xml:space="preserve">We caution readers not to place undue reliance on any forward-looking statements made by us, which speak only as of the date they are made. </w:t>
      </w:r>
      <w:r>
        <w:rPr>
          <w:rFonts w:ascii="Times New Roman" w:cs="Times New Roman" w:eastAsia="Times New Roman" w:hAnsi="Times New Roman"/>
          <w:sz w:val="18"/>
          <w:szCs w:val="18"/>
          <w:b w:val="1"/>
          <w:bCs w:val="1"/>
          <w:color w:val="auto"/>
        </w:rPr>
        <w:t>Overview</w:t>
      </w:r>
    </w:p>
    <w:p>
      <w:pPr>
        <w:spacing w:after="0" w:line="1" w:lineRule="exact"/>
        <w:rPr>
          <w:sz w:val="20"/>
          <w:szCs w:val="20"/>
          <w:color w:val="auto"/>
        </w:rPr>
      </w:pPr>
    </w:p>
    <w:p>
      <w:pPr>
        <w:ind w:right="40" w:firstLine="510"/>
        <w:spacing w:after="0" w:line="266"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development and commercialization of the investigational therapy Haduvio (oral nalbuphine ER) for the treatment of chronic cough in adults with idiopathic pulmonary fibrosis, or IPF, and other chronic cough indications, and for the treatment of prurigo nodularis.</w:t>
      </w:r>
    </w:p>
    <w:p>
      <w:pPr>
        <w:spacing w:after="0" w:line="66" w:lineRule="exact"/>
        <w:rPr>
          <w:sz w:val="20"/>
          <w:szCs w:val="20"/>
          <w:color w:val="auto"/>
        </w:rPr>
      </w:pPr>
    </w:p>
    <w:p>
      <w:pPr>
        <w:ind w:firstLine="510"/>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Chronic Cough. </w:t>
      </w:r>
      <w:r>
        <w:rPr>
          <w:rFonts w:ascii="Times New Roman" w:cs="Times New Roman" w:eastAsia="Times New Roman" w:hAnsi="Times New Roman"/>
          <w:sz w:val="17"/>
          <w:szCs w:val="17"/>
          <w:color w:val="auto"/>
        </w:rPr>
        <w:t>In September 2022, we announced positive data from the full set of subjects in our Phase 2 clinical trial of Haduvio for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treatment of chronic cough in adults with IPF, which we refer to as the Phase 2 CANAL trial. The Phase 2 CANAL trial was a randomized, double-blind, placebo controlled, two-treatment, two-period, crossover study that was designed to evaluate the efficacy, safety, tolerability and dosing of Haduvio for chronic cough in adults with IPF that we conducted at multiple sites in the United Kingdom. In total, we enrolled 38 subjects in the study. In the full subject data set, Haduvio demonstrated statistically significant results for the primary efficacy endpoint of daytime cough frequency reduction (p&lt;0.0001) and for key secondary endpoints on patient and clinician reported outcomes. The trial results comparing subjects randomized to Haduvio or placebo showed that:</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4" w:name="page25"/>
    <w:bookmarkEnd w:id="24"/>
    <w:p>
      <w:pPr>
        <w:ind w:left="1260" w:right="380" w:hanging="375"/>
        <w:spacing w:after="0" w:line="261" w:lineRule="auto"/>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primary efficacy endpoint, Haduvio subjects had a 75.1% reduction in daytime cough frequency at end of treatment period vs. study baseline compared to placebo subjects who had a 22.6% reduction, a 52.5% placebo-adjusted change (p&lt;0.0001);</w:t>
      </w:r>
    </w:p>
    <w:p>
      <w:pPr>
        <w:ind w:left="1260" w:right="260" w:hanging="375"/>
        <w:spacing w:after="0" w:line="250" w:lineRule="auto"/>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Haduvio subjects had a 76.1% reduction in 24-hour cough frequency at end of treatment period vs. study baseline compared to placebo subjects who had a 25.3% reduction, a 50.8% placebo-adjusted change (p&lt;0.0001);</w:t>
      </w:r>
    </w:p>
    <w:p>
      <w:pPr>
        <w:ind w:left="1260" w:right="280" w:hanging="375"/>
        <w:spacing w:after="0" w:line="250" w:lineRule="auto"/>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post-hoc analysis, 97% of Haduvio subjects had at least a 30% reduction in 24-hour cough frequency compared to 35% of placebo subjects, signifying a clinically meaningful reduction in cough (p&lt;0.0001);</w:t>
      </w:r>
    </w:p>
    <w:p>
      <w:pPr>
        <w:jc w:val="both"/>
        <w:ind w:left="1260" w:right="400" w:hanging="375"/>
        <w:spacing w:after="0" w:line="250" w:lineRule="auto"/>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on Haduvio experienced a statistically significant improvement as measured by their patient reported outcomes compared to placebo over the 3-week treatment period in the EXACT2: Cough Frequency Score (p=0.001) and Cough Severity Numerical Rating Scale (p=0.0001); and</w:t>
      </w:r>
    </w:p>
    <w:p>
      <w:pPr>
        <w:spacing w:after="0" w:line="1" w:lineRule="exact"/>
        <w:rPr>
          <w:rFonts w:ascii="Times New Roman" w:cs="Times New Roman" w:eastAsia="Times New Roman" w:hAnsi="Times New Roman"/>
          <w:sz w:val="18"/>
          <w:szCs w:val="18"/>
          <w:color w:val="auto"/>
        </w:rPr>
      </w:pPr>
    </w:p>
    <w:p>
      <w:pPr>
        <w:ind w:left="1260" w:right="640" w:hanging="375"/>
        <w:spacing w:after="0" w:line="260" w:lineRule="auto"/>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Clinical Global Impression of Change rating measuring clinicians’ view of change since the start of the trial, 62% of Haduvio subjects improved vs. baseline compared to 19% of placebo subjects (p=0.01).</w:t>
      </w:r>
    </w:p>
    <w:p>
      <w:pPr>
        <w:spacing w:after="0" w:line="73" w:lineRule="exact"/>
        <w:rPr>
          <w:sz w:val="20"/>
          <w:szCs w:val="20"/>
          <w:color w:val="auto"/>
        </w:rPr>
      </w:pPr>
    </w:p>
    <w:p>
      <w:pPr>
        <w:ind w:right="40" w:firstLine="510"/>
        <w:spacing w:after="0" w:line="266" w:lineRule="auto"/>
        <w:rPr>
          <w:sz w:val="20"/>
          <w:szCs w:val="20"/>
          <w:color w:val="auto"/>
        </w:rPr>
      </w:pPr>
      <w:r>
        <w:rPr>
          <w:rFonts w:ascii="Times New Roman" w:cs="Times New Roman" w:eastAsia="Times New Roman" w:hAnsi="Times New Roman"/>
          <w:sz w:val="18"/>
          <w:szCs w:val="18"/>
          <w:color w:val="auto"/>
        </w:rPr>
        <w:t>The safety results of the trial were generally consistent with the known safety profile of Haduvio from previous trials in other patient populations. There were two serious adverse events reported during the trial, neither of which was considered by the investigator to be treatment related. Adverse events most commonly observed during the trial were nausea, fatigue, constipation, dizziness, somnolence, vomiting, headache, anxiety and depression.</w:t>
      </w:r>
    </w:p>
    <w:p>
      <w:pPr>
        <w:spacing w:after="0" w:line="68"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We are in discussions with the U.S. Food and Drug Administration, or FDA, regarding the design of the next clinical trials of Haduvio for the treatment of chronic cough in adult patients with IPF. We expect the objectives for the next trials will be to determine the minimally effective dose in this patient population as well as the safety in this specific patient population. Subject to alignment with the FDA, we aim to initiate these trials in the first half of 2023. We also plan to develop Haduvio for additional chronic cough indications, which we expect will commence initially with a Phase 2 clinical trial of Haduvio for the treatment of refractory chronic cough, which we anticipate commencing in 2023. We will need to submit an IND for Haduvio before proceeding with our planned trials for chronic cough in adults with IPF.</w:t>
      </w:r>
    </w:p>
    <w:p>
      <w:pPr>
        <w:spacing w:after="0" w:line="77"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i w:val="1"/>
          <w:iCs w:val="1"/>
          <w:color w:val="auto"/>
        </w:rPr>
        <w:t>Prurigo Nodularis</w:t>
      </w:r>
      <w:r>
        <w:rPr>
          <w:rFonts w:ascii="Times New Roman" w:cs="Times New Roman" w:eastAsia="Times New Roman" w:hAnsi="Times New Roman"/>
          <w:sz w:val="18"/>
          <w:szCs w:val="18"/>
          <w:color w:val="auto"/>
        </w:rPr>
        <w:t>. In June 2022, we reported positive results in our Phase 2b/3 clinical trial of Haduvio in prurigo nodularis, which we refer to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Phase 2b/3 PRISM trial. The Phase 2b/3 PRISM trial was a randomized, double-blind, placebo controlled, two-arm treatment study that was designed to evaluate the safety and efficacy of Haduvio in patients in the United States and Europe. In the Phase 2b/3 PRISM trial, Haduvio demonstrated statistically significant results on the primary and all three key secondary endpoints. The trial results comparing subjects randomized to Haduvio (n=168) or placebo (n=176) showed that:</w:t>
      </w:r>
    </w:p>
    <w:p>
      <w:pPr>
        <w:spacing w:after="0" w:line="77" w:lineRule="exact"/>
        <w:rPr>
          <w:sz w:val="20"/>
          <w:szCs w:val="20"/>
          <w:color w:val="auto"/>
        </w:rPr>
      </w:pPr>
    </w:p>
    <w:p>
      <w:pPr>
        <w:ind w:left="1260" w:right="80" w:hanging="375"/>
        <w:spacing w:after="0" w:line="261" w:lineRule="auto"/>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Haduvio subjects evaluated at week 14 met the primary endpoint of a 4-point reduction in the Worst Itch Numerical Rating Scale, or WI-NRS, from baseline compared to 14% of placebo subjects (p=0.0157);</w:t>
      </w:r>
    </w:p>
    <w:p>
      <w:pPr>
        <w:jc w:val="both"/>
        <w:ind w:left="1260" w:right="100" w:hanging="375"/>
        <w:spacing w:after="0" w:line="250" w:lineRule="auto"/>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Haduvio subjects experienced significantly greater improvements in ItchyQoL vs. placebo (p=0.0002) at week 14, which was statistically significant across each of the three domains (symptoms, functional limitations, and emotions). ItchyQoL is used to measure how pruritus impacts a subject’s quality of life;</w:t>
      </w:r>
    </w:p>
    <w:p>
      <w:pPr>
        <w:spacing w:after="0" w:line="1" w:lineRule="exact"/>
        <w:rPr>
          <w:rFonts w:ascii="Times New Roman" w:cs="Times New Roman" w:eastAsia="Times New Roman" w:hAnsi="Times New Roman"/>
          <w:sz w:val="18"/>
          <w:szCs w:val="18"/>
          <w:color w:val="auto"/>
        </w:rPr>
      </w:pPr>
    </w:p>
    <w:p>
      <w:pPr>
        <w:ind w:left="1260" w:right="340" w:hanging="375"/>
        <w:spacing w:after="0" w:line="250" w:lineRule="auto"/>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 of Haduvio subjects had at least a 1-category improvement in the 5-point scale in their Prurigo Activity Scale (PAS) (pruriginous lesions with excoriations), vs. 38% on placebo (p=0.006) as evaluated at week 14; and</w:t>
      </w:r>
    </w:p>
    <w:p>
      <w:pPr>
        <w:ind w:left="1260" w:right="180" w:hanging="375"/>
        <w:spacing w:after="0" w:line="260" w:lineRule="auto"/>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Haduvio subjects experienced significantly greater improvements in PROMIS sleep disturbance short form 8a vs. placebo (p=0.0002) at week 14, which was statistically significant as early as week 6.</w:t>
      </w:r>
    </w:p>
    <w:p>
      <w:pPr>
        <w:spacing w:after="0" w:line="73"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The safety results of the trial were generally consistent with the known safety profile of Haduvio from previous trials. During the double-blind titration period (weeks 1-2), treatment-emergent adverse events, or TEAEs, were more common in the Haduvio-treated subjects (66.1%) vs. placebo-treated subjects (31.3%). During the 12-week fixed-dose period, the occurrence of TEAEs were generally similar between Haduvio and placebo groups (48% Haduvio, 45% placebo). Discontinuations during the 14 weeks of the trial were 36.9% in Haduvio-treated subjects vs. 19.3% in placebo-treated subjects. During the 14-week double-blind portion of the Phase 2b/3 PRISM trial, eight subjects on Haduvio and six subjects on placebo experienced at least one treatment emergent serious adverse event, or SAE. None of the SAEs were considered by the investigator to be treatment-related. Adverse events most commonly observed with Haduvio were nausea, dizziness, headache, and constipation.</w:t>
      </w:r>
    </w:p>
    <w:p>
      <w:pPr>
        <w:spacing w:after="0" w:line="81" w:lineRule="exact"/>
        <w:rPr>
          <w:sz w:val="20"/>
          <w:szCs w:val="20"/>
          <w:color w:val="auto"/>
        </w:rPr>
      </w:pPr>
    </w:p>
    <w:p>
      <w:pPr>
        <w:ind w:right="80" w:firstLine="514"/>
        <w:spacing w:after="0" w:line="255" w:lineRule="auto"/>
        <w:rPr>
          <w:sz w:val="20"/>
          <w:szCs w:val="20"/>
          <w:color w:val="auto"/>
        </w:rPr>
      </w:pPr>
      <w:r>
        <w:rPr>
          <w:rFonts w:ascii="Times New Roman" w:cs="Times New Roman" w:eastAsia="Times New Roman" w:hAnsi="Times New Roman"/>
          <w:sz w:val="18"/>
          <w:szCs w:val="18"/>
          <w:color w:val="auto"/>
        </w:rPr>
        <w:t>We are continuing to conduct the open-label extension portion of the Phase 2b/3 PRISM trial, which we expect to complete in the first quarter of 2023. We expect that we will need to conduct an additional Phase 3 clinical trial to support the submission of a new drug application, or NDA, to the FDA, a marketing authorization application, or MAA, to the European Medicines Agency, or EMA, and an MAA to the Medicines and Healthcare Products Regulatory Agency in the United Kingdom, or MHRA, for Haduvio for the treatment of prurigo nodularis, and plan to request an end of Phase 2 meeting with the FDA in the first quarter of 2023. Following discussions with the FDA and other regulatory authorities, we plan to determine next steps with respect to our prurigo nodularis program, including with respect to the timing and conduct of a Phase 3 clinical trial. We will need to obtain additional funding prior to commencing any Phase 3 clinical trial.</w:t>
      </w:r>
    </w:p>
    <w:p>
      <w:pPr>
        <w:spacing w:after="0" w:line="81" w:lineRule="exact"/>
        <w:rPr>
          <w:sz w:val="20"/>
          <w:szCs w:val="20"/>
          <w:color w:val="auto"/>
        </w:rPr>
      </w:pPr>
    </w:p>
    <w:p>
      <w:pPr>
        <w:ind w:right="220" w:firstLine="510"/>
        <w:spacing w:after="0" w:line="266" w:lineRule="auto"/>
        <w:rPr>
          <w:sz w:val="20"/>
          <w:szCs w:val="20"/>
          <w:color w:val="auto"/>
        </w:rPr>
      </w:pPr>
      <w:r>
        <w:rPr>
          <w:rFonts w:ascii="Times New Roman" w:cs="Times New Roman" w:eastAsia="Times New Roman" w:hAnsi="Times New Roman"/>
          <w:sz w:val="18"/>
          <w:szCs w:val="18"/>
          <w:color w:val="auto"/>
        </w:rPr>
        <w:t>Since commencing operations in 2011, we have devoted substantially all of our efforts and financial resources to the clinical development of Haduvio. We have not generated any revenue from product sales and, as a result, we have never been profitable and have incurred net losses in each year since commencement of our operations. As of September 30, 2022, we had an accumulated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5" w:name="page26"/>
    <w:bookmarkEnd w:id="25"/>
    <w:p>
      <w:pPr>
        <w:ind w:right="100"/>
        <w:spacing w:after="0" w:line="261" w:lineRule="auto"/>
        <w:rPr>
          <w:sz w:val="20"/>
          <w:szCs w:val="20"/>
          <w:color w:val="auto"/>
        </w:rPr>
      </w:pPr>
      <w:r>
        <w:rPr>
          <w:rFonts w:ascii="Times New Roman" w:cs="Times New Roman" w:eastAsia="Times New Roman" w:hAnsi="Times New Roman"/>
          <w:sz w:val="18"/>
          <w:szCs w:val="18"/>
          <w:color w:val="auto"/>
        </w:rPr>
        <w:t>deficit of $204.6 million, primarily as a result of research and development and general and administrative expenses. We do not expect to generate product revenue unless and until we obtain marketing approval for and commercialize Haduvio for the treatment of chronic cough in adults with IPF or other chronic cough indications or for the treatment of prurigo nodularis and we can provide no assurance that we will ever generate significant revenue or profits.</w:t>
      </w:r>
    </w:p>
    <w:p>
      <w:pPr>
        <w:spacing w:after="0" w:line="72"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In May 2019, we issued and sold 5,500,000 shares of common stock in our initial public offering, or the IPO, and 1,500,000 shares of common stock in a concurrent private placement, in each case at an offering price of $10.00 per share, for combined net proceeds of $62.1 million after deducting aggregate underwriting discounts and commissions and private placement agent fees of $4.9 million and other offering expenses of $3.0 million. Upon the closing of the IPO, our preferred stock then outstanding converted into an aggregate of 10,381,234 shares of common stock.</w:t>
      </w:r>
    </w:p>
    <w:p>
      <w:pPr>
        <w:spacing w:after="0" w:line="72"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In June 2020, we entered into a sales agreement with SVB Leerink LLC, or SVB Leerink, which we refer to as the ATM Sales Agreement, under which we may issue and sell shares of common stock, from time to time, having an aggregate offering price of up to $12.0 million. In May 2022, we amended the ATM Sales Agreement with SVB Leerink to increase the maximum aggregate offering price of common stock that we may issue and sell from time to time under the ATM Sales Agreement by $50.0 million, from $12.0 million to up to $62.0 million. Sales of common stock under the ATM Sales Agreement may be made by any method that is deemed an “at-the-market” offering as defined in Rule 415(a)(4) under the Securities Act of 1933, as amended. We are not obligated to make any sales of our common stock under the ATM Sales Agreement. We began making sales pursuant to the ATM Sales Agreement in July 2020, and as of September 30, 2022, we had issued and sold an aggregate of 3,583,394 shares of common stock for gross proceeds of $11.0 million, before deducting estimated commissions and allocated fees of $0.8 million.</w:t>
      </w:r>
    </w:p>
    <w:p>
      <w:pPr>
        <w:spacing w:after="0" w:line="84"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In August 2020, we entered into a loan and security agreement, or the SVB Loan Agreement, with Silicon Valley Bank, or SVB, pursuant to which SVB provided a term loan, or the SVB Term Loan, to us in the original principal amount of $14.0 million. On the first business day of each month commencing on March 1, 2022, we are required to repay the SVB Term Loan in 24 consecutive installments of principal plus monthly payments of accrued interest. All outstanding principal and accrued and unpaid interest under the SVB Term Loan and all other outstanding obligations with respect to the SVB Term Loan are due and payable in full on February 1, 2024. The SVB Loan Agreement permits voluntary prepayment of all, but not less than all, of the SVB Term Loan, subject to a prepayment premium. In July 2021 and April 2022, we entered into amendments to the SVB Loan Agreement with SVB, which we refer to as the Loan Amendments, that modified the conditions under which we would be required to cash collateralize the outstanding amounts owed to them under the SVB Loan Agreement. For further discussion of the SVB Term Loan and the Loan Amendments, see “—Liquidity and Capital Resources”.</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October 5, 2021 and October 18, 2021, we issued and sold in two private placements, or the October 2021 Private Placements, in the aggregate</w:t>
      </w:r>
    </w:p>
    <w:p>
      <w:pPr>
        <w:spacing w:after="0" w:line="27" w:lineRule="exact"/>
        <w:rPr>
          <w:sz w:val="20"/>
          <w:szCs w:val="20"/>
          <w:color w:val="auto"/>
        </w:rPr>
      </w:pPr>
    </w:p>
    <w:p>
      <w:pPr>
        <w:ind w:right="40" w:firstLine="8"/>
        <w:spacing w:after="0" w:line="251" w:lineRule="auto"/>
        <w:tabs>
          <w:tab w:leader="none" w:pos="2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4,225,053 shares of our common stock and accompanying warrants to purchase an aggregate of 8,450,106 shares of our common stock, and (ii) pre-funded warrants to purchase up to an aggregate of 4,926,069 shares of our common stock and accompanying warrants to purchase an aggregate of 9,852,138 shares of our common stock. Each share of our common stock and accompanying common stock warrants were sold together at a combined price of $1.62, and each pre-funded warrant and accompanying common stock warrants were sold together at a combined price of $1.619, for gross proceeds of approximately $14.8 million. Each pre-funded warrant had an exercise price of $0.001 per share, became exercisable immediately upon issuance and continued to be exercisable until exercised in full. Of the accompanying common stock warrants, we issued warrants to purchase an aggregate of 9,151,122 shares that are to expire in April 2025 and warrants to purchase an aggregate of 9,151,122 shares that are to expire in October 2028. The accompanying common stock warrants have an exercise price of $1.37 per share and became exercisable immediately upon issuance. As of November 10, 2022, 1,851,852 of the warrants to purchase shares of common stock that are to expire in April 2025 and 7,851,852 of the warrants to purchase shares of common stock that are to expire in October 2028 remained outstanding.</w:t>
      </w:r>
    </w:p>
    <w:p>
      <w:pPr>
        <w:spacing w:after="0" w:line="85"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On April 11, 2022, we issued and sold in a private placement, or the April 2022 Private Placement, (i) an aggregate of 4,580,526 shares of our common stock, and (ii) pre-funded warrants to purchase up to an aggregate of 24,379,673 shares of our common stock. Each share of our common stock was sold at a price of $1.90, and each pre-funded warrant was sold at a price of $1.899 per warrant share, for gross proceeds of approximately $55.0 million. Each pre-funded warrant has an exercise price of $0.001 per share, is exercisable immediately and will be exercisable until the pre-funded warrant is exercised in full.</w:t>
      </w:r>
    </w:p>
    <w:p>
      <w:pPr>
        <w:spacing w:after="0" w:line="75"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On September 27, 2022, we issued and sold 14,252,670 shares of our common stock and, in lieu of common stock to certain investors, pre-funded warrants to purchase 14,247,330 shares of common stock in a public offering, or the September 2022 Offering, at a public offering price of $1.93 per share of common stock and $1.929 per pre-funded warrant pursuant to an underwriting agreement, or the Underwriting Agreement, with SVB Securities LLC, Stifel, Nicolaus &amp; Company, Incorporated and Oppenheimer &amp; Co. Inc., as representatives of the several underwriters, or the Underwriters. Each pre-funded warrant has an exercise price of $0.001 per share, is exercisable immediately and will be exercisable until the pre-funded warrant is exercised in full. Under the terms of the Underwriting Agreement, we agreed not to issue and sell additional shares until after November 21, 2022 except in certain circumstances, including the issuance and sale of additional shares pursuant to the Underwriting Agreement. Under the terms of the Underwriting Agreement, we granted the Underwriters an option, or the Option, exercisable for 30 days, to purchase up to an additional 4,275,000 shares of common stock, or the Additional Shares, at the public offering price of $1.93 per share. The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6" w:name="page27"/>
    <w:bookmarkEnd w:id="26"/>
    <w:p>
      <w:pPr>
        <w:ind w:right="400"/>
        <w:spacing w:after="0" w:line="266" w:lineRule="auto"/>
        <w:rPr>
          <w:sz w:val="20"/>
          <w:szCs w:val="20"/>
          <w:color w:val="auto"/>
        </w:rPr>
      </w:pPr>
      <w:r>
        <w:rPr>
          <w:rFonts w:ascii="Times New Roman" w:cs="Times New Roman" w:eastAsia="Times New Roman" w:hAnsi="Times New Roman"/>
          <w:sz w:val="18"/>
          <w:szCs w:val="18"/>
          <w:color w:val="auto"/>
        </w:rPr>
        <w:t>Underwriters partially exercised the Option to purchase 1,600,428 Additional Shares, which shares were issued and sold on October 25, 2022. The September 2022 Offering, including the initial closing on September 27, 2022 and the Option closing on October 25, 2022, resulted in aggregate gross proceeds to us of approximately $58.1 million.</w:t>
      </w:r>
    </w:p>
    <w:p>
      <w:pPr>
        <w:spacing w:after="0" w:line="68" w:lineRule="exact"/>
        <w:rPr>
          <w:sz w:val="20"/>
          <w:szCs w:val="20"/>
          <w:color w:val="auto"/>
        </w:rPr>
      </w:pPr>
    </w:p>
    <w:p>
      <w:pPr>
        <w:ind w:right="260" w:firstLine="510"/>
        <w:spacing w:after="0" w:line="266" w:lineRule="auto"/>
        <w:rPr>
          <w:sz w:val="20"/>
          <w:szCs w:val="20"/>
          <w:color w:val="auto"/>
        </w:rPr>
      </w:pPr>
      <w:r>
        <w:rPr>
          <w:rFonts w:ascii="Times New Roman" w:cs="Times New Roman" w:eastAsia="Times New Roman" w:hAnsi="Times New Roman"/>
          <w:sz w:val="18"/>
          <w:szCs w:val="18"/>
          <w:color w:val="auto"/>
        </w:rPr>
        <w:t>As of September 30, 2022, we had cash, cash equivalents and marketable securities of $125.6 million. We believe that our existing cash, cash equivalents and marketable securities will enable us to fund our operating expenses and capital expenditure requirements for at least 12 months from the date of issuance of the Condensed Consolidated Financial Statements included in this Quarterly Report on Form 10-Q.</w:t>
      </w:r>
    </w:p>
    <w:p>
      <w:pPr>
        <w:spacing w:after="0" w:line="68" w:lineRule="exact"/>
        <w:rPr>
          <w:sz w:val="20"/>
          <w:szCs w:val="20"/>
          <w:color w:val="auto"/>
        </w:rPr>
      </w:pPr>
    </w:p>
    <w:p>
      <w:pPr>
        <w:ind w:right="140" w:firstLine="510"/>
        <w:spacing w:after="0" w:line="258" w:lineRule="auto"/>
        <w:rPr>
          <w:sz w:val="20"/>
          <w:szCs w:val="20"/>
          <w:color w:val="auto"/>
        </w:rPr>
      </w:pPr>
      <w:r>
        <w:rPr>
          <w:rFonts w:ascii="Times New Roman" w:cs="Times New Roman" w:eastAsia="Times New Roman" w:hAnsi="Times New Roman"/>
          <w:sz w:val="18"/>
          <w:szCs w:val="18"/>
          <w:color w:val="auto"/>
        </w:rPr>
        <w:t>We expect to incur substantial expenditures in the foreseeable future as we advance Haduvio through clinical development, the regulatory approval process and, if approved, commercial launch activities. Specifically, in the near term, we expect to incur substantial expenses relating to the next trials we plan to conduct for Haduvio for the treatment of chronic cough in adults with IPF, our planned Phase 2 clinical trial of Haduvio for the treatment of refractory chronic cough, the ongoing open-label extension portion of our Phase 2b/3 PRISM trial for prurigo nodularis, a human abuse liability, or HAL, study to further characterize the abuse potential of oral nalbuphine.</w:t>
      </w:r>
    </w:p>
    <w:p>
      <w:pPr>
        <w:spacing w:after="0" w:line="75"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We will need substantial additional funding to support our continuing operations and pursue our growth strategy. Until such time as we can generate significant revenue from sales of Haduvio, if ever, we expect to finance our operations through the sale of equity, debt financings or other capital sources, including potential collaborations with other companies or other strategic transactions. Adequate funding may not be available to us on acceptable terms or at all. If we fail to raise capital or enter into such agreements as and when needed, we may have to significantly delay, scale back or discontinue the development and commercialization of Haduvio for one or more indications or delay our efforts to expand our product pipeline.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Impacts of the COVID-19 Pandemic</w:t>
      </w:r>
    </w:p>
    <w:p>
      <w:pPr>
        <w:spacing w:after="0" w:line="121" w:lineRule="exact"/>
        <w:rPr>
          <w:sz w:val="20"/>
          <w:szCs w:val="20"/>
          <w:color w:val="auto"/>
        </w:rPr>
      </w:pPr>
    </w:p>
    <w:p>
      <w:pPr>
        <w:ind w:right="180" w:firstLine="510"/>
        <w:spacing w:after="0" w:line="261" w:lineRule="auto"/>
        <w:rPr>
          <w:sz w:val="20"/>
          <w:szCs w:val="20"/>
          <w:color w:val="auto"/>
        </w:rPr>
      </w:pPr>
      <w:r>
        <w:rPr>
          <w:rFonts w:ascii="Times New Roman" w:cs="Times New Roman" w:eastAsia="Times New Roman" w:hAnsi="Times New Roman"/>
          <w:sz w:val="18"/>
          <w:szCs w:val="18"/>
          <w:color w:val="auto"/>
        </w:rPr>
        <w:t>The COVID-19 pandemic and government measures taken in response thereto have had a significant impact, both direct and indirect, on segments of the global economy and have interrupted our clinical trial activities, disrupted our business operations and have the potential to interrupt our supply chain. While the current trajectory of the COVID-19 pandemic is uncertain, in the future we may continue to experience adverse impacts on our clinical trial activities, business operations, financial condition, and prospects as a result of the future evolution of the virus, among other factors.</w:t>
      </w:r>
    </w:p>
    <w:p>
      <w:pPr>
        <w:spacing w:after="0" w:line="72"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We experienced restrictions and delays at our clinical sites for both our Phase 2b/3 PRISM and Phase 2 CANAL trials. The COVID-19 pandemic or other outbreaks of infectious disease may also adversely affect our ability to recruit and retain principal investigators and site staff who, as healthcare providers, may have heightened exposure to COVID-19, and may result in further disruptions to our clinical trials due to prioritization of hospital and medical resources toward the pandemic, restrictions on travel of patients and healthcare providers, potential unwillingness of patients to enroll in trials at this time or the inability of patients to comply with clinical trial protocols if quarantines impede patient movement or interrupt healthcare services. The response to the COVID-19 pandemic may also redirect resources of regulators in a way that could adversely impact our ability to progress towards regulatory approvals and we may face impediments to regulatory meetings and approvals relating to our clinical trials due to measures intended to limit in-person interactions.</w:t>
      </w:r>
    </w:p>
    <w:p>
      <w:pPr>
        <w:spacing w:after="0" w:line="84" w:lineRule="exact"/>
        <w:rPr>
          <w:sz w:val="20"/>
          <w:szCs w:val="20"/>
          <w:color w:val="auto"/>
        </w:rPr>
      </w:pPr>
    </w:p>
    <w:p>
      <w:pPr>
        <w:jc w:val="both"/>
        <w:ind w:right="120" w:firstLine="510"/>
        <w:spacing w:after="0" w:line="266" w:lineRule="auto"/>
        <w:rPr>
          <w:sz w:val="20"/>
          <w:szCs w:val="20"/>
          <w:color w:val="auto"/>
        </w:rPr>
      </w:pPr>
      <w:r>
        <w:rPr>
          <w:rFonts w:ascii="Times New Roman" w:cs="Times New Roman" w:eastAsia="Times New Roman" w:hAnsi="Times New Roman"/>
          <w:sz w:val="18"/>
          <w:szCs w:val="18"/>
          <w:color w:val="auto"/>
        </w:rPr>
        <w:t>The COVID-19 pandemic may also affect employees of third-party contract research organizations that we rely upon to carry out our clinical trials. The spread of COVID-19 or another infectious disease could also negatively affect the operations at our third-party suppliers, which could result in delays or disruptions in the supply of drug product used in our clinical trials.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For the periods presented, all of our research and development expenses consist of expenses incurred in connection with the development of Haduvio. These expenses include personnel-related costs, including stock-based compensation, consulting costs, contract manufacturing costs and fees paid to contract research organizations, or CROs, to conduct certain research and development activities on our behalf. We do not allocate all of our costs by each indication for which we are developing Haduvio, as a significant amount of our development activities broadly support all indications. In addition, several of our departments support our Haduvio drug candidate development program and we do not identify internal costs for each potential indication.</w:t>
      </w:r>
    </w:p>
    <w:p>
      <w:pPr>
        <w:spacing w:after="0" w:line="75"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over the next few years as we pursue our development program, pursue regulatory approval of Haduvio in the U.S., Europe and other jurisdictions outside the U.S. and prepare for a possible commercial launch of Haduvio. Predicting the timing or the cost to conduct our Haduvio development program and prepare for a possible commercial launch of Haduvio is difficult and delays may occur because of many factors including factors outside of our control.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our development program. Furthermore, we are unable to predict when or if Haduvio will receive regulatory approval in the U.S. or elsewhere with any certainty.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7" w:name="page28"/>
    <w:bookmarkEnd w:id="27"/>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principally of personnel-related costs, including stock-based compensation for personnel in executive, finance, commercial and other administrative functions; professional fees for legal, consulting and accounting services; as well as rent and other general operating expenses not otherwise classified as research and development expenses.</w:t>
      </w:r>
    </w:p>
    <w:p>
      <w:pPr>
        <w:spacing w:after="0" w:line="68" w:lineRule="exact"/>
        <w:rPr>
          <w:sz w:val="20"/>
          <w:szCs w:val="20"/>
          <w:color w:val="auto"/>
        </w:rPr>
      </w:pPr>
    </w:p>
    <w:p>
      <w:pPr>
        <w:ind w:right="1040" w:firstLine="510"/>
        <w:spacing w:after="0" w:line="282"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as a result of increased personnel costs, including stock-based compensation and expanded infrastructure.</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Change in Fair Value of Term Loan Derivative Liability</w:t>
      </w:r>
    </w:p>
    <w:p>
      <w:pPr>
        <w:spacing w:after="0" w:line="119" w:lineRule="exact"/>
        <w:rPr>
          <w:sz w:val="20"/>
          <w:szCs w:val="20"/>
          <w:color w:val="auto"/>
        </w:rPr>
      </w:pPr>
    </w:p>
    <w:p>
      <w:pPr>
        <w:ind w:right="60" w:firstLine="510"/>
        <w:spacing w:after="0" w:line="255" w:lineRule="auto"/>
        <w:rPr>
          <w:sz w:val="20"/>
          <w:szCs w:val="20"/>
          <w:color w:val="auto"/>
        </w:rPr>
      </w:pPr>
      <w:r>
        <w:rPr>
          <w:rFonts w:ascii="Times New Roman" w:cs="Times New Roman" w:eastAsia="Times New Roman" w:hAnsi="Times New Roman"/>
          <w:sz w:val="18"/>
          <w:szCs w:val="18"/>
          <w:color w:val="auto"/>
        </w:rPr>
        <w:t xml:space="preserve">In connection with the SVB Term Loan, prior to the Third Amendment (as defined below) to the SVB Loan Agreement, upon the occurrence of the Phase 3 Event, as described below, the interest rate on the SVB Term Loan would increase by 2.00%. This contingent interest rate increase represented a free-standing financial instrument. Accordingly, we accounted for the contingent interest rate increase as a derivative under Accounting Standards Codification or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and therefore, we recorded a term loan derivative liability for the contingent interest rate increase at its fair value. We adjusted this liability to fair value at each reporting date it remained outstanding. We recognized changes in the fair value of this term loan derivative in our statements of comprehensive loss as a component of other expense, net. See below as discussed under “—Results of Operations— Operating Expenses—Other Expense, Net.”</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119" w:lineRule="exact"/>
        <w:rPr>
          <w:sz w:val="20"/>
          <w:szCs w:val="20"/>
          <w:color w:val="auto"/>
        </w:rPr>
      </w:pPr>
    </w:p>
    <w:p>
      <w:pPr>
        <w:ind w:right="1320" w:firstLine="510"/>
        <w:spacing w:after="0" w:line="282" w:lineRule="auto"/>
        <w:rPr>
          <w:sz w:val="20"/>
          <w:szCs w:val="20"/>
          <w:color w:val="auto"/>
        </w:rPr>
      </w:pPr>
      <w:r>
        <w:rPr>
          <w:rFonts w:ascii="Times New Roman" w:cs="Times New Roman" w:eastAsia="Times New Roman" w:hAnsi="Times New Roman"/>
          <w:sz w:val="18"/>
          <w:szCs w:val="18"/>
          <w:color w:val="auto"/>
        </w:rPr>
        <w:t>Interest income consists of interest earned primarily on our cash, cash equivalents and marketable securities as well as accretion of discounts/amortization of premiums on purchases of marketable securities.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right="160" w:firstLine="510"/>
        <w:spacing w:after="0" w:line="255" w:lineRule="auto"/>
        <w:rPr>
          <w:sz w:val="20"/>
          <w:szCs w:val="20"/>
          <w:color w:val="auto"/>
        </w:rPr>
      </w:pPr>
      <w:r>
        <w:rPr>
          <w:rFonts w:ascii="Times New Roman" w:cs="Times New Roman" w:eastAsia="Times New Roman" w:hAnsi="Times New Roman"/>
          <w:sz w:val="18"/>
          <w:szCs w:val="18"/>
          <w:color w:val="auto"/>
        </w:rPr>
        <w:t>In August 2020, we entered into the SVB Loan Agreement under which we borrowed $14.0 million under the SVB Term Loan. In connection with the SVB Term Loan, we recognize interest expense which includes amortization of deferred financing charges, accretion of loan discount-financing costs, accrual of the final payment fee, amortization of the term loan discount-interest and the stated interest on the SVB Term Loan. Prior to the Third Amendment to the SVB Loan Agreement, the SVB Term Loan bore interest at a floating rate per annum equal to the greater of (A) the prime rate plus</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1.00% and (B) 4.25%. If SVB received evidence satisfactory to it that we had (i) received positive data for the Phase 2b/3 PRISM trial sufficient to advance Haduvio into a second Phase 3 clinical trial for prurigo nodularis and (ii) raised sufficient financing to fund such Phase 3 clinical trial and our operations, which we refer to together as the Phase 3 Event, the interest rate under the SVB Term Loan would be adjusted to a floating rate equal to the greater of (A) the prime rate plus 3.00% and (B) 6.25%.</w:t>
      </w:r>
    </w:p>
    <w:p>
      <w:pPr>
        <w:spacing w:after="0" w:line="81" w:lineRule="exact"/>
        <w:rPr>
          <w:sz w:val="20"/>
          <w:szCs w:val="20"/>
          <w:color w:val="auto"/>
        </w:rPr>
      </w:pPr>
    </w:p>
    <w:p>
      <w:pPr>
        <w:jc w:val="both"/>
        <w:ind w:right="40" w:firstLine="510"/>
        <w:spacing w:after="0" w:line="258" w:lineRule="auto"/>
        <w:rPr>
          <w:sz w:val="20"/>
          <w:szCs w:val="20"/>
          <w:color w:val="auto"/>
        </w:rPr>
      </w:pPr>
      <w:r>
        <w:rPr>
          <w:rFonts w:ascii="Times New Roman" w:cs="Times New Roman" w:eastAsia="Times New Roman" w:hAnsi="Times New Roman"/>
          <w:sz w:val="18"/>
          <w:szCs w:val="18"/>
          <w:color w:val="auto"/>
        </w:rPr>
        <w:t>On April 6, 2022, we entered into the Third Amendment to the SVB Loan Agreement, or the Third Amendment. Under the Third Amendment, SVB agreed that amounts outstanding under the SVB Loan Agreement would accrue interest at a floating per annum rate equal to (i) the greater of (A) the prime rate plus 1.00% and (B) 4.25%, prior to raising $45.0 million in net proceeds from the sale of equity securities, which we refer to as the 2022 Equity Event, and (ii) upon and after the occurrence of the 2022 Equity Event, the greater of (A) the prime rate plus 3.00% and (B) 6.25%. The closing of the April 2022 Private Placement constituted the 2022 Equity Event.</w:t>
      </w:r>
    </w:p>
    <w:p>
      <w:pPr>
        <w:spacing w:after="0" w:line="75" w:lineRule="exact"/>
        <w:rPr>
          <w:sz w:val="20"/>
          <w:szCs w:val="20"/>
          <w:color w:val="auto"/>
        </w:rPr>
      </w:pPr>
    </w:p>
    <w:p>
      <w:pPr>
        <w:ind w:right="280" w:firstLine="510"/>
        <w:spacing w:after="0" w:line="289" w:lineRule="auto"/>
        <w:rPr>
          <w:sz w:val="20"/>
          <w:szCs w:val="20"/>
          <w:color w:val="auto"/>
        </w:rPr>
      </w:pPr>
      <w:r>
        <w:rPr>
          <w:rFonts w:ascii="Times New Roman" w:cs="Times New Roman" w:eastAsia="Times New Roman" w:hAnsi="Times New Roman"/>
          <w:sz w:val="17"/>
          <w:szCs w:val="17"/>
          <w:color w:val="auto"/>
        </w:rPr>
        <w:t>The SVB Term Loan required interest-only payments until March 2022. Commencing on March 1, 2022, we are required to repay the SVB Term Loan in 24 consecutive installments of principal plus monthly payments of accrued interest. All outstanding principal and accrued and unpaid interest under the SVB Term Loan and all other outstanding obligations with respect to the SVB Term Loan are due and payable in full on February 1, 2024.</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2022 and 2021</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indicated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6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7"/>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76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7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492"/>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Borders>
              <w:bottom w:val="single" w:sz="8" w:color="CFF0FC"/>
            </w:tcBorders>
          </w:tcPr>
          <w:p>
            <w:pPr>
              <w:spacing w:after="0"/>
              <w:rPr>
                <w:sz w:val="13"/>
                <w:szCs w:val="13"/>
                <w:color w:val="auto"/>
              </w:rPr>
            </w:pPr>
          </w:p>
        </w:tc>
      </w:tr>
      <w:tr>
        <w:trPr>
          <w:trHeight w:val="223"/>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tcPr>
          <w:p>
            <w:pPr>
              <w:jc w:val="right"/>
              <w:ind w:right="8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5,769</w:t>
            </w:r>
          </w:p>
        </w:tc>
        <w:tc>
          <w:tcPr>
            <w:tcW w:w="180" w:type="dxa"/>
            <w:vAlign w:val="bottom"/>
          </w:tcPr>
          <w:p>
            <w:pPr>
              <w:spacing w:after="0"/>
              <w:rPr>
                <w:sz w:val="19"/>
                <w:szCs w:val="19"/>
                <w:color w:val="auto"/>
              </w:rPr>
            </w:pPr>
          </w:p>
        </w:tc>
        <w:tc>
          <w:tcPr>
            <w:tcW w:w="46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280" w:type="dxa"/>
            <w:vAlign w:val="bottom"/>
          </w:tcPr>
          <w:p>
            <w:pPr>
              <w:spacing w:after="0"/>
              <w:rPr>
                <w:sz w:val="19"/>
                <w:szCs w:val="19"/>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20" w:type="dxa"/>
            <w:vAlign w:val="bottom"/>
          </w:tcPr>
          <w:p>
            <w:pPr>
              <w:spacing w:after="0"/>
              <w:rPr>
                <w:sz w:val="19"/>
                <w:szCs w:val="19"/>
                <w:color w:val="auto"/>
              </w:rPr>
            </w:pPr>
          </w:p>
        </w:tc>
      </w:tr>
      <w:tr>
        <w:trPr>
          <w:trHeight w:val="229"/>
        </w:trPr>
        <w:tc>
          <w:tcPr>
            <w:tcW w:w="5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shd w:val="clear" w:color="auto" w:fill="CFF0FC"/>
          </w:tcPr>
          <w:p>
            <w:pPr>
              <w:spacing w:after="0"/>
              <w:rPr>
                <w:sz w:val="19"/>
                <w:szCs w:val="19"/>
                <w:color w:val="auto"/>
              </w:rPr>
            </w:pPr>
          </w:p>
        </w:tc>
      </w:tr>
      <w:tr>
        <w:trPr>
          <w:trHeight w:val="223"/>
        </w:trPr>
        <w:tc>
          <w:tcPr>
            <w:tcW w:w="57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8,405</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6,947</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20" w:type="dxa"/>
            <w:vAlign w:val="bottom"/>
            <w:tcBorders>
              <w:bottom w:val="single" w:sz="8" w:color="CFF0FC"/>
            </w:tcBorders>
          </w:tcPr>
          <w:p>
            <w:pPr>
              <w:spacing w:after="0"/>
              <w:rPr>
                <w:sz w:val="19"/>
                <w:szCs w:val="19"/>
                <w:color w:val="auto"/>
              </w:rPr>
            </w:pPr>
          </w:p>
        </w:tc>
      </w:tr>
      <w:tr>
        <w:trPr>
          <w:trHeight w:val="223"/>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(6,947)</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20" w:type="dxa"/>
            <w:vAlign w:val="bottom"/>
            <w:shd w:val="clear" w:color="auto" w:fill="CFF0FC"/>
          </w:tcPr>
          <w:p>
            <w:pPr>
              <w:spacing w:after="0"/>
              <w:rPr>
                <w:sz w:val="19"/>
                <w:szCs w:val="19"/>
                <w:color w:val="auto"/>
              </w:rPr>
            </w:pPr>
          </w:p>
        </w:tc>
      </w:tr>
      <w:tr>
        <w:trPr>
          <w:trHeight w:val="23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 in fair value of term loan derivative liability</w:t>
            </w:r>
          </w:p>
        </w:tc>
        <w:tc>
          <w:tcPr>
            <w:tcW w:w="10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19"/>
                <w:szCs w:val="19"/>
                <w:color w:val="auto"/>
              </w:rPr>
            </w:pPr>
          </w:p>
        </w:tc>
      </w:tr>
      <w:tr>
        <w:trPr>
          <w:trHeight w:val="230"/>
        </w:trPr>
        <w:tc>
          <w:tcPr>
            <w:tcW w:w="5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income, net</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tcPr>
          <w:p>
            <w:pPr>
              <w:spacing w:after="0"/>
              <w:rPr>
                <w:sz w:val="19"/>
                <w:szCs w:val="19"/>
                <w:color w:val="auto"/>
              </w:rPr>
            </w:pPr>
          </w:p>
        </w:tc>
      </w:tr>
      <w:tr>
        <w:trPr>
          <w:trHeight w:val="229"/>
        </w:trPr>
        <w:tc>
          <w:tcPr>
            <w:tcW w:w="5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(303)</w:t>
            </w: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FF0FC"/>
          </w:tcPr>
          <w:p>
            <w:pPr>
              <w:spacing w:after="0"/>
              <w:rPr>
                <w:sz w:val="19"/>
                <w:szCs w:val="19"/>
                <w:color w:val="auto"/>
              </w:rPr>
            </w:pPr>
          </w:p>
        </w:tc>
      </w:tr>
      <w:tr>
        <w:trPr>
          <w:trHeight w:val="223"/>
        </w:trPr>
        <w:tc>
          <w:tcPr>
            <w:tcW w:w="57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0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8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tcBorders>
              <w:bottom w:val="single" w:sz="8" w:color="CFF0FC"/>
            </w:tcBorders>
          </w:tcPr>
          <w:p>
            <w:pPr>
              <w:spacing w:after="0"/>
              <w:rPr>
                <w:sz w:val="19"/>
                <w:szCs w:val="19"/>
                <w:color w:val="auto"/>
              </w:rPr>
            </w:pPr>
          </w:p>
        </w:tc>
      </w:tr>
      <w:tr>
        <w:trPr>
          <w:trHeight w:val="223"/>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(7,253)</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shd w:val="clear" w:color="auto" w:fill="CFF0FC"/>
          </w:tcPr>
          <w:p>
            <w:pPr>
              <w:spacing w:after="0"/>
              <w:rPr>
                <w:sz w:val="19"/>
                <w:szCs w:val="19"/>
                <w:color w:val="auto"/>
              </w:rPr>
            </w:pPr>
          </w:p>
        </w:tc>
      </w:tr>
      <w:tr>
        <w:trPr>
          <w:trHeight w:val="230"/>
        </w:trPr>
        <w:tc>
          <w:tcPr>
            <w:tcW w:w="5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r>
      <w:tr>
        <w:trPr>
          <w:trHeight w:val="223"/>
        </w:trPr>
        <w:tc>
          <w:tcPr>
            <w:tcW w:w="57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Borders>
              <w:top w:val="single" w:sz="8" w:color="auto"/>
              <w:bottom w:val="single" w:sz="8" w:color="auto"/>
            </w:tcBorders>
            <w:shd w:val="clear" w:color="auto" w:fill="CFF0FC"/>
          </w:tcPr>
          <w:p>
            <w:pPr>
              <w:jc w:val="right"/>
              <w:ind w:right="88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periods indicated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7"/>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5"/>
        </w:trPr>
        <w:tc>
          <w:tcPr>
            <w:tcW w:w="664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Borders>
              <w:bottom w:val="single" w:sz="8" w:color="CFF0FC"/>
            </w:tcBorders>
          </w:tcPr>
          <w:p>
            <w:pPr>
              <w:spacing w:after="0"/>
              <w:rPr>
                <w:sz w:val="13"/>
                <w:szCs w:val="13"/>
                <w:color w:val="auto"/>
              </w:rPr>
            </w:pPr>
          </w:p>
        </w:tc>
      </w:tr>
      <w:tr>
        <w:trPr>
          <w:trHeight w:val="223"/>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Clinical development expenses</w:t>
            </w:r>
          </w:p>
        </w:tc>
        <w:tc>
          <w:tcPr>
            <w:tcW w:w="860" w:type="dxa"/>
            <w:vAlign w:val="bottom"/>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Personnel and related expenses</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(167)</w:t>
            </w:r>
          </w:p>
        </w:tc>
      </w:tr>
      <w:tr>
        <w:trPr>
          <w:trHeight w:val="23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Consulting expenses and professional fees</w:t>
            </w:r>
          </w:p>
        </w:tc>
        <w:tc>
          <w:tcPr>
            <w:tcW w:w="8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expenses</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9"/>
                <w:szCs w:val="19"/>
                <w:color w:val="auto"/>
              </w:rPr>
            </w:pPr>
          </w:p>
        </w:tc>
      </w:tr>
      <w:tr>
        <w:trPr>
          <w:trHeight w:val="22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research and development expenses</w:t>
            </w:r>
          </w:p>
        </w:tc>
        <w:tc>
          <w:tcPr>
            <w:tcW w:w="8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860" w:type="dxa"/>
            <w:vAlign w:val="bottom"/>
            <w:tcBorders>
              <w:top w:val="single" w:sz="8" w:color="auto"/>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5,769</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2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0" w:lineRule="exact"/>
        <w:rPr>
          <w:sz w:val="20"/>
          <w:szCs w:val="20"/>
          <w:color w:val="auto"/>
        </w:rPr>
      </w:pPr>
    </w:p>
    <w:p>
      <w:pPr>
        <w:ind w:right="420" w:firstLine="51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September 30, 2022 increased to $5.8 million from $4.7 million for the corresponding period in 2021, primarily due to startup activities for our planned trials including purchases of clinical trial supplies and increased costs associated with increased activity in our Phase 2 CANAL trial as compared to the third quarter of 2021, offset by a reduction in costs associated with decreased activity in our Phase 2b/3 PRISM trial due to the completion of the blinded portion of the trial in the second quarter of 2022.</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800" w:firstLine="51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September 30, 2022 increased to $2.6 million from $2.2 million for the corresponding period in 2021, primarily due to higher legal fees associated with intellectual property filings and increased market research costs.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jc w:val="both"/>
        <w:ind w:right="40" w:firstLine="510"/>
        <w:spacing w:after="0" w:line="266" w:lineRule="auto"/>
        <w:rPr>
          <w:sz w:val="20"/>
          <w:szCs w:val="20"/>
          <w:color w:val="auto"/>
        </w:rPr>
      </w:pPr>
      <w:r>
        <w:rPr>
          <w:rFonts w:ascii="Times New Roman" w:cs="Times New Roman" w:eastAsia="Times New Roman" w:hAnsi="Times New Roman"/>
          <w:sz w:val="18"/>
          <w:szCs w:val="18"/>
          <w:color w:val="auto"/>
        </w:rPr>
        <w:t>Other income (expense), net for the three months ended September 30, 2022 was $0.1 million compared to other expense, net of $0.3 million for the corresponding period in 2021. The change was primarily due to an increase in interest income of $0.4 million due to higher cash equivalent and marketable securities balances and higher interest rate yields.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9" w:name="page30"/>
    <w:bookmarkEnd w:id="29"/>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2022 and 2021</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indicated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8"/>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5"/>
        </w:trPr>
        <w:tc>
          <w:tcPr>
            <w:tcW w:w="66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3"/>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Borders>
              <w:bottom w:val="single" w:sz="8" w:color="CFF0FC"/>
            </w:tcBorders>
          </w:tcPr>
          <w:p>
            <w:pPr>
              <w:spacing w:after="0"/>
              <w:rPr>
                <w:sz w:val="13"/>
                <w:szCs w:val="13"/>
                <w:color w:val="auto"/>
              </w:rPr>
            </w:pPr>
          </w:p>
        </w:tc>
      </w:tr>
      <w:tr>
        <w:trPr>
          <w:trHeight w:val="223"/>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15,517</w:t>
            </w:r>
          </w:p>
        </w:tc>
        <w:tc>
          <w:tcPr>
            <w:tcW w:w="16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16,805</w:t>
            </w:r>
          </w:p>
        </w:tc>
        <w:tc>
          <w:tcPr>
            <w:tcW w:w="240" w:type="dxa"/>
            <w:vAlign w:val="bottom"/>
          </w:tcPr>
          <w:p>
            <w:pPr>
              <w:spacing w:after="0"/>
              <w:rPr>
                <w:sz w:val="19"/>
                <w:szCs w:val="19"/>
                <w:color w:val="auto"/>
              </w:rPr>
            </w:pP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(1,288)</w:t>
            </w:r>
          </w:p>
        </w:tc>
      </w:tr>
      <w:tr>
        <w:trPr>
          <w:trHeight w:val="230"/>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shd w:val="clear" w:color="auto" w:fill="CFF0FC"/>
          </w:tcPr>
          <w:p>
            <w:pPr>
              <w:spacing w:after="0"/>
              <w:rPr>
                <w:sz w:val="19"/>
                <w:szCs w:val="19"/>
                <w:color w:val="auto"/>
              </w:rPr>
            </w:pPr>
          </w:p>
        </w:tc>
      </w:tr>
      <w:tr>
        <w:trPr>
          <w:trHeight w:val="223"/>
        </w:trPr>
        <w:tc>
          <w:tcPr>
            <w:tcW w:w="66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24,203</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20" w:type="dxa"/>
            <w:vAlign w:val="bottom"/>
            <w:tcBorders>
              <w:bottom w:val="single" w:sz="8" w:color="CFF0FC"/>
            </w:tcBorders>
          </w:tcPr>
          <w:p>
            <w:pPr>
              <w:spacing w:after="0"/>
              <w:rPr>
                <w:sz w:val="19"/>
                <w:szCs w:val="19"/>
                <w:color w:val="auto"/>
              </w:rPr>
            </w:pPr>
          </w:p>
        </w:tc>
      </w:tr>
      <w:tr>
        <w:trPr>
          <w:trHeight w:val="223"/>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(23,250)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(24,203)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20" w:type="dxa"/>
            <w:vAlign w:val="bottom"/>
            <w:shd w:val="clear" w:color="auto" w:fill="CFF0FC"/>
          </w:tcPr>
          <w:p>
            <w:pPr>
              <w:spacing w:after="0"/>
              <w:rPr>
                <w:sz w:val="19"/>
                <w:szCs w:val="19"/>
                <w:color w:val="auto"/>
              </w:rPr>
            </w:pPr>
          </w:p>
        </w:tc>
      </w:tr>
      <w:tr>
        <w:trPr>
          <w:trHeight w:val="22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 in fair value of term loan derivative liability</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(176)</w:t>
            </w:r>
          </w:p>
        </w:tc>
      </w:tr>
      <w:tr>
        <w:trPr>
          <w:trHeight w:val="229"/>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expense</w:t>
            </w:r>
          </w:p>
        </w:tc>
        <w:tc>
          <w:tcPr>
            <w:tcW w:w="3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Pr>
          <w:p>
            <w:pPr>
              <w:spacing w:after="0"/>
              <w:rPr>
                <w:sz w:val="19"/>
                <w:szCs w:val="19"/>
                <w:color w:val="auto"/>
              </w:rPr>
            </w:pPr>
          </w:p>
        </w:tc>
      </w:tr>
      <w:tr>
        <w:trPr>
          <w:trHeight w:val="229"/>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income, net</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(893)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r>
      <w:tr>
        <w:trPr>
          <w:trHeight w:val="223"/>
        </w:trPr>
        <w:tc>
          <w:tcPr>
            <w:tcW w:w="668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other expense, net</w:t>
            </w: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120" w:type="dxa"/>
            <w:vAlign w:val="bottom"/>
          </w:tcPr>
          <w:p>
            <w:pPr>
              <w:spacing w:after="0"/>
              <w:rPr>
                <w:sz w:val="19"/>
                <w:szCs w:val="19"/>
                <w:color w:val="auto"/>
              </w:rPr>
            </w:pPr>
          </w:p>
        </w:tc>
      </w:tr>
      <w:tr>
        <w:trPr>
          <w:trHeight w:val="229"/>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Income tax benefit</w:t>
            </w: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9"/>
                <w:szCs w:val="19"/>
                <w:color w:val="auto"/>
              </w:rPr>
            </w:pPr>
          </w:p>
        </w:tc>
      </w:tr>
      <w:tr>
        <w:trPr>
          <w:trHeight w:val="223"/>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(23,647)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(25,420)</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20" w:type="dxa"/>
            <w:vAlign w:val="bottom"/>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periods indicated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7"/>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5"/>
        </w:trPr>
        <w:tc>
          <w:tcPr>
            <w:tcW w:w="594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33"/>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73"/>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CFF0FC"/>
            </w:tcBorders>
          </w:tcPr>
          <w:p>
            <w:pPr>
              <w:spacing w:after="0"/>
              <w:rPr>
                <w:sz w:val="13"/>
                <w:szCs w:val="13"/>
                <w:color w:val="auto"/>
              </w:rPr>
            </w:pPr>
          </w:p>
        </w:tc>
      </w:tr>
      <w:tr>
        <w:trPr>
          <w:trHeight w:val="223"/>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Clinical development expenses</w:t>
            </w: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10,005</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11,223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00" w:type="dxa"/>
            <w:vAlign w:val="bottom"/>
            <w:shd w:val="clear" w:color="auto" w:fill="CFF0FC"/>
          </w:tcPr>
          <w:p>
            <w:pPr>
              <w:spacing w:after="0"/>
              <w:rPr>
                <w:sz w:val="19"/>
                <w:szCs w:val="19"/>
                <w:color w:val="auto"/>
              </w:rPr>
            </w:pPr>
          </w:p>
        </w:tc>
      </w:tr>
      <w:tr>
        <w:trPr>
          <w:trHeight w:val="22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Personnel and related expenses</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(416)</w:t>
            </w:r>
          </w:p>
        </w:tc>
      </w:tr>
      <w:tr>
        <w:trPr>
          <w:trHeight w:val="230"/>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Consulting expenses and professional fees</w:t>
            </w: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(401)</w:t>
            </w:r>
          </w:p>
        </w:tc>
      </w:t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 research and development expenses</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Pr>
          <w:p>
            <w:pPr>
              <w:spacing w:after="0"/>
              <w:rPr>
                <w:sz w:val="19"/>
                <w:szCs w:val="19"/>
                <w:color w:val="auto"/>
              </w:rPr>
            </w:pPr>
          </w:p>
        </w:tc>
      </w:tr>
      <w:tr>
        <w:trPr>
          <w:trHeight w:val="230"/>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expenses</w:t>
            </w:r>
          </w:p>
        </w:tc>
        <w:tc>
          <w:tcPr>
            <w:tcW w:w="9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FF0FC"/>
          </w:tcPr>
          <w:p>
            <w:pPr>
              <w:spacing w:after="0"/>
              <w:rPr>
                <w:sz w:val="19"/>
                <w:szCs w:val="19"/>
                <w:color w:val="auto"/>
              </w:rPr>
            </w:pPr>
          </w:p>
        </w:tc>
      </w:tr>
      <w:tr>
        <w:trPr>
          <w:trHeight w:val="223"/>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15,517</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16,805</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0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0" w:lineRule="exact"/>
        <w:rPr>
          <w:sz w:val="20"/>
          <w:szCs w:val="20"/>
          <w:color w:val="auto"/>
        </w:rPr>
      </w:pPr>
    </w:p>
    <w:p>
      <w:pPr>
        <w:ind w:right="120" w:firstLine="510"/>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for the nine months ended September 30, 2022 decreased to $15.5 million from $16.8 million for the corresponding period in 2021, primarily due to decreased clinical trial recruitment and other activity costs in our Phase 2b/3 PRISM trial due to the completion of the blinded portion of the trial in the second quarter of 2022, decreased consulting expenses and professional fees due to a reduction in our use of consulting services and the non-recurrence of professional recruiting fees related to hirings in the prior year period and decreased personnel-related expenses primarily due to severance in the prior year period that did not recur. These decreases were partially offset by an increase in startup activities for our planned trials including purchases of clinical trial supplies.</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1000" w:firstLine="51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for the nine months ended September 30, 2022 increased to $7.7 million from $7.4 million for the corresponding period in 2021. The increase was primarily due to higher market research costs.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119"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Other expense, net for the nine months ended September 30, 2022 was $0.4 million compared to $1.2 million for the corresponding period in 2021. The decrease in expense was primarily due to an increase in interest income of $0.6 million due to higher cash equivalent and marketable securities balances and higher interest rate yields. The decrease was also due to the non-recurrence of a $0.4 million expense from the prior year period related to the value of the shares of our common stock that we issued to Lincoln Park as consideration for Lincoln Park’s commitment to purchase shares of our common stock under the LPC Purchase Agreement. These decreases were partially offset by the increase of $0.2 million attributable to expense being recognized for the change in fair value and settlement of the term loan derivative liability.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80" w:firstLine="510"/>
        <w:spacing w:after="0" w:line="282" w:lineRule="auto"/>
        <w:rPr>
          <w:sz w:val="20"/>
          <w:szCs w:val="20"/>
          <w:color w:val="auto"/>
        </w:rPr>
      </w:pPr>
      <w:r>
        <w:rPr>
          <w:rFonts w:ascii="Times New Roman" w:cs="Times New Roman" w:eastAsia="Times New Roman" w:hAnsi="Times New Roman"/>
          <w:sz w:val="18"/>
          <w:szCs w:val="18"/>
          <w:color w:val="auto"/>
        </w:rPr>
        <w:t>Since our inception, we have not generated any revenue and have incurred significant operating losses and negative cash flows from our operations. Prior to the completion of our IPO and concurrent private placement in May 2019, we financed our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0" w:name="page31"/>
    <w:bookmarkEnd w:id="30"/>
    <w:p>
      <w:pPr>
        <w:ind w:right="80"/>
        <w:spacing w:after="0" w:line="266" w:lineRule="auto"/>
        <w:rPr>
          <w:sz w:val="20"/>
          <w:szCs w:val="20"/>
          <w:color w:val="auto"/>
        </w:rPr>
      </w:pPr>
      <w:r>
        <w:rPr>
          <w:rFonts w:ascii="Times New Roman" w:cs="Times New Roman" w:eastAsia="Times New Roman" w:hAnsi="Times New Roman"/>
          <w:sz w:val="18"/>
          <w:szCs w:val="18"/>
          <w:color w:val="auto"/>
        </w:rPr>
        <w:t>primarily through private placements of our preferred stock and convertible notes as well as borrowings under our prior term loan. From inception to our IPO, we raised an aggregate of $102.2 million in gross proceeds from sales of our preferred stock and convertible notes and borrowed $15.0 million under our prior term loan.</w:t>
      </w:r>
    </w:p>
    <w:p>
      <w:pPr>
        <w:spacing w:after="0" w:line="68" w:lineRule="exact"/>
        <w:rPr>
          <w:sz w:val="20"/>
          <w:szCs w:val="20"/>
          <w:color w:val="auto"/>
        </w:rPr>
      </w:pPr>
    </w:p>
    <w:p>
      <w:pPr>
        <w:ind w:right="420" w:firstLine="510"/>
        <w:spacing w:after="0" w:line="266" w:lineRule="auto"/>
        <w:rPr>
          <w:sz w:val="20"/>
          <w:szCs w:val="20"/>
          <w:color w:val="auto"/>
        </w:rPr>
      </w:pPr>
      <w:r>
        <w:rPr>
          <w:rFonts w:ascii="Times New Roman" w:cs="Times New Roman" w:eastAsia="Times New Roman" w:hAnsi="Times New Roman"/>
          <w:sz w:val="18"/>
          <w:szCs w:val="18"/>
          <w:color w:val="auto"/>
        </w:rPr>
        <w:t>In May 2019, we issued and sold 5,500,000 shares of common stock in our IPO and 1,500,000 shares of common stock in a concurrent private placement, in each case at an offering price of $10.00 per share, for combined net proceeds of $62.1 million after deducting aggregate underwriting discounts and commissions and private placement agent fees of $4.9 million and other offering expenses of $3.0 million.</w:t>
      </w:r>
    </w:p>
    <w:p>
      <w:pPr>
        <w:spacing w:after="0" w:line="68"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In June 2020, we entered into the ATM Sales Agreement under which we may issue and sell shares of common stock, from time to time, having an aggregate offering price of up to $12.0 million. In May 2022, we amended the ATM Sales Agreement with SVB Leerink LLC to increase the maximum aggregate offering price of common stock that we may issue and sell from time to time under the ATM Sales Agreement by $50.0 million, from $12.0 million to up to $62.0 million. Sales of common stock under the ATM Sales Agreement may be made by any method that is deemed an “at-the-market” offering as defined in Rule 415(a)(4) under the Securities Act of 1933, as amended. We are not obligated to make any sales of our common stock under the ATM Sales Agreement. We began making sales pursuant to the ATM Sales Agreement in July 2020 and as of September 30, 2022 we had issued and sold an aggregate of 3,583,394 shares of common stock for gross proceeds of $11.0 million, before deducting estimated commissions and allocated fees of $0.8 million. During the three and nine months ended September 30, 2022, we sold no shares of common stock under the ATM Sales Agreement.</w:t>
      </w:r>
    </w:p>
    <w:p>
      <w:pPr>
        <w:spacing w:after="0" w:line="84" w:lineRule="exact"/>
        <w:rPr>
          <w:sz w:val="20"/>
          <w:szCs w:val="20"/>
          <w:color w:val="auto"/>
        </w:rPr>
      </w:pPr>
    </w:p>
    <w:p>
      <w:pPr>
        <w:ind w:right="300" w:firstLine="510"/>
        <w:spacing w:after="0" w:line="255" w:lineRule="auto"/>
        <w:rPr>
          <w:sz w:val="20"/>
          <w:szCs w:val="20"/>
          <w:color w:val="auto"/>
        </w:rPr>
      </w:pPr>
      <w:r>
        <w:rPr>
          <w:rFonts w:ascii="Times New Roman" w:cs="Times New Roman" w:eastAsia="Times New Roman" w:hAnsi="Times New Roman"/>
          <w:sz w:val="18"/>
          <w:szCs w:val="18"/>
          <w:color w:val="auto"/>
        </w:rPr>
        <w:t>On June 18, 2021, we entered into the LPC Purchase Agreement with Lincoln Park for an equity line financing. The LPC Purchase Agreement provides that, subject to the terms and conditions set forth therein, we have the right, but not the obligation, to sell to Lincoln Park and Lincoln Park is obligated to purchase up to $15.0 million of shares of common stock, at our sole discretion, over a 24-month period commencing on July 23, 2021. We filed a registration statement on Form S-1 covering the resale of shares of common stock that are issued to Lincoln Park under the LPC Purchase Agreement, which was declared effective on July 14, 2021. As part of the LPC Purchase Agreement, we issued 170,088 shares of our common stock to Lincoln Park as consideration for its commitment to purchase shares of our common stock under the LPC Purchase Agreement. Under the terms of the October 2021 Private Placements, we agreed to not issue or sell additional shares under the LPC Purchase Agreement on or prior to April 6, 2023.</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SVB Loan Agreement</w:t>
      </w:r>
    </w:p>
    <w:p>
      <w:pPr>
        <w:spacing w:after="0" w:line="121" w:lineRule="exact"/>
        <w:rPr>
          <w:sz w:val="20"/>
          <w:szCs w:val="20"/>
          <w:color w:val="auto"/>
        </w:rPr>
      </w:pPr>
    </w:p>
    <w:p>
      <w:pPr>
        <w:ind w:firstLine="510"/>
        <w:spacing w:after="0" w:line="269" w:lineRule="auto"/>
        <w:rPr>
          <w:sz w:val="20"/>
          <w:szCs w:val="20"/>
          <w:color w:val="auto"/>
        </w:rPr>
      </w:pPr>
      <w:r>
        <w:rPr>
          <w:rFonts w:ascii="Times New Roman" w:cs="Times New Roman" w:eastAsia="Times New Roman" w:hAnsi="Times New Roman"/>
          <w:sz w:val="17"/>
          <w:szCs w:val="17"/>
          <w:color w:val="auto"/>
        </w:rPr>
        <w:t>In August 2020, we entered into the SVB Loan Agreement with SVB, pursuant to which SVB provided the SVB Term Loan in the original principal amount of $14.0 million. Prior to the Third Amendment, the SVB Term Loan bore interest at a floating rate per annum equal to the greater of (A) the prime rate plus 1.00% and (B) 4.25%. If SVB received evidence satisfactory to it that we had (i) received positive data for the Phase 2b/3 PRISM trial, sufficient to advance Haduvio into a second Phase 3 clinical trial for prurigo nodularis and (ii) raised sufficient financing to fund such Phase 3 clinical trial and our operations, the interest rate under the SVB Term Loan would have been adjusted to a floating rate equal to the greater of (A) the prime rate plus 3.00% and</w:t>
      </w:r>
    </w:p>
    <w:p>
      <w:pPr>
        <w:spacing w:after="0" w:line="3" w:lineRule="exact"/>
        <w:rPr>
          <w:sz w:val="20"/>
          <w:szCs w:val="20"/>
          <w:color w:val="auto"/>
        </w:rPr>
      </w:pPr>
    </w:p>
    <w:p>
      <w:pPr>
        <w:ind w:firstLine="8"/>
        <w:spacing w:after="0" w:line="251" w:lineRule="auto"/>
        <w:tabs>
          <w:tab w:leader="none" w:pos="28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6.25%. Commencing on March 1, 2022 and on the first business day of each month thereafter, we are required to repay the SVB Term Loan in 24 consecutive installments of principal plus monthly payments of accrued interest. All outstanding principal and accrued and unpaid interest under the SVB Term Loan and all other outstanding obligations with respect to the SVB Term Loan are due and payable in full on February 1, 2024. The SVB Loan Agreement permits voluntary prepayment of all, but not less than all, of the SVB Term Loan, subject to a prepayment premium. Such prepayment premium would be 3.00% of the principal amount of the SVB Term Loan if prepaid prior to the first anniversary of the date on which we entered into the SVB Term Loan or the Effective Date, 2.00% of the principal amount of the SVB Term Loan if prepaid on or after the first anniversary of the Effective Date, but prior to the second anniversary of the Effective Date and 1.00% of the principal amount of the SVB Term Loan if prepaid on or after the second anniversary of the Effective Date but prior to February 1, 2024. Upon repayment in full of the SVB Term Loan, we will be required to pay a final payment fee equal to $1.2 million. The SVB Term Loan and related obligations under the SVB Loan Agreement are secured by substantially all of our properties, rights and assets, except for our intellectual property (which is subject to a negative pledge under the SVB Loan Agreement). The SVB Loan Agreement contains customary representations, warranties, events of default and covenants. The occurrence and continuation of an event of default could cause interest to be charged at the rate that is otherwise applicable plus 5.00% (unless SVB elects to impose a smaller increase) and would provide SVB with the right to accelerate all obligations under the SVB Loan Agreement and exercise remedies against us and the collateral securing the SVB Term Loan and other obligations under the SVB Loan Agreement, including foreclosure against assets securing the SVB Term Loan and other obligations under the SVB Loan Agreement, including our cash.</w:t>
      </w:r>
    </w:p>
    <w:p>
      <w:pPr>
        <w:spacing w:after="0" w:line="83"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On July 6, 2021, we and SVB entered into the First Amendment to the SVB Loan Agreement, or the First Amendment. The First Amendment modified the conditions under which we were required to cash collateralize outstanding amounts owed to SVB under the SVB Loan Agreement. Under the First Amendment, if we failed to receive positive data in our Phase 2b/3 PRISM trial or, prior to June 30, 2022, failed to raise sufficient net proceeds from the sale of equity securities to finance our planned second Phase 3 clinical trial of Haduvio for prurigo nodularis and our ongoing operations, each of which we refer to as a Milestone Condition, we would have been required to deposit unrestricted and unencumbered cash equal to 100% of all outstanding amounts owed to SVB in a cash collateral account with SVB, which could have been used by SVB to prepay the SVB Term Loan at any time. In addition, the First Amendment provided that if we failed to maintain at least $20.0 million in unrestricted and unencumbered cash in our accounts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31" w:name="page32"/>
    <w:bookmarkEnd w:id="31"/>
    <w:p>
      <w:pPr>
        <w:ind w:right="20"/>
        <w:spacing w:after="0" w:line="258" w:lineRule="auto"/>
        <w:rPr>
          <w:sz w:val="20"/>
          <w:szCs w:val="20"/>
          <w:color w:val="auto"/>
        </w:rPr>
      </w:pPr>
      <w:r>
        <w:rPr>
          <w:rFonts w:ascii="Times New Roman" w:cs="Times New Roman" w:eastAsia="Times New Roman" w:hAnsi="Times New Roman"/>
          <w:sz w:val="18"/>
          <w:szCs w:val="18"/>
          <w:color w:val="auto"/>
        </w:rPr>
        <w:t>with SVB, or the Minimum Required Cash, at any time prior to the satisfaction of all the Milestone Conditions, we would also have been required to cash collateralize all outstanding amounts owed to SVB under the SVB Loan Agreement. We would also have been required to cash collateralize all outstanding amounts owed to SVB under the SVB Loan Agreement if we did not raise at least $15.0 million in net proceeds from the sale of equity securities during the period from June 1, 2021 through October 31, 2021. We satisfied this equity funding condition through a combination of equity issuances under our ATM Sales Agreement and the proceeds from the October 2021 Private Placements.</w:t>
      </w:r>
    </w:p>
    <w:p>
      <w:pPr>
        <w:spacing w:after="0" w:line="75"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On April 6, 2022, we entered into the Third Amendment to the SVB Loan Agreement. The Third Amendment principally modified the conditions under which we are required to cash collateralize all outstanding amounts owed to SVB under the SVB Loan Agreement. Under the terms of the Third Amendment, upon the closing of the April 2022 Private Placement, our obligations to achieve the Milestone Conditions and maintain the Minimum Required Cash terminated and the sole remaining cash collateralization requirement under the SVB Loan Agreement was the requirement that we receive positive final data by December 31, 2022 from either our Phase 2b/3 PRISM trial of Haduvio for prurigo nodularis or our Phase 2 CANAL trial of Haduvio for the treatment of chronic cough in adults with IPF. On August 3, 2022, SVB confirmed that the reported data from the Phase 2b/3 PRISM trial satisfied the requirement for positive data and that the cash collateralization requirements of the SVB Loan Agreement were no longer in effect.</w:t>
      </w:r>
    </w:p>
    <w:p>
      <w:pPr>
        <w:spacing w:after="0" w:line="81" w:lineRule="exact"/>
        <w:rPr>
          <w:sz w:val="20"/>
          <w:szCs w:val="20"/>
          <w:color w:val="auto"/>
        </w:rPr>
      </w:pPr>
    </w:p>
    <w:p>
      <w:pPr>
        <w:ind w:right="400" w:firstLine="510"/>
        <w:spacing w:after="0" w:line="282" w:lineRule="auto"/>
        <w:rPr>
          <w:sz w:val="20"/>
          <w:szCs w:val="20"/>
          <w:color w:val="auto"/>
        </w:rPr>
      </w:pPr>
      <w:r>
        <w:rPr>
          <w:rFonts w:ascii="Times New Roman" w:cs="Times New Roman" w:eastAsia="Times New Roman" w:hAnsi="Times New Roman"/>
          <w:sz w:val="18"/>
          <w:szCs w:val="18"/>
          <w:color w:val="auto"/>
        </w:rPr>
        <w:t>In addition, the Third Amendment modified the interest rate on the principal amount outstanding under the SVB Loan Agreement, as discussed above under “—Components of Operating Results—Operating Expenses—Interest Expense.”</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Placements</w:t>
      </w:r>
    </w:p>
    <w:p>
      <w:pPr>
        <w:spacing w:after="0" w:line="12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On October 5, 2021 and October 18, 2021, we issued and sold in two private placements (i) an aggregate of 4,225,053 shares of our common stock and accompanying warrants to purchase an aggregate of 8,450,106 shares of our common stock, and (ii) pre-funded warrants to purchase up to an aggregate of 4,926,069 shares of our common stock and accompanying warrants to purchase an aggregate of 9,852,138 shares of our common stock. Each share of our common stock and accompanying common stock warrants were sold together at a combined price of $1.62, and each pre-funded warrant and accompanying common stock warrants were sold together at a combined price of $1.619, for gross proceeds of approximately $14.8 million. Each pre-funded warrant had an exercise price of $0.001 per share, became exercisable immediately upon issuance and was exercisable until exercised in full. Of the accompanying common stock warrants, warrants to purchase an aggregate of 9,151,122 shares will expire in April 2025 and warrants to purchase an aggregate of 9,151,122 shares will expire in October 2028. The accompanying common stock warrants have an exercise price of $1.37 per share and became exercisable immediately upon issuance. As of November 10, 2022, 1,851,852 of the warrants to purchase shares of common stock that are to expire in April 2025 and 7,851,852 of the warrants to purchase shares of common stock that are to expire in October 2028, remained outstanding.</w:t>
      </w:r>
    </w:p>
    <w:p>
      <w:pPr>
        <w:spacing w:after="0" w:line="86" w:lineRule="exact"/>
        <w:rPr>
          <w:sz w:val="20"/>
          <w:szCs w:val="20"/>
          <w:color w:val="auto"/>
        </w:rPr>
      </w:pPr>
    </w:p>
    <w:p>
      <w:pPr>
        <w:jc w:val="both"/>
        <w:ind w:right="140" w:firstLine="510"/>
        <w:spacing w:after="0" w:line="261" w:lineRule="auto"/>
        <w:rPr>
          <w:sz w:val="20"/>
          <w:szCs w:val="20"/>
          <w:color w:val="auto"/>
        </w:rPr>
      </w:pPr>
      <w:r>
        <w:rPr>
          <w:rFonts w:ascii="Times New Roman" w:cs="Times New Roman" w:eastAsia="Times New Roman" w:hAnsi="Times New Roman"/>
          <w:sz w:val="18"/>
          <w:szCs w:val="18"/>
          <w:color w:val="auto"/>
        </w:rPr>
        <w:t>On April 11, 2022, we issued and sold in the April 2022 Private Placement, (i) an aggregate of 4,580,526 shares of our common stock, and (ii) pre-funded warrants to purchase up to an aggregate of 24,379,673 shares of our common stock. Each share of our common stock was sold at a price of $1.90, and each pre-funded warrant was sold at a price of $1.899 per warrant share, for gross proceeds of approximately $55.0 million. Each pre-funded warrant has an exercise price of $0.001 per share, is exercisable immediately and will be exercisable until the pre-funded warrant is exercised in full.</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Public Offering</w:t>
      </w:r>
    </w:p>
    <w:p>
      <w:pPr>
        <w:spacing w:after="0" w:line="121"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On September 27, 2022, we issued and sold in the September 2022 Offering 14,252,670 shares of our common stock and, in lieu of common stock to certain investors, pre-funded warrants to purchase 14,247,330 shares of common stock at a public offering price of $1.93 per share of common stock and $1.929 per pre-funded warrant pursuant to the Underwriting Agreement. Each pre-funded warrant has an exercise price of $0.001 per share, is exercisable immediately and will be exercisable until the pre-funded warrant is exercised in full. Under the terms of the Underwriting Agreement, we agreed not to issue and sell additional shares until November 21, 2022 except in certain circumstances, including the issuance and sale of additional shares pursuant to the Underwriting Agreement. Under the terms of the Underwriting Agreement, we granted the Underwriters an Option, exercisable for 30 days, to purchase up to an additional 4,275,000 Additional Shares at the same price per share. The initial closing of the September 2022 Offering occurred on September 27, 2022. Subsequent to the initial closing, the Underwriters partially exercised the Option to purchase 1,600,428 Additional Shares. The Option closing occurred on October 25, 2022. The September 2022 Offering, including the initial closing on September 27, 2022 and the Option closing on October 25, 2022, resulted in aggregate gross proceeds to us of approximately $58.1 million.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2" w:name="page33"/>
    <w:bookmarkEnd w:id="32"/>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each of the periods presented below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6"/>
          </w:tcPr>
          <w:p>
            <w:pPr>
              <w:ind w:left="6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23"/>
        </w:trPr>
        <w:tc>
          <w:tcPr>
            <w:tcW w:w="4820" w:type="dxa"/>
            <w:vAlign w:val="bottom"/>
          </w:tcPr>
          <w:p>
            <w:pPr>
              <w:spacing w:after="0"/>
              <w:rPr>
                <w:sz w:val="19"/>
                <w:szCs w:val="19"/>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3"/>
        </w:trPr>
        <w:tc>
          <w:tcPr>
            <w:tcW w:w="4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8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87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(21,844)</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(22,717)</w:t>
            </w:r>
          </w:p>
        </w:tc>
        <w:tc>
          <w:tcPr>
            <w:tcW w:w="3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(59,067)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(59,067)</w:t>
            </w:r>
          </w:p>
        </w:tc>
      </w:tr>
      <w:tr>
        <w:trPr>
          <w:trHeight w:val="23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80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110,655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7,034</w:t>
            </w:r>
          </w:p>
        </w:tc>
        <w:tc>
          <w:tcPr>
            <w:tcW w:w="3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103,621</w:t>
            </w:r>
          </w:p>
        </w:tc>
        <w:tc>
          <w:tcPr>
            <w:tcW w:w="120" w:type="dxa"/>
            <w:vAlign w:val="bottom"/>
            <w:shd w:val="clear" w:color="auto" w:fill="CFF0FC"/>
          </w:tcPr>
          <w:p>
            <w:pPr>
              <w:spacing w:after="0"/>
              <w:rPr>
                <w:sz w:val="19"/>
                <w:szCs w:val="19"/>
                <w:color w:val="auto"/>
              </w:rPr>
            </w:pPr>
          </w:p>
        </w:tc>
      </w:tr>
      <w:tr>
        <w:trPr>
          <w:trHeight w:val="223"/>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800" w:type="dxa"/>
            <w:vAlign w:val="bottom"/>
          </w:tcPr>
          <w:p>
            <w:pPr>
              <w:spacing w:after="0"/>
              <w:rPr>
                <w:sz w:val="19"/>
                <w:szCs w:val="19"/>
                <w:color w:val="auto"/>
              </w:rPr>
            </w:pPr>
          </w:p>
        </w:tc>
        <w:tc>
          <w:tcPr>
            <w:tcW w:w="104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29,744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(15,683)</w:t>
            </w:r>
          </w:p>
        </w:tc>
        <w:tc>
          <w:tcPr>
            <w:tcW w:w="3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45,427</w:t>
            </w:r>
          </w:p>
        </w:tc>
        <w:tc>
          <w:tcPr>
            <w:tcW w:w="120" w:type="dxa"/>
            <w:vAlign w:val="bottom"/>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80" w:firstLine="510"/>
        <w:spacing w:after="0" w:line="253" w:lineRule="auto"/>
        <w:rPr>
          <w:sz w:val="20"/>
          <w:szCs w:val="20"/>
          <w:color w:val="auto"/>
        </w:rPr>
      </w:pPr>
      <w:r>
        <w:rPr>
          <w:rFonts w:ascii="Times New Roman" w:cs="Times New Roman" w:eastAsia="Times New Roman" w:hAnsi="Times New Roman"/>
          <w:sz w:val="18"/>
          <w:szCs w:val="18"/>
          <w:color w:val="auto"/>
        </w:rPr>
        <w:t>During the nine months ended September 30, 2022, operating activities used $21.8 million of net cash, resulting from our net loss of $23.6 million and net changes in our operating assets and liabilities of $0.4 million, offset by non-cash charges of $2.2 million. The non-cash charges consisted primarily of stock-based compensation expense of $1.8 million and $0.4 million of accretion/accrual of term loan discounts and debt issuance costs, offset by $0.3 million of accretion of our available-for-sale marketable securities. Changes in our operating assets and liabilities consisted of a $0.5 million decrease in accounts payable and a $0.5 million increase in prepaid expenses and other current assets, partially offset by a $0.6 million increase in accrued expenses and other liabilities. The decrease in accounts payable was primarily due to the timing of vendor invoices. The increase in prepaid expenses and other current assets was primarily due to an increase in prepayments of our corporate insurance policies as well as an increase in interest income receivable related to our marketable securities. The increase in accrued expenses and other liabilities was primarily due to increased accruals for research, development and clinical trial work performed by our CROs and increased accruals for consulting and professional fees partially offset by a decrease in accrued compensation and benefits.</w:t>
      </w:r>
    </w:p>
    <w:p>
      <w:pPr>
        <w:spacing w:after="0" w:line="86"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During the nine months ended September 30, 2021, operating activities used $22.7 million of net cash, resulting from our net loss of $25.4 million and net changes in our operating assets and liabilities of $0.1 million, partially offset by non-cash charges of $2.8 million. The non-cash charges consisted primarily of stock-based compensation expense of $2.0 million, $0.4 million of accretion/accrual of term loan discounts and debt issuance costs and $0.4 million of other expense associated with the value of the shares of our common stock that we issued to Lincoln Park as consideration for Lincoln Park’s commitment to purchase shares of our common stock under the LPC Purchase Agreement. Changes in our operating assets and liabilities consisted of a $0.2 million decrease in accrued expenses and other liabilities, a $0.1 million increase in prepaid expenses and other current assets and a $0.2 million increase in accounts payable. The decrease in accrued expenses and other liabilities was primarily due to decreased accruals for research, development and clinical trial work performed by our CROs and decreased accruals related to non-income based taxes, partially offset by an increase in accrued consulting and professional fees. The increase in prepaid expenses and other current assets was primarily due to an increase in prepayments of our corporate insurance policies. The increase in accounts payable was primarily due to the timing of vendor invoices.</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180" w:firstLine="51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2022, net cash used in investing activities was $59.1 million, primarily related to purchases of and proceeds from maturities of available-for-sale marketable securities. During the nine months ended September 30, 2021, no cash was provided by or used in investing activities.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180" w:firstLine="510"/>
        <w:spacing w:after="0" w:line="271" w:lineRule="auto"/>
        <w:rPr>
          <w:sz w:val="20"/>
          <w:szCs w:val="20"/>
          <w:color w:val="auto"/>
        </w:rPr>
      </w:pPr>
      <w:r>
        <w:rPr>
          <w:rFonts w:ascii="Times New Roman" w:cs="Times New Roman" w:eastAsia="Times New Roman" w:hAnsi="Times New Roman"/>
          <w:sz w:val="18"/>
          <w:szCs w:val="18"/>
          <w:color w:val="auto"/>
        </w:rPr>
        <w:t>During the nine months ended September 30, 2022, net cash provided by financing activities was $110.7 million, primarily consisting of net cash proceeds from our April 2022 Private Placement and our September 2022 Offering of $103.0 million, cash proceeds of $11.8 million from the exercise of warrants and cash proceeds from the exercise of stock options of $0.1 million, partially offset by repayments of $4.1 million on the SVB Term Loan and payments of offering costs of $0.2 million.</w:t>
      </w:r>
    </w:p>
    <w:p>
      <w:pPr>
        <w:spacing w:after="0" w:line="64" w:lineRule="exact"/>
        <w:rPr>
          <w:sz w:val="20"/>
          <w:szCs w:val="20"/>
          <w:color w:val="auto"/>
        </w:rPr>
      </w:pPr>
    </w:p>
    <w:p>
      <w:pPr>
        <w:ind w:right="180" w:firstLine="510"/>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2021, net cash provided by financing activities was $7.0 million, primarily consisting of gross cash proceeds of $7.7 million from sales of our common stock under the ATM Sales Agreement before deducting estimated commissions and allocated fees of $0.6 million, partially offset by payments of offering costs of $0.4 million and payments of financing costs of $0.1 million associated with the First Amendment to the SVB Loan Agreement.</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140" w:firstLine="510"/>
        <w:spacing w:after="0" w:line="282" w:lineRule="auto"/>
        <w:rPr>
          <w:sz w:val="20"/>
          <w:szCs w:val="20"/>
          <w:color w:val="auto"/>
        </w:rPr>
      </w:pPr>
      <w:r>
        <w:rPr>
          <w:rFonts w:ascii="Times New Roman" w:cs="Times New Roman" w:eastAsia="Times New Roman" w:hAnsi="Times New Roman"/>
          <w:sz w:val="18"/>
          <w:szCs w:val="18"/>
          <w:color w:val="auto"/>
        </w:rPr>
        <w:t>We expect to incur substantial expenditures in the foreseeable future as we advance Haduvio through clinical development, the regulatory approval process and, if approved, commercial launch activities. Specifically, in the near term, we expect to incur substantial expenses relating to:</w:t>
      </w:r>
    </w:p>
    <w:p>
      <w:pPr>
        <w:spacing w:after="0" w:line="54" w:lineRule="exact"/>
        <w:rPr>
          <w:sz w:val="20"/>
          <w:szCs w:val="20"/>
          <w:color w:val="auto"/>
        </w:rPr>
      </w:pPr>
    </w:p>
    <w:p>
      <w:pPr>
        <w:ind w:left="880" w:hanging="373"/>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next trials we plan to conduct for Haduvio for the treatment of chronic cough in adults with IPF;</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planned Phase 2 clinical trial of Haduvio for the treatment of refractory chronic cough;</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HAL study; and</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open-label extension portion of our Phase 2b/3 PRISM trial in patients with prurigo nodularis.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3" w:name="page34"/>
    <w:bookmarkEnd w:id="33"/>
    <w:p>
      <w:pPr>
        <w:ind w:right="640" w:firstLine="510"/>
        <w:spacing w:after="0" w:line="282" w:lineRule="auto"/>
        <w:rPr>
          <w:sz w:val="20"/>
          <w:szCs w:val="20"/>
          <w:color w:val="auto"/>
        </w:rPr>
      </w:pPr>
      <w:r>
        <w:rPr>
          <w:rFonts w:ascii="Times New Roman" w:cs="Times New Roman" w:eastAsia="Times New Roman" w:hAnsi="Times New Roman"/>
          <w:sz w:val="18"/>
          <w:szCs w:val="18"/>
          <w:color w:val="auto"/>
        </w:rPr>
        <w:t>Generally, regulatory authorities require two adequate and well-controlled studies for approval. Furthermore, we expect to continue to incur additional costs associated with operating as a public company, including significant legal, accounting, investor relations and other expenses.</w:t>
      </w:r>
    </w:p>
    <w:p>
      <w:pPr>
        <w:spacing w:after="0" w:line="54"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We will need substantial additional funding to support our continuing operations and pursue our growth strategy. Until such time as we can generate significant revenue from sales of Haduvio, if ever, we expect to finance our operations through public or private equity offerings, debt financings, collaborations and licensing arrangements or other sources to achieve our business objectives. Adequate additional financing may not be available to us on acceptable terms or at all. Our future funding requirements, both short-term and long-term, will depend on many factors, including:</w:t>
      </w:r>
    </w:p>
    <w:p>
      <w:pPr>
        <w:spacing w:after="0" w:line="72" w:lineRule="exact"/>
        <w:rPr>
          <w:sz w:val="20"/>
          <w:szCs w:val="20"/>
          <w:color w:val="auto"/>
        </w:rPr>
      </w:pPr>
    </w:p>
    <w:p>
      <w:pPr>
        <w:ind w:left="880" w:hanging="373"/>
        <w:spacing w:after="0" w:line="266"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costs and results of clinical trials of Haduvio, including the next clinical trials for the treatment of cough in adults with IPF, our planned Phase 2 clinical trial in refractory chronic cough, and our ongoing open-label extension portion of our Phase 2b/3 PRISM trial, as well as of any future product candidates;</w:t>
      </w:r>
    </w:p>
    <w:p>
      <w:pPr>
        <w:spacing w:after="0" w:line="67" w:lineRule="exact"/>
        <w:rPr>
          <w:rFonts w:ascii="Times New Roman" w:cs="Times New Roman" w:eastAsia="Times New Roman" w:hAnsi="Times New Roman"/>
          <w:sz w:val="18"/>
          <w:szCs w:val="18"/>
          <w:color w:val="auto"/>
        </w:rPr>
      </w:pPr>
    </w:p>
    <w:p>
      <w:pPr>
        <w:ind w:left="880" w:right="460" w:hanging="373"/>
        <w:spacing w:after="0" w:line="282"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indications for which we seek to develop Haduvio or any future product candidates and their respective development requirements;</w:t>
      </w:r>
    </w:p>
    <w:p>
      <w:pPr>
        <w:spacing w:after="0" w:line="53" w:lineRule="exact"/>
        <w:rPr>
          <w:rFonts w:ascii="Times New Roman" w:cs="Times New Roman" w:eastAsia="Times New Roman" w:hAnsi="Times New Roman"/>
          <w:sz w:val="18"/>
          <w:szCs w:val="18"/>
          <w:color w:val="auto"/>
        </w:rPr>
      </w:pPr>
    </w:p>
    <w:p>
      <w:pPr>
        <w:ind w:left="880" w:right="220" w:hanging="373"/>
        <w:spacing w:after="0" w:line="282"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costs of clinical and nonclinical trials and of seeking regulatory approvals, including the costs of supportive clinical studies such as our HAL study and a potential Thorough QT study;</w:t>
      </w:r>
    </w:p>
    <w:p>
      <w:pPr>
        <w:spacing w:after="0" w:line="53" w:lineRule="exact"/>
        <w:rPr>
          <w:rFonts w:ascii="Times New Roman" w:cs="Times New Roman" w:eastAsia="Times New Roman" w:hAnsi="Times New Roman"/>
          <w:sz w:val="18"/>
          <w:szCs w:val="18"/>
          <w:color w:val="auto"/>
        </w:rPr>
      </w:pPr>
    </w:p>
    <w:p>
      <w:pPr>
        <w:ind w:left="880" w:right="520" w:hanging="373"/>
        <w:spacing w:after="0" w:line="282"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manufacture of necessary quantities of Haduvio or any future product candidate for clinical development in connection with regulatory submissions;</w:t>
      </w:r>
    </w:p>
    <w:p>
      <w:pPr>
        <w:spacing w:after="0" w:line="53" w:lineRule="exact"/>
        <w:rPr>
          <w:rFonts w:ascii="Times New Roman" w:cs="Times New Roman" w:eastAsia="Times New Roman" w:hAnsi="Times New Roman"/>
          <w:sz w:val="18"/>
          <w:szCs w:val="18"/>
          <w:color w:val="auto"/>
        </w:rPr>
      </w:pPr>
    </w:p>
    <w:p>
      <w:pPr>
        <w:ind w:left="880" w:right="140" w:hanging="373"/>
        <w:spacing w:after="0" w:line="266"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commercialization activities for Haduvio for the treatment of chronic cough in adults with IPF or for any other chronic cough indications or for the treatment of prurigo nodularis or for any future product candidates that receive marketing approval, if any, including the costs and timing of establishing product sales, marketing, distribution and manufacturing capabilities;</w:t>
      </w:r>
    </w:p>
    <w:p>
      <w:pPr>
        <w:spacing w:after="0" w:line="67" w:lineRule="exact"/>
        <w:rPr>
          <w:rFonts w:ascii="Times New Roman" w:cs="Times New Roman" w:eastAsia="Times New Roman" w:hAnsi="Times New Roman"/>
          <w:sz w:val="18"/>
          <w:szCs w:val="18"/>
          <w:color w:val="auto"/>
        </w:rPr>
      </w:pPr>
    </w:p>
    <w:p>
      <w:pPr>
        <w:ind w:left="880" w:right="300" w:hanging="373"/>
        <w:spacing w:after="0" w:line="312" w:lineRule="auto"/>
        <w:tabs>
          <w:tab w:leader="none" w:pos="8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receipt of marketing approvals, revenue, if any, received from commercial sales of Haduvio for the treatment of chronic cough in adults with IPF or for any other chronic cough indications or for the treatment of prurigo nodularis or from any future product candidates;</w:t>
      </w:r>
    </w:p>
    <w:p>
      <w:pPr>
        <w:spacing w:after="0" w:line="31" w:lineRule="exact"/>
        <w:rPr>
          <w:rFonts w:ascii="Times New Roman" w:cs="Times New Roman" w:eastAsia="Times New Roman" w:hAnsi="Times New Roman"/>
          <w:sz w:val="17"/>
          <w:szCs w:val="17"/>
          <w:color w:val="auto"/>
        </w:rPr>
      </w:pPr>
    </w:p>
    <w:p>
      <w:pPr>
        <w:ind w:left="880" w:right="140" w:hanging="373"/>
        <w:spacing w:after="0" w:line="266"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potential collaborators for Haduvio for the treatment of prurigo nodularis or for the treatment of chronic cough in adults with IPF or for any other chronic cough indications or for any future product candidates and the terms and timing of any collaboration agreement that we may establish for the development and any commercialization of such product candidates;</w:t>
      </w:r>
    </w:p>
    <w:p>
      <w:pPr>
        <w:spacing w:after="0" w:line="67" w:lineRule="exact"/>
        <w:rPr>
          <w:rFonts w:ascii="Times New Roman" w:cs="Times New Roman" w:eastAsia="Times New Roman" w:hAnsi="Times New Roman"/>
          <w:sz w:val="18"/>
          <w:szCs w:val="18"/>
          <w:color w:val="auto"/>
        </w:rPr>
      </w:pPr>
    </w:p>
    <w:p>
      <w:pPr>
        <w:ind w:left="880" w:right="200" w:hanging="373"/>
        <w:spacing w:after="0" w:line="282"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rights to other potential product candidates or technologies and the terms and timing of any such acquisition or licensing arrangements;</w:t>
      </w:r>
    </w:p>
    <w:p>
      <w:pPr>
        <w:spacing w:after="0" w:line="53" w:lineRule="exact"/>
        <w:rPr>
          <w:rFonts w:ascii="Times New Roman" w:cs="Times New Roman" w:eastAsia="Times New Roman" w:hAnsi="Times New Roman"/>
          <w:sz w:val="18"/>
          <w:szCs w:val="18"/>
          <w:color w:val="auto"/>
        </w:rPr>
      </w:pPr>
    </w:p>
    <w:p>
      <w:pPr>
        <w:ind w:left="880" w:right="300" w:hanging="373"/>
        <w:spacing w:after="0" w:line="266"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obligation to make milestone payments to Endo, which would become due upon the successful completion of the first Phase 3 clinical trial of a licensed product candidate and the marketing approval of a licensed product in the United States, as well as our potential obligations to pay Endo mid-single digit royalties on the net sales of the product;</w:t>
      </w:r>
    </w:p>
    <w:p>
      <w:pPr>
        <w:spacing w:after="0" w:line="6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activities and establish a commercial infrastructure;</w:t>
      </w:r>
    </w:p>
    <w:p>
      <w:pPr>
        <w:spacing w:after="0" w:line="144" w:lineRule="exact"/>
        <w:rPr>
          <w:rFonts w:ascii="Times New Roman" w:cs="Times New Roman" w:eastAsia="Times New Roman" w:hAnsi="Times New Roman"/>
          <w:sz w:val="18"/>
          <w:szCs w:val="18"/>
          <w:color w:val="auto"/>
        </w:rPr>
      </w:pPr>
    </w:p>
    <w:p>
      <w:pPr>
        <w:ind w:left="880" w:right="300" w:hanging="373"/>
        <w:spacing w:after="0" w:line="282"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expanding and protecting our intellectual property rights and defending against intellectual property-related claims;</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technologies and market developments;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healthcare coverage and adequate reimbursement for our products;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 and</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the scope, progress, timing, costs and results of our ongoing and planned clinical trials of Haduvio.</w:t>
      </w:r>
    </w:p>
    <w:p>
      <w:pPr>
        <w:spacing w:after="0" w:line="144" w:lineRule="exact"/>
        <w:rPr>
          <w:sz w:val="20"/>
          <w:szCs w:val="20"/>
          <w:color w:val="auto"/>
        </w:rPr>
      </w:pPr>
    </w:p>
    <w:p>
      <w:pPr>
        <w:ind w:right="240" w:firstLine="510"/>
        <w:spacing w:after="0" w:line="258" w:lineRule="auto"/>
        <w:rPr>
          <w:sz w:val="20"/>
          <w:szCs w:val="20"/>
          <w:color w:val="auto"/>
        </w:rPr>
      </w:pPr>
      <w:r>
        <w:rPr>
          <w:rFonts w:ascii="Times New Roman" w:cs="Times New Roman" w:eastAsia="Times New Roman" w:hAnsi="Times New Roman"/>
          <w:sz w:val="18"/>
          <w:szCs w:val="18"/>
          <w:color w:val="auto"/>
        </w:rPr>
        <w:t>We believe that our existing cash, cash equivalents and marketable securities, including the gross proceeds we received in October 2022 from the sale of the Additional Shares to the Underwriters upon the partial exercise of their Option in the September 2022 Offering, will enable us to fund our operating expenses and capital expenditure requirements into 2026, subject to agreement with the FDA on the next clinical trials of Haduvio for the treatment of chronic cough in adults with IPF. This does not consider the cost of any additional clinical trial that we may determine to conduct for the treatment of prurigo nodularis.</w:t>
      </w:r>
    </w:p>
    <w:p>
      <w:pPr>
        <w:spacing w:after="0" w:line="75" w:lineRule="exact"/>
        <w:rPr>
          <w:sz w:val="20"/>
          <w:szCs w:val="20"/>
          <w:color w:val="auto"/>
        </w:rPr>
      </w:pPr>
    </w:p>
    <w:p>
      <w:pPr>
        <w:ind w:right="240" w:firstLine="510"/>
        <w:spacing w:after="0" w:line="282" w:lineRule="auto"/>
        <w:rPr>
          <w:sz w:val="20"/>
          <w:szCs w:val="20"/>
          <w:color w:val="auto"/>
        </w:rPr>
      </w:pPr>
      <w:r>
        <w:rPr>
          <w:rFonts w:ascii="Times New Roman" w:cs="Times New Roman" w:eastAsia="Times New Roman" w:hAnsi="Times New Roman"/>
          <w:sz w:val="18"/>
          <w:szCs w:val="18"/>
          <w:color w:val="auto"/>
        </w:rPr>
        <w:t>We have based our estimates as to how long we expect we will be able to fund our operations on assumptions that may prove to be wrong and we could use our available capital resources sooner than we currently expect, in which case we would be required to</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34" w:name="page35"/>
    <w:bookmarkEnd w:id="34"/>
    <w:p>
      <w:pPr>
        <w:ind w:right="60"/>
        <w:spacing w:after="0" w:line="282" w:lineRule="auto"/>
        <w:rPr>
          <w:sz w:val="20"/>
          <w:szCs w:val="20"/>
          <w:color w:val="auto"/>
        </w:rPr>
      </w:pPr>
      <w:r>
        <w:rPr>
          <w:rFonts w:ascii="Times New Roman" w:cs="Times New Roman" w:eastAsia="Times New Roman" w:hAnsi="Times New Roman"/>
          <w:sz w:val="18"/>
          <w:szCs w:val="18"/>
          <w:color w:val="auto"/>
        </w:rPr>
        <w:t>obtain additional financing and financing may not be available to us on acceptable terms, on a timely basis or at all. Our failure to raise capital as and when needed would have a negative impact on our financial condition and our ability to pursue our business strategy.</w:t>
      </w:r>
    </w:p>
    <w:p>
      <w:pPr>
        <w:spacing w:after="0" w:line="54"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We do not have any committed external source of funds. Accordingly, we will be required to obtain further funding through public or private equity offerings, debt financings, collaborations, licensing arrangements or other sources to complete the clinical development and commercialization of Haduvio for the treatment of chronic cough in adults with IPF or refractory chronic cough or for the treatment of prurigo nodularis or any other indication. If we raise additional funds by issuing equity securities, our stockholders may experience dilution. Any debt financing into which we enter would result in fixed payment obligations and may involve agreements that include grants of security interests on our assets and restrictive covenants that limit our ability to take specific actions, such as incurring additional debt, making capital expenditures, granting liens over our assets, redeeming stock or declaring dividends, that could adversely impact our ability to conduct our business. For example, in connection with the SVB Term Loan, we granted a security interest on all of our assets, excluding our intellectual property, agreed to a negative pledge on our intellectual property, agreed to restrictive covenants including, subject to certain exceptions, covenants that prohibit us from transferring all or any part of our business or property, changing our business, liquidating or dissolving, merging with or acquiring another entity, entering into a transaction that will result in a change in control, incurring additional indebtedness, creating any lien on our property, paying dividends or redeeming stock, making payments on subordinated debt or entering into material transactions with affiliates and agreed to cash collateralize the SVB Term Loan in certain circumstances. Future debt securities or other financing arrangements could contain similar or more restrictive negative covenants.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 Any debt financing that we seek or additional equity that we raise may contain terms that could adversely affect our common stockholders.</w:t>
      </w:r>
    </w:p>
    <w:p>
      <w:pPr>
        <w:spacing w:after="0" w:line="87" w:lineRule="exact"/>
        <w:rPr>
          <w:sz w:val="20"/>
          <w:szCs w:val="20"/>
          <w:color w:val="auto"/>
        </w:rPr>
      </w:pPr>
    </w:p>
    <w:p>
      <w:pPr>
        <w:jc w:val="both"/>
        <w:ind w:right="100" w:firstLine="510"/>
        <w:spacing w:after="0" w:line="266" w:lineRule="auto"/>
        <w:rPr>
          <w:sz w:val="20"/>
          <w:szCs w:val="20"/>
          <w:color w:val="auto"/>
        </w:rPr>
      </w:pPr>
      <w:r>
        <w:rPr>
          <w:rFonts w:ascii="Times New Roman" w:cs="Times New Roman" w:eastAsia="Times New Roman" w:hAnsi="Times New Roman"/>
          <w:sz w:val="18"/>
          <w:szCs w:val="18"/>
          <w:color w:val="auto"/>
        </w:rPr>
        <w:t>If we are unable to raise sufficient capital as and when needed, we may be required to delay, reduce or abandon our product development programs or commercialization efforts. If we raise additional funds through collaborations or marketing, distribution or licensing arrangements with third parties, we may have to relinquish valuable rights to future revenue streams or product candidates or grant licenses on terms that may not be favorable to us.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Our Condensed Consolidated Financial Statements have been prepared in accordance with U.S. generally accepted accounting principles. The preparation of these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79" w:lineRule="exact"/>
        <w:rPr>
          <w:sz w:val="20"/>
          <w:szCs w:val="20"/>
          <w:color w:val="auto"/>
        </w:rPr>
      </w:pPr>
    </w:p>
    <w:p>
      <w:pPr>
        <w:ind w:right="100" w:firstLine="510"/>
        <w:spacing w:after="0" w:line="261"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the Notes to our financial statements, we believe that the critical accounting policies described under the heading “Management’s Discussion and Analysis of Financial Condition and Results of Operations—Critical Accounting Policies and Use of Estimates” in our Annual Report on Form 10-K for the year ended December 31, 2021 are the most important to understanding and evaluating our reported financial results. During the nine months ended September 30, 2022, there were no material changes to our critical accounting policies.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21" w:lineRule="exact"/>
        <w:rPr>
          <w:sz w:val="20"/>
          <w:szCs w:val="20"/>
          <w:color w:val="auto"/>
        </w:rPr>
      </w:pPr>
    </w:p>
    <w:p>
      <w:pPr>
        <w:ind w:right="80" w:firstLine="510"/>
        <w:spacing w:after="0" w:line="282" w:lineRule="auto"/>
        <w:rPr>
          <w:sz w:val="20"/>
          <w:szCs w:val="20"/>
          <w:color w:val="auto"/>
        </w:rPr>
      </w:pPr>
      <w:r>
        <w:rPr>
          <w:rFonts w:ascii="Times New Roman" w:cs="Times New Roman" w:eastAsia="Times New Roman" w:hAnsi="Times New Roman"/>
          <w:sz w:val="18"/>
          <w:szCs w:val="18"/>
          <w:color w:val="auto"/>
        </w:rPr>
        <w:t>There have been no new pronouncements adopted during the nine months ended September 30, 2022, which could be expected to materially impact our Condensed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240" w:firstLine="510"/>
        <w:spacing w:after="0" w:line="282" w:lineRule="auto"/>
        <w:rPr>
          <w:sz w:val="20"/>
          <w:szCs w:val="20"/>
          <w:color w:val="auto"/>
        </w:rPr>
      </w:pPr>
      <w:r>
        <w:rPr>
          <w:rFonts w:ascii="Times New Roman" w:cs="Times New Roman" w:eastAsia="Times New Roman" w:hAnsi="Times New Roman"/>
          <w:sz w:val="18"/>
          <w:szCs w:val="18"/>
          <w:color w:val="auto"/>
        </w:rPr>
        <w:t>There have been no new pronouncements issued during the nine months ended September 30, 2022 which could be expected to materially impact our Condensed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80" w:firstLine="510"/>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the Exchange Act, as of September 30, 2022. Our disclosure controls and procedures are designed to ensure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Because of the inherent limitations in all control systems, no evaluation of controls and procedures can provide absolute assurance that all control issues and instances of fraud, if any, within the Company have been detected. Based on the evaluation of our disclosure controls and procedures as of September 30, 2022, our Chief Executive Officer and Chief Financial Officer concluded that, as of such date, our disclosure controls and procedures were effective at the reasonable assurance level.</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20" w:firstLine="510"/>
        <w:spacing w:after="0" w:line="266"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three months ended September 30, 2022 that has materially affected, or is reasonably likely to materially affect, our internal control over financial reporting.</w:t>
      </w:r>
    </w:p>
    <w:p>
      <w:pPr>
        <w:spacing w:after="0" w:line="1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not subject to any material legal proceedings.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i w:val="1"/>
          <w:iCs w:val="1"/>
          <w:color w:val="auto"/>
        </w:rPr>
        <w:t>Our business is subject to numerous risks. The following important factors, among others, could cause our actual results to differ materially from those expressed in forward-looking statements made by us or on our behalf in this Quarterly Report on Form 10-Q and other filings with the Securities and Exchange Commission, press releases, communications with investors and oral statements. Actual future results may differ materially from those anticipated in our forward-looking statements. We undertake no obligation to update any forward-looking statements, whether as a result of new information, future events or otherwise.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inception, expect to incur significant and increasing losses for the foreseeable future and may never achieve or maintain profitability.</w:t>
      </w:r>
    </w:p>
    <w:p>
      <w:pPr>
        <w:spacing w:after="0" w:line="51" w:lineRule="exact"/>
        <w:rPr>
          <w:sz w:val="20"/>
          <w:szCs w:val="20"/>
          <w:color w:val="auto"/>
        </w:rPr>
      </w:pPr>
    </w:p>
    <w:p>
      <w:pPr>
        <w:ind w:right="80" w:firstLine="510"/>
        <w:spacing w:after="0" w:line="252" w:lineRule="auto"/>
        <w:rPr>
          <w:sz w:val="20"/>
          <w:szCs w:val="20"/>
          <w:color w:val="auto"/>
        </w:rPr>
      </w:pPr>
      <w:r>
        <w:rPr>
          <w:rFonts w:ascii="Times New Roman" w:cs="Times New Roman" w:eastAsia="Times New Roman" w:hAnsi="Times New Roman"/>
          <w:sz w:val="18"/>
          <w:szCs w:val="18"/>
          <w:color w:val="auto"/>
        </w:rPr>
        <w:t>We have incurred significant annual net losses every year since our inception. We expect to continue to incur significant and increasing net losses for at least the next several years. Our net losses were $23.6 million and $33.9 million for the nine months ended September 30, 2022 and for the year ended December 31, 2021, respectively. As of September 30, 2022, we had an accumulated deficit of $204.6 million. We have not generated any revenues from product sales, have not completed the development of any product candidate and may never have a product candidate approved for commercialization. We have financed our operations to date primarily through private placements of our convertible preferred stock and convertible notes prior to our initial public offering, or IPO, borrowings under our prior term loan facility, proceeds from our IPO and concurrent private placement completed in May 2019, sales of our common stock pursuant to the ATM Sales Agreement we entered into in June 2020, which we refer to as the ATM Sales Agreement, the term loan facility with Silicon Valley Bank that we entered into in August 2020, which we refer to as the SVB Term Loan, proceeds from the two private placements we completed in October 2021, or the October 2021 Private Placements, proceeds from the private placement we completed in April 2022, or the April 2022 Private Placement, proceeds from the exercise of common stock warrants that were issued in the October 2021 Private Placements and proceeds from the public offering we completed in September 2022, or the September 2022 Offering. We have devoted substantially all of our financial resources and efforts to the clinical development of our product candidate Haduvio and related activities. Our net losses may fluctuate significantly from quarter to quarter and year to year. Net losses and negative cash flows have had, and will continue to have, an adverse effect on our stockholders’ equity and working capital.</w:t>
      </w:r>
    </w:p>
    <w:p>
      <w:pPr>
        <w:spacing w:after="0" w:line="89" w:lineRule="exact"/>
        <w:rPr>
          <w:sz w:val="20"/>
          <w:szCs w:val="20"/>
          <w:color w:val="auto"/>
        </w:rPr>
      </w:pPr>
    </w:p>
    <w:p>
      <w:pPr>
        <w:ind w:right="140" w:firstLine="510"/>
        <w:spacing w:after="0" w:line="282" w:lineRule="auto"/>
        <w:rPr>
          <w:sz w:val="20"/>
          <w:szCs w:val="20"/>
          <w:color w:val="auto"/>
        </w:rPr>
      </w:pPr>
      <w:r>
        <w:rPr>
          <w:rFonts w:ascii="Times New Roman" w:cs="Times New Roman" w:eastAsia="Times New Roman" w:hAnsi="Times New Roman"/>
          <w:sz w:val="18"/>
          <w:szCs w:val="18"/>
          <w:color w:val="auto"/>
        </w:rPr>
        <w:t>We expect to continue to incur significant expenses and increasing operating losses for the foreseeable future. We anticipate that our expenses will increase substantially if and as we:</w:t>
      </w:r>
    </w:p>
    <w:p>
      <w:pPr>
        <w:spacing w:after="0" w:line="54" w:lineRule="exact"/>
        <w:rPr>
          <w:sz w:val="20"/>
          <w:szCs w:val="20"/>
          <w:color w:val="auto"/>
        </w:rPr>
      </w:pPr>
    </w:p>
    <w:p>
      <w:pPr>
        <w:ind w:left="880" w:right="60" w:hanging="373"/>
        <w:spacing w:after="0" w:line="266" w:lineRule="auto"/>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and conduct clinical trials of Haduvio, including the next trial we plan to conduct for Haduvio for the treatment of chronic cough in adults with IPF, a Phase 2 clinical trial of Haduvio for the treatment of refractory chronic cough as well as our ongoing open-label extension portion of our Phase 2b/3 PRISM trial and subsequent trials;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1" w:right="379" w:bottom="1440" w:gutter="0" w:footer="0" w:header="0"/>
        </w:sectPr>
      </w:pPr>
    </w:p>
    <w:bookmarkStart w:id="36" w:name="page37"/>
    <w:bookmarkEnd w:id="36"/>
    <w:p>
      <w:pPr>
        <w:ind w:left="880" w:right="640" w:hanging="373"/>
        <w:spacing w:after="0" w:line="282" w:lineRule="auto"/>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other development work required for the filing of a new drug application, or NDA, with the FDA, and the filing of marketing authorization applications, or MAAs, with the EMA and the MHRA, for Haduvio;</w:t>
      </w:r>
    </w:p>
    <w:p>
      <w:pPr>
        <w:spacing w:after="0" w:line="53" w:lineRule="exact"/>
        <w:rPr>
          <w:rFonts w:ascii="Times New Roman" w:cs="Times New Roman" w:eastAsia="Times New Roman" w:hAnsi="Times New Roman"/>
          <w:sz w:val="18"/>
          <w:szCs w:val="18"/>
          <w:color w:val="auto"/>
        </w:rPr>
      </w:pPr>
    </w:p>
    <w:p>
      <w:pPr>
        <w:ind w:left="880" w:right="280" w:hanging="373"/>
        <w:spacing w:after="0" w:line="312" w:lineRule="auto"/>
        <w:tabs>
          <w:tab w:leader="none" w:pos="8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 regulatory and marketing approvals for Haduvio for the treatment of chronic cough in adults with IPF, other chronic cough indications, and/or for the treatment of prurigo nodularis, or for any future product candidate that successfully completes clinical trials, if any;</w:t>
      </w:r>
    </w:p>
    <w:p>
      <w:pPr>
        <w:spacing w:after="0" w:line="31" w:lineRule="exact"/>
        <w:rPr>
          <w:rFonts w:ascii="Times New Roman" w:cs="Times New Roman" w:eastAsia="Times New Roman" w:hAnsi="Times New Roman"/>
          <w:sz w:val="17"/>
          <w:szCs w:val="17"/>
          <w:color w:val="auto"/>
        </w:rPr>
      </w:pPr>
    </w:p>
    <w:p>
      <w:pPr>
        <w:ind w:left="880" w:hanging="373"/>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and execute pediatric development plans and complete any post-approval commitments;</w:t>
      </w:r>
    </w:p>
    <w:p>
      <w:pPr>
        <w:spacing w:after="0" w:line="117" w:lineRule="exact"/>
        <w:rPr>
          <w:rFonts w:ascii="Times New Roman" w:cs="Times New Roman" w:eastAsia="Times New Roman" w:hAnsi="Times New Roman"/>
          <w:sz w:val="18"/>
          <w:szCs w:val="18"/>
          <w:color w:val="auto"/>
        </w:rPr>
      </w:pPr>
    </w:p>
    <w:p>
      <w:pPr>
        <w:ind w:left="880" w:right="80" w:hanging="373"/>
        <w:spacing w:after="0" w:line="282" w:lineRule="auto"/>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sales, marketing, distribution and other commercial infrastructure to commercialize any products for which we may obtain marketing approval;</w:t>
      </w:r>
    </w:p>
    <w:p>
      <w:pPr>
        <w:spacing w:after="0" w:line="53" w:lineRule="exact"/>
        <w:rPr>
          <w:rFonts w:ascii="Times New Roman" w:cs="Times New Roman" w:eastAsia="Times New Roman" w:hAnsi="Times New Roman"/>
          <w:sz w:val="18"/>
          <w:szCs w:val="18"/>
          <w:color w:val="auto"/>
        </w:rPr>
      </w:pPr>
    </w:p>
    <w:p>
      <w:pPr>
        <w:ind w:left="880" w:right="1080" w:hanging="373"/>
        <w:spacing w:after="0" w:line="282" w:lineRule="auto"/>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manufacture of larger quantities of Haduvio or any future product candidate for clinical development and, potentially, commercialization;</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rights to other potential product candidates or technologies;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conduct research, preclinical and clinical development efforts for any future product candidates;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additional personnel, such as clinical, regulatory and scientific personnel;</w:t>
      </w:r>
    </w:p>
    <w:p>
      <w:pPr>
        <w:spacing w:after="0" w:line="144" w:lineRule="exact"/>
        <w:rPr>
          <w:rFonts w:ascii="Times New Roman" w:cs="Times New Roman" w:eastAsia="Times New Roman" w:hAnsi="Times New Roman"/>
          <w:sz w:val="18"/>
          <w:szCs w:val="18"/>
          <w:color w:val="auto"/>
        </w:rPr>
      </w:pPr>
    </w:p>
    <w:p>
      <w:pPr>
        <w:ind w:left="880" w:right="260" w:hanging="373"/>
        <w:spacing w:after="0" w:line="282" w:lineRule="auto"/>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commercialization efforts and to help us comply with our obligations as a public company; and</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equipment and physical infrastructure to support our development program for Haduvio and for any future product candidates.</w:t>
      </w:r>
    </w:p>
    <w:p>
      <w:pPr>
        <w:spacing w:after="0" w:line="144" w:lineRule="exact"/>
        <w:rPr>
          <w:sz w:val="20"/>
          <w:szCs w:val="20"/>
          <w:color w:val="auto"/>
        </w:rPr>
      </w:pPr>
    </w:p>
    <w:p>
      <w:pPr>
        <w:ind w:right="60" w:firstLine="510"/>
        <w:spacing w:after="0" w:line="269" w:lineRule="auto"/>
        <w:rPr>
          <w:sz w:val="20"/>
          <w:szCs w:val="20"/>
          <w:color w:val="auto"/>
        </w:rPr>
      </w:pPr>
      <w:r>
        <w:rPr>
          <w:rFonts w:ascii="Times New Roman" w:cs="Times New Roman" w:eastAsia="Times New Roman" w:hAnsi="Times New Roman"/>
          <w:sz w:val="17"/>
          <w:szCs w:val="17"/>
          <w:color w:val="auto"/>
        </w:rPr>
        <w:t>Our ability to become and remain profitable depends on our ability to generate revenue. We do not expect to generate significant revenue unless and until we are able to obtain marketing approval for and successfully commercialize Haduvio or any future product candidate. Successful commercialization will require achievement of key milestones, including completing clinical trials of Haduvio or any future product candidate, obtaining marketing approval for these product candidates, manufacturing, marketing and selling those products for which we may obtain marketing approval, satisfying any post-marketing requirements and obtaining reimbursement for any such product from private insurance or government payors. For example, in order to successfully commercialize Haduvio for the treatment of prurigo nodularis, we will be required, at a minimum, to successfully complete the ongoing open-label extension portion of our Phase 2b/3 PRISM trial as well as an additional Phase 3 clinical trial prior to submitting an NDA and MAA to regulatory authorities to obtain marketing approval. Because of the uncertainties and risks associated with these activities, we are unable to accurately predict the timing and amount of revenues and if or when we might achieve profitability. We may never succeed in these activities and, even if we do, we may never generate revenues that are large enough for us to achieve profitability. Even if we do achieve profitability, we may not be able to sustain or increase profitability on a quarterly or annual basis. Our failure to become and remain profitable would decrease the value of our company and could impair our ability to raise capital, expand our business, maintain our development efforts, develop a pipeline of product candidates or continue our operations.</w:t>
      </w:r>
    </w:p>
    <w:p>
      <w:pPr>
        <w:spacing w:after="0" w:line="6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no products approved for commercial sale, which may make it difficult to evaluate the prospects for our future success and viability.</w:t>
      </w:r>
    </w:p>
    <w:p>
      <w:pPr>
        <w:spacing w:after="0" w:line="5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We were founded and commenced operations in 2011. Our operations to date have been limited to financing and staffing our company and conducting preclinical and clinical development of Haduvio. We have not yet demonstrated an ability to successfully complete clinical development of any product candidates, obtain marketing approvals, manufacture a commercial-scale product or arrange for a third-party to do so on our behalf or conduct sales and marketing activities necessary for successful commercialization of any products. Accordingly, you should consider our prospects in light of the costs, uncertainties, delays and difficulties frequently encountered by clinical-stage biopharmaceutical companies such as ours. Any predictions you make about our future success or viability may not be as accurate as they could be if we had a longer operating history or a history of successfully developing and commercializing pharmaceutical products.</w:t>
      </w:r>
    </w:p>
    <w:p>
      <w:pPr>
        <w:spacing w:after="0" w:line="81" w:lineRule="exact"/>
        <w:rPr>
          <w:sz w:val="20"/>
          <w:szCs w:val="20"/>
          <w:color w:val="auto"/>
        </w:rPr>
      </w:pPr>
    </w:p>
    <w:p>
      <w:pPr>
        <w:ind w:right="320" w:firstLine="510"/>
        <w:spacing w:after="0" w:line="266" w:lineRule="auto"/>
        <w:rPr>
          <w:sz w:val="20"/>
          <w:szCs w:val="20"/>
          <w:color w:val="auto"/>
        </w:rPr>
      </w:pPr>
      <w:r>
        <w:rPr>
          <w:rFonts w:ascii="Times New Roman" w:cs="Times New Roman" w:eastAsia="Times New Roman" w:hAnsi="Times New Roman"/>
          <w:sz w:val="18"/>
          <w:szCs w:val="18"/>
          <w:color w:val="auto"/>
        </w:rPr>
        <w:t>We may encounter unforeseen expenses, difficulties, complications, delays and other known or unknown factors in achieving our business objectives. If we obtain marketing approval for Haduvio or any future product candidate, we will need to transition from a company focused on clinical development to a company capable of supporting commercial activities. We may not be successful in effectuating such a transition.</w:t>
      </w:r>
    </w:p>
    <w:p>
      <w:pPr>
        <w:spacing w:after="0" w:line="68" w:lineRule="exact"/>
        <w:rPr>
          <w:sz w:val="20"/>
          <w:szCs w:val="20"/>
          <w:color w:val="auto"/>
        </w:rPr>
      </w:pPr>
    </w:p>
    <w:p>
      <w:pPr>
        <w:ind w:right="440" w:firstLine="510"/>
        <w:spacing w:after="0" w:line="266" w:lineRule="auto"/>
        <w:rPr>
          <w:sz w:val="20"/>
          <w:szCs w:val="20"/>
          <w:color w:val="auto"/>
        </w:rPr>
      </w:pPr>
      <w:r>
        <w:rPr>
          <w:rFonts w:ascii="Times New Roman" w:cs="Times New Roman" w:eastAsia="Times New Roman" w:hAnsi="Times New Roman"/>
          <w:sz w:val="18"/>
          <w:szCs w:val="18"/>
          <w:color w:val="auto"/>
        </w:rPr>
        <w:t>We expect our financial condition and operating results will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7" w:name="page38"/>
    <w:bookmarkEnd w:id="37"/>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and if we are unable to raise sufficient capital when needed on acceptable terms or at all, we could be forced to delay, reduce or abandon our product development programs or commercialization efforts.</w:t>
      </w:r>
    </w:p>
    <w:p>
      <w:pPr>
        <w:spacing w:after="0" w:line="51"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Developing pharmaceutical products, including conducting preclinical and nonclinical studies and clinical trials, is a very time-consuming, expensive and uncertain process that takes years to complete. We have consumed substantial amounts of cash since our inception. For example, in the nine months ended September 30, 2022 and the year ended December 31, 2021, we used net cash of $21.8 million and $28.9 million, respectively, in our operating activities, substantially all of which related to development activities for Haduvio. As of September 30, 2022, our cash, cash equivalents and marketable securities were $125.6 million. In October 2022, we received approximately $3.1 million in gross proceeds from the partial exercise of the underwriters’ option to purchase additional shares of our common stock in connection with the September 2022 Offering, or the Option. We expect our expenses to increase substantially in connection with our ongoing activities, particularly as we continue to develop Haduvio, including as we:</w:t>
      </w:r>
    </w:p>
    <w:p>
      <w:pPr>
        <w:spacing w:after="0" w:line="81" w:lineRule="exact"/>
        <w:rPr>
          <w:sz w:val="20"/>
          <w:szCs w:val="20"/>
          <w:color w:val="auto"/>
        </w:rPr>
      </w:pPr>
    </w:p>
    <w:p>
      <w:pPr>
        <w:ind w:left="880" w:hanging="373"/>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the next trials we plan to conduct for Haduvio for the treatment of chronic cough in adults with IPF;</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planned Phase 2 clinical trial of Haduvio for the treatment of refractory chronic cough;</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HAL study to further characterize the abuse potential of oral nalbuphine; and</w:t>
      </w:r>
    </w:p>
    <w:p>
      <w:pPr>
        <w:spacing w:after="0" w:line="144" w:lineRule="exact"/>
        <w:rPr>
          <w:rFonts w:ascii="Times New Roman" w:cs="Times New Roman" w:eastAsia="Times New Roman" w:hAnsi="Times New Roman"/>
          <w:sz w:val="18"/>
          <w:szCs w:val="18"/>
          <w:color w:val="auto"/>
        </w:rPr>
      </w:pPr>
    </w:p>
    <w:p>
      <w:pPr>
        <w:ind w:left="520" w:right="1960" w:hanging="13"/>
        <w:spacing w:after="0" w:line="391" w:lineRule="auto"/>
        <w:tabs>
          <w:tab w:leader="none" w:pos="87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the ongoing open-label extension portion of our Phase 2b/3 PRISM trial in patients with prurigo nodularis; In addition, we may incur additional expenses:</w:t>
      </w:r>
    </w:p>
    <w:p>
      <w:pPr>
        <w:ind w:left="880" w:hanging="373"/>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determine to conduct an additional clinical trial for the treatment of prurigo nodularis;</w:t>
      </w:r>
    </w:p>
    <w:p>
      <w:pPr>
        <w:spacing w:after="0" w:line="144" w:lineRule="exact"/>
        <w:rPr>
          <w:rFonts w:ascii="Times New Roman" w:cs="Times New Roman" w:eastAsia="Times New Roman" w:hAnsi="Times New Roman"/>
          <w:sz w:val="18"/>
          <w:szCs w:val="18"/>
          <w:color w:val="auto"/>
        </w:rPr>
      </w:pPr>
    </w:p>
    <w:p>
      <w:pPr>
        <w:ind w:left="880" w:hanging="373"/>
        <w:spacing w:after="0" w:line="282" w:lineRule="auto"/>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acquire or in-license rights to other potential product candidates or technologies and seek regulatory and marketing approvals for Haduvio or any future product candidate that successfully completes clinical trials; and</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COVID-19 pandemic or other outbreaks of infectious disease and resulting clinical trial delays and interruptions.</w:t>
      </w:r>
    </w:p>
    <w:p>
      <w:pPr>
        <w:spacing w:after="0" w:line="144"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In addition, if we obtain marketing approval for Haduvio or any future product candidate, we may incur significant commercialization expenses related to product sales, marketing, manufacturing and distribution. For instance, we currently intend to commercialize Haduvio in the U.S. ourselves by developing a focused, specialty sales, marketing and distribution organization. Furthermore, we expect to continue to incur significant costs associated with operating as a public company. Accordingly, we will need to obtain substantial additional funding in connection with our continuing operations. If we are unable to raise sufficient capital when needed on acceptable terms or at all, we may be forced to delay, reduce or abandon our development programs or any future commercialization efforts.</w:t>
      </w:r>
    </w:p>
    <w:p>
      <w:pPr>
        <w:spacing w:after="0" w:line="79"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We plan to use our existing cash, cash equivalents and marketable securities to fund the development of Haduvio and for working capital and other general corporate purposes. We will be required to expend significant funds to advance the development of Haduvio in multiple indications, as well as any future product candidates we may seek to develop. Our existing cash, cash equivalents and marketable securities will not be sufficient to complete development of Haduvio for the treatment of chronic cough in adults with IPF, for refractory chronic cough or for prurigo nodularis, or for any other condition or of any future product candidate. We do not have any committed external source of funds. Accordingly, we will be required to obtain further funding through public or private equity offerings, debt financings, collaborations and licensing arrangements or other sources to achieve our business objectives. Adequate additional financing may not be available to us on acceptable terms or at all. Our failure to raise capital as and when needed would have a negative impact on our financial condition and our ability to pursue our business strategy.</w:t>
      </w:r>
    </w:p>
    <w:p>
      <w:pPr>
        <w:spacing w:after="0" w:line="84" w:lineRule="exact"/>
        <w:rPr>
          <w:sz w:val="20"/>
          <w:szCs w:val="20"/>
          <w:color w:val="auto"/>
        </w:rPr>
      </w:pPr>
    </w:p>
    <w:p>
      <w:pPr>
        <w:jc w:val="both"/>
        <w:ind w:right="260" w:firstLine="510"/>
        <w:spacing w:after="0" w:line="261" w:lineRule="auto"/>
        <w:rPr>
          <w:sz w:val="20"/>
          <w:szCs w:val="20"/>
          <w:color w:val="auto"/>
        </w:rPr>
      </w:pPr>
      <w:r>
        <w:rPr>
          <w:rFonts w:ascii="Times New Roman" w:cs="Times New Roman" w:eastAsia="Times New Roman" w:hAnsi="Times New Roman"/>
          <w:sz w:val="18"/>
          <w:szCs w:val="18"/>
          <w:color w:val="auto"/>
        </w:rPr>
        <w:t>We indicated that there were a number of factors that raised substantial risks about our ability to continue as a going concern as of the date of our Annual Report on Form 10-K for the year ended December 31, 2021 without additional capital. We believe that our existing cash, cash equivalents and marketable securities, including the proceeds from the exercise of the Option in October 2022, will enable us to fund our operating expenses and capital expenditure requirements into 2026.</w:t>
      </w:r>
    </w:p>
    <w:p>
      <w:pPr>
        <w:spacing w:after="0" w:line="72" w:lineRule="exact"/>
        <w:rPr>
          <w:sz w:val="20"/>
          <w:szCs w:val="20"/>
          <w:color w:val="auto"/>
        </w:rPr>
      </w:pPr>
    </w:p>
    <w:p>
      <w:pPr>
        <w:ind w:right="100" w:firstLine="510"/>
        <w:spacing w:after="0" w:line="256" w:lineRule="auto"/>
        <w:rPr>
          <w:sz w:val="20"/>
          <w:szCs w:val="20"/>
          <w:color w:val="auto"/>
        </w:rPr>
      </w:pPr>
      <w:r>
        <w:rPr>
          <w:rFonts w:ascii="Times New Roman" w:cs="Times New Roman" w:eastAsia="Times New Roman" w:hAnsi="Times New Roman"/>
          <w:sz w:val="18"/>
          <w:szCs w:val="18"/>
          <w:color w:val="auto"/>
        </w:rPr>
        <w:t>We have based our estimates as to how long we expect we will be able to fund our operations on assumptions that may prove to be wrong and we could use our available capital resources sooner than we currently expect, in which case we would be required to obtain additional financing. However, such a financing may not be available to us on acceptable terms, on a timely basis or at all. In addition, under the terms of the Securities Purchase Agreements we entered into with our October 2021 Private Placements, until April 5, 2023, we are prohibited from obtaining additional financing through a variable rate transaction such as an equity line of credit. Our failure to raise capital as and when needed would have a negative impact on our financial condition and our ability to pursue our business strategy.</w:t>
      </w:r>
    </w:p>
    <w:p>
      <w:pPr>
        <w:spacing w:after="0" w:line="79"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38" w:name="page39"/>
    <w:bookmarkEnd w:id="38"/>
    <w:p>
      <w:pPr>
        <w:jc w:val="both"/>
        <w:ind w:left="880" w:right="20" w:hanging="373"/>
        <w:spacing w:after="0" w:line="266"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costs and results of clinical trials of Haduvio, including the next clinical trials for the treatment of chronic cough in adults with IPF, our planned Phase 2 clinical trial in refractory chronic cough, and our ongoing open-label extension portion of our Phase 2b/3 PRISM trial as well as any future product candidates;</w:t>
      </w:r>
    </w:p>
    <w:p>
      <w:pPr>
        <w:spacing w:after="0" w:line="67" w:lineRule="exact"/>
        <w:rPr>
          <w:rFonts w:ascii="Times New Roman" w:cs="Times New Roman" w:eastAsia="Times New Roman" w:hAnsi="Times New Roman"/>
          <w:sz w:val="18"/>
          <w:szCs w:val="18"/>
          <w:color w:val="auto"/>
        </w:rPr>
      </w:pPr>
    </w:p>
    <w:p>
      <w:pPr>
        <w:ind w:left="880" w:right="440" w:hanging="373"/>
        <w:spacing w:after="0" w:line="282"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indications for which we seek to develop Haduvio or any future product candidates and their respective development requirements;</w:t>
      </w:r>
    </w:p>
    <w:p>
      <w:pPr>
        <w:spacing w:after="0" w:line="53" w:lineRule="exact"/>
        <w:rPr>
          <w:rFonts w:ascii="Times New Roman" w:cs="Times New Roman" w:eastAsia="Times New Roman" w:hAnsi="Times New Roman"/>
          <w:sz w:val="18"/>
          <w:szCs w:val="18"/>
          <w:color w:val="auto"/>
        </w:rPr>
      </w:pPr>
    </w:p>
    <w:p>
      <w:pPr>
        <w:ind w:left="880" w:right="200" w:hanging="373"/>
        <w:spacing w:after="0" w:line="282"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costs of clinical and nonclinical trials and of seeking regulatory approvals, including the costs of supportive clinical studies such as our HAL study and a potential Thorough QT, or TQT, study;</w:t>
      </w:r>
    </w:p>
    <w:p>
      <w:pPr>
        <w:spacing w:after="0" w:line="53" w:lineRule="exact"/>
        <w:rPr>
          <w:rFonts w:ascii="Times New Roman" w:cs="Times New Roman" w:eastAsia="Times New Roman" w:hAnsi="Times New Roman"/>
          <w:sz w:val="18"/>
          <w:szCs w:val="18"/>
          <w:color w:val="auto"/>
        </w:rPr>
      </w:pPr>
    </w:p>
    <w:p>
      <w:pPr>
        <w:ind w:left="880" w:right="500" w:hanging="373"/>
        <w:spacing w:after="0" w:line="282"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manufacture of necessary quantities of Haduvio or any future product candidate for clinical development in connection with regulatory submissions;</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rising inflation increases the expenses related to our clinical trials;</w:t>
      </w:r>
    </w:p>
    <w:p>
      <w:pPr>
        <w:spacing w:after="0" w:line="144" w:lineRule="exact"/>
        <w:rPr>
          <w:rFonts w:ascii="Times New Roman" w:cs="Times New Roman" w:eastAsia="Times New Roman" w:hAnsi="Times New Roman"/>
          <w:sz w:val="18"/>
          <w:szCs w:val="18"/>
          <w:color w:val="auto"/>
        </w:rPr>
      </w:pPr>
    </w:p>
    <w:p>
      <w:pPr>
        <w:ind w:left="880" w:right="120" w:hanging="373"/>
        <w:spacing w:after="0" w:line="266"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commercialization activities for Haduvio for the treatment of chronic cough in adults with IPF or any other chronic cough indications or for the treatment of prurigo nodularis or for any future product candidates that receive marketing approval, if any, including the costs and timing of establishing product sales, marketing, distribution and manufacturing capabilities;</w:t>
      </w:r>
    </w:p>
    <w:p>
      <w:pPr>
        <w:spacing w:after="0" w:line="67" w:lineRule="exact"/>
        <w:rPr>
          <w:rFonts w:ascii="Times New Roman" w:cs="Times New Roman" w:eastAsia="Times New Roman" w:hAnsi="Times New Roman"/>
          <w:sz w:val="18"/>
          <w:szCs w:val="18"/>
          <w:color w:val="auto"/>
        </w:rPr>
      </w:pPr>
    </w:p>
    <w:p>
      <w:pPr>
        <w:ind w:left="880" w:right="280" w:hanging="373"/>
        <w:spacing w:after="0" w:line="312" w:lineRule="auto"/>
        <w:tabs>
          <w:tab w:leader="none" w:pos="8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receipt of marketing approvals, revenue, if any, received from commercial sales of Haduvio for the treatment of chronic cough in adults with IPF or for any other chronic cough indications or for the treatment of prurigo nodularis, or from any future product candidates;</w:t>
      </w:r>
    </w:p>
    <w:p>
      <w:pPr>
        <w:spacing w:after="0" w:line="31" w:lineRule="exact"/>
        <w:rPr>
          <w:rFonts w:ascii="Times New Roman" w:cs="Times New Roman" w:eastAsia="Times New Roman" w:hAnsi="Times New Roman"/>
          <w:sz w:val="17"/>
          <w:szCs w:val="17"/>
          <w:color w:val="auto"/>
        </w:rPr>
      </w:pPr>
    </w:p>
    <w:p>
      <w:pPr>
        <w:ind w:left="880" w:right="120" w:hanging="373"/>
        <w:spacing w:after="0" w:line="266"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potential collaborators for Haduvio for the treatment of prurigo nodularis or for the treatment of chronic cough in adults with IPF or for any other chronic cough indications or for any future product candidates, and the terms and timing of any collaboration agreement that we may establish for the development and any commercialization of such product candidates;</w:t>
      </w:r>
    </w:p>
    <w:p>
      <w:pPr>
        <w:spacing w:after="0" w:line="67" w:lineRule="exact"/>
        <w:rPr>
          <w:rFonts w:ascii="Times New Roman" w:cs="Times New Roman" w:eastAsia="Times New Roman" w:hAnsi="Times New Roman"/>
          <w:sz w:val="18"/>
          <w:szCs w:val="18"/>
          <w:color w:val="auto"/>
        </w:rPr>
      </w:pPr>
    </w:p>
    <w:p>
      <w:pPr>
        <w:ind w:left="880" w:right="180" w:hanging="373"/>
        <w:spacing w:after="0" w:line="282"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rights to other potential product candidates or technologies and the terms and timing of any such acquisition or licensing arrangements;</w:t>
      </w:r>
    </w:p>
    <w:p>
      <w:pPr>
        <w:spacing w:after="0" w:line="53" w:lineRule="exact"/>
        <w:rPr>
          <w:rFonts w:ascii="Times New Roman" w:cs="Times New Roman" w:eastAsia="Times New Roman" w:hAnsi="Times New Roman"/>
          <w:sz w:val="18"/>
          <w:szCs w:val="18"/>
          <w:color w:val="auto"/>
        </w:rPr>
      </w:pPr>
    </w:p>
    <w:p>
      <w:pPr>
        <w:ind w:left="880" w:right="280" w:hanging="373"/>
        <w:spacing w:after="0" w:line="239" w:lineRule="auto"/>
        <w:tabs>
          <w:tab w:leader="none" w:pos="88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potential obligation to make milestone payments to Endo, which would become due upon the successful completion of the first Phase 3 clinical trial of a licensed product candidate and the marketing approval of a licensed product in the United States, as well as our potential obligations to pay Endo mid-single digit royalties on the net sales of the product;</w:t>
      </w:r>
    </w:p>
    <w:p>
      <w:pPr>
        <w:spacing w:after="0" w:line="91" w:lineRule="exact"/>
        <w:rPr>
          <w:rFonts w:ascii="Times New Roman" w:cs="Times New Roman" w:eastAsia="Times New Roman" w:hAnsi="Times New Roman"/>
          <w:sz w:val="22"/>
          <w:szCs w:val="22"/>
          <w:color w:val="auto"/>
        </w:rPr>
      </w:pPr>
    </w:p>
    <w:p>
      <w:pPr>
        <w:ind w:left="880" w:hanging="373"/>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activities and establish a commercial infrastructure;</w:t>
      </w:r>
    </w:p>
    <w:p>
      <w:pPr>
        <w:spacing w:after="0" w:line="144" w:lineRule="exact"/>
        <w:rPr>
          <w:rFonts w:ascii="Times New Roman" w:cs="Times New Roman" w:eastAsia="Times New Roman" w:hAnsi="Times New Roman"/>
          <w:sz w:val="18"/>
          <w:szCs w:val="18"/>
          <w:color w:val="auto"/>
        </w:rPr>
      </w:pPr>
    </w:p>
    <w:p>
      <w:pPr>
        <w:ind w:left="880" w:right="280" w:hanging="373"/>
        <w:spacing w:after="0" w:line="282"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expanding and protecting our intellectual property rights and defending against intellectual property-related claims;</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technologies and market developments;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healthcare coverage and adequate reimbursement for our products;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 and</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the COVID-19 pandemic on the scope, progress, timing, costs and results of our ongoing and planned clinical trials of Haduvio.</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affect our financial condition or restrict our future operations.</w:t>
      </w:r>
    </w:p>
    <w:p>
      <w:pPr>
        <w:spacing w:after="0" w:line="12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On August 13, 2020, we entered into a Loan and Security Agreement, or the SVB Loan Agreement with Silicon Valley Bank, or SVB, pursuant to which SVB provided a term loan to us in the original principal amount of $14.0 million, or the SVB Term Loan. The SVB Term Loan bears interest at a floating rate per annum equal to the greater of (A) the prime rate plus 3.00% and (B) 6.25%. The Federal Reserve has recently raised interest rates to combat the effects of recent high inflation and may raise interest rates further in the future. The increase in interest rates by the Federal Reserve has caused, and could in the future continue to cause, the prime rate to increase, which has increased and could in the future further increase our debt service obligations. Significant increases in such obligations could have a negative impact on our financial position or operating results, including cash available for servicing our indebtedness.</w:t>
      </w:r>
    </w:p>
    <w:p>
      <w:pPr>
        <w:spacing w:after="0" w:line="81"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On the first business day of each month, we are required to make monthly interest payments and commencing on March 1, 2022, we are required to repay the SVB Term Loan in 24 consecutive installments of principal plus monthly payments of accrued interest. All outstanding principal and accrued and unpaid interest under the SVB Term Loan and all other outstanding obligations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39" w:name="page40"/>
    <w:bookmarkEnd w:id="39"/>
    <w:p>
      <w:pPr>
        <w:ind w:right="20"/>
        <w:spacing w:after="0" w:line="255" w:lineRule="auto"/>
        <w:rPr>
          <w:sz w:val="20"/>
          <w:szCs w:val="20"/>
          <w:color w:val="auto"/>
        </w:rPr>
      </w:pPr>
      <w:r>
        <w:rPr>
          <w:rFonts w:ascii="Times New Roman" w:cs="Times New Roman" w:eastAsia="Times New Roman" w:hAnsi="Times New Roman"/>
          <w:sz w:val="18"/>
          <w:szCs w:val="18"/>
          <w:color w:val="auto"/>
        </w:rPr>
        <w:t>with respect to the SVB Term Loan are due and payable in full on February 1, 2024. Our obligations under the Loan Agreement are secured by substantially all of our assets, excluding our intellectual property (which is subject to a negative pledge under the Loan Agreement). The SVB Loan Agreement also includes customary affirmative and negative covenants, including a requirement to maintain our bank accounts with SVB or bank accounts that are subject to SVB’s control and limitations on transferring all or any part of our business or property, changing our business, liquidating or dissolving, permitting a change in control, adding new offices or business locations, changing jurisdiction of organization, organizational structure or legal name, merging with or acquiring another entity, incurring additional indebtedness, creating any lien on our property, paying dividends or redeeming stock, entering into material transactions with an affiliate or making payments on subordinated debt.</w:t>
      </w:r>
    </w:p>
    <w:p>
      <w:pPr>
        <w:spacing w:after="0" w:line="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Our debt combined with our other financial obligations and contractual commitments could have significant adverse consequences, including:</w:t>
      </w:r>
    </w:p>
    <w:p>
      <w:pPr>
        <w:spacing w:after="0" w:line="117" w:lineRule="exact"/>
        <w:rPr>
          <w:sz w:val="20"/>
          <w:szCs w:val="20"/>
          <w:color w:val="auto"/>
        </w:rPr>
      </w:pPr>
    </w:p>
    <w:p>
      <w:pPr>
        <w:ind w:left="880" w:hanging="373"/>
        <w:spacing w:after="0" w:line="282" w:lineRule="auto"/>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portion of our cash and cash equivalents to the payment of interest on and principal of our debt, which will reduce the amounts available to fund working capital, capital expenditures, product development efforts and other general corporate purposes;</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the risk of interest rate volatility as the SVB Term Loan is subject to a floating interest rate;</w:t>
      </w:r>
    </w:p>
    <w:p>
      <w:pPr>
        <w:spacing w:after="0" w:line="144" w:lineRule="exact"/>
        <w:rPr>
          <w:rFonts w:ascii="Times New Roman" w:cs="Times New Roman" w:eastAsia="Times New Roman" w:hAnsi="Times New Roman"/>
          <w:sz w:val="18"/>
          <w:szCs w:val="18"/>
          <w:color w:val="auto"/>
        </w:rPr>
      </w:pPr>
    </w:p>
    <w:p>
      <w:pPr>
        <w:ind w:left="880" w:right="320" w:hanging="373"/>
        <w:spacing w:after="0" w:line="282" w:lineRule="auto"/>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obligating us to negative covenants restricting our activities, including the negative covenants to which we are subject under the SVB Loan Agreement; and</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our industry.</w:t>
      </w:r>
    </w:p>
    <w:p>
      <w:pPr>
        <w:spacing w:after="0" w:line="144"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We intend to satisfy our debt service obligations with our existing cash, cash equivalents and marketable securities, proceeds from the exercise of any warrants from the October 2021 Private Placements, and any additional amounts we may raise through future debt and equity financings. However, we may not have sufficient funds or may be unable to arrange for additional financing to pay the amounts due under our existing debt. Funds from external sources may not be available on acceptable terms, if at all. Failure to pay any amount due under the SVB Loan Agreement, to comply with covenants under the SVB Loan Agreement or the occurrence of an event that would reasonably be expected to have a material adverse effect on our business, operations or condition (financial or otherwise) would result in an event of default. The occurrence and continuation of an event of default could cause interest to be charged at the rate that is otherwise applicable plus 5.00% (unless SVB elects to impose a smaller increase) and would provide SVB with the right to accelerate all obligations under the SVB Loan Agreement and exercise remedies against us and the collateral securing the SVB Term Loan and other obligations under the SVB Loan Agreement, including foreclosure against assets securing the SVB Term Loan and other obligations under the SVB Loan Agreement, including our cash. In addition, the covenants under the SVB Loan Agreement and the pledge of substantially all our assets, excluding our intellectual property (which is subject to a negative pledge under the SVB Loan Agreement), as collateral on the SVB Term Loan may limit our ability to obtain additional debt financing.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product candidates.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our expenses to increase substantially in connection with our planned operations, particularly as we:</w:t>
      </w:r>
    </w:p>
    <w:p>
      <w:pPr>
        <w:spacing w:after="0" w:line="117" w:lineRule="exact"/>
        <w:rPr>
          <w:sz w:val="20"/>
          <w:szCs w:val="20"/>
          <w:color w:val="auto"/>
        </w:rPr>
      </w:pPr>
    </w:p>
    <w:p>
      <w:pPr>
        <w:ind w:left="880" w:hanging="373"/>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the next clinical trials we plan to conduct for Haduvio for the treatment of chronic cough in adults with IPF;</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planned Phase 2 clinical trial of Haduvio for the treatment of refractory chronic cough;</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HAL study to further characterize the abusive potential of oral nalbuphine; and</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the open-label extension portion of our Phase 2b/3 PRISM trial.</w:t>
      </w:r>
    </w:p>
    <w:p>
      <w:pPr>
        <w:spacing w:after="0" w:line="144"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Accordingly, we will be required to obtain further funding through public or private equity offerings, debt financings, collaborations and licensing arrangements or other sources to fund these expenses. To the extent that we raise additional capital through the sale of common stock, convertible securities or other equity securities, your ownership interest may be diluted, and the terms of these securities could include liquidation or other preferences and anti-dilution protections that could adversely affect your rights as a common stockholder.</w:t>
      </w:r>
    </w:p>
    <w:p>
      <w:pPr>
        <w:spacing w:after="0" w:line="72" w:lineRule="exact"/>
        <w:rPr>
          <w:sz w:val="20"/>
          <w:szCs w:val="20"/>
          <w:color w:val="auto"/>
        </w:rPr>
      </w:pPr>
    </w:p>
    <w:p>
      <w:pPr>
        <w:ind w:right="60" w:firstLine="510"/>
        <w:spacing w:after="0" w:line="255" w:lineRule="auto"/>
        <w:rPr>
          <w:sz w:val="20"/>
          <w:szCs w:val="20"/>
          <w:color w:val="auto"/>
        </w:rPr>
      </w:pPr>
      <w:r>
        <w:rPr>
          <w:rFonts w:ascii="Times New Roman" w:cs="Times New Roman" w:eastAsia="Times New Roman" w:hAnsi="Times New Roman"/>
          <w:sz w:val="18"/>
          <w:szCs w:val="18"/>
          <w:color w:val="auto"/>
        </w:rPr>
        <w:t>Our ability to obtain further debt financing may be limited by the covenants under the SVB Loan Agreement, which include a covenant not to incur additional indebtedness as well as the pledge of substantially all our assets, excluding our intellectual property (which is subject to a negative pledge under the SVB Loan Agreement), as collateral on the SVB Term Loan. In addition, further debt financing, if available, would result in additional fixed payment obligations and may involve agreements that include grants of additional security interests on our assets and additional restrictive covenants that limit our ability to take specific actions, such as incurring additional debt, making capital expenditures, granting liens over our assets, redeeming stock or declaring dividends, that could adversely impact our ability to conduct our business, which covenants may be more restrictive than the covenants to which we are subject under the SVB Loan Agreement.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0" w:name="page41"/>
    <w:bookmarkEnd w:id="40"/>
    <w:p>
      <w:pPr>
        <w:ind w:firstLine="510"/>
        <w:spacing w:after="0" w:line="261" w:lineRule="auto"/>
        <w:rPr>
          <w:sz w:val="20"/>
          <w:szCs w:val="20"/>
          <w:color w:val="auto"/>
        </w:rPr>
      </w:pPr>
      <w:r>
        <w:rPr>
          <w:rFonts w:ascii="Times New Roman" w:cs="Times New Roman" w:eastAsia="Times New Roman" w:hAnsi="Times New Roman"/>
          <w:sz w:val="18"/>
          <w:szCs w:val="18"/>
          <w:color w:val="auto"/>
        </w:rPr>
        <w:t>Securing financing could also require a substantial amount of time from our management and may divert a disproportionate amount of their attention away from daily activities, which may adversely affect our management’s ability to oversee the development of Haduvio or that of any future product candidates. If we raise additional funds through collaborations or marketing, distribution or licensing arrangements with third parties, we may have to relinquish valuable rights to future revenue streams or product candidates or grant licenses on terms that may not be favorable to us.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and Commercialization of Haduvio and Any Future Product Candidates</w:t>
      </w:r>
    </w:p>
    <w:p>
      <w:pPr>
        <w:spacing w:after="0" w:line="117"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successful development and commercialization of Haduvio, our sole product candidate. If we are unable to complete the clinical development of, obtain marketing approval for or successfully commercialize Haduvio or if we experience significant delays in doing so, our business would be substantially harmed.</w:t>
      </w:r>
    </w:p>
    <w:p>
      <w:pPr>
        <w:spacing w:after="0" w:line="67"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We currently have no products approved for sale and are investing substantially all our efforts and financial resources to fund the development and commercialization of Haduvio for the treatment of chronic cough in adults with IPF and other chronic cough indications, and for the treatment of prurigo nodularis. Our prospects are dependent on our ability to develop, obtain marketing approval for and successfully commercialize Haduvio in one or more indications as we currently have no other product candidates under development. We may acquire or in-license rights to other potential product candidates or technologies in the future, but we are currently not developing any other product candidates.</w:t>
      </w:r>
    </w:p>
    <w:p>
      <w:pPr>
        <w:spacing w:after="0" w:line="75" w:lineRule="exact"/>
        <w:rPr>
          <w:sz w:val="20"/>
          <w:szCs w:val="20"/>
          <w:color w:val="auto"/>
        </w:rPr>
      </w:pPr>
    </w:p>
    <w:p>
      <w:pPr>
        <w:ind w:right="40" w:firstLine="510"/>
        <w:spacing w:after="0" w:line="266" w:lineRule="auto"/>
        <w:rPr>
          <w:sz w:val="20"/>
          <w:szCs w:val="20"/>
          <w:color w:val="auto"/>
        </w:rPr>
      </w:pPr>
      <w:r>
        <w:rPr>
          <w:rFonts w:ascii="Times New Roman" w:cs="Times New Roman" w:eastAsia="Times New Roman" w:hAnsi="Times New Roman"/>
          <w:sz w:val="18"/>
          <w:szCs w:val="18"/>
          <w:color w:val="auto"/>
        </w:rPr>
        <w:t>Our most advanced programs are the development of Haduvio for the treatment of chronic cough in adults with IPF and for the treatment of prurigo nodularis. As a result, if our efforts to develop and commercialize Haduvio for the treatment of chronic cough in adults with IPF or for the treatment of prurigo nodularis are unsuccessful or we experience significant delays in doing so, our business could also be substantially harmed.</w:t>
      </w:r>
    </w:p>
    <w:p>
      <w:pPr>
        <w:spacing w:after="0" w:line="68" w:lineRule="exact"/>
        <w:rPr>
          <w:sz w:val="20"/>
          <w:szCs w:val="20"/>
          <w:color w:val="auto"/>
        </w:rPr>
      </w:pPr>
    </w:p>
    <w:p>
      <w:pPr>
        <w:ind w:right="220" w:firstLine="510"/>
        <w:spacing w:after="0" w:line="282" w:lineRule="auto"/>
        <w:rPr>
          <w:sz w:val="20"/>
          <w:szCs w:val="20"/>
          <w:color w:val="auto"/>
        </w:rPr>
      </w:pPr>
      <w:r>
        <w:rPr>
          <w:rFonts w:ascii="Times New Roman" w:cs="Times New Roman" w:eastAsia="Times New Roman" w:hAnsi="Times New Roman"/>
          <w:sz w:val="18"/>
          <w:szCs w:val="18"/>
          <w:color w:val="auto"/>
        </w:rPr>
        <w:t>The success of Haduvio for the treatment of chronic cough in adults with IPF and other chronic cough conditions and for the treatment of prurigo nodularis will depend on several factors, including the following:</w:t>
      </w:r>
    </w:p>
    <w:p>
      <w:pPr>
        <w:spacing w:after="0" w:line="54" w:lineRule="exact"/>
        <w:rPr>
          <w:sz w:val="20"/>
          <w:szCs w:val="20"/>
          <w:color w:val="auto"/>
        </w:rPr>
      </w:pPr>
    </w:p>
    <w:p>
      <w:pPr>
        <w:ind w:left="880" w:right="200" w:hanging="373"/>
        <w:spacing w:after="0" w:line="266" w:lineRule="auto"/>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initiating and successfully recruiting, enrolling and retaining subjects in and completing additional clinical and nonclinical trials of Haduvio, including the additional clinical trials we plan to conduct for the treatment of chronic cough in adults with IPF, which are subject to the submission and clearance by the FDA of an IND for such trials;</w:t>
      </w:r>
    </w:p>
    <w:p>
      <w:pPr>
        <w:spacing w:after="0" w:line="67" w:lineRule="exact"/>
        <w:rPr>
          <w:rFonts w:ascii="Times New Roman" w:cs="Times New Roman" w:eastAsia="Times New Roman" w:hAnsi="Times New Roman"/>
          <w:sz w:val="18"/>
          <w:szCs w:val="18"/>
          <w:color w:val="auto"/>
        </w:rPr>
      </w:pPr>
    </w:p>
    <w:p>
      <w:pPr>
        <w:ind w:left="880" w:right="260" w:hanging="373"/>
        <w:spacing w:after="0" w:line="282" w:lineRule="auto"/>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the open-label extension portion of our Phase 2b/3 PRISM trial and determining the next steps for the program after discussions with the FDA;</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other supportive clinical studies such as our HAL study, a potential physical dependence study and a potential TQT study;</w:t>
      </w:r>
    </w:p>
    <w:p>
      <w:pPr>
        <w:spacing w:after="0" w:line="144" w:lineRule="exact"/>
        <w:rPr>
          <w:rFonts w:ascii="Times New Roman" w:cs="Times New Roman" w:eastAsia="Times New Roman" w:hAnsi="Times New Roman"/>
          <w:sz w:val="18"/>
          <w:szCs w:val="18"/>
          <w:color w:val="auto"/>
        </w:rPr>
      </w:pPr>
    </w:p>
    <w:p>
      <w:pPr>
        <w:ind w:left="880" w:right="600" w:hanging="373"/>
        <w:spacing w:after="0" w:line="282" w:lineRule="auto"/>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demonstrating safety, tolerability and efficacy profiles that are satisfactory to the FDA, EMA, MHRA and other comparable regulatory authorities for marketing approval;</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timely marketing approvals from applicable regulatory authorities;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extent and cost of any required post-marketing approval commitments to applicable regulatory authorities;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arrangements with our third-party supplier of drug substance for Haduvio;</w:t>
      </w:r>
    </w:p>
    <w:p>
      <w:pPr>
        <w:spacing w:after="0" w:line="144" w:lineRule="exact"/>
        <w:rPr>
          <w:rFonts w:ascii="Times New Roman" w:cs="Times New Roman" w:eastAsia="Times New Roman" w:hAnsi="Times New Roman"/>
          <w:sz w:val="18"/>
          <w:szCs w:val="18"/>
          <w:color w:val="auto"/>
        </w:rPr>
      </w:pPr>
    </w:p>
    <w:p>
      <w:pPr>
        <w:ind w:left="880" w:right="360" w:hanging="373"/>
        <w:spacing w:after="0" w:line="282" w:lineRule="auto"/>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arrangements with third-party manufacturers of Haduvio, including developing, validating and maintaining a commercially viable manufacturing process that is compliant with current good manufacturing practices, or cGMPs;</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and protecting our patents, trade secrets and regulatory exclusivity in the U.S. and other countries;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focused, specialty sales organization in the U.S. and successfully launching commercial sales following any marketing approval;</w:t>
      </w:r>
    </w:p>
    <w:p>
      <w:pPr>
        <w:spacing w:after="0" w:line="144" w:lineRule="exact"/>
        <w:rPr>
          <w:rFonts w:ascii="Times New Roman" w:cs="Times New Roman" w:eastAsia="Times New Roman" w:hAnsi="Times New Roman"/>
          <w:sz w:val="18"/>
          <w:szCs w:val="18"/>
          <w:color w:val="auto"/>
        </w:rPr>
      </w:pPr>
    </w:p>
    <w:p>
      <w:pPr>
        <w:ind w:left="880" w:right="200" w:hanging="373"/>
        <w:spacing w:after="0" w:line="282" w:lineRule="auto"/>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commercial acceptance of our products, if approved, by patients, the medical community and third-party payors and obtaining and maintaining healthcare coverage and adequate reimbursement;</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acceptable safety profile following any marketing approval; and</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therapies.</w:t>
      </w:r>
    </w:p>
    <w:p>
      <w:pPr>
        <w:spacing w:after="0" w:line="144"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Many of these factors are beyond our control, including the clinical development and regulatory approval process; potential threats to our intellectual property rights; and the manufacturing, marketing and sales efforts, respectively, of any current or future third-party contractors. If we are unable to develop, receive marketing approval for and successfully commercialize Haduvio or if we experience delays as a result of any of these factors or otherwise, our business would be substantially harmed.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approach to the development and commercialization of Haduvio to treat serious neurologically mediated conditions is</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unproven.</w:t>
      </w:r>
    </w:p>
    <w:p>
      <w:pPr>
        <w:spacing w:after="0" w:line="12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We are currently focused on the development and commercialization of Haduvio for the treatment of chronic cough in adults with IPF and other chronic cough indications, and for the treatment of prurigo nodularis. Haduvio is an oral extended-release formulation of nalbuphine, the active drug ingredient in Haduvio, which is a mixed κ-opioid receptor agonist and μ-opioid receptor antagonist that has been approved and marketed as an injectable for pain indications for more than 20 years in the U.S. and Europe. Nalbuphine is currently not commercially available in an oral dosage form, such as Haduvio. While we believe that nalbuphine’s dual mechanism of action, which targets both the central and peripheral nervous systems, makes Haduvio a promising potential therapy for the treatment of chronic cough, chronic pruritus, and other serious neurologically mediated conditions and that Haduvio has the potential to be safe and well-tolerated, nalbuphine has not been approved in any indications other than pain. Additionally, Haduvio has not been approved in any indication. No therapies have been approved in the U.S. or Europe for the treatment of chronic cough in adults with IPF and we can provide no assurance that either Haduvio or any other future product candidate that we may seek to develop for this indication or for any other serious neurologically mediated condition will be effective or safe, obtain regulatory approval or be commercially successful.</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w:t>
      </w:r>
    </w:p>
    <w:p>
      <w:pPr>
        <w:spacing w:after="0" w:line="121"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We are not permitted to commercialize, market, promote or sell any product candidate in the U.S. without obtaining marketing approval from the FDA. Foreign regulatory authorities, such as the EMA and MHRA, impose similar requirements. We must complete extensive clinical trials to demonstrate the safety and efficacy of Haduvio and any future product candidate in humans and complete required regulatory submissions before we will be able to obtain these approvals. We may never receive such approvals.</w:t>
      </w:r>
    </w:p>
    <w:p>
      <w:pPr>
        <w:spacing w:after="0" w:line="72" w:lineRule="exact"/>
        <w:rPr>
          <w:sz w:val="20"/>
          <w:szCs w:val="20"/>
          <w:color w:val="auto"/>
        </w:rPr>
      </w:pPr>
    </w:p>
    <w:p>
      <w:pPr>
        <w:ind w:right="220" w:firstLine="510"/>
        <w:spacing w:after="0" w:line="261" w:lineRule="auto"/>
        <w:rPr>
          <w:sz w:val="20"/>
          <w:szCs w:val="20"/>
          <w:color w:val="auto"/>
        </w:rPr>
      </w:pPr>
      <w:r>
        <w:rPr>
          <w:rFonts w:ascii="Times New Roman" w:cs="Times New Roman" w:eastAsia="Times New Roman" w:hAnsi="Times New Roman"/>
          <w:sz w:val="18"/>
          <w:szCs w:val="18"/>
          <w:color w:val="auto"/>
        </w:rPr>
        <w:t>Clinical testing is expensive, is difficult to design and implement, can take many years to complete and is inherently uncertain as to outcome. The clinical development of Haduvio and any future product candidate is susceptible to the risk of failure at any stage of product development and we may experience numerous unforeseen events during or as a result of, clinical trials that could delay or prevent clinical development, marketing approval or commercialization of Haduvio or any future product candidate, including:</w:t>
      </w:r>
    </w:p>
    <w:p>
      <w:pPr>
        <w:spacing w:after="0" w:line="72" w:lineRule="exact"/>
        <w:rPr>
          <w:sz w:val="20"/>
          <w:szCs w:val="20"/>
          <w:color w:val="auto"/>
        </w:rPr>
      </w:pPr>
    </w:p>
    <w:p>
      <w:pPr>
        <w:ind w:left="880" w:hanging="373"/>
        <w:spacing w:after="0"/>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may produce unfavorable or inconclusive results;</w:t>
      </w:r>
    </w:p>
    <w:p>
      <w:pPr>
        <w:spacing w:after="0" w:line="144" w:lineRule="exact"/>
        <w:rPr>
          <w:rFonts w:ascii="Times New Roman" w:cs="Times New Roman" w:eastAsia="Times New Roman" w:hAnsi="Times New Roman"/>
          <w:sz w:val="18"/>
          <w:szCs w:val="18"/>
          <w:color w:val="auto"/>
        </w:rPr>
      </w:pPr>
    </w:p>
    <w:p>
      <w:pPr>
        <w:ind w:left="880" w:right="120" w:hanging="373"/>
        <w:spacing w:after="0" w:line="282" w:lineRule="auto"/>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or regulators may require us, to restructure clinical trials, conduct additional clinical and nonclinical trials or abandon product development programs;</w:t>
      </w:r>
    </w:p>
    <w:p>
      <w:pPr>
        <w:spacing w:after="0" w:line="53" w:lineRule="exact"/>
        <w:rPr>
          <w:rFonts w:ascii="Times New Roman" w:cs="Times New Roman" w:eastAsia="Times New Roman" w:hAnsi="Times New Roman"/>
          <w:sz w:val="18"/>
          <w:szCs w:val="18"/>
          <w:color w:val="auto"/>
        </w:rPr>
      </w:pPr>
    </w:p>
    <w:p>
      <w:pPr>
        <w:ind w:left="880" w:right="220" w:hanging="373"/>
        <w:spacing w:after="0" w:line="282" w:lineRule="auto"/>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subjects required for clinical trials may be larger than we anticipate, such as with the increase of the target number of enrolled subjects for our Phase 2b/3 PRISM trial from 240 to 360 subjects as a result of the sample size re-estimation, or SSRE, analysis;</w:t>
      </w:r>
    </w:p>
    <w:p>
      <w:pPr>
        <w:spacing w:after="0" w:line="53" w:lineRule="exact"/>
        <w:rPr>
          <w:rFonts w:ascii="Times New Roman" w:cs="Times New Roman" w:eastAsia="Times New Roman" w:hAnsi="Times New Roman"/>
          <w:sz w:val="18"/>
          <w:szCs w:val="18"/>
          <w:color w:val="auto"/>
        </w:rPr>
      </w:pPr>
    </w:p>
    <w:p>
      <w:pPr>
        <w:ind w:left="880" w:right="160" w:hanging="373"/>
        <w:spacing w:after="0" w:line="266" w:lineRule="auto"/>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enrollment in clinical trials may be slower than we anticipate, whether as a result of the COVID-19 pandemic or other outbreaks of infectious disease or otherwise, or participants may discontinue their participation in these clinical trials at a higher rate than we anticipate, as we experienced in our Phase 2b/3 PRISM trial of Haduvio for the treatment of prurigo nodularis;</w:t>
      </w:r>
    </w:p>
    <w:p>
      <w:pPr>
        <w:spacing w:after="0" w:line="67" w:lineRule="exact"/>
        <w:rPr>
          <w:rFonts w:ascii="Times New Roman" w:cs="Times New Roman" w:eastAsia="Times New Roman" w:hAnsi="Times New Roman"/>
          <w:sz w:val="18"/>
          <w:szCs w:val="18"/>
          <w:color w:val="auto"/>
        </w:rPr>
      </w:pPr>
    </w:p>
    <w:p>
      <w:pPr>
        <w:ind w:left="880" w:right="20" w:hanging="373"/>
        <w:spacing w:after="0" w:line="266" w:lineRule="auto"/>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planned clinical trials may be greater than we anticipate, such as with our Phase 2b/3 PRISM trial where we added additional sites, increased the target number of enrolled subjects, experienced enrollment that took longer than expected and used additional incentive strategies to address site activation and enrollment;</w:t>
      </w:r>
    </w:p>
    <w:p>
      <w:pPr>
        <w:spacing w:after="0" w:line="6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sites may not have adequate staff and resources to support our trials on a timely basis;</w:t>
      </w:r>
    </w:p>
    <w:p>
      <w:pPr>
        <w:spacing w:after="0" w:line="144" w:lineRule="exact"/>
        <w:rPr>
          <w:rFonts w:ascii="Times New Roman" w:cs="Times New Roman" w:eastAsia="Times New Roman" w:hAnsi="Times New Roman"/>
          <w:sz w:val="18"/>
          <w:szCs w:val="18"/>
          <w:color w:val="auto"/>
        </w:rPr>
      </w:pPr>
    </w:p>
    <w:p>
      <w:pPr>
        <w:ind w:left="880" w:right="80" w:hanging="373"/>
        <w:spacing w:after="0" w:line="266" w:lineRule="auto"/>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including any that may be manufacturing a product candidate or drug substance or conducting clinical trials on our behalf, may deviate from applicable trial protocols, fail to comply with regulatory requirements or fail to meet their contractual obligations to us in a timely manner or at all;</w:t>
      </w:r>
    </w:p>
    <w:p>
      <w:pPr>
        <w:spacing w:after="0" w:line="67" w:lineRule="exact"/>
        <w:rPr>
          <w:rFonts w:ascii="Times New Roman" w:cs="Times New Roman" w:eastAsia="Times New Roman" w:hAnsi="Times New Roman"/>
          <w:sz w:val="18"/>
          <w:szCs w:val="18"/>
          <w:color w:val="auto"/>
        </w:rPr>
      </w:pPr>
    </w:p>
    <w:p>
      <w:pPr>
        <w:ind w:left="880" w:right="280" w:hanging="373"/>
        <w:spacing w:after="0" w:line="282" w:lineRule="auto"/>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ind w:left="880" w:right="20" w:hanging="373"/>
        <w:spacing w:after="0" w:line="282" w:lineRule="auto"/>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w:t>
      </w:r>
    </w:p>
    <w:p>
      <w:pPr>
        <w:spacing w:after="0" w:line="53" w:lineRule="exact"/>
        <w:rPr>
          <w:rFonts w:ascii="Times New Roman" w:cs="Times New Roman" w:eastAsia="Times New Roman" w:hAnsi="Times New Roman"/>
          <w:sz w:val="18"/>
          <w:szCs w:val="18"/>
          <w:color w:val="auto"/>
        </w:rPr>
      </w:pPr>
    </w:p>
    <w:p>
      <w:pPr>
        <w:ind w:left="880" w:right="40" w:hanging="373"/>
        <w:spacing w:after="0" w:line="266" w:lineRule="auto"/>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who enroll in a clinical trial may misrepresent their eligibility to do so or may otherwise not comply with applicable clinical trial protocols, resulting in the need to drop the subjects from the clinical trial, increase the needed enrollment size for the clinical trial or extend the clinical trial’s duration;</w:t>
      </w:r>
    </w:p>
    <w:p>
      <w:pPr>
        <w:spacing w:after="0" w:line="67" w:lineRule="exact"/>
        <w:rPr>
          <w:rFonts w:ascii="Times New Roman" w:cs="Times New Roman" w:eastAsia="Times New Roman" w:hAnsi="Times New Roman"/>
          <w:sz w:val="18"/>
          <w:szCs w:val="18"/>
          <w:color w:val="auto"/>
        </w:rPr>
      </w:pPr>
    </w:p>
    <w:p>
      <w:pPr>
        <w:ind w:left="880" w:right="360" w:hanging="373"/>
        <w:spacing w:after="0" w:line="282" w:lineRule="auto"/>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delay, suspend or terminate clinical trials for various reasons, including a finding that the participants are being exposed to unacceptable health risks, undesirable side effects or other unexpected characteristics of a product candidate;</w:t>
      </w:r>
    </w:p>
    <w:p>
      <w:pPr>
        <w:spacing w:after="0" w:line="53" w:lineRule="exact"/>
        <w:rPr>
          <w:rFonts w:ascii="Times New Roman" w:cs="Times New Roman" w:eastAsia="Times New Roman" w:hAnsi="Times New Roman"/>
          <w:sz w:val="18"/>
          <w:szCs w:val="18"/>
          <w:color w:val="auto"/>
        </w:rPr>
      </w:pPr>
    </w:p>
    <w:p>
      <w:pPr>
        <w:ind w:left="880" w:hanging="373"/>
        <w:spacing w:after="0" w:line="261" w:lineRule="auto"/>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may require that we or our investigators suspend or terminate clinical research for various reasons, including noncompliance with regulatory requirements or their standards of conduct, a finding that the participants are being exposed to unacceptable health risks, undesirable side effects or other unexpected characteristics of the product candidate or findings of undesirable effects caused by a chemically or mechanistically similar product or product candidate;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42" w:name="page43"/>
    <w:bookmarkEnd w:id="42"/>
    <w:p>
      <w:pPr>
        <w:ind w:left="880" w:right="140" w:hanging="373"/>
        <w:spacing w:after="0" w:line="282" w:lineRule="auto"/>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clinical trial designs or our interpretation of data from preclinical studies and clinical trials;</w:t>
      </w:r>
    </w:p>
    <w:p>
      <w:pPr>
        <w:spacing w:after="0" w:line="53" w:lineRule="exact"/>
        <w:rPr>
          <w:rFonts w:ascii="Times New Roman" w:cs="Times New Roman" w:eastAsia="Times New Roman" w:hAnsi="Times New Roman"/>
          <w:sz w:val="18"/>
          <w:szCs w:val="18"/>
          <w:color w:val="auto"/>
        </w:rPr>
      </w:pPr>
    </w:p>
    <w:p>
      <w:pPr>
        <w:ind w:left="880" w:right="520" w:hanging="373"/>
        <w:spacing w:after="0" w:line="282" w:lineRule="auto"/>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or subsequently find fault with the manufacturing processes or facilities of third-party manufacturers with which we enter into agreements for clinical and commercial supplies;</w:t>
      </w:r>
    </w:p>
    <w:p>
      <w:pPr>
        <w:spacing w:after="0" w:line="53" w:lineRule="exact"/>
        <w:rPr>
          <w:rFonts w:ascii="Times New Roman" w:cs="Times New Roman" w:eastAsia="Times New Roman" w:hAnsi="Times New Roman"/>
          <w:sz w:val="18"/>
          <w:szCs w:val="18"/>
          <w:color w:val="auto"/>
        </w:rPr>
      </w:pPr>
    </w:p>
    <w:p>
      <w:pPr>
        <w:ind w:left="880" w:right="400" w:hanging="373"/>
        <w:spacing w:after="0" w:line="266" w:lineRule="auto"/>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drug substance for our product candidates or the manufactured product candidate or other materials necessary to conduct clinical trials of the product candidate may be insufficient, inadequate or not available at an acceptable cost or we may experience interruptions in supply;</w:t>
      </w:r>
    </w:p>
    <w:p>
      <w:pPr>
        <w:spacing w:after="0" w:line="67" w:lineRule="exact"/>
        <w:rPr>
          <w:rFonts w:ascii="Times New Roman" w:cs="Times New Roman" w:eastAsia="Times New Roman" w:hAnsi="Times New Roman"/>
          <w:sz w:val="18"/>
          <w:szCs w:val="18"/>
          <w:color w:val="auto"/>
        </w:rPr>
      </w:pPr>
    </w:p>
    <w:p>
      <w:pPr>
        <w:ind w:left="880" w:right="480" w:hanging="373"/>
        <w:spacing w:after="0" w:line="282" w:lineRule="auto"/>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or the landscape of available, approved therapies could change in a manner rendering our clinical data insufficient to obtain marketing approvals; and</w:t>
      </w:r>
    </w:p>
    <w:p>
      <w:pPr>
        <w:spacing w:after="0" w:line="53" w:lineRule="exact"/>
        <w:rPr>
          <w:rFonts w:ascii="Times New Roman" w:cs="Times New Roman" w:eastAsia="Times New Roman" w:hAnsi="Times New Roman"/>
          <w:sz w:val="18"/>
          <w:szCs w:val="18"/>
          <w:color w:val="auto"/>
        </w:rPr>
      </w:pPr>
    </w:p>
    <w:p>
      <w:pPr>
        <w:ind w:left="880" w:right="20" w:hanging="373"/>
        <w:spacing w:after="0" w:line="266" w:lineRule="auto"/>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refuse to accept for substantive review any NDA, MAA or other comparable foreign regulatory application that we submit for a product candidate or may conclude after review of our data that our application is insufficient to obtain marketing approval of a product candidate.</w:t>
      </w:r>
    </w:p>
    <w:p>
      <w:pPr>
        <w:spacing w:after="0" w:line="176"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In addition to the above, the COVID-19 pandemic or other outbreaks of infectious disease could adversely affect our clinical trial operations worldwide, including our ability to recruit and retain principal investigators and site staff who, as healthcare providers, may have heightened exposure to COVID-19 or other infectious diseases. The COVID-19 pandemic could also result in further delays in our clinical trials due to prioritization of hospital and medical resources toward the pandemic, restrictions in travel, potential unwillingness of patients to enroll in trials or the inability of patients to comply with clinical trial protocols if quarantines or travel restrictions impede patient movement or interrupt healthcare services. Furthermore, the response to the COVID-19 pandemic may redirect resources of regulators in a way that would adversely impact our ability to progress regulatory approvals. In addition, we may face impediments to regulatory meetings and approvals relating to our clinical trials due to measures intended to limit in-person interactions. While the current trajectory of the COVID-19 pandemic is uncertain, in the future we may continue to experience adverse impacts on our clinical trial activities, business operations, financial condition, and prospects as a result of the future evolution of the virus, among other factors.</w:t>
      </w:r>
    </w:p>
    <w:p>
      <w:pPr>
        <w:spacing w:after="0" w:line="188"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Haduvio or any future product candidate beyond the trials and testing that we contemplate, we are unable to successfully and timely complete clinical trials or other testing of Haduvio or any future product candidate, the results of these trials or tests are unfavorable, uncertain or are only modestly favorable or there are unacceptable safety concerns associated with the product candidate, we may:</w:t>
      </w:r>
    </w:p>
    <w:p>
      <w:pPr>
        <w:spacing w:after="0" w:line="72" w:lineRule="exact"/>
        <w:rPr>
          <w:sz w:val="20"/>
          <w:szCs w:val="20"/>
          <w:color w:val="auto"/>
        </w:rPr>
      </w:pPr>
    </w:p>
    <w:p>
      <w:pPr>
        <w:ind w:left="880" w:hanging="373"/>
        <w:spacing w:after="0"/>
        <w:tabs>
          <w:tab w:leader="none" w:pos="8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unplanned costs, which may exceed the resources that we have available or are able to obtain on reasonable terms;</w:t>
      </w:r>
    </w:p>
    <w:p>
      <w:pPr>
        <w:spacing w:after="0" w:line="144" w:lineRule="exact"/>
        <w:rPr>
          <w:rFonts w:ascii="Times New Roman" w:cs="Times New Roman" w:eastAsia="Times New Roman" w:hAnsi="Times New Roman"/>
          <w:sz w:val="18"/>
          <w:szCs w:val="18"/>
          <w:color w:val="auto"/>
        </w:rPr>
      </w:pPr>
    </w:p>
    <w:p>
      <w:pPr>
        <w:ind w:left="880" w:right="60" w:hanging="373"/>
        <w:spacing w:after="0" w:line="266" w:lineRule="auto"/>
        <w:tabs>
          <w:tab w:leader="none" w:pos="8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delays in obtaining marketing approval for the applicable product candidate for several years or more, which could shorten the periods during which we may have the exclusive right to commercialize the product candidate or allow competitors to bring products to market before us;</w:t>
      </w:r>
    </w:p>
    <w:p>
      <w:pPr>
        <w:spacing w:after="0" w:line="6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obtain marketing approval at all;</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for indications or patient populations that are not as broad as we originally intended or desired;</w:t>
      </w:r>
    </w:p>
    <w:p>
      <w:pPr>
        <w:spacing w:after="0" w:line="144" w:lineRule="exact"/>
        <w:rPr>
          <w:rFonts w:ascii="Times New Roman" w:cs="Times New Roman" w:eastAsia="Times New Roman" w:hAnsi="Times New Roman"/>
          <w:sz w:val="18"/>
          <w:szCs w:val="18"/>
          <w:color w:val="auto"/>
        </w:rPr>
      </w:pPr>
    </w:p>
    <w:p>
      <w:pPr>
        <w:ind w:left="880" w:right="80" w:hanging="373"/>
        <w:spacing w:after="0" w:line="282" w:lineRule="auto"/>
        <w:tabs>
          <w:tab w:leader="none" w:pos="8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with labeling that includes significant use or distribution restrictions or significant safety warnings, including boxed warnings;</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or other requirements; or</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remove the product from the market after obtaining marketing approval.</w:t>
      </w:r>
    </w:p>
    <w:p>
      <w:pPr>
        <w:spacing w:after="0" w:line="144"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Our failure to successfully and timely complete clinical trials of Haduvio for the treatment of chronic cough in adults with IPF or other chronic cough conditions or for the treatment of prurigo nodularis or of any future product candidate and to demonstrate the efficacy and safety necessary to obtain regulatory approval to market any such product candidates would significantly harm our business and could result in the loss or impairment of our ability to generate revenues and effectuate our business strategy.</w:t>
      </w:r>
    </w:p>
    <w:p>
      <w:pPr>
        <w:spacing w:after="0" w:line="6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fail to demonstrate adequately the safety and efficacy of Haduvio or any future product candidates, which would likely prevent or delay regulatory approval and commercialization.</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3" w:name="page44"/>
    <w:bookmarkEnd w:id="43"/>
    <w:p>
      <w:pPr>
        <w:ind w:firstLine="510"/>
        <w:spacing w:after="0" w:line="253"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Haduvio or any future product candidate we must demonstrate through lengthy, complex and expensive clinical trials that the product candidate is both safe and effective for use in the target indication. Clinical testing is expensive and can take many years to complete, and its outcome is inherently uncertain. It is possible that even if Haduvio or any future product candidate has a beneficial effect, that effect will not be detected during clinical evaluation as a result of one or more of a variety of factors, including the size, duration, design, measurements, conduct or analysis of our clinical trials. For example, our Phase 2 clinical trial of Haduvio for the treatment of prurigo nodularis failed to meet its primary endpoint and the number of subjects who discontinued treatment prior to the end of the trial had a substantial impact on the results. Conversely, as a result of the same factors, our clinical trials may indicate an apparent positive effect of Haduvio or any future product candidate that is greater than the actual positive effect, if any. Similarly, in our clinical trials we may fail to detect toxicity of or intolerability caused by, Haduvio or any future product candidate or mistakenly believe that Haduvio or any future product candidate is toxic or not well tolerated when that is not the case after the clinical evaluation is completed. Many pharmaceutical and biotechnology companies have suffered significant setbacks in late-stage clinical trials after achieving positive results in earlier development, and we cannot be certain that we will not face setbacks as we continue our clinical development of Haduvio and develop any other product candidates. It is also possible that any of our development programs could be placed on full or partial clinical hold by regulatory authorities at any point, which would delay and possibly prevent further development of those programs.</w:t>
      </w:r>
    </w:p>
    <w:p>
      <w:pPr>
        <w:spacing w:after="0" w:line="79" w:lineRule="exact"/>
        <w:rPr>
          <w:sz w:val="20"/>
          <w:szCs w:val="20"/>
          <w:color w:val="auto"/>
        </w:rPr>
      </w:pPr>
    </w:p>
    <w:p>
      <w:pPr>
        <w:ind w:right="100" w:firstLine="510"/>
        <w:spacing w:after="0" w:line="252" w:lineRule="auto"/>
        <w:rPr>
          <w:sz w:val="20"/>
          <w:szCs w:val="20"/>
          <w:color w:val="auto"/>
        </w:rPr>
      </w:pPr>
      <w:r>
        <w:rPr>
          <w:rFonts w:ascii="Times New Roman" w:cs="Times New Roman" w:eastAsia="Times New Roman" w:hAnsi="Times New Roman"/>
          <w:sz w:val="18"/>
          <w:szCs w:val="18"/>
          <w:color w:val="auto"/>
        </w:rPr>
        <w:t>In addition, even if the clinical trials we plan are successfully completed and Haduvio or any future product candidate achieves its specified endpoints in such trials, we cannot guarantee that the FDA or foreign regulatory authorities will interpret the results as we do, and more trials could be required before we are able to submit product candidates for marketing approval. For example, patients with prurigo nodularis may have pruritus that is caused by dermatological conditions other than prurigo nodularis and at a meeting with the FDA following the completion of our Phase 2 clinical trial of Haduvio for the treatment of prurigo nodularis, the FDA raised the need to adequately isolate a patient population with pruritus associated with prurigo nodularis for our planned Phase 3 clinical trials. While the inclusion criteria in our Phase 2b/3 PRISM trial require that enrolled subjects not be suffering from any active, uncontrolled dermatoses other than prurigo nodularis, it is possible that the FDA could conclude that this is not sufficient to identify patients suffering from pruritus associated with prurigo nodularis, in which case the FDA could question the overall validity of the results of the trial. To the extent that the results of our clinical trials are not satisfactory to the FDA or foreign regulatory authorities for support of a marketing application, approval of product candidates may be significantly delayed or we may be required to expend significant additional resources, which may not be available to us, to conduct additional trials in support of potential approval of product candidates. For instance, if the FDA does not believe that the results of the Phase 2b/3 PRISM trial are sufficiently supportive of an application for marketing approval, the FDA may require us to conduct another Phase 3 clinical trial in addition to the Phase 2b/3 PRISM trial and the additional Phase 3 clinical trial we believe we need to conduct, which would cause us to incur substantial additional costs and significantly delay our development of Haduvio for the treatment of prurigo nodularis.</w:t>
      </w:r>
    </w:p>
    <w:p>
      <w:pPr>
        <w:spacing w:after="0" w:line="8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Use of patient-reported outcome assessments, or PROs, in our clinical trials and high placebo response rates may delay or impair the development of Haduvio or adversely impact our clinical trials.</w:t>
      </w:r>
    </w:p>
    <w:p>
      <w:pPr>
        <w:spacing w:after="0" w:line="5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Due to the difficulty of objectively measuring pruritus, the assessment of pruritus in clinical trials typically involves the use of PROs. Our clinical trials evaluating the efficacy of Haduvio in pruritus indications have used PROs as primary endpoints. For example, the primary endpoint of our Phase 2b/3 PRISM trial was the proportion of patients achieving at least a 4-point improvement from baseline with respect to their worst itch at week 14 as measured by the Worst Itch Numerical Rating Scale, or WI-NRS, scores, which is a patient-reported assessment on an 11-point scale from 0 to 10 of the severity of the worst itch experienced in the last 24 hours. PROs have an important role in the development and regulatory approval of treatments for pruritus. However, PROs involve patients’ subjective assessments of efficacy, and this subjectivity can increase the uncertainty of clinical trial outcomes assessing pruritus. Such assessments can be influenced by a number of factors and can vary widely from day to day for any particular patient and from patient to patient and site to site within a clinical trial, leading to high variability in PRO measurements.</w:t>
      </w:r>
    </w:p>
    <w:p>
      <w:pPr>
        <w:spacing w:after="0" w:line="84"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In addition, although the primary endpoint in our future clinical trials of Haduvio for the treatment of chronic cough in adults with IPF and other chronic cough indications is likely to be measured using an objective cough monitor, we will need to validate a supportive PRO instrument of the primary endpoint. There is not a validated PRO instrument now that has been accepted for chronic cough indications.</w:t>
      </w:r>
    </w:p>
    <w:p>
      <w:pPr>
        <w:spacing w:after="0" w:line="68" w:lineRule="exact"/>
        <w:rPr>
          <w:sz w:val="20"/>
          <w:szCs w:val="20"/>
          <w:color w:val="auto"/>
        </w:rPr>
      </w:pPr>
    </w:p>
    <w:p>
      <w:pPr>
        <w:ind w:right="440" w:firstLine="510"/>
        <w:spacing w:after="0" w:line="261" w:lineRule="auto"/>
        <w:rPr>
          <w:sz w:val="20"/>
          <w:szCs w:val="20"/>
          <w:color w:val="auto"/>
        </w:rPr>
      </w:pPr>
      <w:r>
        <w:rPr>
          <w:rFonts w:ascii="Times New Roman" w:cs="Times New Roman" w:eastAsia="Times New Roman" w:hAnsi="Times New Roman"/>
          <w:sz w:val="18"/>
          <w:szCs w:val="18"/>
          <w:color w:val="auto"/>
        </w:rPr>
        <w:t>In addition, PROs have historically been observed to have high placebo group response rates. We observed this in some of our clinical trials of Haduvio. The variability of PRO measures may be greater than other measures used for clinical trial assessments, and that variability can complicate clinical trial design, adversely impact the ability of a trial to show a statistically significant improvement and generally adversely impact a clinical development program by introducing additional uncertainties.</w:t>
      </w:r>
    </w:p>
    <w:p>
      <w:pPr>
        <w:spacing w:after="0" w:line="72"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The variability of PRO measures and related high placebo response rates have adversely impacted clinical results of other therapies being tested and could adversely impact our clinical development of Haduvio. The FDA could also require changes in the PROs we are currently using or indicate that the PROs we are using are insufficient for demonstrating efficacy, potentially delaying clinical development of Haduvio, increasing our costs and making additional clinical trials necessary.</w:t>
      </w:r>
    </w:p>
    <w:p>
      <w:pPr>
        <w:spacing w:after="0" w:line="6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subjects in clinical trials, our receipt of necessary regulatory approvals could be delayed or prevented.</w:t>
      </w:r>
    </w:p>
    <w:p>
      <w:pPr>
        <w:spacing w:after="0" w:line="51" w:lineRule="exact"/>
        <w:rPr>
          <w:sz w:val="20"/>
          <w:szCs w:val="20"/>
          <w:color w:val="auto"/>
        </w:rPr>
      </w:pPr>
    </w:p>
    <w:p>
      <w:pPr>
        <w:ind w:right="20" w:firstLine="510"/>
        <w:spacing w:after="0" w:line="282"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Haduvio or any future product candidate if we are unable to locate and enroll a sufficient number of eligible subjects to participate in clinical trials as required by the FDA or comparable foreign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regulatory authorities. Patient enrollment is a significant factor in the timing of our clinical trials and is affected by many factors, including:</w:t>
      </w:r>
    </w:p>
    <w:p>
      <w:pPr>
        <w:spacing w:after="0" w:line="117" w:lineRule="exact"/>
        <w:rPr>
          <w:sz w:val="20"/>
          <w:szCs w:val="20"/>
          <w:color w:val="auto"/>
        </w:rPr>
      </w:pPr>
    </w:p>
    <w:p>
      <w:pPr>
        <w:ind w:left="880" w:hanging="373"/>
        <w:spacing w:after="0"/>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eligible patient population;</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eligible patients to clinical sites;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clinical trial;</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clinical trials;</w:t>
      </w:r>
    </w:p>
    <w:p>
      <w:pPr>
        <w:spacing w:after="0" w:line="144" w:lineRule="exact"/>
        <w:rPr>
          <w:rFonts w:ascii="Times New Roman" w:cs="Times New Roman" w:eastAsia="Times New Roman" w:hAnsi="Times New Roman"/>
          <w:sz w:val="18"/>
          <w:szCs w:val="18"/>
          <w:color w:val="auto"/>
        </w:rPr>
      </w:pPr>
    </w:p>
    <w:p>
      <w:pPr>
        <w:ind w:left="880" w:right="40" w:hanging="373"/>
        <w:spacing w:after="0" w:line="282" w:lineRule="auto"/>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and risks of the product candidate being studied in relation to other available therapies, including any new drugs that may be approved for the indications under investigation; and</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and other outbreaks of infectious disease.</w:t>
      </w:r>
    </w:p>
    <w:p>
      <w:pPr>
        <w:spacing w:after="0" w:line="144" w:lineRule="exact"/>
        <w:rPr>
          <w:sz w:val="20"/>
          <w:szCs w:val="20"/>
          <w:color w:val="auto"/>
        </w:rPr>
      </w:pPr>
    </w:p>
    <w:p>
      <w:pPr>
        <w:ind w:right="140" w:firstLine="514"/>
        <w:spacing w:after="0" w:line="261" w:lineRule="auto"/>
        <w:rPr>
          <w:sz w:val="20"/>
          <w:szCs w:val="20"/>
          <w:color w:val="auto"/>
        </w:rPr>
      </w:pPr>
      <w:r>
        <w:rPr>
          <w:rFonts w:ascii="Times New Roman" w:cs="Times New Roman" w:eastAsia="Times New Roman" w:hAnsi="Times New Roman"/>
          <w:sz w:val="18"/>
          <w:szCs w:val="18"/>
          <w:color w:val="auto"/>
        </w:rPr>
        <w:t>In particular, the successful completion of our clinical development program for Haduvio for the treatment of chronic cough in adults with IPF and for the treatment of prurigo nodularis is dependent upon our ability to enroll a sufficient number of subjects with these severe conditions. We experienced delays and difficulties in the enrollment of subjects in our clinical trials, including our Phase 2 CANAL trial and our Phase 2b/3 PRISM trial, which delayed the completion of our trials.</w:t>
      </w:r>
    </w:p>
    <w:p>
      <w:pPr>
        <w:spacing w:after="0" w:line="72" w:lineRule="exact"/>
        <w:rPr>
          <w:sz w:val="20"/>
          <w:szCs w:val="20"/>
          <w:color w:val="auto"/>
        </w:rPr>
      </w:pPr>
    </w:p>
    <w:p>
      <w:pPr>
        <w:ind w:right="100" w:firstLine="514"/>
        <w:spacing w:after="0" w:line="254" w:lineRule="auto"/>
        <w:rPr>
          <w:sz w:val="20"/>
          <w:szCs w:val="20"/>
          <w:color w:val="auto"/>
        </w:rPr>
      </w:pPr>
      <w:r>
        <w:rPr>
          <w:rFonts w:ascii="Times New Roman" w:cs="Times New Roman" w:eastAsia="Times New Roman" w:hAnsi="Times New Roman"/>
          <w:sz w:val="18"/>
          <w:szCs w:val="18"/>
          <w:color w:val="auto"/>
        </w:rPr>
        <w:t>Other companies are conducting clinical trials or have announced plans for future clinical trials that are seeking or are likely to seek to enroll patients with chronic cough in adults with IPF, refractory chronic cough or prurigo nodularis, which are the same conditions for which we are or will be conducting clinical trials, and patients are generally only able to enroll in a single trial at a time. In addition, although there are no drugs approved in the U.S. or Europe to treat chronic cough in adults with IPF or refractory chronic cough, patients with these conditions, as well as their physicians, may be reluctant to forgo, discontinue or otherwise alter their use of off-label therapeutic approaches they currently use in order to participate in our clinical trials. Additionally, Dupixent (dupilumab), an injectable prescription medicine, was approved by the FDA for the treatment of prurigo nodularis in September 2022, and many patients also use various treatments off-label for the treatment of prurigo nodularis, such as antihistamines or gabapentin; these patients and their physicians may be reluctant to forgo, discontinue or otherwise alter their use of Dupixent or any off-label therapeutic approaches to participate in our clinical trials.</w:t>
      </w:r>
    </w:p>
    <w:p>
      <w:pPr>
        <w:spacing w:after="0" w:line="80" w:lineRule="exact"/>
        <w:rPr>
          <w:sz w:val="20"/>
          <w:szCs w:val="20"/>
          <w:color w:val="auto"/>
        </w:rPr>
      </w:pPr>
    </w:p>
    <w:p>
      <w:pPr>
        <w:ind w:firstLine="514"/>
        <w:spacing w:after="0" w:line="253" w:lineRule="auto"/>
        <w:rPr>
          <w:sz w:val="20"/>
          <w:szCs w:val="20"/>
          <w:color w:val="auto"/>
        </w:rPr>
      </w:pPr>
      <w:r>
        <w:rPr>
          <w:rFonts w:ascii="Times New Roman" w:cs="Times New Roman" w:eastAsia="Times New Roman" w:hAnsi="Times New Roman"/>
          <w:sz w:val="18"/>
          <w:szCs w:val="18"/>
          <w:color w:val="auto"/>
        </w:rPr>
        <w:t>In response to the COVID-19 pandemic, the FDA issued guidance on March 18, 2020, and updated it on July 2, 2020, January 27, 2021 and August 30, 2021, to address the conduct of clinical trials during the pandemic. The guidance sets out a number of considerations for sponsors of clinical trials impacted by the pandemic, including the requirement to include in a clinical study report (or as a separate document) contingency measures implemented to manage the study, and any disruption of the study, as a result of the COVID-19 pandemic; a list of all study participants affected by COVID-19 pandemic related study disruptions by a unique subject identifier and by investigational site, and a description of how the individual’s participation was altered; and analyses and corresponding discussions that address the impact of implemented contingency measures (e.g., participant discontinuation from investigational product and/or study, alternative procedures used to collect critical safety and/or efficacy data) on the safety and efficacy results reported for the study. In its most recent update to this guidance, the FDA addressed questions received during the past year from clinical practitioners who are adapting their operations in a pandemic environment. These questions focused on, among other things, when to suspend, continue or initiate a trial and how to submit changes to protocols for investigational NDAs and handle remote site monitoring visits. There is no assurance that this guidance governing clinical studies during the pandemic will remain in effect or, even if it does, that it will help address the risks and challenges enumerated above.</w:t>
      </w:r>
    </w:p>
    <w:p>
      <w:pPr>
        <w:spacing w:after="0" w:line="84" w:lineRule="exact"/>
        <w:rPr>
          <w:sz w:val="20"/>
          <w:szCs w:val="20"/>
          <w:color w:val="auto"/>
        </w:rPr>
      </w:pPr>
    </w:p>
    <w:p>
      <w:pPr>
        <w:ind w:firstLine="514"/>
        <w:spacing w:after="0" w:line="258" w:lineRule="auto"/>
        <w:rPr>
          <w:sz w:val="20"/>
          <w:szCs w:val="20"/>
          <w:color w:val="auto"/>
        </w:rPr>
      </w:pPr>
      <w:r>
        <w:rPr>
          <w:rFonts w:ascii="Times New Roman" w:cs="Times New Roman" w:eastAsia="Times New Roman" w:hAnsi="Times New Roman"/>
          <w:sz w:val="18"/>
          <w:szCs w:val="18"/>
          <w:color w:val="auto"/>
        </w:rPr>
        <w:t>Any inability to enroll a sufficient number of subjects for our clinical trials could result in significant delays or may require us to abandon one or more clinical trials altogether. Enrollment delays in our clinical trials may result in increased development costs for Haduvio or any future product candidate, delay or halt the development of and approval processes for such product candidate and jeopardize our ability to commence sales of and generate revenues from such product candidate, any of which could cause the value of our company to decline and limit our ability to obtain additional financing, if needed.</w:t>
      </w:r>
    </w:p>
    <w:p>
      <w:pPr>
        <w:spacing w:after="0" w:line="7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events or undesirable side effects caused by, or other unexpected properties of, Haduvio or any future product candidate may be identified during development and could delay or prevent the marketing approval or limit the use of Haduvio or any future product candidate.</w:t>
      </w:r>
    </w:p>
    <w:p>
      <w:pPr>
        <w:spacing w:after="0" w:line="51" w:lineRule="exact"/>
        <w:rPr>
          <w:sz w:val="20"/>
          <w:szCs w:val="20"/>
          <w:color w:val="auto"/>
        </w:rPr>
      </w:pPr>
    </w:p>
    <w:p>
      <w:pPr>
        <w:ind w:right="140" w:firstLine="510"/>
        <w:spacing w:after="0" w:line="261" w:lineRule="auto"/>
        <w:rPr>
          <w:sz w:val="20"/>
          <w:szCs w:val="20"/>
          <w:color w:val="auto"/>
        </w:rPr>
      </w:pPr>
      <w:r>
        <w:rPr>
          <w:rFonts w:ascii="Times New Roman" w:cs="Times New Roman" w:eastAsia="Times New Roman" w:hAnsi="Times New Roman"/>
          <w:sz w:val="18"/>
          <w:szCs w:val="18"/>
          <w:color w:val="auto"/>
        </w:rPr>
        <w:t>Adverse events or undesirable side effects caused by or other unexpected properties of, Haduvio or any future product candidate could cause us, an institutional review board or regulatory authorities to interrupt, delay or halt clinical trials of such product candidate and could result in a more restrictive label or the delay or denial of marketing approval by the FDA or comparable foreign regulatory authorities. We cannot be certain that serious adverse events, or SAEs, will not occur in future clinical trials, which could cause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5" w:name="page46"/>
    <w:bookmarkEnd w:id="45"/>
    <w:p>
      <w:pPr>
        <w:ind w:right="160"/>
        <w:spacing w:after="0" w:line="282" w:lineRule="auto"/>
        <w:rPr>
          <w:sz w:val="20"/>
          <w:szCs w:val="20"/>
          <w:color w:val="auto"/>
        </w:rPr>
      </w:pPr>
      <w:r>
        <w:rPr>
          <w:rFonts w:ascii="Times New Roman" w:cs="Times New Roman" w:eastAsia="Times New Roman" w:hAnsi="Times New Roman"/>
          <w:sz w:val="18"/>
          <w:szCs w:val="18"/>
          <w:color w:val="auto"/>
        </w:rPr>
        <w:t>FDA or comparable foreign regulatory authorities to interrupt, delay or halt clinical trials of such product candidate, approve a more restrictive label than we desire or delay or deny regulatory approval.</w:t>
      </w:r>
    </w:p>
    <w:p>
      <w:pPr>
        <w:spacing w:after="0" w:line="54" w:lineRule="exact"/>
        <w:rPr>
          <w:sz w:val="20"/>
          <w:szCs w:val="20"/>
          <w:color w:val="auto"/>
        </w:rPr>
      </w:pPr>
    </w:p>
    <w:p>
      <w:pPr>
        <w:ind w:firstLine="510"/>
        <w:spacing w:after="0" w:line="269" w:lineRule="auto"/>
        <w:rPr>
          <w:sz w:val="20"/>
          <w:szCs w:val="20"/>
          <w:color w:val="auto"/>
        </w:rPr>
      </w:pPr>
      <w:r>
        <w:rPr>
          <w:rFonts w:ascii="Times New Roman" w:cs="Times New Roman" w:eastAsia="Times New Roman" w:hAnsi="Times New Roman"/>
          <w:sz w:val="17"/>
          <w:szCs w:val="17"/>
          <w:color w:val="auto"/>
        </w:rPr>
        <w:t>In addition, Haduvio, as a mixed κ-opioid receptor agonist and μ-opioid receptor antagonist, may be susceptible to side effects associated with drugs having either of those mechanisms of action. κ-opioid receptor agonists have been associated with poorly tolerated psychiatric side effects, such as feelings of emotional and mental discomfort or dysphoria and hallucinations, at high doses. While we believe that the dual κ-opioid receptor agonist and μ-opioid receptor antagonist mechanism of action of nalbuphine reduces the likelihood of such psychiatric side effects, we have observed mild psychiatric side effects, including a few reported cases of mild euphoria, somnolence and feeling relaxed or feeling “high,” in clinical trials of Haduvio to date. μ-opioid receptor antagonists have the potential to precipitate withdrawal effects in patients, including drug addicts and are associated with respiratory depression and potential cardiac risk. The drug label for nalbuphine, the active ingredient in Haduvio, carries an opioid class label warning for serious, life-threatening or fatal respiratory depression and Haduvio, if approved for marketing in any indication, will likely carry a similar opioid class label. To support our planned submission of an NDA to the FDA for Haduvio, we may be required to conduct a clinical trial of Haduvio to assess respiratory depression and cardiac risk and, due to the association of opioids with endocrine dysfunction, a clinical trial to evaluate potential endocrine side effects. We cannot be certain that any of these side effects often associated with opioids, or other side effects, will not be observed or observed at more severe levels in the future or that the FDA will not require additional trials or impose more severe labeling restrictions due to these side effects or other concerns. Such drug-related side effects could also affect patient recruitment or the ability of enrolled subjects to complete a trial or result in potential product liability claims.</w:t>
      </w:r>
    </w:p>
    <w:p>
      <w:pPr>
        <w:spacing w:after="0" w:line="68" w:lineRule="exact"/>
        <w:rPr>
          <w:sz w:val="20"/>
          <w:szCs w:val="20"/>
          <w:color w:val="auto"/>
        </w:rPr>
      </w:pPr>
    </w:p>
    <w:p>
      <w:pPr>
        <w:ind w:right="220" w:firstLine="510"/>
        <w:spacing w:after="0" w:line="261" w:lineRule="auto"/>
        <w:rPr>
          <w:sz w:val="20"/>
          <w:szCs w:val="20"/>
          <w:color w:val="auto"/>
        </w:rPr>
      </w:pPr>
      <w:r>
        <w:rPr>
          <w:rFonts w:ascii="Times New Roman" w:cs="Times New Roman" w:eastAsia="Times New Roman" w:hAnsi="Times New Roman"/>
          <w:sz w:val="18"/>
          <w:szCs w:val="18"/>
          <w:color w:val="auto"/>
        </w:rPr>
        <w:t>In our clinical trials of Haduvio for the treatment of prurigo nodularis, the most frequently reported treatment emergent adverse events associated with Haduvio were nausea, fatigue, dizziness, vomiting, headache, anxiety, depression, constipation and somnolence. In our Phase 2 CANAL trial of Haduvio for the treatment of chronic cough in adults with IPF, the most frequently reported treatment emergent adverse events associated with Haduvio were nausea, fatigue, dizziness, vomiting, headache, constipation and somnolence.</w:t>
      </w:r>
    </w:p>
    <w:p>
      <w:pPr>
        <w:spacing w:after="0" w:line="72"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If Haduvio or any future product candidate is associated with adverse events or undesirable side effects or demonstrates unexpected properties, we may need to abandon development or limit development of that product candidate to certain uses or subpopulations in which the undesirable side effects or other characteristics are less prevalent, less severe or more acceptable from a risk-benefit perspective. Many compounds that have initially shown promise in clinical or earlier stage testing were later discovered to cause undesirable or unexpected side effects or raised other safety issues that delayed or prevented further development of the compound.</w:t>
      </w:r>
    </w:p>
    <w:p>
      <w:pPr>
        <w:spacing w:after="0" w:line="71"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currently approved µ-opioid products are subject to restrictive marketing and distribution regulations which, if applied to Haduvio, could potentially restrict its use and harm our ability to generate profits.</w:t>
      </w:r>
    </w:p>
    <w:p>
      <w:pPr>
        <w:spacing w:after="0" w:line="51"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Many currently approved μ-opioid receptor agonists require a Risk Evaluation and Mitigation Strategy, or REMS, as part of their approval by the FDA. REMS programs may require medication guides for patients, special communication plans to healthcare professionals or elements to assure safe use, such as restricted distribution methods, patient registries and/or other risk minimization tools. While Haduvio has a μ-antagonist mechanism of action and has been well-tolerated in clinical trials to date, we have observed a few cases of mild euphoria, somnolence and feeling relaxed or feeling “high,” which are characteristics that have led to misuse, abuse and addiction of μ-opioids. We are initiating a HAL study to further characterize the abuse potential of oral nalbuphine. If the results of the HAL study suggest that Haduvio may carry risks of misuse, abuse or addiction or even if the trial indicates that Haduvio does not carry such risks, the FDA may require us to implement a REMS program in connection with any commercialization of Haduvio. We cannot predict whether a REMS program would be required as part of FDA approval of Haduvio and, if required, what requirements it might entail. Any limitations on approval or marketing could restrict the commercial promotion, distribution, prescription or dispensation of Haduvio, if approved. If a REMS program is required, depending on the extent of the REMS requirements, the program might significantly increase our costs to commercialize Haduvio. Furthermore, risks of Haduvio that are not adequately addressed through a proposed REMS program for Haduvio may also prevent or delay any approval for commercialization.</w:t>
      </w:r>
    </w:p>
    <w:p>
      <w:pPr>
        <w:spacing w:after="0" w:line="82"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In addition, the parenteral formulation of nalbuphine is currently not scheduled as a controlled substance under the federal Controlled Substances Act of 1970 or the regulations of the U.S. Drug Enforcement Agency, or the DEA, in the U.S. It is possible that, based on the results of our HAL study, adverse events in our clinical trials or for other reasons, the DEA could determine that Haduvio, which is an oral, extended-release formulation, should be classified as a controlled substance. The DEA regulates controlled substances as Schedule I, II, III, IV or V substances. Schedule I substances by definition have no established medicinal use and may not be marketed or sold in the U.S. A pharmaceutical product may be listed as Schedule II, III, IV or V, with Schedule II substances considered to present the highest risk of abuse and carrying the greater level of regulatory control and Schedule V substances considered to present the lowest relative risk of abuse among such substances and, accordingly, the lowest level of regulatory control. Various states also independently regulate controlled substances. Though state-controlled substance laws often mirror federal law, because the states are separate jurisdictions, they may separately regulate drugs as well. While some states automatically classify a drug when the DEA does so, in other states there must be rulemaking or a legislative action. Regulatory authorities in foreign</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jurisdictions may also determine to classify Haduvio as a controlled substance under different, but potentially no less burdensome, regulations.</w:t>
      </w:r>
    </w:p>
    <w:p>
      <w:pPr>
        <w:spacing w:after="0" w:line="117"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If Haduvio is classified as a controlled substance, the level of regulation would depend on how it is scheduled and we and our suppliers, manufacturers, contractors, distributors and any future customers would be required to obtain and maintain any applicable registrations from state, federal and foreign law enforcement and regulatory agencies and comply with any applicable state, federal and foreign laws and regulations regarding the manufacture, use, sale, importation, exportation and distribution of controlled substances. Also, if Haduvio is classified as a controlled substance, there is a risk that such regulations could limit its supply for use in clinical trials and, in the future, limit our ability to produce and distribute Haduvio in the volume needed to meet potential commercial demand.</w:t>
      </w:r>
    </w:p>
    <w:p>
      <w:pPr>
        <w:spacing w:after="0" w:line="79"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Regulations associated with controlled substances govern manufacturing, labeling, packaging, testing, dispensing, production and procurement quotas, record keeping, reporting, handling, shipment and disposal. These regulations increase the personnel needs and the expense associated with development and commercialization of product candidates, including controlled substances. The DEA and some states conduct periodic inspections of registered establishments that handle controlled substances. If Haduvio is classified as a controlled substance, failure to obtain and maintain required registrations or comply with any applicable regulations could delay or preclude us from developing and commercializing Haduvio and subject us to enforcement action. The DEA may seek civil penalties, refuse to renew necessary registrations or initiate proceedings to revoke those registrations. In some circumstances, violations could lead to criminal proceedings. Because of the restrictive nature of these regulations, if Haduvio is classified as a controlled substance, depending on how it is scheduled, its commercial prospects could be limited.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preclinical studies and clinical trials may not be predictive of results of later clinical trials.</w:t>
      </w:r>
    </w:p>
    <w:p>
      <w:pPr>
        <w:spacing w:after="0" w:line="121"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The outcome of preclinical studies and clinical trials may not be predictive of the success of later clinical trials and preliminary or interim results of clinical trials do not necessarily predict final results. For instance, Haduvio or any future product candidate may fail to show the desired safety and efficacy in future clinical trials despite demonstrating positive results in preclinical studies or earlier clinical trials. The results of our Phase 2 CANAL trial for the treatment of chronic cough in adults with IPF may not be predictive of the results of future trials of Haduvio for the treatment of chronic cough in adults with IPF or other chronic cough indications, and the results of our Phase 2b/3 PRISM trial of Haduvio for the treatment of prurigo nodularis may not be predictive of the results of any future clinical trial in prurigo nodularis. Many pharmaceutical and biotechnology companies have suffered significant setbacks in late-stage clinical trials after achieving positive results in earlier stages of clinical development and we could face similar setbacks. Similarly, the design of a clinical trial can determine whether its results will support marketing approval of a product and adjustments in the design of a clinical trial may not be possible once the clinical trial has commenced.</w:t>
      </w:r>
    </w:p>
    <w:p>
      <w:pPr>
        <w:spacing w:after="0" w:line="80"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At a meeting with the FDA following the completion of our Phase 2 clinical trial of Haduvio for the treatment of prurigo nodularis, the FDA advised us that the findings of the Phase 2 clinical trial may not be reliable and recommended that we conduct an additional Phase 2 dose ranging trial to identify the optimal dose and obtain reliable estimates of treatment effect for the recommended primary efficacy endpoint so as to better design and power our planned Phase 3 clinical trials. In providing such advice, the FDA noted the small number of subjects in each arm of the Phase 2 clinical trial and the large differential discontinuation rate among the three treatment arms, as well as our plan to increase the fixed-dose treatment duration from eight weeks in the Phase 2 clinical trial to 12 weeks in our Phase 2b/3 PRISM trial.</w:t>
      </w:r>
    </w:p>
    <w:p>
      <w:pPr>
        <w:spacing w:after="0" w:line="79" w:lineRule="exact"/>
        <w:rPr>
          <w:sz w:val="20"/>
          <w:szCs w:val="20"/>
          <w:color w:val="auto"/>
        </w:rPr>
      </w:pPr>
    </w:p>
    <w:p>
      <w:pPr>
        <w:ind w:right="140" w:firstLine="510"/>
        <w:spacing w:after="0" w:line="256" w:lineRule="auto"/>
        <w:rPr>
          <w:sz w:val="20"/>
          <w:szCs w:val="20"/>
          <w:color w:val="auto"/>
        </w:rPr>
      </w:pPr>
      <w:r>
        <w:rPr>
          <w:rFonts w:ascii="Times New Roman" w:cs="Times New Roman" w:eastAsia="Times New Roman" w:hAnsi="Times New Roman"/>
          <w:sz w:val="18"/>
          <w:szCs w:val="18"/>
          <w:color w:val="auto"/>
        </w:rPr>
        <w:t>We have limited experience in designing pivotal clinical trials and flaws in the design of a clinical trial could result in significant delays in completing the clinical trial or may require us to abandon the clinical trial altogether or conduct additional clinical trials. Preclinical and clinical data are also often susceptible to varying interpretations and analyses. Many pharmaceutical and biotechnology companies that believed their product candidates performed satisfactorily in preclinical studies and clinical trials have nonetheless failed to obtain marketing approval for those product candidates. Even if we believe that the results of clinical trials for Haduvio or any future product candidate warrant marketing approval, the FDA or comparable foreign regulatory authorities may disagree and may not grant marketing approval of the product candidate.</w:t>
      </w:r>
    </w:p>
    <w:p>
      <w:pPr>
        <w:spacing w:after="0" w:line="77" w:lineRule="exact"/>
        <w:rPr>
          <w:sz w:val="20"/>
          <w:szCs w:val="20"/>
          <w:color w:val="auto"/>
        </w:rPr>
      </w:pPr>
    </w:p>
    <w:p>
      <w:pPr>
        <w:ind w:right="20" w:firstLine="510"/>
        <w:spacing w:after="0" w:line="267" w:lineRule="auto"/>
        <w:rPr>
          <w:sz w:val="20"/>
          <w:szCs w:val="20"/>
          <w:color w:val="auto"/>
        </w:rPr>
      </w:pPr>
      <w:r>
        <w:rPr>
          <w:rFonts w:ascii="Times New Roman" w:cs="Times New Roman" w:eastAsia="Times New Roman" w:hAnsi="Times New Roman"/>
          <w:sz w:val="18"/>
          <w:szCs w:val="18"/>
          <w:color w:val="auto"/>
        </w:rPr>
        <w:t xml:space="preserve">In addition, some of our data for Haduvio for the treatment of cough and pruritus is drawn from </w:t>
      </w:r>
      <w:r>
        <w:rPr>
          <w:rFonts w:ascii="Times New Roman" w:cs="Times New Roman" w:eastAsia="Times New Roman" w:hAnsi="Times New Roman"/>
          <w:sz w:val="18"/>
          <w:szCs w:val="18"/>
          <w:i w:val="1"/>
          <w:iCs w:val="1"/>
          <w:color w:val="auto"/>
        </w:rPr>
        <w:t>post hoc</w:t>
      </w:r>
      <w:r>
        <w:rPr>
          <w:rFonts w:ascii="Times New Roman" w:cs="Times New Roman" w:eastAsia="Times New Roman" w:hAnsi="Times New Roman"/>
          <w:sz w:val="18"/>
          <w:szCs w:val="18"/>
          <w:color w:val="auto"/>
        </w:rPr>
        <w:t xml:space="preserve"> analyses of data subsets from our Phase 2 clinical trials of Haduvio. While we believe these data may be useful in informing the design of future Phase 3 clinical trials for Haduvio, </w:t>
      </w:r>
      <w:r>
        <w:rPr>
          <w:rFonts w:ascii="Times New Roman" w:cs="Times New Roman" w:eastAsia="Times New Roman" w:hAnsi="Times New Roman"/>
          <w:sz w:val="18"/>
          <w:szCs w:val="18"/>
          <w:i w:val="1"/>
          <w:iCs w:val="1"/>
          <w:color w:val="auto"/>
        </w:rPr>
        <w:t>post hoc</w:t>
      </w:r>
      <w:r>
        <w:rPr>
          <w:rFonts w:ascii="Times New Roman" w:cs="Times New Roman" w:eastAsia="Times New Roman" w:hAnsi="Times New Roman"/>
          <w:sz w:val="18"/>
          <w:szCs w:val="18"/>
          <w:color w:val="auto"/>
        </w:rPr>
        <w:t xml:space="preserve"> analyses performed after unmasking trial results can result in the introduction of bias and may not be predictive of success in Phase 3 clinical trials.</w:t>
      </w:r>
    </w:p>
    <w:p>
      <w:pPr>
        <w:spacing w:after="0" w:line="67"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patient populations, changes in and adherence to dosing regimens and other clinical trial protocols, as well as the rate of discontinuation among clinical trial participants. If we fail to receive positive results in clinical trials of Haduvio or any future product candidate, the development timeline and regulatory approval and commercialization prospects for those product candidates and, correspondingly, our business and financial prospects would be negatively impacted.</w:t>
      </w:r>
    </w:p>
    <w:p>
      <w:pPr>
        <w:spacing w:after="0" w:line="71"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Haduvio or any future product candidate receives marketing approval, we or others may later discover that the product is less effective than previously believed or that it causes undesirable side effects that were not previously identified, which could compromise our ability to market the product.</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7" w:name="page48"/>
    <w:bookmarkEnd w:id="47"/>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Clinical trials are conducted in carefully defined sets of patients who have agreed to participate in clinical trials. Consequently, it is possible that our clinical trials may indicate an apparent positive effect of a product candidate that is greater than the actual positive effect, if any or alternatively fail to identify undesirable side effects. If, following approval of a product candidate, we or others discover that the product is less effective than previously believed or causes undesirable side effects that were not previously identified, any of the following adverse events could occur:</w:t>
      </w:r>
    </w:p>
    <w:p>
      <w:pPr>
        <w:spacing w:after="0" w:line="72" w:lineRule="exact"/>
        <w:rPr>
          <w:sz w:val="20"/>
          <w:szCs w:val="20"/>
          <w:color w:val="auto"/>
        </w:rPr>
      </w:pPr>
    </w:p>
    <w:p>
      <w:pPr>
        <w:ind w:left="880" w:hanging="373"/>
        <w:spacing w:after="0"/>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product or seize the product;</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the product, change the way the product is administered or conduct additional clinical trials;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or the manufacturing processes for, the product;</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civil or criminal penalties;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the previously unidentified side effects for distribution to patients;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of these events could harm our business and operations and could negatively impact our stock price.</w:t>
      </w:r>
    </w:p>
    <w:p>
      <w:pPr>
        <w:spacing w:after="0" w:line="113"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Haduvio or any future product candidate receives marketing approval, it may fail to achieve the degree of market acceptance by physicians, patients, third-party payors and others in the medical community necessary for commercial success, in which case the market opportunity for Haduvio may be smaller than we estimate and we may not generate significant revenues or become profitable.</w:t>
      </w:r>
    </w:p>
    <w:p>
      <w:pPr>
        <w:spacing w:after="0" w:line="67"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We have never commercialized a product and even if Haduvio or any future product candidate is approved by the appropriate regulatory authorities for marketing and sale, it may nonetheless fail to gain sufficient market acceptance by physicians, patients, third-party payors and others in the medical community. Physicians are often reluctant to switch their patients from existing therapies even when new and potentially more effective or convenient treatments enter the market and may be reluctant to prescribe opioid-based therapies due to perceived risks of misuse, abuse and addiction. Further, patients often acclimate to their current therapies and do not want to switch unless their physicians recommend changing products or they are required to switch therapies due to lack of reimbursement for existing therapies.</w:t>
      </w:r>
    </w:p>
    <w:p>
      <w:pPr>
        <w:spacing w:after="0" w:line="79" w:lineRule="exact"/>
        <w:rPr>
          <w:sz w:val="20"/>
          <w:szCs w:val="20"/>
          <w:color w:val="auto"/>
        </w:rPr>
      </w:pPr>
    </w:p>
    <w:p>
      <w:pPr>
        <w:jc w:val="both"/>
        <w:ind w:right="20" w:firstLine="510"/>
        <w:spacing w:after="0" w:line="261"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Haduvio or any future product candidate may require significant resources and may not be successful. If Haduvio or any future product candidate is approved but does not achieve an adequate level of market acceptance, we may not generate significant revenues and we may not become profitable. The degree of market acceptance of Haduvio or any future product candidate, if approved for commercial sale, will depend on a number of factors, including:</w:t>
      </w:r>
    </w:p>
    <w:p>
      <w:pPr>
        <w:spacing w:after="0" w:line="72" w:lineRule="exact"/>
        <w:rPr>
          <w:sz w:val="20"/>
          <w:szCs w:val="20"/>
          <w:color w:val="auto"/>
        </w:rPr>
      </w:pPr>
    </w:p>
    <w:p>
      <w:pPr>
        <w:ind w:left="880" w:hanging="373"/>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the product;</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the product compared to other therapies;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that the DEA could determine that Haduvio should be classified as a controlled substance;</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product is designated under physician treatment guidelines as a first-, second- or third-line therapy;</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the product for sale at competitive prices;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convenience and ease of administration;</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and of physicians to prescribe the product;</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including distribution or use restrictions contained in the product’s approved labeling;</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sales, marketing and distribution support for the product;</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products for the same indications;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8" w:name="page49"/>
    <w:bookmarkEnd w:id="48"/>
    <w:p>
      <w:pPr>
        <w:ind w:left="880" w:hanging="373"/>
        <w:spacing w:after="0"/>
        <w:tabs>
          <w:tab w:leader="none" w:pos="8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the product as well as competitive products;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the product or favorable publicity about competitive products;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the product; and</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amount of coverage and reimbursement from government payors, managed care plans and other third-party payors.</w:t>
      </w:r>
    </w:p>
    <w:p>
      <w:pPr>
        <w:spacing w:after="0" w:line="14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1" w:lineRule="exact"/>
        <w:rPr>
          <w:sz w:val="20"/>
          <w:szCs w:val="20"/>
          <w:color w:val="auto"/>
        </w:rPr>
      </w:pPr>
    </w:p>
    <w:p>
      <w:pPr>
        <w:ind w:right="120" w:firstLine="510"/>
        <w:spacing w:after="0" w:line="256"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intend to focus on developing product candidates for specific indications that we identify as most likely to succeed, in terms of both their potential for marketing approval and commercialization. As a result, we may forego or delay pursuit of opportunities with other product candidates or for other indications that may prove to have greater commercial potential. For example, we currently intend to focus our resources on the development of Haduvio for certain indications. However, the development of Haduvio for these indications may ultimately prove to be unsuccessful or less successful than another product candidate or other indications that we might have chosen to pursue with our limited resources.</w:t>
      </w:r>
    </w:p>
    <w:p>
      <w:pPr>
        <w:spacing w:after="0" w:line="79"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the product candidate.</w:t>
      </w:r>
    </w:p>
    <w:p>
      <w:pPr>
        <w:spacing w:after="0" w:line="71"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or enter into sales, marketing and distribution arrangements with third parties, we may not be successful in commercializing Haduvio or any future product candidates if and when they are approved.</w:t>
      </w:r>
    </w:p>
    <w:p>
      <w:pPr>
        <w:spacing w:after="0" w:line="5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We do not currently have a sales, marketing or distribution infrastructure and have no experience in the sale, marketing or distribution of pharmaceutical products. To achieve commercial success for any approved product, we must either develop a sales and marketing organization or outsource these functions to third parties. If Haduvio receives marketing approval from the FDA in any of our target indications, we believe we will have the opportunity to commercialize it in the U.S. directly through our own focused, specialty sales organization. If Haduvio receives marketing approval outside the U.S., we may develop a variety of collaboration, distribution and other marketing arrangements with one or more third parties to commercialize the product in those markets.</w:t>
      </w:r>
    </w:p>
    <w:p>
      <w:pPr>
        <w:spacing w:after="0" w:line="79" w:lineRule="exact"/>
        <w:rPr>
          <w:sz w:val="20"/>
          <w:szCs w:val="20"/>
          <w:color w:val="auto"/>
        </w:rPr>
      </w:pPr>
    </w:p>
    <w:p>
      <w:pPr>
        <w:ind w:right="80" w:firstLine="510"/>
        <w:spacing w:after="0" w:line="253" w:lineRule="auto"/>
        <w:rPr>
          <w:sz w:val="20"/>
          <w:szCs w:val="20"/>
          <w:color w:val="auto"/>
        </w:rPr>
      </w:pPr>
      <w:r>
        <w:rPr>
          <w:rFonts w:ascii="Times New Roman" w:cs="Times New Roman" w:eastAsia="Times New Roman" w:hAnsi="Times New Roman"/>
          <w:sz w:val="18"/>
          <w:szCs w:val="18"/>
          <w:color w:val="auto"/>
        </w:rPr>
        <w:t>We plan to build focused capabilities to commercialize development programs for certain indications where we believe that medical specialists are sufficiently concentrated to allow us to effectively promote products with a specialty sales team. The development of sales, marketing and distribution capabilities will require substantial resources, will be time-consuming and could delay any product launch. We could prematurely or unnecessarily incur commercialization costs if the commercial launch of a product candidate for which we recruit a sales force and establish marketing and distribution capabilities is delayed or does not occur for any reason. This may be costly, and our business and financial prospects could be significantly affected if we could not retain or reposition our sales and marketing personnel. In addition, we may not be able to hire or retain a sales force in the U.S. that is sufficient in size or has adequate expertise in the medical markets that we plan to target. If we are unable to establish or retain an adequate sales force and marketing and distribution capabilities, our operating results may be adversely affected. If a potential partner has development or commercialization expertise that we believe is particularly relevant to one of our products, then we may seek to collaborate with that potential partner even if we believe we could otherwise develop and commercialize the product independently.</w:t>
      </w:r>
    </w:p>
    <w:p>
      <w:pPr>
        <w:spacing w:after="0" w:line="86" w:lineRule="exact"/>
        <w:rPr>
          <w:sz w:val="20"/>
          <w:szCs w:val="20"/>
          <w:color w:val="auto"/>
        </w:rPr>
      </w:pPr>
    </w:p>
    <w:p>
      <w:pPr>
        <w:ind w:right="120" w:firstLine="510"/>
        <w:spacing w:after="0" w:line="254" w:lineRule="auto"/>
        <w:rPr>
          <w:sz w:val="20"/>
          <w:szCs w:val="20"/>
          <w:color w:val="auto"/>
        </w:rPr>
      </w:pPr>
      <w:r>
        <w:rPr>
          <w:rFonts w:ascii="Times New Roman" w:cs="Times New Roman" w:eastAsia="Times New Roman" w:hAnsi="Times New Roman"/>
          <w:sz w:val="18"/>
          <w:szCs w:val="18"/>
          <w:color w:val="auto"/>
        </w:rPr>
        <w:t>In certain indications and markets, we may seek to enter into collaborations that we believe may contribute to our ability to advance development and ultimately commercialize Haduvio or any future product candidate. We may also seek to enter into collaborations where we believe that realizing the full commercial value of our development programs will require access to broader geographic markets or the pursuit of broader patient populations or indications. As a result of entering into arrangements with third parties to perform sales, marketing and distribution services, our product revenues or the profitability of these product revenues may be substantially lower than if we were to directly market and sell products in those markets. Furthermore, we may be unsuccessful in entering into the necessary arrangements with third parties or may be unable to do so on terms that are favorable to us. In addition, we may have little or no control over such third parties and any of them may fail to devote the necessary resources and attention to sell and market our products effectively.</w:t>
      </w:r>
    </w:p>
    <w:p>
      <w:pPr>
        <w:spacing w:after="0" w:line="84"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If we do not establish sales, marketing and distribution capabilities, either on our own or in collaboration with third parties, we will not be successful in commercializing any product candidate that receives marketing approval.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developing or commercializing products before or more successfully than we do.</w:t>
      </w:r>
    </w:p>
    <w:p>
      <w:pPr>
        <w:spacing w:after="0" w:line="121"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The development and commercialization of new products is highly competitive. We expect that we will face significant competition from major pharmaceutical companies, specialty pharmaceutical companies and biotechnology companies worldwide with respect to Haduvio or any future product candidate that we may seek to develop or commercialize. Our competitors may succeed in developing, acquiring or licensing technologies and products that are more effective, have fewer or more tolerable side effects or are more convenient or less costly than Haduvio or any future product candidate we may develop, which could render any product candidates obsolete and noncompetitive. Our competitors also may obtain FDA or other marketing approval for their products before we are able to obtain approval for ours, which could result in competitors establishing a strong market position before we are able to enter the applicable market.</w:t>
      </w:r>
    </w:p>
    <w:p>
      <w:pPr>
        <w:spacing w:after="0" w:line="81"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If Haduvio is approved for the treatment of chronic cough in adults with IPF, we expect that it may compete with product candidates currently in clinical development for the treatment of chronic cough in adults with IPF, such as orvepitant, which is being developed by Nerre Therapeutics, and ifenprodil, which is being developed by Algernon Pharmaceuticals. We expect that it might also compete with other product candidates currently in development, or submitted for approval to the FDA, for the treatment of chronic refractory cough and unexplained chronic cough by companies including Merck, Shionogi, and Bellus Health. In addition, it is possible that product candidates currently in development for the treatment of IPF could, if approved, reduce the need for therapies to treat chronic cough in adults with IPF.</w:t>
      </w:r>
    </w:p>
    <w:p>
      <w:pPr>
        <w:spacing w:after="0" w:line="79" w:lineRule="exact"/>
        <w:rPr>
          <w:sz w:val="20"/>
          <w:szCs w:val="20"/>
          <w:color w:val="auto"/>
        </w:rPr>
      </w:pPr>
    </w:p>
    <w:p>
      <w:pPr>
        <w:ind w:right="40" w:firstLine="510"/>
        <w:spacing w:after="0" w:line="252" w:lineRule="auto"/>
        <w:rPr>
          <w:sz w:val="20"/>
          <w:szCs w:val="20"/>
          <w:color w:val="auto"/>
        </w:rPr>
      </w:pPr>
      <w:r>
        <w:rPr>
          <w:rFonts w:ascii="Times New Roman" w:cs="Times New Roman" w:eastAsia="Times New Roman" w:hAnsi="Times New Roman"/>
          <w:sz w:val="18"/>
          <w:szCs w:val="18"/>
          <w:color w:val="auto"/>
        </w:rPr>
        <w:t>If Haduvio is approved for the treatment of prurigo nodularis, we expect that it would compete with Dupixent (dupilumab), an injectable prescription medicine which was jointly developed by Sanofi and Regeneron and which was approved by the FDA for the treatment of prurigo nodularis in September 2022. Sanofi has announced its plans to make regulatory submissions around the world for this indication in 2022. We also expect that Haduvio would compete with a number of therapeutics that are used off-label to treat prurigo nodularis, including anti-itch creams and emollients, and oral or injectable antihistamines. Patients may also try gabapentin and Lyrica (pregabalin), which are prescription medicines approved for the treatment of seizures and neuropathic pain, naltrexone and UVB light therapy. We also expect that Haduvio might compete with product candidates currently in clinical development in this indication, including nemolizumab, an anti-interleukin-31 receptor A humanized monoclonal antibody being developed by Galderma; vixarelimab, a monoclonal antibody targeting oncostatin M receptor beta being developed by Kiniksa Pharmaceuticals; abrocitinib, an oral small molecule targeting the janus kinase 1, or JAK1, receptor being developed by Pfizer Inc.; INCB054707, an oral small molecule targeting the JAK 1 receptor being developed by Incyte; M1880C, a topical non-steroidal anti-inflammatory drug, or NSAID, being developed by Maruho; and CDX-0159, a humanized monoclonal antibody targeting the KIT receptor being developed by Celldex Therapeutics. In addition, a number of other product candidates are currently in clinical development to treat other pruritic conditions and Haduvio, if approved for the treatment of prurigo nodularis, could face competition from these product candidates, including difelikefalin, an oral kappa opioid receptor agonist being developed by Cara Therapeutics that is initiating Phase 3 clinical trials for chronic pruritus in patients with atopic dermatitis, and in Phase 2 clinical trials for chronic kidney disease, chronic liver disease and notalgia paresthetica.</w:t>
      </w:r>
    </w:p>
    <w:p>
      <w:pPr>
        <w:spacing w:after="0" w:line="88"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Many of our potential competitors, alone or with their strategic partners, have significantly greater financial resources and expertise in research and development, manufacturing, preclinical testing, conducting clinical trials, obtaining marketing approvals and commercializing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companies also compete with us in recruiting and retaining qualified scientific and management personnel and establishing clinical trial sites and patient registration for clinical trials.</w:t>
      </w:r>
    </w:p>
    <w:p>
      <w:pPr>
        <w:spacing w:after="0" w:line="75"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 product candidate, the product may become subject to unfavorable pricing regulations, third-party payor reimbursement practices or healthcare reform initiatives, any of which could harm our business.</w:t>
      </w:r>
    </w:p>
    <w:p>
      <w:pPr>
        <w:spacing w:after="0" w:line="5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The commercial success of any product we develop will depend substantially, both in the U.S. and other countries, on the extent to which the costs of the product will be paid by third-party payors, including government health administration authorities and private health coverage insurers. If coverage and reimbursement are not available or reimbursement is available only to limited levels, we may not be able to successfully commercialize that product. Even if coverage is provided for the product, the approved reimbursement amount may not be high enough to allow us to establish or maintain pricing sufficient to realize a return on our investments. In the U.S., no uniform policy of coverage and reimbursement for products exists among third-party payors and coverage and reimbursement for products can differ significantly from payor to payor. As a result, the coverage determination process is often a time-consuming and costly process that will require us to provide scientific and clinical support for the use of any product we commercialize to each payor separately, with no assurance that coverage and adequate reimbursement will be applied consistently or obtained in the first instance.</w:t>
      </w:r>
    </w:p>
    <w:p>
      <w:pPr>
        <w:spacing w:after="0" w:line="84"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There is significant uncertainty related to third-party payor coverage and reimbursement of newly approved drugs. Marketing approvals, pricing and reimbursement for new drug products vary widely from country to country.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50" w:name="page51"/>
    <w:bookmarkEnd w:id="50"/>
    <w:p>
      <w:pPr>
        <w:ind w:right="60"/>
        <w:spacing w:after="0" w:line="261" w:lineRule="auto"/>
        <w:rPr>
          <w:sz w:val="20"/>
          <w:szCs w:val="20"/>
          <w:color w:val="auto"/>
        </w:rPr>
      </w:pPr>
      <w:r>
        <w:rPr>
          <w:rFonts w:ascii="Times New Roman" w:cs="Times New Roman" w:eastAsia="Times New Roman" w:hAnsi="Times New Roman"/>
          <w:sz w:val="18"/>
          <w:szCs w:val="18"/>
          <w:color w:val="auto"/>
        </w:rPr>
        <w:t>governmental control even after initial approval is granted. As a result, we may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to recoup our investment in one or more product candidates, even if those product candidates obtain marketing approval.</w:t>
      </w:r>
    </w:p>
    <w:p>
      <w:pPr>
        <w:spacing w:after="0" w:line="72"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Patients who are provided medical treatment for their conditions generally rely on third-party payors to reimburse all or part of the costs associated with their treatment. Therefore, our ability to commercialize any product candidate will depend in part on the extent to which coverage and reimbursement for these products and related treatments will be available from third-party payors. Third-party payors decide which medications they will cover and establish reimbursement levels. The healthcare industry is acutely focused on cost containment, both in the U.S. and other countries. Government authorities and other third-party payors have attempted to control costs by limiting coverage and the amount of reimbursement for particular medications, which could affect our ability to sell products profitably. These payors may not view our products, if any, as cost-effective and coverage and reimbursement may not be available to our customers or may not be sufficient to allow our products, if any, to be marketed on a competitive basis. Cost-control initiatives could cause us to decrease the price we might establish for products, which could result in lower than anticipated product revenues. If the prices for our products, if any, decrease or if governmental and other third-party payors do not provide coverage or adequate reimbursement, our prospects for revenue and profitability will suffer.</w:t>
      </w:r>
    </w:p>
    <w:p>
      <w:pPr>
        <w:spacing w:after="0" w:line="86" w:lineRule="exact"/>
        <w:rPr>
          <w:sz w:val="20"/>
          <w:szCs w:val="20"/>
          <w:color w:val="auto"/>
        </w:rPr>
      </w:pPr>
    </w:p>
    <w:p>
      <w:pPr>
        <w:ind w:right="140" w:firstLine="510"/>
        <w:spacing w:after="0" w:line="258" w:lineRule="auto"/>
        <w:rPr>
          <w:sz w:val="20"/>
          <w:szCs w:val="20"/>
          <w:color w:val="auto"/>
        </w:rPr>
      </w:pPr>
      <w:r>
        <w:rPr>
          <w:rFonts w:ascii="Times New Roman" w:cs="Times New Roman" w:eastAsia="Times New Roman" w:hAnsi="Times New Roman"/>
          <w:sz w:val="18"/>
          <w:szCs w:val="18"/>
          <w:color w:val="auto"/>
        </w:rPr>
        <w:t>The commercial potential of any products we are able to commercialize depends in part on reimbursement by government health administration authorities, private health insurers and other organizations. If we are unable to obtain coverage or reimbursement for those products at the levels anticipated, our financial condition could be harmed. Additionally, if new compounds currently in development by potential competitors obtain marketing approval, there may be downward pressure on reimbursement levels for therapies in our target indications, which could have a negative impact on our ability to achieve and maintain profitability.</w:t>
      </w:r>
    </w:p>
    <w:p>
      <w:pPr>
        <w:spacing w:after="0" w:line="75" w:lineRule="exact"/>
        <w:rPr>
          <w:sz w:val="20"/>
          <w:szCs w:val="20"/>
          <w:color w:val="auto"/>
        </w:rPr>
      </w:pPr>
    </w:p>
    <w:p>
      <w:pPr>
        <w:ind w:right="320" w:firstLine="510"/>
        <w:spacing w:after="0" w:line="258" w:lineRule="auto"/>
        <w:rPr>
          <w:sz w:val="20"/>
          <w:szCs w:val="20"/>
          <w:color w:val="auto"/>
        </w:rPr>
      </w:pPr>
      <w:r>
        <w:rPr>
          <w:rFonts w:ascii="Times New Roman" w:cs="Times New Roman" w:eastAsia="Times New Roman" w:hAnsi="Times New Roman"/>
          <w:sz w:val="18"/>
          <w:szCs w:val="18"/>
          <w:color w:val="auto"/>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development, manufacture, sale and distribution. Reimbursement rates may vary, by way of example, according to the use of the product and the clinical setting in which it is used. Reimbursement rates may also be based on reimbursement levels already set for lower cost drugs or may be incorporated into existing payments for other services.</w:t>
      </w:r>
    </w:p>
    <w:p>
      <w:pPr>
        <w:spacing w:after="0" w:line="75" w:lineRule="exact"/>
        <w:rPr>
          <w:sz w:val="20"/>
          <w:szCs w:val="20"/>
          <w:color w:val="auto"/>
        </w:rPr>
      </w:pPr>
    </w:p>
    <w:p>
      <w:pPr>
        <w:ind w:right="60" w:firstLine="510"/>
        <w:spacing w:after="0" w:line="255" w:lineRule="auto"/>
        <w:rPr>
          <w:sz w:val="20"/>
          <w:szCs w:val="20"/>
          <w:color w:val="auto"/>
        </w:rPr>
      </w:pPr>
      <w:r>
        <w:rPr>
          <w:rFonts w:ascii="Times New Roman" w:cs="Times New Roman" w:eastAsia="Times New Roman" w:hAnsi="Times New Roman"/>
          <w:sz w:val="18"/>
          <w:szCs w:val="18"/>
          <w:color w:val="auto"/>
        </w:rPr>
        <w:t>In addition, increasingly, third-party payors are requiring higher levels of evidence of the benefits and clinical outcomes of new therapies and are challenging the prices charged for new products. We cannot be sure that coverage will be available for any product candidate that we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U.S. An inability to promptly obtain coverage and adequate payment rates from both government-funded and private payors for any of our product candidates for which we obtain marketing approval could significantly harm our operating results, our ability to raise capital needed to commercialize products and our overall financial condition.</w:t>
      </w:r>
    </w:p>
    <w:p>
      <w:pPr>
        <w:spacing w:after="0" w:line="7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could divert our resources, cause us to incur substantial liabilities and limit commercialization of any products that we may develop or in-license.</w:t>
      </w:r>
    </w:p>
    <w:p>
      <w:pPr>
        <w:spacing w:after="0" w:line="5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claims as a result of our clinical trials, despite obtaining appropriate informed consents from our clinical trial participants. We will face an even greater risk if we commercialize any product that we may develop. For example, we may be sued if any product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Regardless of the merits or eventual outcome, liability claims may result in:</w:t>
      </w:r>
    </w:p>
    <w:p>
      <w:pPr>
        <w:spacing w:after="0" w:line="81" w:lineRule="exact"/>
        <w:rPr>
          <w:sz w:val="20"/>
          <w:szCs w:val="20"/>
          <w:color w:val="auto"/>
        </w:rPr>
      </w:pPr>
    </w:p>
    <w:p>
      <w:pPr>
        <w:ind w:left="880" w:hanging="373"/>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products that we may develop or in-license;</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resulting litigation;</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1" w:name="page52"/>
    <w:bookmarkEnd w:id="51"/>
    <w:p>
      <w:pPr>
        <w:ind w:left="880" w:hanging="373"/>
        <w:spacing w:after="0"/>
        <w:tabs>
          <w:tab w:leader="none" w:pos="8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144" w:lineRule="exact"/>
        <w:rPr>
          <w:sz w:val="20"/>
          <w:szCs w:val="20"/>
          <w:color w:val="auto"/>
        </w:rPr>
      </w:pPr>
    </w:p>
    <w:p>
      <w:pPr>
        <w:ind w:right="180" w:firstLine="510"/>
        <w:spacing w:after="0" w:line="256" w:lineRule="auto"/>
        <w:rPr>
          <w:sz w:val="20"/>
          <w:szCs w:val="20"/>
          <w:color w:val="auto"/>
        </w:rPr>
      </w:pPr>
      <w:r>
        <w:rPr>
          <w:rFonts w:ascii="Times New Roman" w:cs="Times New Roman" w:eastAsia="Times New Roman" w:hAnsi="Times New Roman"/>
          <w:sz w:val="18"/>
          <w:szCs w:val="18"/>
          <w:color w:val="auto"/>
        </w:rPr>
        <w:t>Although we maintain product and clinical trial liability insurance of at least $5.0 million in the aggregate, our insurance coverage may not fully cover potential liabilities that we may incur. The cost of any product or clinical trial liability litigation or other proceeding, even if resolved in our favor, could be substantial. We will need to increase our insurance coverage if we commercialize any product that receives marketing approval. If we are unable to maintain sufficient insurance coverage at an acceptable cost or otherwise protect against potential clinical trial liability or product liability claims, the development and commercial production and sale of Haduvio or any future product candidate could be prevented or inhibited, which could harm our business, financial condition, results of operations and prospects.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If they do not perform satisfactorily, our business could be harmed.</w:t>
      </w:r>
    </w:p>
    <w:p>
      <w:pPr>
        <w:spacing w:after="0" w:line="121" w:lineRule="exact"/>
        <w:rPr>
          <w:sz w:val="20"/>
          <w:szCs w:val="20"/>
          <w:color w:val="auto"/>
        </w:rPr>
      </w:pPr>
    </w:p>
    <w:p>
      <w:pPr>
        <w:ind w:right="100" w:firstLine="510"/>
        <w:spacing w:after="0" w:line="256" w:lineRule="auto"/>
        <w:rPr>
          <w:sz w:val="20"/>
          <w:szCs w:val="20"/>
          <w:color w:val="auto"/>
        </w:rPr>
      </w:pPr>
      <w:r>
        <w:rPr>
          <w:rFonts w:ascii="Times New Roman" w:cs="Times New Roman" w:eastAsia="Times New Roman" w:hAnsi="Times New Roman"/>
          <w:sz w:val="18"/>
          <w:szCs w:val="18"/>
          <w:color w:val="auto"/>
        </w:rPr>
        <w:t>We do not independently conduct clinical trials of our product candidate. We rely and expect to continue to rely, on third parties, such as contract research organizations, or CROs, clinical data management organizations, medical institutions and clinical investigators, to conduct our clinical trials of Haduvio and any future product candidate that we may develop. These third parties may terminate their engagements with us under certain circumstances. We may not be able to enter into alternative arrangements or do so on commercially reasonable terms. In addition, there is a natural transition period when a new CRO begins work on a clinical trial. As a result, delays would likely occur, which could negatively impact our ability to meet our expected clinical development timelines and harm our business, financial condition and prospects.</w:t>
      </w:r>
    </w:p>
    <w:p>
      <w:pPr>
        <w:spacing w:after="0" w:line="79" w:lineRule="exact"/>
        <w:rPr>
          <w:sz w:val="20"/>
          <w:szCs w:val="20"/>
          <w:color w:val="auto"/>
        </w:rPr>
      </w:pPr>
    </w:p>
    <w:p>
      <w:pPr>
        <w:ind w:right="60" w:firstLine="510"/>
        <w:spacing w:after="0" w:line="253" w:lineRule="auto"/>
        <w:rPr>
          <w:sz w:val="20"/>
          <w:szCs w:val="20"/>
          <w:color w:val="auto"/>
        </w:rPr>
      </w:pPr>
      <w:r>
        <w:rPr>
          <w:rFonts w:ascii="Times New Roman" w:cs="Times New Roman" w:eastAsia="Times New Roman" w:hAnsi="Times New Roman"/>
          <w:sz w:val="18"/>
          <w:szCs w:val="18"/>
          <w:color w:val="auto"/>
        </w:rPr>
        <w:t>Further, although our reliance on these third parties for clinical development activities limits our control over these activities, we remain responsible for ensuring that each of our clinical trials is conducted in accordance with the applicable protocol, as well as applicable legal, regulatory and scientific standards. Moreover, the FDA requires us to comply with standards, commonly referred to as current Good Clinical Practices, or cGCPs, for conducting, recording and reporting the results of clinical trials to assure that data and reported results are credible and accurate and that the rights, integrity and confidentiality of clinical trial participants are protected. The FDA enforces these cGCPs through periodic inspections of clinical trial sponsors, principal investigators, clinical trial sites and institutional review boards. If we or our third-party contractors fail to comply with applicable cGCPs, the clinical data generated in our clinical trials may be deemed unreliable and the FDA may require us to perform additional clinical trials before approving the applicable product candidate, which would delay the marketing approval process. We cannot be certain that, upon inspection, the FDA will determine that any of our clinical trials complies with cGCPs. Similar regulatory requirements apply outside the U.S., including the International Council for Harmonisation of Technical Requirements for the Registration of Pharmaceuticals for Human Use, or ICH. We are also required to register clinical trials and post the results of completed clinical trials on a government-sponsored database, ClinicalTrials.gov, within certain timeframes. Failure to do so can result in fines, adverse publicity and civil and criminal sanctions.</w:t>
      </w:r>
    </w:p>
    <w:p>
      <w:pPr>
        <w:spacing w:after="0" w:line="82" w:lineRule="exact"/>
        <w:rPr>
          <w:sz w:val="20"/>
          <w:szCs w:val="20"/>
          <w:color w:val="auto"/>
        </w:rPr>
      </w:pPr>
    </w:p>
    <w:p>
      <w:pPr>
        <w:ind w:right="40" w:firstLine="510"/>
        <w:spacing w:after="0" w:line="269" w:lineRule="auto"/>
        <w:rPr>
          <w:sz w:val="20"/>
          <w:szCs w:val="20"/>
          <w:color w:val="auto"/>
        </w:rPr>
      </w:pPr>
      <w:r>
        <w:rPr>
          <w:rFonts w:ascii="Times New Roman" w:cs="Times New Roman" w:eastAsia="Times New Roman" w:hAnsi="Times New Roman"/>
          <w:sz w:val="17"/>
          <w:szCs w:val="17"/>
          <w:color w:val="auto"/>
        </w:rPr>
        <w:t>Furthermore, the third parties conducting clinical trials on our behalf are not our employees and except for remedies available to us under our agreements with our contractors, we cannot control whether they devote sufficient time, skill and resources to our ongoing development programs. These third parties may also be impacted by developments in the COVID-19 pandemic or other outbreaks of infectious disease, or government measures taken in response to the pandemic or other such outbreaks, in ways that negatively impact their ability to fulfill their contractual obligations to us in connection with our clinical trials, even if we are not otherwise directly affected by such developments or measures. Additionally, these third parties may have relationships with other commercial entities, including potential competitors, for which they may also be conducting clinical trials or other drug development activities, which could impede their ability to devote appropriate time to our clinical programs. Third parties may not successfully carry out their contractual duties, meet expected deadlines or conduct our clinical trials in accordance with regulatory requirements or our protocols. For example, we have terminated clinical investigators from our previous clinical trials due to suspected non-compliance with regulatory requirements. If the third parties on which we rely do not carry out their duties, meet their deadlines or comply with regulatory requirements, we will not be able to, or may be delayed in our efforts to, successfully commercialize Haduvio or any future product candidate. In such an event, our financial results and the commercial prospects for any product candidates that we seek to develop could be harmed, our costs could increase and we may not be able to generate revenues or become profitable.</w:t>
      </w:r>
    </w:p>
    <w:p>
      <w:pPr>
        <w:spacing w:after="0" w:line="6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storage, packaging and distribution of Haduvio for clinical trials, including a single supplier for the active ingredient in Haduvio and expect to continue to rely on third parties for these services in connection with our future development and commercialization efforts for Haduvio and any future product candidates.</w:t>
      </w:r>
    </w:p>
    <w:p>
      <w:pPr>
        <w:spacing w:after="0" w:line="67"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We currently have no manufacturing facilities and a relatively small number of personnel with sufficient experience to oversee the manufacturing process. We rely and plan to continue to rely, on contract manufacturers and other third-party contractors to manufacture, store, package and distribute both drug substance and drug product for our clinical trials. If any of our product candidates receive regulatory approval, we plan to continue to rely upon contract manufacturers and, potentially, collaboration partners, to manufacture commercial quantities of such products. We may be unable to establish any further agreements with contract manufacturers or any other third-party contractors or may fail to do so on acceptable terms or when needed. Even if we are able to establish agreements with such third-party contractors, reliance on third-party contractors entails additional risks, including: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2" w:name="page53"/>
    <w:bookmarkEnd w:id="52"/>
    <w:p>
      <w:pPr>
        <w:ind w:left="880" w:right="40" w:hanging="373"/>
        <w:spacing w:after="0" w:line="266" w:lineRule="auto"/>
        <w:tabs>
          <w:tab w:leader="none" w:pos="8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delays if our third-party contractors prioritize the supply of other companies’ products over Haduvio or any future product candidates, experience supply chain-related delays, or otherwise fail to satisfactorily perform according to the terms of the agreements between us and them or if unforeseen events in the manufacturing process arise;</w:t>
      </w:r>
    </w:p>
    <w:p>
      <w:pPr>
        <w:spacing w:after="0" w:line="6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agreements by our third-party contractors at a time that is costly or inconvenient for us;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by third-party contractors of our agreements with them;</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third-party contractors to comply with applicable regulatory requirements;</w:t>
      </w:r>
    </w:p>
    <w:p>
      <w:pPr>
        <w:spacing w:after="0" w:line="144" w:lineRule="exact"/>
        <w:rPr>
          <w:rFonts w:ascii="Times New Roman" w:cs="Times New Roman" w:eastAsia="Times New Roman" w:hAnsi="Times New Roman"/>
          <w:sz w:val="18"/>
          <w:szCs w:val="18"/>
          <w:color w:val="auto"/>
        </w:rPr>
      </w:pPr>
    </w:p>
    <w:p>
      <w:pPr>
        <w:ind w:left="880" w:right="40" w:hanging="373"/>
        <w:spacing w:after="0" w:line="282" w:lineRule="auto"/>
        <w:tabs>
          <w:tab w:leader="none" w:pos="8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mislabeling of clinical supplies, potentially resulting in the wrong dose amounts being supplied or active drug or placebo not being properly identified;</w:t>
      </w:r>
    </w:p>
    <w:p>
      <w:pPr>
        <w:spacing w:after="0" w:line="53" w:lineRule="exact"/>
        <w:rPr>
          <w:rFonts w:ascii="Times New Roman" w:cs="Times New Roman" w:eastAsia="Times New Roman" w:hAnsi="Times New Roman"/>
          <w:sz w:val="18"/>
          <w:szCs w:val="18"/>
          <w:color w:val="auto"/>
        </w:rPr>
      </w:pPr>
    </w:p>
    <w:p>
      <w:pPr>
        <w:ind w:left="880" w:hanging="373"/>
        <w:spacing w:after="0" w:line="282" w:lineRule="auto"/>
        <w:tabs>
          <w:tab w:leader="none" w:pos="8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clinical supplies not being delivered to clinical sites on time, leading to clinical trial interruptions or of drug supplies not being distributed to commercial vendors in a timely manner, resulting in lost sales; and</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w:t>
      </w:r>
    </w:p>
    <w:p>
      <w:pPr>
        <w:spacing w:after="0" w:line="144"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We do not have long-term supply agreements with any of our contract manufacturers. If any of our existing manufacturers should become unavailable to us for any reason or fail to supply us with the ordered quantities, including as a result of the COVID-19 pandemic or government measures taken in response to the pandemic, we may incur delays in identifying or qualifying replacement manufacturers or in obtaining replacement supply. Any performance failure on the part of our contract manufacturers or the other third-party contractors that we use to store and distribute drug substance and drug product could be disruptive to our operations and delay clinical development or marketing approval of Haduvio or any future product candidates of ours or commercialization of any resulting products, producing additional losses and depriving us of potential product revenue.</w:t>
      </w:r>
    </w:p>
    <w:p>
      <w:pPr>
        <w:spacing w:after="0" w:line="79"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We also rely, and plan to continue to rely, on a single supplier, Mallinckrodt, for nalbuphine hydrochloride drug substance. We do not have agreements in place with Mallinckrodt that guarantee supply quantities or pricing. In October 2020, Mallinckrodt and certain of its subsidiaries filed for bankruptcy protection in the U.S. Bankruptcy Court for the District of Delaware, or the Bankruptcy Court. In February 2022, the Bankruptcy Court approved a settlement of Mallinckrodt’s opioid litigation and broader chapter 11 reorganization plan, which was also subject to approval by Irish authorities. On April 27, 2022, the High Court of Ireland confirmed the scheme of arrangement between Mallinckrodt, its creditors and its members under Irish law and ordered that the scheme of arrangement would become effective on the same date that the chapter 11 reorganization plan becomes effective. On June 16, 2022, Mallinckrodt announced that it had completed its reorganization process, emerged from chapter 11 bankruptcy proceedings and completed the Irish examinership proceedings. It is currently uncertain what impact, if any, Mallinckrodt’s reorganization may have on its ability to continue supplying nalbuphine hydrochloride drug substance to us. Any significant delay in acquisition, increase in cost or decrease in availability of nalbuphine hydrochloride drug substance could considerably delay the manufacture of Haduvio, which could adversely impact the timing of our current and planned clinical trials and potential regulatory approval and commercialization of Haduvio. Although we are evaluating alternate sources of supply that could satisfy our clinical and commercial requirements for nalbuphine drug substance, we have not qualified any alternate sources and cannot assure you that we would be able to establish relationships with any such sources in a timely fashion, on commercially reasonable terms or at all.</w:t>
      </w:r>
    </w:p>
    <w:p>
      <w:pPr>
        <w:spacing w:after="0" w:line="79"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If Haduvio or any future product candidates are approved by any regulatory agency, we will need to enter into agreements with third-party contract manufacturers for the commercial production and distribution of those products. In addition, we may face competition for access to manufacturing facilities as there may be a limited number of contract manufacturers operating under cGMPs that are able to manufacture any such product. Consequently, we may not be able to reach agreement with third-party manufacturers on satisfactory terms, in a timely manner or at all, which could delay our commercialization efforts.</w:t>
      </w:r>
    </w:p>
    <w:p>
      <w:pPr>
        <w:spacing w:after="0" w:line="75"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Third-party manufacturers are required to comply with cGMPs and similar regulatory requirements outside the U.S., such as the ICH. Facilities used by our third-party manufacturers must be approved by the FDA after we submit an NDA and before potential approval of the applicable product candidate. Similar regulations apply to manufacturers of product candidates for use or sale in foreign countries. We do not control the manufacturing process and are completely dependent on our third-party manufacturers for compliance with the applicable regulatory requirements for the manufacture of Haduvio. We expect that we would be similarly dependent on third-party manufacturers of Haduvio at commercial scale or any future product candidate. If our manufacturers cannot successfully manufacture drug substance or drug product that conforms to our specifications or the strict regulatory requirements of the FDA and any applicable foreign regulatory authority, they will not be able to secure the applicable approval for their manufacturing facilities. If these facilities are not approved for commercial manufacture, we may need to find alternative manufacturing facilities, which could result in delays in obtaining approval for the applicable product candidate and any future commercialization efforts.</w:t>
      </w:r>
    </w:p>
    <w:p>
      <w:pPr>
        <w:spacing w:after="0" w:line="80"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In addition, our manufacturers are subject to ongoing periodic inspections by the FDA and corresponding state and foreign agencies for compliance with cGMPs and similar regulatory requirements both prior to and following the receipt of marketing approval for any product candidate. Some of these inspections may be unannounced. Failure by any of our manufacturers to comply with applicable cGMPs or other regulatory requirements could result in sanctions being imposed on us, including fines, injunctions, civil penalties, delays, suspensions or withdrawals of approvals, operating restrictions, seizures or recalls of product candidates,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3" w:name="page54"/>
    <w:bookmarkEnd w:id="53"/>
    <w:p>
      <w:pPr>
        <w:ind w:right="720"/>
        <w:spacing w:after="0" w:line="282" w:lineRule="auto"/>
        <w:rPr>
          <w:sz w:val="20"/>
          <w:szCs w:val="20"/>
          <w:color w:val="auto"/>
        </w:rPr>
      </w:pPr>
      <w:r>
        <w:rPr>
          <w:rFonts w:ascii="Times New Roman" w:cs="Times New Roman" w:eastAsia="Times New Roman" w:hAnsi="Times New Roman"/>
          <w:sz w:val="18"/>
          <w:szCs w:val="18"/>
          <w:color w:val="auto"/>
        </w:rPr>
        <w:t>interruptions in supply and criminal prosecutions, any of which could significantly impact the available supplies of Haduvio or any future product candidate and harm our business, financial condition and results of operations.</w:t>
      </w:r>
    </w:p>
    <w:p>
      <w:pPr>
        <w:spacing w:after="0" w:line="54" w:lineRule="exact"/>
        <w:rPr>
          <w:sz w:val="20"/>
          <w:szCs w:val="20"/>
          <w:color w:val="auto"/>
        </w:rPr>
      </w:pPr>
    </w:p>
    <w:p>
      <w:pPr>
        <w:ind w:right="340" w:firstLine="510"/>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Haduvio or any future product candidate may harm our future profit margins and our ability to commercialize any products that receive marketing approval on a timely and competitive basis.</w:t>
      </w:r>
    </w:p>
    <w:p>
      <w:pPr>
        <w:spacing w:after="0" w:line="50"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51"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While we have not entered into any collaborations to date, we may seek to establish one or more collaborations for the development and commercialization of Haduvio or any future product candidate. Potential collaborators may include large and mid-size pharmaceutical companies, regional and national pharmaceutical companies, biotechnology companies and academic research institutions. In addition, if we are able to obtain marketing approval for any product candidates from foreign regulatory authorities, we intend to enter into strategic relationships with international biotechnology or pharmaceutical companies for the commercialization of those product candidates outside of the U.S.</w:t>
      </w:r>
    </w:p>
    <w:p>
      <w:pPr>
        <w:spacing w:after="0" w:line="75" w:lineRule="exact"/>
        <w:rPr>
          <w:sz w:val="20"/>
          <w:szCs w:val="20"/>
          <w:color w:val="auto"/>
        </w:rPr>
      </w:pPr>
    </w:p>
    <w:p>
      <w:pPr>
        <w:ind w:right="40" w:firstLine="510"/>
        <w:spacing w:after="0" w:line="252"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There have been a significant number of recent business combinations among large pharmaceutical companies that have resulted in a reduced number of potential future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potential differentiation of our product candidates from competing product candidates, design or results of clinical trials, the likelihood of approval by the FDA or comparable foreign regulatory authorities and the regulatory pathway for any such approval, the potential market for the product candidate, the costs and complexities of manufacturing and delivering the product to patients and existing or potential competing products. The collaborator may also consider alternative product candidates or technologies for similar indications that may be available for collaboration and whether such a collaboration could be more attractive than a collaboration with us. Any collaboration agreements that we enter into in the future may also contain restrictions on our ability to enter into other potential collaborations or to develop specified product candidates. 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the potential commercialization of such product candidate,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87"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If we establish one or more collaborations, all the risks relating to product development, regulatory approval and commercialization described in this Quarterly Report on Form 10-Q would also apply to the activities of any such future collaborators.</w:t>
      </w:r>
    </w:p>
    <w:p>
      <w:pPr>
        <w:spacing w:after="0" w:line="5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enter into collaborations with third parties for the development or commercialization of Haduvio or any future product candidate, our prospects with respect to those product candidates will depend in significant part on the success of those collaborations.</w:t>
      </w:r>
    </w:p>
    <w:p>
      <w:pPr>
        <w:spacing w:after="0" w:line="5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We may seek to enter into collaborations with third parties for the development or commercialization of Haduvio or any future product candidate. If we enter into any such collaborations, we would have limited control over the amount and timing of resources that our collaborators will dedicate to the development or commercialization of any such product candidates. Our ability to generate revenues from these arrangements would depend on any future collaborators’ abilities to successfully perform the functions assigned to them in these arrangements. In addition, any future collaborators may have the right to abandon research or development projects and terminate applicable agreements, including funding obligations, prior to or upon the expiration of the agreed upon terms.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Collaborations involving a product candidate would pose a number of risks, including the following:</w:t>
      </w:r>
    </w:p>
    <w:p>
      <w:pPr>
        <w:spacing w:after="0" w:line="117" w:lineRule="exact"/>
        <w:rPr>
          <w:sz w:val="20"/>
          <w:szCs w:val="20"/>
          <w:color w:val="auto"/>
        </w:rPr>
      </w:pPr>
    </w:p>
    <w:p>
      <w:pPr>
        <w:ind w:left="880" w:hanging="373"/>
        <w:spacing w:after="0"/>
        <w:tabs>
          <w:tab w:leader="none" w:pos="8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44" w:lineRule="exact"/>
        <w:rPr>
          <w:rFonts w:ascii="Times New Roman" w:cs="Times New Roman" w:eastAsia="Times New Roman" w:hAnsi="Times New Roman"/>
          <w:sz w:val="18"/>
          <w:szCs w:val="18"/>
          <w:color w:val="auto"/>
        </w:rPr>
      </w:pPr>
    </w:p>
    <w:p>
      <w:pPr>
        <w:ind w:left="880" w:right="180" w:hanging="373"/>
        <w:spacing w:after="0" w:line="266" w:lineRule="auto"/>
        <w:tabs>
          <w:tab w:leader="none" w:pos="8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the product candidates under the collaboration or may elect not to continue or renew development or commercialization programs, based on clinical trial results, changes in the collaborators’ strategic focus or available funding or external factors, such as an acquisition of the collaborator, that divert resources or create competing priorities;</w:t>
      </w:r>
    </w:p>
    <w:p>
      <w:pPr>
        <w:spacing w:after="0" w:line="67" w:lineRule="exact"/>
        <w:rPr>
          <w:rFonts w:ascii="Times New Roman" w:cs="Times New Roman" w:eastAsia="Times New Roman" w:hAnsi="Times New Roman"/>
          <w:sz w:val="18"/>
          <w:szCs w:val="18"/>
          <w:color w:val="auto"/>
        </w:rPr>
      </w:pPr>
    </w:p>
    <w:p>
      <w:pPr>
        <w:ind w:left="880" w:right="1320" w:hanging="373"/>
        <w:spacing w:after="0" w:line="282" w:lineRule="auto"/>
        <w:tabs>
          <w:tab w:leader="none" w:pos="8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be involved in a business combination and could decide to delay, diminish or terminate the development or commercialization of any product candidate licensed by us;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4" w:name="page55"/>
    <w:bookmarkEnd w:id="54"/>
    <w:p>
      <w:pPr>
        <w:ind w:left="880" w:right="580" w:hanging="373"/>
        <w:spacing w:after="0" w:line="282" w:lineRule="auto"/>
        <w:tabs>
          <w:tab w:leader="none" w:pos="8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880" w:right="760" w:hanging="373"/>
        <w:spacing w:after="0" w:line="282" w:lineRule="auto"/>
        <w:tabs>
          <w:tab w:leader="none" w:pos="8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the product candidates under the collaboration;</w:t>
      </w:r>
    </w:p>
    <w:p>
      <w:pPr>
        <w:spacing w:after="0" w:line="53" w:lineRule="exact"/>
        <w:rPr>
          <w:rFonts w:ascii="Times New Roman" w:cs="Times New Roman" w:eastAsia="Times New Roman" w:hAnsi="Times New Roman"/>
          <w:sz w:val="18"/>
          <w:szCs w:val="18"/>
          <w:color w:val="auto"/>
        </w:rPr>
      </w:pPr>
    </w:p>
    <w:p>
      <w:pPr>
        <w:ind w:left="880" w:right="660" w:hanging="373"/>
        <w:spacing w:after="0" w:line="282" w:lineRule="auto"/>
        <w:tabs>
          <w:tab w:leader="none" w:pos="8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and distribution rights to one or more products may not commit sufficient resources to the marketing and distribution of such product or products;</w:t>
      </w:r>
    </w:p>
    <w:p>
      <w:pPr>
        <w:spacing w:after="0" w:line="53" w:lineRule="exact"/>
        <w:rPr>
          <w:rFonts w:ascii="Times New Roman" w:cs="Times New Roman" w:eastAsia="Times New Roman" w:hAnsi="Times New Roman"/>
          <w:sz w:val="18"/>
          <w:szCs w:val="18"/>
          <w:color w:val="auto"/>
        </w:rPr>
      </w:pPr>
    </w:p>
    <w:p>
      <w:pPr>
        <w:ind w:left="880" w:right="380" w:hanging="373"/>
        <w:spacing w:after="0" w:line="261" w:lineRule="auto"/>
        <w:tabs>
          <w:tab w:leader="none" w:pos="8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1" w:lineRule="exact"/>
        <w:rPr>
          <w:rFonts w:ascii="Times New Roman" w:cs="Times New Roman" w:eastAsia="Times New Roman" w:hAnsi="Times New Roman"/>
          <w:sz w:val="18"/>
          <w:szCs w:val="18"/>
          <w:color w:val="auto"/>
        </w:rPr>
      </w:pPr>
    </w:p>
    <w:p>
      <w:pPr>
        <w:ind w:left="880" w:right="220" w:hanging="373"/>
        <w:spacing w:after="0" w:line="282" w:lineRule="auto"/>
        <w:tabs>
          <w:tab w:leader="none" w:pos="8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53" w:lineRule="exact"/>
        <w:rPr>
          <w:rFonts w:ascii="Times New Roman" w:cs="Times New Roman" w:eastAsia="Times New Roman" w:hAnsi="Times New Roman"/>
          <w:sz w:val="18"/>
          <w:szCs w:val="18"/>
          <w:color w:val="auto"/>
        </w:rPr>
      </w:pPr>
    </w:p>
    <w:p>
      <w:pPr>
        <w:ind w:left="880" w:right="820" w:hanging="373"/>
        <w:spacing w:after="0" w:line="282" w:lineRule="auto"/>
        <w:tabs>
          <w:tab w:leader="none" w:pos="8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 or misappropriate our intellectual property or other proprietary information;</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engage in misconduct or other improper activities, including non-compliance with regulatory standards and requirements;</w:t>
      </w:r>
    </w:p>
    <w:p>
      <w:pPr>
        <w:spacing w:after="0" w:line="144" w:lineRule="exact"/>
        <w:rPr>
          <w:rFonts w:ascii="Times New Roman" w:cs="Times New Roman" w:eastAsia="Times New Roman" w:hAnsi="Times New Roman"/>
          <w:sz w:val="18"/>
          <w:szCs w:val="18"/>
          <w:color w:val="auto"/>
        </w:rPr>
      </w:pPr>
    </w:p>
    <w:p>
      <w:pPr>
        <w:ind w:left="880" w:right="180" w:hanging="373"/>
        <w:spacing w:after="0" w:line="282" w:lineRule="auto"/>
        <w:tabs>
          <w:tab w:leader="none" w:pos="8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regarding ownership of or other rights in the intellectual property generated in the course of the collaborations; and</w:t>
      </w:r>
    </w:p>
    <w:p>
      <w:pPr>
        <w:spacing w:after="0" w:line="53" w:lineRule="exact"/>
        <w:rPr>
          <w:rFonts w:ascii="Times New Roman" w:cs="Times New Roman" w:eastAsia="Times New Roman" w:hAnsi="Times New Roman"/>
          <w:sz w:val="18"/>
          <w:szCs w:val="18"/>
          <w:color w:val="auto"/>
        </w:rPr>
      </w:pPr>
    </w:p>
    <w:p>
      <w:pPr>
        <w:ind w:left="880" w:right="1120" w:hanging="373"/>
        <w:spacing w:after="0" w:line="282" w:lineRule="auto"/>
        <w:tabs>
          <w:tab w:leader="none" w:pos="8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w:t>
      </w:r>
    </w:p>
    <w:p>
      <w:pPr>
        <w:spacing w:after="0" w:line="54" w:lineRule="exact"/>
        <w:rPr>
          <w:sz w:val="20"/>
          <w:szCs w:val="20"/>
          <w:color w:val="auto"/>
        </w:rPr>
      </w:pPr>
    </w:p>
    <w:p>
      <w:pPr>
        <w:ind w:right="840" w:firstLine="510"/>
        <w:spacing w:after="0" w:line="373" w:lineRule="auto"/>
        <w:rPr>
          <w:sz w:val="20"/>
          <w:szCs w:val="20"/>
          <w:color w:val="auto"/>
        </w:rPr>
      </w:pPr>
      <w:r>
        <w:rPr>
          <w:rFonts w:ascii="Times New Roman" w:cs="Times New Roman" w:eastAsia="Times New Roman" w:hAnsi="Times New Roman"/>
          <w:sz w:val="18"/>
          <w:szCs w:val="18"/>
          <w:color w:val="auto"/>
        </w:rPr>
        <w:t xml:space="preserve">Collaboration agreements may not lead to development or commercialization of product candidates in the most efficient manner or at all. </w:t>
      </w:r>
      <w:r>
        <w:rPr>
          <w:rFonts w:ascii="Times New Roman" w:cs="Times New Roman" w:eastAsia="Times New Roman" w:hAnsi="Times New Roman"/>
          <w:sz w:val="18"/>
          <w:szCs w:val="18"/>
          <w:b w:val="1"/>
          <w:bCs w:val="1"/>
          <w:color w:val="auto"/>
        </w:rPr>
        <w:t>Risks Related to Our Intellectual Property</w:t>
      </w:r>
    </w:p>
    <w:p>
      <w:pPr>
        <w:spacing w:after="0" w:line="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our existing and any future intellectual property licenses with third parties, we could lose license rights that are critical to our business or owe damages to the licensor of such intellectual property.</w:t>
      </w:r>
    </w:p>
    <w:p>
      <w:pPr>
        <w:spacing w:after="0" w:line="5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We are party to an exclusive license agreement with Endo Pharmaceuticals Inc. under which we have licensed certain patent rights and know-how to develop and commercialize products incorporating nalbuphine hydrochloride in any formulation, including an extended-release formulation such as Haduvio. We may in the future seek additional licenses from others to develop and commercialize additional product candidates or technologies. These licenses may not provide exclusive rights to use the relevant intellectual property in all desired fields of use and in all territories in which we may wish to develop or commercialize product candidates in the future. It is also possible that we may be unable to obtain additional licenses at a reasonable cost or on reasonable terms, if at all.</w:t>
      </w:r>
    </w:p>
    <w:p>
      <w:pPr>
        <w:spacing w:after="0" w:line="79"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Our existing license agreements impose and we expect that future license agreements will impose, various diligence, development and commercialization, milestone payment, royalty and other obligations on us. If we fail to comply with our material obligations under these agreements or if we are subject to a bankruptcy event, the licensor may have the right to terminate the license or convert the license to a non-exclusive license, in which event we may be required to negotiate a new or reinstated license with less favorable terms or would not be able to exclusively market or market at all, products covered by the license. Any termination of our license agreements could have a material adverse impact on our business.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Disputes may also arise regarding intellectual property subject to a license agreement, including:</w:t>
      </w:r>
    </w:p>
    <w:p>
      <w:pPr>
        <w:spacing w:after="0" w:line="117" w:lineRule="exact"/>
        <w:rPr>
          <w:sz w:val="20"/>
          <w:szCs w:val="20"/>
          <w:color w:val="auto"/>
        </w:rPr>
      </w:pPr>
    </w:p>
    <w:p>
      <w:pPr>
        <w:ind w:left="880" w:hanging="373"/>
        <w:spacing w:after="0"/>
        <w:tabs>
          <w:tab w:leader="none" w:pos="8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44" w:lineRule="exact"/>
        <w:rPr>
          <w:rFonts w:ascii="Times New Roman" w:cs="Times New Roman" w:eastAsia="Times New Roman" w:hAnsi="Times New Roman"/>
          <w:sz w:val="18"/>
          <w:szCs w:val="18"/>
          <w:color w:val="auto"/>
        </w:rPr>
      </w:pPr>
    </w:p>
    <w:p>
      <w:pPr>
        <w:ind w:left="880" w:right="120" w:hanging="373"/>
        <w:spacing w:after="0" w:line="282" w:lineRule="auto"/>
        <w:tabs>
          <w:tab w:leader="none" w:pos="8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activities or product candidates may infringe the intellectual property of the licensor that is not subject to the licensing agreement;</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any collaborative development relationships;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or ownership of inventions and know-how resulting from joint creation or use of intellectual property by licensors and us; and</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5" w:name="page56"/>
    <w:bookmarkEnd w:id="55"/>
    <w:p>
      <w:pPr>
        <w:ind w:left="880" w:hanging="373"/>
        <w:spacing w:after="0"/>
        <w:tabs>
          <w:tab w:leader="none" w:pos="8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any patented technology.</w:t>
      </w:r>
    </w:p>
    <w:p>
      <w:pPr>
        <w:spacing w:after="0" w:line="144" w:lineRule="exact"/>
        <w:rPr>
          <w:sz w:val="20"/>
          <w:szCs w:val="20"/>
          <w:color w:val="auto"/>
        </w:rPr>
      </w:pPr>
    </w:p>
    <w:p>
      <w:pPr>
        <w:ind w:right="200" w:firstLine="510"/>
        <w:spacing w:after="0" w:line="282" w:lineRule="auto"/>
        <w:rPr>
          <w:sz w:val="20"/>
          <w:szCs w:val="20"/>
          <w:color w:val="auto"/>
        </w:rPr>
      </w:pPr>
      <w:r>
        <w:rPr>
          <w:rFonts w:ascii="Times New Roman" w:cs="Times New Roman" w:eastAsia="Times New Roman" w:hAnsi="Times New Roman"/>
          <w:sz w:val="18"/>
          <w:szCs w:val="18"/>
          <w:color w:val="auto"/>
        </w:rPr>
        <w:t>If disputes over intellectual property that we license prevent or impair our ability to maintain those license arrangements on acceptable terms or at all, we may be unable to successfully develop and commercialize any affected product candidates.</w:t>
      </w:r>
    </w:p>
    <w:p>
      <w:pPr>
        <w:spacing w:after="0" w:line="5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patent protection for Haduvio or any future product candidate and the disease indications for which we are developing or may in the future develop, Haduvio or if the scope of the patent protection is not sufficiently broad, competitors could develop and commercialize products similar or identical to such product candidate and our ability to successfully commercialize such product candidate may be adversely affected.</w:t>
      </w:r>
    </w:p>
    <w:p>
      <w:pPr>
        <w:spacing w:after="0" w:line="72"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protection in the U.S. and other countries with respect to Haduvio and any future product candidates and their use for indications for which we are developing or may develop, them in the future. If we do not adequately protect our intellectual property rights, competitors may erode or negate any competitive advantage we may have, which could harm our business and ability to achieve profitability. To protect our proprietary position, we have licensed exclusive rights under patents, prosecuted additional patents and filed patent applications in the U.S. and other countries related to methods of use and formulations of Haduvio. The patent application and approval process is expensive and time-consuming. We may not be able to file and prosecute all necessary or desirable patent applications at a reasonable cost, in a timely manner or at all.</w:t>
      </w:r>
    </w:p>
    <w:p>
      <w:pPr>
        <w:spacing w:after="0" w:line="81" w:lineRule="exact"/>
        <w:rPr>
          <w:sz w:val="20"/>
          <w:szCs w:val="20"/>
          <w:color w:val="auto"/>
        </w:rPr>
      </w:pPr>
    </w:p>
    <w:p>
      <w:pPr>
        <w:ind w:right="40" w:firstLine="510"/>
        <w:spacing w:after="0" w:line="252" w:lineRule="auto"/>
        <w:rPr>
          <w:sz w:val="20"/>
          <w:szCs w:val="20"/>
          <w:color w:val="auto"/>
        </w:rPr>
      </w:pPr>
      <w:r>
        <w:rPr>
          <w:rFonts w:ascii="Times New Roman" w:cs="Times New Roman" w:eastAsia="Times New Roman" w:hAnsi="Times New Roman"/>
          <w:sz w:val="18"/>
          <w:szCs w:val="18"/>
          <w:color w:val="auto"/>
        </w:rPr>
        <w:t>Agreements through which we license patent rights may not give us control over patent prosecution or maintenance, so that we may not be able to control which claims or arguments are presented and may not be able to secure, maintain or successfully enforce necessary or desirable patent protection from those patent rights. We may not have primary control over patent prosecution and maintenance for certain of the patents and patent applications we may license and therefore cannot guarantee that these patents and applications will be prosecuted in a manner consistent with the best interests of our business. We cannot be certain that patent prosecution and maintenance activities by our licensors or other responsible third parties have been or will be conducted in compliance with applicable laws and regulations or will result in valid and enforceable patents. It is possible that defects of form in the preparation or filing of our patents or patent applications may exist or may arise in the future, for example with respect to proper priority claims, inventorship, claim scope or patent term adjustments. If we, our licensors or any future partners, collaborators, licensors or licensees fail to establish, maintain or protect such patents and other intellectual property rights, such rights may be reduced or eliminated. If our licensors or any future partners, collaborators, licensors or licensees disagree or do not fully cooperate with us as to the prosecution, maintenance or enforcement of any patent rights, those patent rights could be compromised. We, our licensors and any future partners, collaborators, licensors and licensees may also fail to identify patentable aspects of inventions made in the course of development and commercialization activities before it is too late to obtain patent protection on them. Therefore, we may miss potential opportunities to strengthen our patent position. Any of these outcomes could impair our ability to prevent competition from third parties, which may have an adverse impact on our business.</w:t>
      </w:r>
    </w:p>
    <w:p>
      <w:pPr>
        <w:spacing w:after="0" w:line="89"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No consistent policy regarding the breadth of claims allowed in biotechnology and pharmaceutical patents has emerged to date in the U.S. or in many foreign jurisdictions. In addition, the determination of patent rights with respect to pharmaceutical compounds commonly involves complex legal and factual questions, which in recent years have been the subject of much litigation. As a result, the issuance, scope, validity, enforceability and commercial value of our patent rights are highly uncertain.</w:t>
      </w:r>
    </w:p>
    <w:p>
      <w:pPr>
        <w:spacing w:after="0" w:line="72"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Pending patent applications cannot be enforced against third parties practicing the technology claimed in such applications unless and until a patent issues from such applications. Assuming the other requirements for patentability are met, currently, the first to file a patent application is generally entitled to the patent. However, prior to March 16, 2013, in the U.S., the first to invent was entitled to the patent.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Similarly, we cannot be certain that parties from whom we do or may license or purchase patent rights were the first to make relevant claimed inventions or were the first to file for patent protection for them. If third parties have filed patent applications on inventions claimed in our patents or applications on or before March 15, 2013, an interference proceeding in the U.S. can be initiated by such third parties to determine who was the first to invent any of the subject matter covered by the patent claims of our applications. If third parties have filed such applications after March 15, 2013, a derivation proceeding in the U.S. can be initiated by such third parties to determine whether our invention was derived from theirs.</w:t>
      </w:r>
    </w:p>
    <w:p>
      <w:pPr>
        <w:spacing w:after="0" w:line="84"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Moreover, because the issuance of a patent is not conclusive as to its inventorship, scope, validity or enforceability, our patents or pending patent applications may be challenged in the courts or patent offices in the U.S. and other countries. There is no assurance that all of the potentially relevant prior art relating to our patents and patent applications has been found. If such prior art exists, it may be used to invalidate a patent or may prevent a patent from issuing from a pending patent application. For example, such patent filings may be subject to a third-party preissuance submission of prior art to the U.S. Patent and Trademark Office, or USPTO, or to other patent offices around the world. Alternatively or additionally, we may become involved in post-grant review procedures, oppositions, derivation proceedings, reexaminations, inter partes review or interference proceedings, in the U.S. or other countries, challenging</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6" w:name="page57"/>
    <w:bookmarkEnd w:id="56"/>
    <w:p>
      <w:pPr>
        <w:ind w:right="20"/>
        <w:spacing w:after="0" w:line="254" w:lineRule="auto"/>
        <w:rPr>
          <w:sz w:val="20"/>
          <w:szCs w:val="20"/>
          <w:color w:val="auto"/>
        </w:rPr>
      </w:pPr>
      <w:r>
        <w:rPr>
          <w:rFonts w:ascii="Times New Roman" w:cs="Times New Roman" w:eastAsia="Times New Roman" w:hAnsi="Times New Roman"/>
          <w:sz w:val="18"/>
          <w:szCs w:val="18"/>
          <w:color w:val="auto"/>
        </w:rPr>
        <w:t>patents or patent applications in which we have rights, including patents on which we rely to protect our business. An adverse determination in any such challenge may result in loss of exclusivity or in patent claims being narrowed, invalidated or held unenforceable, in whole or in part, which could limit our ability to stop others from using or commercializing similar or identical products or product candidates or limit the duration of the patent protection of Haduvio or any future product candidates of ours. In addition, given the amount of time required for the development, testing and regulatory review of new product candidates, patents protecting such candidates might expire before or shortly after such candidates are commercialized. Furthermore,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As a result, the inventorship or ownership of our intellectual property may be challenged in the future.</w:t>
      </w:r>
    </w:p>
    <w:p>
      <w:pPr>
        <w:spacing w:after="0" w:line="84" w:lineRule="exact"/>
        <w:rPr>
          <w:sz w:val="20"/>
          <w:szCs w:val="20"/>
          <w:color w:val="auto"/>
        </w:rPr>
      </w:pPr>
    </w:p>
    <w:p>
      <w:pPr>
        <w:jc w:val="both"/>
        <w:ind w:right="20" w:firstLine="510"/>
        <w:spacing w:after="0" w:line="261" w:lineRule="auto"/>
        <w:rPr>
          <w:sz w:val="20"/>
          <w:szCs w:val="20"/>
          <w:color w:val="auto"/>
        </w:rPr>
      </w:pPr>
      <w:r>
        <w:rPr>
          <w:rFonts w:ascii="Times New Roman" w:cs="Times New Roman" w:eastAsia="Times New Roman" w:hAnsi="Times New Roman"/>
          <w:sz w:val="18"/>
          <w:szCs w:val="18"/>
          <w:color w:val="auto"/>
        </w:rPr>
        <w:t>Changes in either the patent laws or interpretation of the patent laws in the U.S. and other countries may diminish the value of our patents or narrow the scope of our patent protection. In addition, the laws of foreign countries may not protect our rights to the same extent or in the same manner as the laws of the U.S. For example, patent laws in various jurisdictions, including significant commercial markets such as Europe, restrict the patentability of methods of treatment of the human body more than U.S. law does.</w:t>
      </w:r>
    </w:p>
    <w:p>
      <w:pPr>
        <w:spacing w:after="0" w:line="72"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Issued patents that we have, may obtain or license may not provide us with any meaningful protection, prevent competitors from competing with us or otherwise provide us with any competitive advantage. Our competitors may be able to circumvent patents by developing similar or alternative technologies or products in a non-infringing manner. Our competitors may also seek approval to market their own products similar to or otherwise competitive with any products that we are able to develop and commercialize. Alternatively, our competitors may seek to market generic versions of any approved products by submitting abbreviated new drug applications, or ANDAs, to the FDA claiming that patents owned or licensed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find that competitors are competing in a non-infringing manner. Thus, even if we have valid and enforceable patents, these patents still may not provide protection against competing products or processes sufficient to achieve our business objectives.</w:t>
      </w:r>
    </w:p>
    <w:p>
      <w:pPr>
        <w:spacing w:after="0" w:line="80"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Pursuant to the terms of our license agreements with third parties, we have the right, but not the obligation, to control enforcement of our licensed patents or defense of any claims asserting the invalidity of these patents. Even if we pursue such enforcement or defense, we will require the cooperation of our licensors and cannot guarantee that we would receive it and on what terms. We cannot be certain that our licensors will allocate sufficient resources or prioritize their or our enforcement of such patents or defense of such claims to protect our interests in the licensed patents. If we cannot obtain patent protection or enforce existing or future patents against third parties, our competitive position and our financial condition could suffer.</w:t>
      </w:r>
    </w:p>
    <w:p>
      <w:pPr>
        <w:spacing w:after="0" w:line="7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products could be negatively impacted and our business would be harmed.</w:t>
      </w:r>
    </w:p>
    <w:p>
      <w:pPr>
        <w:spacing w:after="0" w:line="5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In addition to the protection afforded by patents, we also rely on trade secret protection for certain aspects of our intellectual property. We seek to protect these trade secrets, in part, by entering into non-disclosure and confidentiality agreements with parties who have access to them, such as our employees, consultants, independent contractors, advisors, contract manufacturers, suppliers and other third parties. We also enter into confidentiality and invention or patent assignment agreements with employees and certain consultants.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Additionally, if the steps taken to maintain our trade secrets are deemed inadequate, we may have insufficient recourse against third parties for misappropriating the trade secret. Further,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our business and competitive position could be harmed.</w:t>
      </w:r>
    </w:p>
    <w:p>
      <w:pPr>
        <w:spacing w:after="0" w:line="80"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which could be expensive, time-consuming and unsuccessful.</w:t>
      </w:r>
    </w:p>
    <w:p>
      <w:pPr>
        <w:spacing w:after="0" w:line="5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Our competitors may infringe our patents, trademarks, copyrights or other intellectual property. To counter infringement or unauthorized use, we may be required to file infringement claims, which can be expensive and time-consuming and divert the time and attention of our management and scientific personnel.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one of our patents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one or more of our patents could limit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7" w:name="page58"/>
    <w:bookmarkEnd w:id="57"/>
    <w:p>
      <w:pPr>
        <w:ind w:right="60"/>
        <w:spacing w:after="0" w:line="261" w:lineRule="auto"/>
        <w:rPr>
          <w:sz w:val="20"/>
          <w:szCs w:val="20"/>
          <w:color w:val="auto"/>
        </w:rPr>
      </w:pPr>
      <w:r>
        <w:rPr>
          <w:rFonts w:ascii="Times New Roman" w:cs="Times New Roman" w:eastAsia="Times New Roman" w:hAnsi="Times New Roman"/>
          <w:sz w:val="18"/>
          <w:szCs w:val="18"/>
          <w:color w:val="auto"/>
        </w:rPr>
        <w:t>our ability to assert those patents against those parties or other competitors and may curtail or preclude our ability to exclude third parties from making and selling similar or competitive products.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72"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there can be no assurance that we will have sufficient financial or other resources to file and pursue such infringement claims, which typically last for years and require substantial resources. Even if we ultimately prevail in such claims, the monetary cost of such litigation and the diversion of the attention of our management and scientific personnel could outweigh any benefit we receive as a result of the proceedings.</w:t>
      </w:r>
    </w:p>
    <w:p>
      <w:pPr>
        <w:spacing w:after="0" w:line="80"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sued for infringing intellectual property rights of third parties, such litigation could be costly and time-consuming, its outcome would be uncertain and it could prevent or delay us from developing or commercializing Haduvio or any future product candidate.</w:t>
      </w:r>
    </w:p>
    <w:p>
      <w:pPr>
        <w:spacing w:after="0" w:line="51" w:lineRule="exact"/>
        <w:rPr>
          <w:sz w:val="20"/>
          <w:szCs w:val="20"/>
          <w:color w:val="auto"/>
        </w:rPr>
      </w:pPr>
    </w:p>
    <w:p>
      <w:pPr>
        <w:ind w:right="220" w:firstLine="510"/>
        <w:spacing w:after="0" w:line="256" w:lineRule="auto"/>
        <w:rPr>
          <w:sz w:val="20"/>
          <w:szCs w:val="20"/>
          <w:color w:val="auto"/>
        </w:rPr>
      </w:pPr>
      <w:r>
        <w:rPr>
          <w:rFonts w:ascii="Times New Roman" w:cs="Times New Roman" w:eastAsia="Times New Roman" w:hAnsi="Times New Roman"/>
          <w:sz w:val="18"/>
          <w:szCs w:val="18"/>
          <w:color w:val="auto"/>
        </w:rPr>
        <w:t>Our commercial success depends, in part, on our ability to develop, manufacture, market and sell products without infringing the intellectual property and other proprietary rights of third parties. Third parties may have U.S. and non-U.S. issued patents and pending patent applications relating to compounds and methods of use for the treatment of the disease indications for which we are developing or may in the future develop, Haduvio or any future product candidate. If any third-party patents or patent applications are found to cover Haduvio or any future product candidate or their methods of use, we may not be free to manufacture or market the product candidates as planned without obtaining a license, which may not be available on commercially reasonable terms or at all.</w:t>
      </w:r>
    </w:p>
    <w:p>
      <w:pPr>
        <w:spacing w:after="0" w:line="79" w:lineRule="exact"/>
        <w:rPr>
          <w:sz w:val="20"/>
          <w:szCs w:val="20"/>
          <w:color w:val="auto"/>
        </w:rPr>
      </w:pPr>
    </w:p>
    <w:p>
      <w:pPr>
        <w:ind w:right="120" w:firstLine="514"/>
        <w:spacing w:after="0" w:line="252" w:lineRule="auto"/>
        <w:rPr>
          <w:sz w:val="20"/>
          <w:szCs w:val="20"/>
          <w:color w:val="auto"/>
        </w:rPr>
      </w:pPr>
      <w:r>
        <w:rPr>
          <w:rFonts w:ascii="Times New Roman" w:cs="Times New Roman" w:eastAsia="Times New Roman" w:hAnsi="Times New Roman"/>
          <w:sz w:val="18"/>
          <w:szCs w:val="18"/>
          <w:color w:val="auto"/>
        </w:rPr>
        <w:t>There is a substantial amount of intellectual property litigation in the biotechnology and pharmaceutical industries and we may become party to or threatened with, litigation or other adversarial proceedings regarding intellectual property rights with respect to our Haduvio or any future product candidates, including interference proceedings before the USPTO. There may be third-party patents or patent applications with claims to materials, formulations, methods of manufacture or methods for treatment related to Haduvio or any future product candidate. Because patent applications can take many years to issue, there may be currently pending patent applications which may later result in issued patents that Haduvio or any future product candidate may be accused of infringing. The outcome of intellectual property litigation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use. The coverage of patents is subject to interpretation by the courts and the interpretation is not always uniform. If we were sued for patent infringement, we would need to demonstrate that our product candidates, products or methods either do not infringe the patent claims of the relevant patent or that the relevant patent claims are invalid or unenforceable and we may not be able to do this. Proving invalidity is difficult. For example, in the U.S.,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significantly harm our business and operating results. In addition, we may not have sufficient resources to bring these actions to a successful conclusion.</w:t>
      </w:r>
    </w:p>
    <w:p>
      <w:pPr>
        <w:spacing w:after="0" w:line="89" w:lineRule="exact"/>
        <w:rPr>
          <w:sz w:val="20"/>
          <w:szCs w:val="20"/>
          <w:color w:val="auto"/>
        </w:rPr>
      </w:pPr>
    </w:p>
    <w:p>
      <w:pPr>
        <w:ind w:right="80" w:firstLine="514"/>
        <w:spacing w:after="0" w:line="254" w:lineRule="auto"/>
        <w:rPr>
          <w:sz w:val="20"/>
          <w:szCs w:val="20"/>
          <w:color w:val="auto"/>
        </w:rPr>
      </w:pPr>
      <w:r>
        <w:rPr>
          <w:rFonts w:ascii="Times New Roman" w:cs="Times New Roman" w:eastAsia="Times New Roman" w:hAnsi="Times New Roman"/>
          <w:sz w:val="18"/>
          <w:szCs w:val="18"/>
          <w:color w:val="auto"/>
        </w:rPr>
        <w:t>If we are found to infringe a third-party’s intellectual property rights, we could be forced, including by court order, to cease developing, manufacturing or commercializing the infringing product candidate or product. Alternatively, we may be required to obtain a license from such third-party in order to use the infringing technology and continue developing, manufacturing or marketing the infringing product candidate or product. However, we may not be able to obtain any required license on commercially reasonable terms or at all. Even if we were able to obtain a license, it could be non-exclusive, thereby giving our competitors access to the same technologies licensed to us; alternatively or additionally, it could include terms that impede or eliminate our ability to compete successfully in the commercial marketplace. In addition, we could be found liable for monetary damages, including treble damages and attorneys’ fees, if we are found to have willfully infringed a patent. A finding of infringement could prevent us from commercializing Haduvio or any future product candidate or force us to cease some of our business operations, which could harm our business. Claims that we have misappropriated the confidential information or trade secrets of third parties could have a similar negative impact on our business.</w:t>
      </w:r>
    </w:p>
    <w:p>
      <w:pPr>
        <w:spacing w:after="0" w:line="7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the patent law in the U.S. and other jurisdictions could diminish the value of patents in general, thereby impairing our ability to protect our products.</w:t>
      </w:r>
    </w:p>
    <w:p>
      <w:pPr>
        <w:spacing w:after="0" w:line="51"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time-consuming and inherently uncertain. Recent patent reform legislation in the U.S., including the Leahy-Smith America Invents Act, or the America Invents Act, could increase those uncertainties and costs. The America Invents Act was signed into law on September 16, 2011 and many of the substantive changes became effective on March 16, 2013. The America Invents Act reformed U.S. patent law in part by changing the U.S. patent system from a “first to invent” system to a “first inventor to file” system,</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8" w:name="page59"/>
    <w:bookmarkEnd w:id="58"/>
    <w:p>
      <w:pPr>
        <w:ind w:right="340"/>
        <w:spacing w:after="0" w:line="282" w:lineRule="auto"/>
        <w:rPr>
          <w:sz w:val="20"/>
          <w:szCs w:val="20"/>
          <w:color w:val="auto"/>
        </w:rPr>
      </w:pPr>
      <w:r>
        <w:rPr>
          <w:rFonts w:ascii="Times New Roman" w:cs="Times New Roman" w:eastAsia="Times New Roman" w:hAnsi="Times New Roman"/>
          <w:sz w:val="18"/>
          <w:szCs w:val="18"/>
          <w:color w:val="auto"/>
        </w:rPr>
        <w:t>expanding the definition of prior art and developing a post-grant review system. This legislation changes U.S. patent law in a way that may weaken our ability to obtain patent protection in the U.S. for those applications filed after March 16, 2013.</w:t>
      </w:r>
    </w:p>
    <w:p>
      <w:pPr>
        <w:spacing w:after="0" w:line="54"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Further, the America Invents Act created new procedures to challenge the validity of issued patents in the U.S., including post-grant review and inter partes review proceedings, which some third parties have been using to cause the cancellation of selected or all claims of issued patents of competitors. For a patent with an effective filing date of March 16, 2013 or later, a petition for post-grant review can be filed by a third-party in a nine-month window from issuance of the patent. A petition for inter partes review can be filed immediately following the issuance of a patent if the patent has an effective filing date prior to March 16, 2013. A petition for inter partes review can be filed after the nine-month period for filing a post-grant review petition has expired for a patent with an effective filing date of March 16, 2013 or later. Post-grant review proceedings can be brought on any ground of invalidity, whereas inter partes review proceedings can only raise grounds of invalidity based on lack of novelty or obviousness using published prior art and patents. 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third-party to have a U.S. patent invalidated in a USPTO post-grant review or inter partes review proceeding than invalidated in a litigation in a U.S. federal court. If any of our patents are challenged by a third-party in such a USPTO proceeding, there is no guarantee that we or our licensors or collaborators will be successful in defending the patent, which would result in a loss of the challenged patent right to us.</w:t>
      </w:r>
    </w:p>
    <w:p>
      <w:pPr>
        <w:spacing w:after="0" w:line="82"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U.S. and other countries that, if adopted, could impact our ability to enforce our patents. In addition to increasing uncertainty with regard to our ability to obtain patents in the future, this combination of events has created uncertainty with respect to the value of patents once obtained.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enforce our intellectual property rights throughout the world.</w:t>
      </w:r>
    </w:p>
    <w:p>
      <w:pPr>
        <w:spacing w:after="0" w:line="121" w:lineRule="exact"/>
        <w:rPr>
          <w:sz w:val="20"/>
          <w:szCs w:val="20"/>
          <w:color w:val="auto"/>
        </w:rPr>
      </w:pPr>
    </w:p>
    <w:p>
      <w:pPr>
        <w:ind w:right="120" w:firstLine="510"/>
        <w:spacing w:after="0" w:line="256" w:lineRule="auto"/>
        <w:rPr>
          <w:sz w:val="20"/>
          <w:szCs w:val="20"/>
          <w:color w:val="auto"/>
        </w:rPr>
      </w:pPr>
      <w:r>
        <w:rPr>
          <w:rFonts w:ascii="Times New Roman" w:cs="Times New Roman" w:eastAsia="Times New Roman" w:hAnsi="Times New Roman"/>
          <w:sz w:val="18"/>
          <w:szCs w:val="18"/>
          <w:color w:val="auto"/>
        </w:rPr>
        <w:t>Filing, prosecuting and defending patents on our product candidates in all countries throughout the world would be prohibitively expensive and our intellectual property rights in some countries outside the U.S. are less extensive than those in the U.S. The requirements for patentability may differ in certain countries, particularly in developing countries; thus, even in countries where we do pursue patent protection, there can be no assurance that any patents will issue with claims that cover our products. Our competitors may export otherwise infringing products to territories where we have no patent protection or where we may obtain patent protection, but where patent enforcement is not as strong as that in the U.S. and our issued or licensed patents and any future patent claims or other intellectual property rights may not be effective or sufficient to prevent them from so competing.</w:t>
      </w:r>
    </w:p>
    <w:p>
      <w:pPr>
        <w:spacing w:after="0" w:line="79" w:lineRule="exact"/>
        <w:rPr>
          <w:sz w:val="20"/>
          <w:szCs w:val="20"/>
          <w:color w:val="auto"/>
        </w:rPr>
      </w:pPr>
    </w:p>
    <w:p>
      <w:pPr>
        <w:ind w:right="120" w:firstLine="510"/>
        <w:spacing w:after="0" w:line="255" w:lineRule="auto"/>
        <w:rPr>
          <w:sz w:val="20"/>
          <w:szCs w:val="20"/>
          <w:color w:val="auto"/>
        </w:rPr>
      </w:pPr>
      <w:r>
        <w:rPr>
          <w:rFonts w:ascii="Times New Roman" w:cs="Times New Roman" w:eastAsia="Times New Roman" w:hAnsi="Times New Roman"/>
          <w:sz w:val="18"/>
          <w:szCs w:val="18"/>
          <w:color w:val="auto"/>
        </w:rPr>
        <w:t>Moreover, our ability to protect and enforce our intellectual property rights may be adversely affected by unforeseen changes in foreign intellectual property laws. Additionally, laws of some countries outside of the U.S. and Europe do not afford intellectual property protection to the same extent as the laws of the U.S.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certain countries outside the U.S. and Europe.</w:t>
      </w:r>
    </w:p>
    <w:p>
      <w:pPr>
        <w:spacing w:after="0" w:line="81"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In addition, geo-political actions in the United States and in foreign countries could increase the uncertainties and costs surrounding the prosecution or maintenance of our patent applications and the maintenance, enforcement or defense of our issued patents.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from the United States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80" w:lineRule="exact"/>
        <w:rPr>
          <w:sz w:val="20"/>
          <w:szCs w:val="20"/>
          <w:color w:val="auto"/>
        </w:rPr>
      </w:pPr>
    </w:p>
    <w:p>
      <w:pPr>
        <w:ind w:right="240" w:firstLine="510"/>
        <w:spacing w:after="0" w:line="266" w:lineRule="auto"/>
        <w:rPr>
          <w:sz w:val="20"/>
          <w:szCs w:val="20"/>
          <w:color w:val="auto"/>
        </w:rPr>
      </w:pPr>
      <w:r>
        <w:rPr>
          <w:rFonts w:ascii="Times New Roman" w:cs="Times New Roman" w:eastAsia="Times New Roman" w:hAnsi="Times New Roman"/>
          <w:sz w:val="18"/>
          <w:szCs w:val="18"/>
          <w:color w:val="auto"/>
        </w:rPr>
        <w:t>Agreements through which we license patent rights may not give us sufficient rights to permit us to pursue enforcement of our licensed patents or defense of any claims asserting the invalidity of these patents (or control of enforcement or defense) of such patent rights in all relevant jurisdictions as requirements may vary.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9" w:name="page60"/>
    <w:bookmarkEnd w:id="59"/>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Proceedings to enforce our patent rights in foreign jurisdictions, whether or not successful, could result in substantial costs and divert our efforts and resources from other aspects of our business. Moreover, such proceedings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Furthermore, while we intend to protect our intellectual property rights in major markets for any products that we are able to develop, we cannot ensure that we will be able to initiate or maintain similar efforts in all jurisdictions in which we may wish to market any such products. Accordingly, our efforts to protect our intellectual property rights in such countries may be inadequate.</w:t>
      </w:r>
    </w:p>
    <w:p>
      <w:pPr>
        <w:spacing w:after="0" w:line="7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51"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Many of our employees and our licensors’ employees, including our senior management, were previously employed at universities or at other biotechnology or pharmaceutical companies, including some which may be competitors or potential competitors. Some of these employees, including each member of our senior management, executed proprietary rights, non-disclosure, non-competition and non-solicitation agreements or similar agreements, in connection with such previous employment.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third-party. Litigation may be necessary to defend against such claims. If we fail in defending any such claims, in addition to paying monetary damages, we may lose valuable intellectual property rights or personnel or sustain damages. Such intellectual property rights could be awarded to a third-party and we could be required to obtain a license from such third-party to commercialize Haduvio or any future product candidate. Such a license may not be available on commercially reasonable terms or at all. Even if we are successful in defending against such claims, litigation could result in substantial costs and be a distraction to management.</w:t>
      </w:r>
    </w:p>
    <w:p>
      <w:pPr>
        <w:spacing w:after="0" w:line="86" w:lineRule="exact"/>
        <w:rPr>
          <w:sz w:val="20"/>
          <w:szCs w:val="20"/>
          <w:color w:val="auto"/>
        </w:rPr>
      </w:pPr>
    </w:p>
    <w:p>
      <w:pPr>
        <w:ind w:right="80" w:firstLine="510"/>
        <w:spacing w:after="0" w:line="256" w:lineRule="auto"/>
        <w:rPr>
          <w:sz w:val="20"/>
          <w:szCs w:val="20"/>
          <w:color w:val="auto"/>
        </w:rPr>
      </w:pPr>
      <w:r>
        <w:rPr>
          <w:rFonts w:ascii="Times New Roman" w:cs="Times New Roman" w:eastAsia="Times New Roman" w:hAnsi="Times New Roman"/>
          <w:sz w:val="18"/>
          <w:szCs w:val="18"/>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w:t>
      </w:r>
    </w:p>
    <w:p>
      <w:pPr>
        <w:spacing w:after="0" w:line="75" w:lineRule="exact"/>
        <w:rPr>
          <w:sz w:val="20"/>
          <w:szCs w:val="20"/>
          <w:color w:val="auto"/>
        </w:rPr>
      </w:pPr>
    </w:p>
    <w:p>
      <w:pPr>
        <w:ind w:right="5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 applications are required to be paid to the USPTO and various governmental patent agencies outside of the U.S. in several stages over the lifetime of the patents and applications. The USPTO and various non-U.S. governmental patent agencies require compliance with a number of procedural, documentary, fee payment and other similar provisions during the patent application process and after a patent has issued.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the failure to respond to official actions within prescribed time limits, non-payment of fees and failure to properly legalize and submit formal documents. If we fail to maintain the patents and patent applications covering Haduvio or any future product candidate, our competitive position would be adversely affected.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obtain licenses from third parties on commercially reasonable terms, our business could be harmed.</w:t>
      </w:r>
    </w:p>
    <w:p>
      <w:pPr>
        <w:spacing w:after="0" w:line="121"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It may be necessary for us to use the patented or proprietary technology of third parties to commercialize Haduvio or any future product candidate,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in connection with any sales we make. Even if we are able to obtain a license, it may be non-exclusive, which could enable our competitors to obtain access to the same technologies licensed to us.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and Other Legal Compliance Matters</w:t>
      </w:r>
    </w:p>
    <w:p>
      <w:pPr>
        <w:spacing w:after="0" w:line="117"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FDA does not conclude that Haduvio for the treatment of chronic cough in adults with IPF or for the treatment of prurigo nodularis, or any other development program, satisfies the requirements under Section 505(b)(2) of the FDCA or if the requirements for such programs are not as we expect, the approval pathway for these programs will likely take significantly longer,</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cost significantly more and entail significantly greater complications and risks than anticipated and in any case may not be successful.</w:t>
      </w:r>
    </w:p>
    <w:p>
      <w:pPr>
        <w:spacing w:after="0" w:line="121" w:lineRule="exact"/>
        <w:rPr>
          <w:sz w:val="20"/>
          <w:szCs w:val="20"/>
          <w:color w:val="auto"/>
        </w:rPr>
      </w:pPr>
    </w:p>
    <w:p>
      <w:pPr>
        <w:ind w:firstLine="514"/>
        <w:spacing w:after="0" w:line="254" w:lineRule="auto"/>
        <w:rPr>
          <w:sz w:val="20"/>
          <w:szCs w:val="20"/>
          <w:color w:val="auto"/>
        </w:rPr>
      </w:pPr>
      <w:r>
        <w:rPr>
          <w:rFonts w:ascii="Times New Roman" w:cs="Times New Roman" w:eastAsia="Times New Roman" w:hAnsi="Times New Roman"/>
          <w:sz w:val="18"/>
          <w:szCs w:val="18"/>
          <w:color w:val="auto"/>
        </w:rPr>
        <w:t>We have completed our Phase 2b/3 PRISM trial of Haduvio for the treatment of prurigo nodularis (other than the open-label extension portion of the trial, which we expect to complete in the first quarter of 2023) and we believe we will need to conduct an additional Phase 3 clinical trial of Haduvio for the treatment of prurigo nodularis under the FDA’s Section 505(b)(2) regulatory pathway. The Drug Price Competition and Patent Term Restoration Act of 1984 or the Hatch-Waxman Act, added Section 505(b)(2) to the FDCA. Section 505(b)(2) permits the filing of an NDA where at least some of the information required for approval comes from studies that were not conducted by or for the sponsor and for which the sponsor has not received a right of reference, which could expedite the development program for Haduvio by potentially decreasing the amount of preclinical and clinical data that we would need to generate in order to obtain FDA approval. However, while we believe that Haduvio is a reformulation of an existing drug and, therefore, its active moiety will not be treated as a new chemical entity, or NCE, the submission of an NDA under the Section 505(b)(2) regulatory pathway does not preclude the FDA from determining that Haduvio contains an active moiety that is an NCE and, therefore, is not eligible for review under such regulatory pathway.</w:t>
      </w:r>
    </w:p>
    <w:p>
      <w:pPr>
        <w:spacing w:after="0" w:line="80" w:lineRule="exact"/>
        <w:rPr>
          <w:sz w:val="20"/>
          <w:szCs w:val="20"/>
          <w:color w:val="auto"/>
        </w:rPr>
      </w:pPr>
    </w:p>
    <w:p>
      <w:pPr>
        <w:ind w:firstLine="514"/>
        <w:spacing w:after="0" w:line="255" w:lineRule="auto"/>
        <w:rPr>
          <w:sz w:val="20"/>
          <w:szCs w:val="20"/>
          <w:color w:val="auto"/>
        </w:rPr>
      </w:pPr>
      <w:r>
        <w:rPr>
          <w:rFonts w:ascii="Times New Roman" w:cs="Times New Roman" w:eastAsia="Times New Roman" w:hAnsi="Times New Roman"/>
          <w:sz w:val="18"/>
          <w:szCs w:val="18"/>
          <w:color w:val="auto"/>
        </w:rPr>
        <w:t>If the FDA does not allow us to pursue the Section 505(b)(2) or similar regulatory pathway as anticipated, we may need to conduct additional preclinical experiments and clinical trials, provide additional data and information and meet additional standards for regulatory approval. If this were to occur, the time and financial resources required to obtain FDA approval for Haduvio for the treatment of prurigo nodularis and any future product candidates and complications and risks associated with these product candidates, would likely increase significantly. Moreover, our inability to pursue the Section 505(b)(2) regulatory pathway could result in new competitive products reaching the market more quickly than our product candidates, which would likely harm our competitive position and prospects. Even if we are allowed to pursue the Section 505(b)(2) regulatory pathway, our product candidates may not receive the requisite approvals for commercialization.</w:t>
      </w:r>
    </w:p>
    <w:p>
      <w:pPr>
        <w:spacing w:after="0" w:line="81" w:lineRule="exact"/>
        <w:rPr>
          <w:sz w:val="20"/>
          <w:szCs w:val="20"/>
          <w:color w:val="auto"/>
        </w:rPr>
      </w:pPr>
    </w:p>
    <w:p>
      <w:pPr>
        <w:ind w:right="80" w:firstLine="514"/>
        <w:spacing w:after="0" w:line="253" w:lineRule="auto"/>
        <w:rPr>
          <w:sz w:val="20"/>
          <w:szCs w:val="20"/>
          <w:color w:val="auto"/>
        </w:rPr>
      </w:pPr>
      <w:r>
        <w:rPr>
          <w:rFonts w:ascii="Times New Roman" w:cs="Times New Roman" w:eastAsia="Times New Roman" w:hAnsi="Times New Roman"/>
          <w:sz w:val="18"/>
          <w:szCs w:val="18"/>
          <w:color w:val="auto"/>
        </w:rPr>
        <w:t>In addition, notwithstanding the approval of a number of products by the FDA under Section 505(b)(2) over the last few years, certain competitors and others have objected to the FDA’s interpretation of Section 505(b)(2). If the FDA’s interpretation of Section 505(b)(2) is successfully challenged, the FDA may be required to change its 505(b)(2) policies and practices, which could delay or even prevent the FDA from approving any NDA that we submit under Section 505(b)(2). In addition, the pharmaceutical industry is highly competitive and Section 505(b)(2) NDAs are subject to special requirements designed to protect the patent rights of sponsors of previously approved drugs that are referenced in a Section 505(b)(2) NDA. These requirements may give rise to patent litigation and mandatory delays in approval of our potential future NDAs for up to 30 months depending on the outcome of any litigation. It is not uncommon for a manufacturer of an approved product to file a citizen petition with the FDA seeking to delay approval of or impose additional approval requirements for, pending competing products. If successful, such petitions can significantly delay or even prevent, the approval of the new product. However, even if the FDA ultimately denies such a petition, the FDA may substantially delay approval while it considers and responds to the petition. In addition, even if we are able to utilize the Section 505(b)(2) regulatory pathway for our product candidates, there is no guarantee this would ultimately lead to faster product development or earlier approval.</w:t>
      </w:r>
    </w:p>
    <w:p>
      <w:pPr>
        <w:spacing w:after="0" w:line="84"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Moreover, even if our product candidates are approved under the Section 505(b)(2) pathway, the approval may be subject to limitations on the indicated uses for which the products may be marketed or to other conditions of approval or may contain requirements for costly post-marketing testing and surveillance to monitor the safety or efficacy of the products.</w:t>
      </w:r>
    </w:p>
    <w:p>
      <w:pPr>
        <w:spacing w:after="0" w:line="64"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 the regulatory approval process is expensive, time-consuming and uncertain and may prevent us from obtaining approvals for the commercialization of Haduvio or any future product candidate. As a result, we cannot predict when or if and in which territories, we will obtain marketing approval to commercialize a product candidate.</w:t>
      </w:r>
    </w:p>
    <w:p>
      <w:pPr>
        <w:spacing w:after="0" w:line="67" w:lineRule="exact"/>
        <w:rPr>
          <w:sz w:val="20"/>
          <w:szCs w:val="20"/>
          <w:color w:val="auto"/>
        </w:rPr>
      </w:pPr>
    </w:p>
    <w:p>
      <w:pPr>
        <w:ind w:right="80" w:firstLine="510"/>
        <w:spacing w:after="0" w:line="277" w:lineRule="auto"/>
        <w:rPr>
          <w:sz w:val="20"/>
          <w:szCs w:val="20"/>
          <w:color w:val="auto"/>
        </w:rPr>
      </w:pPr>
      <w:r>
        <w:rPr>
          <w:rFonts w:ascii="Times New Roman" w:cs="Times New Roman" w:eastAsia="Times New Roman" w:hAnsi="Times New Roman"/>
          <w:sz w:val="17"/>
          <w:szCs w:val="17"/>
          <w:color w:val="auto"/>
        </w:rPr>
        <w:t>The research, testing, manufacturing, labeling, approval, selling, marketing, promotion and distribution of products are subject to extensive regulation by the FDA and comparable foreign regulatory authorities. We are not permitted to market Haduvio or any other product candidate in the U.S. until we receive approval of an NDA from the FDA or in other countries until we receive marketing approval from the applicable regulatory authorities outside the U.S. We have not submitted an application for or received marketing approval for any product candidate in the U.S. or in any other jurisdiction. We have limited experience in conducting and managing the clinical trials necessary to obtain marketing approvals, including FDA approval of an NDA.</w:t>
      </w:r>
    </w:p>
    <w:p>
      <w:pPr>
        <w:spacing w:after="0" w:line="60"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The process of obtaining marketing approvals, both in the U.S. and other countries, is lengthy, expensive and uncertain.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relevant regulatory authorities. The FDA or other regulatory authorities may determine that Haduvio or any future product candidate is not safe and effective, only moderately effective or has undesirable or unintended side effects, toxicities or other characteristics that preclude our obtaining marketing approval or prevent or limit commercial use. Any marketing approval we ultimately obtain may be limited or subject to restrictions or post-approval commitments that render the approved product not commercially viable.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61" w:name="page62"/>
    <w:bookmarkEnd w:id="61"/>
    <w:p>
      <w:pPr>
        <w:ind w:firstLine="510"/>
        <w:spacing w:after="0" w:line="256" w:lineRule="auto"/>
        <w:rPr>
          <w:sz w:val="20"/>
          <w:szCs w:val="20"/>
          <w:color w:val="auto"/>
        </w:rPr>
      </w:pPr>
      <w:r>
        <w:rPr>
          <w:rFonts w:ascii="Times New Roman" w:cs="Times New Roman" w:eastAsia="Times New Roman" w:hAnsi="Times New Roman"/>
          <w:sz w:val="18"/>
          <w:szCs w:val="18"/>
          <w:color w:val="auto"/>
        </w:rPr>
        <w:t>In addition,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79" w:lineRule="exact"/>
        <w:rPr>
          <w:sz w:val="20"/>
          <w:szCs w:val="20"/>
          <w:color w:val="auto"/>
        </w:rPr>
      </w:pPr>
    </w:p>
    <w:p>
      <w:pPr>
        <w:ind w:right="500" w:firstLine="510"/>
        <w:spacing w:after="0" w:line="282" w:lineRule="auto"/>
        <w:rPr>
          <w:sz w:val="20"/>
          <w:szCs w:val="20"/>
          <w:color w:val="auto"/>
        </w:rPr>
      </w:pPr>
      <w:r>
        <w:rPr>
          <w:rFonts w:ascii="Times New Roman" w:cs="Times New Roman" w:eastAsia="Times New Roman" w:hAnsi="Times New Roman"/>
          <w:sz w:val="18"/>
          <w:szCs w:val="18"/>
          <w:color w:val="auto"/>
        </w:rPr>
        <w:t>Any delay in obtaining or failure to obtain required approvals and clearances could negatively impact our ability to generate revenue from the particular product candidate, which likely would result in significant harm to our financial position and adversely impact our stock price.</w:t>
      </w:r>
    </w:p>
    <w:p>
      <w:pPr>
        <w:spacing w:after="0" w:line="50"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conducted, are conducting and intend in the future to conduct clinical trials for Haduvio and may conduct clinical trials for any future product candidates, at sites outside the U.S. The FDA may not accept data from trials conducted in such locations and the conduct of trials outside the U.S. could subject us to additional delays and expense.</w:t>
      </w:r>
    </w:p>
    <w:p>
      <w:pPr>
        <w:spacing w:after="0" w:line="67"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We have conducted, are conducting and intend in the future to conduct clinical trials for Haduvio, and may conduct clinical trials for any future product candidates, at trial sites that are located outside the U.S. Although the FDA may accept data from clinical trials conducted outside the U.S., acceptance of these data is subject to certain conditions imposed by the FDA. For example, the clinical trial must be well designed and conducted and performed by qualified investigators in accordance with cGCPs. The FDA must be able to validate the data from the trial, including, if necessary, through an onsite inspection. The trial population must also have a similar profile to the U.S. population and the data must be applicable to the U.S. population and U.S. medical practice in ways that the FDA deems clinically meaningful, except to the extent the disease being studied does not typically occur in the U.S. In addition, while these clinical trials are subject to the applicable local laws, FDA acceptance of the data will be dependent upon its determination that the trials also complied with all applicable U.S. laws and regulations. There can be no assurance that the FDA will accept data from trials conducted outside of the U.S. If the FDA does not accept the data from any trial that we conduct outside the U.S., it would likely result in the need for additional trials, which would be costly and time-consuming and delay or permanently halt our development of Haduvio or the applicable future product candidate.</w:t>
      </w:r>
    </w:p>
    <w:p>
      <w:pPr>
        <w:spacing w:after="0" w:line="86" w:lineRule="exact"/>
        <w:rPr>
          <w:sz w:val="20"/>
          <w:szCs w:val="20"/>
          <w:color w:val="auto"/>
        </w:rPr>
      </w:pPr>
    </w:p>
    <w:p>
      <w:pPr>
        <w:ind w:right="200" w:firstLine="510"/>
        <w:spacing w:after="0" w:line="282" w:lineRule="auto"/>
        <w:rPr>
          <w:sz w:val="20"/>
          <w:szCs w:val="20"/>
          <w:color w:val="auto"/>
        </w:rPr>
      </w:pPr>
      <w:r>
        <w:rPr>
          <w:rFonts w:ascii="Times New Roman" w:cs="Times New Roman" w:eastAsia="Times New Roman" w:hAnsi="Times New Roman"/>
          <w:sz w:val="18"/>
          <w:szCs w:val="18"/>
          <w:color w:val="auto"/>
        </w:rPr>
        <w:t>In addition, the conduct of clinical trials outside the U.S. could have a significant adverse impact on us. Risks inherent in conducting international clinical trials include:</w:t>
      </w:r>
    </w:p>
    <w:p>
      <w:pPr>
        <w:spacing w:after="0" w:line="54" w:lineRule="exact"/>
        <w:rPr>
          <w:sz w:val="20"/>
          <w:szCs w:val="20"/>
          <w:color w:val="auto"/>
        </w:rPr>
      </w:pPr>
    </w:p>
    <w:p>
      <w:pPr>
        <w:ind w:left="880" w:hanging="373"/>
        <w:spacing w:after="0"/>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practice patterns and standards of care that vary widely among countries;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regulatory authority requirements that could restrict or limit our ability to conduct our clinical trials;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burdens of conducting clinical trials under multiple non-U.S. regulatory authority schema;</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rate fluctuations; and</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protection of intellectual property in some countries.</w:t>
      </w:r>
    </w:p>
    <w:p>
      <w:pPr>
        <w:spacing w:after="0" w:line="140"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foreign jurisdictions would prevent Haduvio or any future product candidate from being marketed in other countries. Any marketing approval we are granted in the U.S. would not assure marketing approval in foreign jurisdictions.</w:t>
      </w:r>
    </w:p>
    <w:p>
      <w:pPr>
        <w:spacing w:after="0" w:line="5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In order to market and sell products in the E.U. and other foreign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the U.S. generally includes all of the risks associated with obtaining FDA approval. In addition, in many countries outside the U.S., a product must be approved for reimbursement before the product can be approved for sale in that country. We may not obtain approvals from regulatory authorities outside the U.S. on a timely basis, if at all. Approval by the FDA does not ensure approval by regulatory authorities in other countries or jurisdictions and approval by one regulatory authority outside the U.S. does not ensure approval by regulatory authorities in other countries or jurisdictions or by the FDA. We may file for marketing approvals but not receive necessary approvals to commercialize any products in any market. Obtaining non-U.S. regulatory approvals and compliance with non-U.S. regulatory requirements could result in significant delays, difficulties and costs for us and could delay or prevent the introduction of any product candidates in any country. In addition, if we fail to obtain the non-U.S. approvals required to market products outside the U.S. or if we fail to comply with applicable non-U.S. regulatory requirements, our target markets will be reduced and our ability to realize the full market potential of Haduvio or any future product candidate will be harmed and our business, financial condition, results of operations and prospects may be adversely affected.</w:t>
      </w:r>
    </w:p>
    <w:p>
      <w:pPr>
        <w:spacing w:after="0" w:line="82"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Additionally, we could face heightened risks with respect to seeking marketing approval in the United Kingdom as a result of the withdrawal of the United Kingdom from the EU, commonly referred to as Brexit. The United Kingdom is no longer part of the European Single Market and European Union Customs Union. As of January 1, 2021, the MHRA became responsible for supervising medicines and medical devices in Great Britain, comprising England, Scotland and Wales under domestic law, whereas Northern Ireland will continue to be subject to European Union rules under the Northern Ireland Protocol. The MHRA will rely on the Human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62" w:name="page63"/>
    <w:bookmarkEnd w:id="62"/>
    <w:p>
      <w:pPr>
        <w:spacing w:after="0" w:line="261" w:lineRule="auto"/>
        <w:rPr>
          <w:sz w:val="20"/>
          <w:szCs w:val="20"/>
          <w:color w:val="auto"/>
        </w:rPr>
      </w:pPr>
      <w:r>
        <w:rPr>
          <w:rFonts w:ascii="Times New Roman" w:cs="Times New Roman" w:eastAsia="Times New Roman" w:hAnsi="Times New Roman"/>
          <w:sz w:val="18"/>
          <w:szCs w:val="18"/>
          <w:color w:val="auto"/>
        </w:rPr>
        <w:t>Medicines Regulations 2012 (SI 2012/1916) (as amended), or the HMR, as the basis for regulating medicines. The HMR has incorporated into the domestic law of the body of European Union law instruments governing medicinal products that pre-existed prior to the United Kingdom’s withdrawal from the European Union. Any delay in obtaining or an inability to obtain, any marketing approvals, as a result of Brexit or otherwise, may force us to restrict or delay efforts to seek regulatory approval in the United Kingdom for our product candidates, which could significantly and materially harm our business.</w:t>
      </w:r>
    </w:p>
    <w:p>
      <w:pPr>
        <w:spacing w:after="0" w:line="72" w:lineRule="exact"/>
        <w:rPr>
          <w:sz w:val="20"/>
          <w:szCs w:val="20"/>
          <w:color w:val="auto"/>
        </w:rPr>
      </w:pPr>
    </w:p>
    <w:p>
      <w:pPr>
        <w:ind w:right="200" w:firstLine="510"/>
        <w:spacing w:after="0" w:line="258" w:lineRule="auto"/>
        <w:rPr>
          <w:sz w:val="20"/>
          <w:szCs w:val="20"/>
          <w:color w:val="auto"/>
        </w:rPr>
      </w:pPr>
      <w:r>
        <w:rPr>
          <w:rFonts w:ascii="Times New Roman" w:cs="Times New Roman" w:eastAsia="Times New Roman" w:hAnsi="Times New Roman"/>
          <w:sz w:val="18"/>
          <w:szCs w:val="18"/>
          <w:color w:val="auto"/>
        </w:rPr>
        <w:t>We expect that we will be subject to additional risks in commercializing any of our product candidates that receive marketing approval outside the U.S., including tariffs, trade barriers and regulatory requirements; economic weakness, including inflation or political instability in particular foreign economies and markets; compliance with tax, employment, immigration and labor laws for employees living or traveling abroad; foreign currency fluctuations, which could result in increased operating expenses and reduced revenue and other obligations incident to doing business in another country; and workforce uncertainty in countries where labor unrest is more common than in the U.S.</w:t>
      </w:r>
    </w:p>
    <w:p>
      <w:pPr>
        <w:spacing w:after="0" w:line="7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Fast Track designation, grant of Priority Review status or Breakthrough Therapy status by the FDA is not assured and, in any event, may not actually lead to a faster development or regulatory review or approval process and, moreover, would not assure FDA approval of Haduvio or any future product candidate.</w:t>
      </w:r>
    </w:p>
    <w:p>
      <w:pPr>
        <w:spacing w:after="0" w:line="67"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We may be eligible for Fast Track designation, Priority Review or Breakthrough Therapy status for specific indications for the product candidates we may develop. If a product candidate is intended for the treatment of a serious or life-threatening disease or condition and the product candidate demonstrates the potential to address unmet medical needs for this disease or condition, the product candidate sponsor may apply for FDA Fast Track designation. If a product candidate offers major advances in treatment, the product candidate sponsor may apply for FDA Priority Review status. Additionally, a product candidate may be designated as a Breakthrough Therapy if it is intended, either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The FDA has broad discretion whether or not to grant these designations, so even if we believe a particular product candidate is eligible for such designation or status, the FDA could decide not to grant it. We have received Fast Track designation for the program to develop Haduvio for the treatment of itch in patients with prurigo nodularis, however this designation or any future Fast Track designation for a different indication, Priority Review or Breakthrough Therapy status designation, may not result in our experiencing a faster development process, review or approval compared to conventional FDA procedures and there is no assurance that the product candidate will be approved by the FDA.</w:t>
      </w:r>
    </w:p>
    <w:p>
      <w:pPr>
        <w:spacing w:after="0" w:line="7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PRIME Designation in the EU for Haduvio but we might not receive such designations and, even if we do, such designations may not lead to a faster development or regulatory review or approval process.</w:t>
      </w:r>
    </w:p>
    <w:p>
      <w:pPr>
        <w:spacing w:after="0" w:line="51" w:lineRule="exact"/>
        <w:rPr>
          <w:sz w:val="20"/>
          <w:szCs w:val="20"/>
          <w:color w:val="auto"/>
        </w:rPr>
      </w:pPr>
    </w:p>
    <w:p>
      <w:pPr>
        <w:ind w:right="160" w:firstLine="510"/>
        <w:spacing w:after="0" w:line="255" w:lineRule="auto"/>
        <w:rPr>
          <w:sz w:val="20"/>
          <w:szCs w:val="20"/>
          <w:color w:val="auto"/>
        </w:rPr>
      </w:pPr>
      <w:r>
        <w:rPr>
          <w:rFonts w:ascii="Times New Roman" w:cs="Times New Roman" w:eastAsia="Times New Roman" w:hAnsi="Times New Roman"/>
          <w:sz w:val="18"/>
          <w:szCs w:val="18"/>
          <w:color w:val="auto"/>
        </w:rPr>
        <w:t>In the EU, we may seek PRIME designation for Haduvio in the future. PRIME is a voluntary program aimed at enhancing the EMA’s role to reinforce scientific and regulatory support in order to optimize development and enable accelerated assessment of new medicines that are of major public health interest with the potential to address unmet medical needs. The program focuses on medicines that target conditions for which there exists no satisfactory method of treatment in the EU or even if such a method exists, it may offer a major therapeutic advantage over existing treatments. PRIME is limited to medicines under development and not authorized in the EU and the sponsor intends to apply for an initial marketing authorization application through the centralized procedure. To be accepted for PRIME, a product candidate must meet the eligibility criteria in respect of its major public health interest and therapeutic innovation based on information that is capable of substantiating the claims.</w:t>
      </w:r>
    </w:p>
    <w:p>
      <w:pPr>
        <w:spacing w:after="0" w:line="81"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The benefits of a PRIME designation include the appointment of a CHMP rapporteur to provide continued support and help to build knowledge ahead of a marketing authorization application, early dialogue and scientific advice at key development milestones, and the potential to qualify products for accelerated review, meaning reduction in the review time for an opinion on approvability to be issued earlier in the application process. PRIME enables a sponsor to request parallel EMA scientific advice and health technology assessment advice to facilitate timely market access. Even if we receive PRIME designation for any of our product candidates, the designation may not result in a materially faster development process, review or approval compared to conventional EMA procedures. Further, obtaining PRIME designation does not assure or increase the likelihood of EMA’s grant of a marketing authorization.</w:t>
      </w:r>
    </w:p>
    <w:p>
      <w:pPr>
        <w:spacing w:after="0" w:line="7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marketing approvals for a product, the terms of approvals and ongoing regulation of such product may limit how we manufacture and market the product, which could impair our ability to generate revenue.</w:t>
      </w:r>
    </w:p>
    <w:p>
      <w:pPr>
        <w:spacing w:after="0" w:line="51"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Once marketing approval has been granted, an approved product and its manufacturer and marketer are subject to ongoing review and extensive regulation. We would therefore be required to comply with requirements concerning advertising and promotion for any product for which we obtain marketing approval.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w:t>
      </w:r>
    </w:p>
    <w:p>
      <w:pPr>
        <w:spacing w:after="0" w:line="75" w:lineRule="exact"/>
        <w:rPr>
          <w:sz w:val="20"/>
          <w:szCs w:val="20"/>
          <w:color w:val="auto"/>
        </w:rPr>
      </w:pPr>
    </w:p>
    <w:p>
      <w:pPr>
        <w:ind w:right="160" w:firstLine="510"/>
        <w:spacing w:after="0" w:line="261"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comply with extensive FDA requirements, including ensuring that quality control and manufacturing procedures conform to cGMPs, which include requirements relating to quality control and quality assurance as well as the corresponding maintenance of records and documentation and reporting requirements. We and our contract manufacturers could be subject to periodic unannounced inspections by the FDA to monitor and ensure compliance with cGMPs.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3" w:name="page64"/>
    <w:bookmarkEnd w:id="63"/>
    <w:p>
      <w:pPr>
        <w:ind w:right="200" w:firstLine="510"/>
        <w:spacing w:after="0" w:line="282" w:lineRule="auto"/>
        <w:rPr>
          <w:sz w:val="20"/>
          <w:szCs w:val="20"/>
          <w:color w:val="auto"/>
        </w:rPr>
      </w:pPr>
      <w:r>
        <w:rPr>
          <w:rFonts w:ascii="Times New Roman" w:cs="Times New Roman" w:eastAsia="Times New Roman" w:hAnsi="Times New Roman"/>
          <w:sz w:val="18"/>
          <w:szCs w:val="18"/>
          <w:color w:val="auto"/>
        </w:rPr>
        <w:t>Accordingly, assuming we receive marketing approval for one or more products, we and our contract manufacturers will continue to expend time, money and effort in a number of areas of regulatory compliance, including manufacturing, production, product surveillance and quality control.</w:t>
      </w:r>
    </w:p>
    <w:p>
      <w:pPr>
        <w:spacing w:after="0" w:line="50"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regulatory approval to market Haduvio in the U.S. will be limited by indication. If we fail to comply or are found to be in violation of FDA regulations restricting the promotion of Haduvio for unapproved uses, we could be subject to criminal penalties, substantial fines or other sanctions and damage awards.</w:t>
      </w:r>
    </w:p>
    <w:p>
      <w:pPr>
        <w:spacing w:after="0" w:line="67"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If our clinical trials are successful, we intend to seek approval to market Haduvio for the treatment of chronic cough in adults with IPF or refractory chronic cough and for the treatment of prurigo nodularis. If we obtain regulatory approval to market Haduvio with an indication statement for the treatment of chronic cough in adults with IPF or refractory chronic cough, we expect to be prohibited from marketing Haduvio using any promotional claims relating to treatment of cough generally. If we obtain regulatory approval to market Haduvio with an indication statement for the treatment of prurigo nodularis, we expect to be prohibited from marketing Haduvio using any promotional claims relating to treatment of pruritus generally. Marketing of Haduvio may also be limited by regulatory authorities based on use as a monotherapy or adjuvant, concomitant medications, severity of pruritus and other factors.</w:t>
      </w:r>
    </w:p>
    <w:p>
      <w:pPr>
        <w:spacing w:after="0" w:line="79"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The regulations relating to the promotion of products for unapproved uses are complex and subject to substantial interpretation by the FDA, EMA, MHRA and other government agencies. In September 2021, the FDA published final regulations which describe the types of evidence that the agency will consider in determining the intended use of a drug product. While we have conducted, or may in the future conduct, clinical trials to evaluate the use of Haduvio to treat cough conditions other than chronic cough in adults with IPF and pruritic conditions other than prurigo nodularis, Haduvio cannot be promoted for uses other than uses approved in the labeling by the FDA, EMA, MHRA or other applicable regulatory authorities. Physicians may nevertheless prescribe Haduvio off-label to their patients in a manner that is inconsistent with the approved label. We intend to implement compliance and training programs designed to ensure that our sales and marketing practices comply with applicable regulations. Notwithstanding these programs, the FDA or other government agencies may allege or find that our practices constitute prohibited promotion of Haduvio for unapproved uses. We also cannot be sure that our employees will comply with company policies and applicable regulations regarding the promotion of products for unapproved uses.</w:t>
      </w:r>
    </w:p>
    <w:p>
      <w:pPr>
        <w:spacing w:after="0" w:line="80"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In recent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and various state Attorneys General offices. These investigations have alleged violations of various federal and state laws and regulations, including claims asserting antitrust violations, violations of the FDCA, the False Claims Act, the Prescription Drug Marketing Act and anti-kickback laws and other alleged violations in connection with the promotion of products for unapproved uses, pricing and Medicare and/or Medicaid reimbursement. Many of these investigations originate as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under the False Claims Act. Under the False Claims Act, any individual can bring a claim on behalf of the government alleging that a person or entity has presented a false claim or caused a false claim to be submitted to the government for payment. The person bringing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 is entitled to a share of any recovery or settlement.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suits, also commonly referred to as “whistleblower suits,” are often brought by current or former employees. In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 the government must decide whether to intervene and prosecute the case. If it declines, the individual may pursue the case alone.</w:t>
      </w:r>
    </w:p>
    <w:p>
      <w:pPr>
        <w:spacing w:after="0" w:line="82"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 xml:space="preserve">If the FDA or any other governmental agency initiates an enforcement action against us or if we are the subject of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73"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for which we obtain marketing approval in the future could be subject to post-marketing restrictions or withdrawal from the market and we may be subject to substantial penalties if we fail to comply with regulatory requirements or if we experience unanticipated problems with any such product following approval.</w:t>
      </w:r>
    </w:p>
    <w:p>
      <w:pPr>
        <w:spacing w:after="0" w:line="67" w:lineRule="exact"/>
        <w:rPr>
          <w:sz w:val="20"/>
          <w:szCs w:val="20"/>
          <w:color w:val="auto"/>
        </w:rPr>
      </w:pPr>
    </w:p>
    <w:p>
      <w:pPr>
        <w:ind w:right="140" w:firstLine="510"/>
        <w:spacing w:after="0" w:line="255" w:lineRule="auto"/>
        <w:rPr>
          <w:sz w:val="20"/>
          <w:szCs w:val="20"/>
          <w:color w:val="auto"/>
        </w:rPr>
      </w:pPr>
      <w:r>
        <w:rPr>
          <w:rFonts w:ascii="Times New Roman" w:cs="Times New Roman" w:eastAsia="Times New Roman" w:hAnsi="Times New Roman"/>
          <w:sz w:val="18"/>
          <w:szCs w:val="18"/>
          <w:color w:val="auto"/>
        </w:rPr>
        <w:t>Any product for which we obtain marketing approval, as well as the manufacturing processes, post-approval studies and measures, labeling, advertising and promotional activities for such product, among other things, will be subject to ongoing requirements of and review by the FDA and other regulatory authorities. These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Even if marketing approval of a product is granted, the approval may be subject to limitations on the indicated uses for which the product may be marketed or to the conditions of approval, including the requirement to implement a REMS.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64" w:name="page65"/>
    <w:bookmarkEnd w:id="64"/>
    <w:p>
      <w:pPr>
        <w:ind w:right="100" w:firstLine="510"/>
        <w:spacing w:after="0" w:line="255" w:lineRule="auto"/>
        <w:rPr>
          <w:sz w:val="20"/>
          <w:szCs w:val="20"/>
          <w:color w:val="auto"/>
        </w:rPr>
      </w:pPr>
      <w:r>
        <w:rPr>
          <w:rFonts w:ascii="Times New Roman" w:cs="Times New Roman" w:eastAsia="Times New Roman" w:hAnsi="Times New Roman"/>
          <w:sz w:val="18"/>
          <w:szCs w:val="18"/>
          <w:color w:val="auto"/>
        </w:rPr>
        <w:t>The FDA may also impose requirements for costly post-marketing studies or clinical trials and surveillance to monitor the safety or efficacy of a product.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communications regarding off-label use and if we market any product for an indication that is not approved, we may be subject to warnings or enforcement action for off-label marketing. Violation of the FDCA and other statutes, including the False Claims Act, relating to the promotion and advertising of prescription drugs may lead to investigations or allegations of violations of federal and state health care fraud and abuse laws and state consumer protection laws.</w:t>
      </w:r>
    </w:p>
    <w:p>
      <w:pPr>
        <w:spacing w:after="0" w:line="81" w:lineRule="exact"/>
        <w:rPr>
          <w:sz w:val="20"/>
          <w:szCs w:val="20"/>
          <w:color w:val="auto"/>
        </w:rPr>
      </w:pPr>
    </w:p>
    <w:p>
      <w:pPr>
        <w:ind w:right="80" w:firstLine="510"/>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any product for which we may obtain marketing approval and its manufacturers or manufacturing processes or failure to comply with regulatory requirements, may yield various results, including:</w:t>
      </w:r>
    </w:p>
    <w:p>
      <w:pPr>
        <w:spacing w:after="0" w:line="54" w:lineRule="exact"/>
        <w:rPr>
          <w:sz w:val="20"/>
          <w:szCs w:val="20"/>
          <w:color w:val="auto"/>
        </w:rPr>
      </w:pPr>
    </w:p>
    <w:p>
      <w:pPr>
        <w:ind w:left="880" w:hanging="373"/>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 manufacturers or manufacturing processes;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the product;</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 from the market;</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the product;</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coverage by third-party payors;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the product;</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44" w:lineRule="exact"/>
        <w:rPr>
          <w:sz w:val="20"/>
          <w:szCs w:val="20"/>
          <w:color w:val="auto"/>
        </w:rPr>
      </w:pPr>
    </w:p>
    <w:p>
      <w:pPr>
        <w:ind w:right="120" w:firstLine="510"/>
        <w:spacing w:after="0" w:line="256" w:lineRule="auto"/>
        <w:rPr>
          <w:sz w:val="20"/>
          <w:szCs w:val="20"/>
          <w:color w:val="auto"/>
        </w:rPr>
      </w:pPr>
      <w:r>
        <w:rPr>
          <w:rFonts w:ascii="Times New Roman" w:cs="Times New Roman" w:eastAsia="Times New Roman" w:hAnsi="Times New Roman"/>
          <w:sz w:val="18"/>
          <w:szCs w:val="18"/>
          <w:color w:val="auto"/>
        </w:rPr>
        <w:t>Similar restrictions apply to the approval of our products in the EU. The holder of a marketing authorization is required to comply with a range of requirements applicable to the manufacturing, marketing, promotion and sale of medicinal products. These include: compliance with the EU’s stringent pharmacovigilance or safety reporting rules, which can impose post-authorization studies and additional monitoring obligations; the manufacturing of authorized medicinal products, for which a separate manufacturer’s license is mandatory; and the marketing and promotion of authorized drugs, which are strictly regulated in the EU and are also subject to EU Member State laws. The failure to comply with these and other EU requirements can also lead to significant penalties and sanctions.</w:t>
      </w:r>
    </w:p>
    <w:p>
      <w:pPr>
        <w:spacing w:after="0" w:line="75"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Disruptions at the FDA and other agencies may also slow the time necessary for new product candidates to be reviewed and/or approved by necessary government agencies, which would adversely affect our business.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79" w:lineRule="exact"/>
        <w:rPr>
          <w:sz w:val="20"/>
          <w:szCs w:val="20"/>
          <w:color w:val="auto"/>
        </w:rPr>
      </w:pPr>
    </w:p>
    <w:p>
      <w:pPr>
        <w:ind w:right="260" w:firstLine="510"/>
        <w:spacing w:after="0" w:line="261"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product candidates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employees and stop critical activities. If a prolonged government shutdown occurs, it could significantly impact the ability of</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5" w:name="page66"/>
    <w:bookmarkEnd w:id="65"/>
    <w:p>
      <w:pPr>
        <w:ind w:right="140"/>
        <w:spacing w:after="0" w:line="312" w:lineRule="auto"/>
        <w:rPr>
          <w:sz w:val="20"/>
          <w:szCs w:val="20"/>
          <w:color w:val="auto"/>
        </w:rPr>
      </w:pPr>
      <w:r>
        <w:rPr>
          <w:rFonts w:ascii="Times New Roman" w:cs="Times New Roman" w:eastAsia="Times New Roman" w:hAnsi="Times New Roman"/>
          <w:sz w:val="17"/>
          <w:szCs w:val="17"/>
          <w:color w:val="auto"/>
        </w:rPr>
        <w:t>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32"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Separately, in response to the COVID-19 pandemic, a number of companies announced receipt of complete response letters due to the FDA’s inability to complete required inspections for their applications. As of May 26, 2021, the FDA noted it was continuing to ensure timely reviews of applications for medical products during the ongoing COVID-19 pandemic in line with its user fee performance goals and conducting mission critical domestic and foreign inspections to ensure compliance of manufacturing facilities with FDA quality standards. However, the FDA may not be able to continue its current pace and review timelines could be extended, including where a pre-approval inspection or an inspection of clinical sites is required and due to the ongoing COVID-19 pandemic and travel restrictions, the FDA is unable to complete such required inspections during the review period. Regulatory authorities outside the U.S. may adopt similar restrictions or other policy measures in response to the COVID-19 pandemic and may experience delays in their regulatory activities. If a prolonged government shutdown or other disruption occurs, it could significantly impact the ability of the FDA to timely review and process our regulatory submissions, which could have a material adverse effect on our business. Future shutdowns or other disruptions could also affect other government agencies such as the SEC, which may also impact our business by delaying review of our public filings, to the extent such review is necessary, and our ability to access the public markets.</w:t>
      </w:r>
    </w:p>
    <w:p>
      <w:pPr>
        <w:spacing w:after="0" w:line="80"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legislation may increase the difficulty and cost for us to obtain marketing approval of and commercialize Haduvio or any future product candidate and may affect the prices we may obtain.</w:t>
      </w:r>
    </w:p>
    <w:p>
      <w:pPr>
        <w:spacing w:after="0" w:line="51"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In the U.S. and some foreign jurisdictions, there have been and continue to be a number of legislative and regulatory changes and proposed changes regarding the healthcare system that could, among other things, prevent or delay marketing approval of Haduvio or any future product candidate, restrict or regulate post-approval activities and affect our ability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may receive for any approved products. If reimbursement of our products is unavailable or limited in scope, our business could be materially harmed.</w:t>
      </w:r>
    </w:p>
    <w:p>
      <w:pPr>
        <w:spacing w:after="0" w:line="79" w:lineRule="exact"/>
        <w:rPr>
          <w:sz w:val="20"/>
          <w:szCs w:val="20"/>
          <w:color w:val="auto"/>
        </w:rPr>
      </w:pPr>
    </w:p>
    <w:p>
      <w:pPr>
        <w:ind w:right="60" w:firstLine="510"/>
        <w:spacing w:after="0" w:line="253" w:lineRule="auto"/>
        <w:rPr>
          <w:sz w:val="20"/>
          <w:szCs w:val="20"/>
          <w:color w:val="auto"/>
        </w:rPr>
      </w:pPr>
      <w:r>
        <w:rPr>
          <w:rFonts w:ascii="Times New Roman" w:cs="Times New Roman" w:eastAsia="Times New Roman" w:hAnsi="Times New Roman"/>
          <w:sz w:val="18"/>
          <w:szCs w:val="18"/>
          <w:color w:val="auto"/>
        </w:rPr>
        <w:t>In March 2010, President Obama signed into law the Patient Protection and Affordable Care Act, as amended by the Health Care and Education Affordability Reconciliation Act or collectively the ACA. In addition, other legislative changes have been proposed and adopted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2031 under the Coronavirus Aid, Relief and Economic Security Act, or the CARES Act. These Medicare sequester reductions have been suspended through the end of March 2022. From April 2022 through June 2022 a 1% sequester cut will be in effect, with the full 2% cut resuming thereafter. The American Taxpayer Relief Act of 2012,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82"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Since enactment of the ACA, there have been and continue to be, numerous legal challenges and Congressional actions to repeal and replace provisions of the law. For example, with enactment of the Tax Cuts for Jobs Act, or TCJA, in 2017, Congress repealed the “individual mandate.” The repeal of this provision, which requires most Americans to carry a minimal level of health insurance, became effective in 2019. Further, on December 14, 2018, a U.S. District Court judge in the Northern District of Texas ruled that the individual mandate portion of the ACA is an essential and inseverable feature of the ACA and therefore because the mandate was repealed as part of the TCJA, the remaining provisions of the ACA are invalid as well. The U.S. Supreme Court heard this case on November 10, 2020 and on June 17, 2021, dismissed this action after finding that the plaintiffs do not have standing to challenge the constitutionality of the ACA. Litigation and legislation over the ACA are likely to continue, with unpredictable and uncertain results.</w:t>
      </w:r>
    </w:p>
    <w:p>
      <w:pPr>
        <w:spacing w:after="0" w:line="81" w:lineRule="exact"/>
        <w:rPr>
          <w:sz w:val="20"/>
          <w:szCs w:val="20"/>
          <w:color w:val="auto"/>
        </w:rPr>
      </w:pPr>
    </w:p>
    <w:p>
      <w:pPr>
        <w:jc w:val="both"/>
        <w:ind w:right="60" w:firstLine="510"/>
        <w:spacing w:after="0" w:line="272" w:lineRule="auto"/>
        <w:rPr>
          <w:sz w:val="20"/>
          <w:szCs w:val="20"/>
          <w:color w:val="auto"/>
        </w:rPr>
      </w:pPr>
      <w:r>
        <w:rPr>
          <w:rFonts w:ascii="Times New Roman" w:cs="Times New Roman" w:eastAsia="Times New Roman" w:hAnsi="Times New Roman"/>
          <w:sz w:val="17"/>
          <w:szCs w:val="17"/>
          <w:color w:val="auto"/>
        </w:rPr>
        <w:t>The Trump Administration also took executive actions to undermine or delay implementation of the ACA, including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w:t>
      </w:r>
    </w:p>
    <w:p>
      <w:pPr>
        <w:spacing w:after="0" w:line="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January 28, 2021, however, President Biden revoked those Orders and issued a new Executive Order which directs federal agencies to reconsider rules and other policies that limit Americans’ access to health care and consider actions that will protect and strengthen that access. Under this Order, federal agencies are directed to re-examine: policies that undermine protections for people with pre-existing conditions, including complications related to COVID-19; demonstrations and waivers under Medicaid and the ACA that may reduce coverage or undermine the programs, including work requirements; policies that undermine the Health Insurance Marketplace or other markets for health insurance; policies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6" w:name="page67"/>
    <w:bookmarkEnd w:id="66"/>
    <w:p>
      <w:pPr>
        <w:ind w:right="480"/>
        <w:spacing w:after="0" w:line="282" w:lineRule="auto"/>
        <w:rPr>
          <w:sz w:val="20"/>
          <w:szCs w:val="20"/>
          <w:color w:val="auto"/>
        </w:rPr>
      </w:pPr>
      <w:r>
        <w:rPr>
          <w:rFonts w:ascii="Times New Roman" w:cs="Times New Roman" w:eastAsia="Times New Roman" w:hAnsi="Times New Roman"/>
          <w:sz w:val="18"/>
          <w:szCs w:val="18"/>
          <w:color w:val="auto"/>
        </w:rPr>
        <w:t>that make it more difficult to enroll in Medicaid and the ACA; and policies that reduce affordability of coverage or financial assistance, including for dependents.</w:t>
      </w:r>
    </w:p>
    <w:p>
      <w:pPr>
        <w:spacing w:after="0" w:line="54"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 Accordingly, such reforms, if enacted, could have an adverse effect on anticipated revenue from product candidates that we may successfully develop and for which we may obtain marketing approval and may affect our overall financial condition and ability to develop or commercialize product candidates.</w:t>
      </w:r>
    </w:p>
    <w:p>
      <w:pPr>
        <w:spacing w:after="0" w:line="80"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legislative efforts may limit the prices for our products, if and when they are licensed for marketing and that could materially impact our ability to generate revenues.</w:t>
      </w:r>
    </w:p>
    <w:p>
      <w:pPr>
        <w:spacing w:after="0" w:line="5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The prices of prescription pharmaceuticals have also been the subject of considerable discussion in the United States. There have been several recent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 In 2020, President Trump issued several executive orders intended to lower the costs of prescription products and certain provisions in these orders have been incorporated into regulations. These regulations include an interim final rule implementing a most favored nation model for prices that would tie Medicare Part B payments for certain physician-administered pharmaceuticals to the lowest price paid in other economically advanced countries, effective January 1, 2021. That rule, however, has been subject to a nationwide preliminary injunction and, on December 29, 2021, CMS issued a final rule to rescind it. With issuance of this rule, CMS stated that it will explore all options to incorporate value into payments for Medicare Part B pharmaceuticals and improve beneficiaries’ access to evidence-based care.</w:t>
      </w:r>
    </w:p>
    <w:p>
      <w:pPr>
        <w:spacing w:after="0" w:line="80"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In addition, in October 2020, HHS and the FDA published a final rule allowing states and other entities to develop a Section 804 Importation Program, or SIP, to import certain prescription drugs from Canada into the United States. The final rule is currently the subject of ongoing litigation, but at least six states (Vermont, Colorado, Florida, Maine, New Mexico, and New Hampshire) have passed laws allowing for the importation of drugs from Canada with the intent of developing SIPs for review and approval by the FDA. Further, on November 20, 2020,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has been delayed until January 1, 2026 by the Infrastructure Investment and Jobs Act.</w:t>
      </w:r>
    </w:p>
    <w:p>
      <w:pPr>
        <w:spacing w:after="0" w:line="80" w:lineRule="exact"/>
        <w:rPr>
          <w:sz w:val="20"/>
          <w:szCs w:val="20"/>
          <w:color w:val="auto"/>
        </w:rPr>
      </w:pPr>
    </w:p>
    <w:p>
      <w:pPr>
        <w:ind w:right="100" w:firstLine="510"/>
        <w:spacing w:after="0" w:line="254" w:lineRule="auto"/>
        <w:rPr>
          <w:sz w:val="20"/>
          <w:szCs w:val="20"/>
          <w:color w:val="auto"/>
        </w:rPr>
      </w:pPr>
      <w:r>
        <w:rPr>
          <w:rFonts w:ascii="Times New Roman" w:cs="Times New Roman" w:eastAsia="Times New Roman" w:hAnsi="Times New Roman"/>
          <w:sz w:val="18"/>
          <w:szCs w:val="18"/>
          <w:color w:val="auto"/>
        </w:rPr>
        <w:t>On July 9, 2021, President Biden signed Executive Order 14063, which focuses on, among other things, the price of pharmaceuticals. To address these costs, the Order directs the Department of Health and Human Services, or HHS, to create a plan within 45 days to combat “excessive pricing of prescription drugs and enhance domestic pharmaceutical supply chains, to reduce the prices paid by the federal government for such drugs, and to address the recurrent problem of price gouging.” Thereafter, on September 9, 2021, HHS released its plan to reduce drug prices. The key features of that plan are to: (a) make drug prices more affordable and equitable for all consumers and throughout the health care system by supporting drug price negotiations with manufacturers; (b) improve and promote competition throughout the prescription drug industry by supporting market changes that strengthen supply chains, promote biosimilars and generic drugs, and increase transparency; and (c) foster scientific innovation to promote better healthcare and improve health by supporting public and private research and making sure that market incentives promote discovery of valuable and accessible new treatments.</w:t>
      </w:r>
    </w:p>
    <w:p>
      <w:pPr>
        <w:spacing w:after="0" w:line="84" w:lineRule="exact"/>
        <w:rPr>
          <w:sz w:val="20"/>
          <w:szCs w:val="20"/>
          <w:color w:val="auto"/>
        </w:rPr>
      </w:pPr>
    </w:p>
    <w:p>
      <w:pPr>
        <w:ind w:right="120" w:firstLine="510"/>
        <w:spacing w:after="0" w:line="255" w:lineRule="auto"/>
        <w:rPr>
          <w:sz w:val="20"/>
          <w:szCs w:val="20"/>
          <w:color w:val="auto"/>
        </w:rPr>
      </w:pPr>
      <w:r>
        <w:rPr>
          <w:rFonts w:ascii="Times New Roman" w:cs="Times New Roman" w:eastAsia="Times New Roman" w:hAnsi="Times New Roman"/>
          <w:sz w:val="18"/>
          <w:szCs w:val="18"/>
          <w:color w:val="auto"/>
        </w:rPr>
        <w:t>More recently, with passage of the Inflation Reduction Act in August 2022, Congress authorized Medicare beginning in 2026 to negotiate lower prices for certain costly single-source drug and biologic products that do not have competing generics or biosimilars. This provision is limited in terms of the number of pharmaceuticals whose prices can be negotiated in any given year and it only applies to drug products that have been approved for at least nine years and biologics that have been licensed for 13 years. Drugs and biologics that have been approved for a single rare disease or condition are categorically excluded from price negotiation. Further, the new legislation provides that if pharmaceutical companies raise prices in Medicare faster than the rate of inflation, they must pay rebates back to the government for the difference. The new law also caps Medicare out-of-pocket drug costs at an estimated $4,000 a year in 2024 and, thereafter beginning in 2025, at $2,000 a year.</w:t>
      </w:r>
    </w:p>
    <w:p>
      <w:pPr>
        <w:spacing w:after="0" w:line="81" w:lineRule="exact"/>
        <w:rPr>
          <w:sz w:val="20"/>
          <w:szCs w:val="20"/>
          <w:color w:val="auto"/>
        </w:rPr>
      </w:pPr>
    </w:p>
    <w:p>
      <w:pPr>
        <w:jc w:val="both"/>
        <w:ind w:right="180" w:firstLine="510"/>
        <w:spacing w:after="0" w:line="258" w:lineRule="auto"/>
        <w:rPr>
          <w:sz w:val="20"/>
          <w:szCs w:val="20"/>
          <w:color w:val="auto"/>
        </w:rPr>
      </w:pPr>
      <w:r>
        <w:rPr>
          <w:rFonts w:ascii="Times New Roman" w:cs="Times New Roman" w:eastAsia="Times New Roman" w:hAnsi="Times New Roman"/>
          <w:sz w:val="18"/>
          <w:szCs w:val="18"/>
          <w:color w:val="auto"/>
        </w:rPr>
        <w:t>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organizations and individual hospitals are increasingly using bidding procedures to determine what pharmaceutical products and which suppliers will be included in their prescription drug and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67" w:name="page68"/>
    <w:bookmarkEnd w:id="67"/>
    <w:p>
      <w:pPr>
        <w:ind w:right="20"/>
        <w:spacing w:after="0" w:line="261" w:lineRule="auto"/>
        <w:rPr>
          <w:sz w:val="20"/>
          <w:szCs w:val="20"/>
          <w:color w:val="auto"/>
        </w:rPr>
      </w:pPr>
      <w:r>
        <w:rPr>
          <w:rFonts w:ascii="Times New Roman" w:cs="Times New Roman" w:eastAsia="Times New Roman" w:hAnsi="Times New Roman"/>
          <w:sz w:val="18"/>
          <w:szCs w:val="18"/>
          <w:color w:val="auto"/>
        </w:rPr>
        <w:t>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72" w:lineRule="exact"/>
        <w:rPr>
          <w:sz w:val="20"/>
          <w:szCs w:val="20"/>
          <w:color w:val="auto"/>
        </w:rPr>
      </w:pPr>
    </w:p>
    <w:p>
      <w:pPr>
        <w:ind w:right="60" w:firstLine="510"/>
        <w:spacing w:after="0" w:line="255" w:lineRule="auto"/>
        <w:rPr>
          <w:sz w:val="20"/>
          <w:szCs w:val="20"/>
          <w:color w:val="auto"/>
        </w:rPr>
      </w:pPr>
      <w:r>
        <w:rPr>
          <w:rFonts w:ascii="Times New Roman" w:cs="Times New Roman" w:eastAsia="Times New Roman" w:hAnsi="Times New Roman"/>
          <w:sz w:val="18"/>
          <w:szCs w:val="18"/>
          <w:color w:val="auto"/>
        </w:rPr>
        <w:t>In the E.U., similar political, economic and regulatory developments may affect our ability to profitably commercialize our product candidates, if approved. In markets outside of the U.S. and the E.U., reimbursement and healthcare payment systems vary significantly by country and many countries have instituted price ceilings on specific products and therapies. In many countries, including those of the E.U.,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cost-effectiveness of our product to other available therapies. If reimbursement of our products is unavailable or limited in scope or amount or if pricing is set at unsatisfactory levels, our business could be materially harmed.</w:t>
      </w:r>
    </w:p>
    <w:p>
      <w:pPr>
        <w:spacing w:after="0" w:line="7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Any relationships we may have with customers, healthcare providers and professionals and third-party payors, among others, will be subject to applicable anti-kickback, fraud and abuse and other healthcare laws and regulations, which could expose us to penalties, including criminal sanctions, civil penalties, contractual damages, reputational harm, fines, disgorgement, exclusion from participation in government healthcare programs, curtailment or restricting of our operations and diminished profits and future earnings.</w:t>
      </w:r>
    </w:p>
    <w:p>
      <w:pPr>
        <w:spacing w:after="0" w:line="72"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any products for which we are able to obtain marketing approval. Any arrangements we have with healthcare providers, third-party payors and customers will subject us to broadly applicable fraud and abuse and other healthcare laws and regulations. The laws and regulations may constrain the business or financial arrangements and relationships through which we conduct clinical research, market, sell and distribute any products for which we obtain marketing approval. These include the following:</w:t>
      </w:r>
    </w:p>
    <w:p>
      <w:pPr>
        <w:spacing w:after="0" w:line="73" w:lineRule="exact"/>
        <w:rPr>
          <w:sz w:val="20"/>
          <w:szCs w:val="20"/>
          <w:color w:val="auto"/>
        </w:rPr>
      </w:pPr>
    </w:p>
    <w:p>
      <w:pPr>
        <w:ind w:right="180" w:firstLine="510"/>
        <w:spacing w:after="0" w:line="261" w:lineRule="auto"/>
        <w:rPr>
          <w:sz w:val="20"/>
          <w:szCs w:val="20"/>
          <w:color w:val="auto"/>
        </w:rPr>
      </w:pPr>
      <w:r>
        <w:rPr>
          <w:rFonts w:ascii="Times New Roman" w:cs="Times New Roman" w:eastAsia="Times New Roman" w:hAnsi="Times New Roman"/>
          <w:sz w:val="18"/>
          <w:szCs w:val="18"/>
          <w:i w:val="1"/>
          <w:iCs w:val="1"/>
          <w:color w:val="auto"/>
        </w:rPr>
        <w:t>Anti-Kickback Statute</w:t>
      </w:r>
      <w:r>
        <w:rPr>
          <w:rFonts w:ascii="Times New Roman" w:cs="Times New Roman" w:eastAsia="Times New Roman" w:hAnsi="Times New Roman"/>
          <w:sz w:val="18"/>
          <w:szCs w:val="18"/>
          <w:color w:val="auto"/>
        </w:rPr>
        <w:t>. The federal Anti-Kickback Statute prohibits, among other things, persons and entities from knowingly and willfully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soliciting, offering, receiving or providing remuneration (including any kickback, bribe or rebate), directly or indirectly, in cash or in kind, to induce or reward or in return for, either the referral of an individual for or the purchase, lease or order of a good, facility, item or service for which payment may be made under a federal healthcare program such as Medicare and Medicaid.</w:t>
      </w:r>
    </w:p>
    <w:p>
      <w:pPr>
        <w:spacing w:after="0" w:line="72"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False Claims Laws. </w:t>
      </w:r>
      <w:r>
        <w:rPr>
          <w:rFonts w:ascii="Times New Roman" w:cs="Times New Roman" w:eastAsia="Times New Roman" w:hAnsi="Times New Roman"/>
          <w:sz w:val="18"/>
          <w:szCs w:val="18"/>
          <w:color w:val="auto"/>
        </w:rPr>
        <w:t>The federal false claims and civil monetary penalties laws, including the federal civil False Claims Act, impose criminal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civil penalties, including through civil whistleblower or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w:t>
      </w:r>
    </w:p>
    <w:p>
      <w:pPr>
        <w:spacing w:after="0" w:line="75" w:lineRule="exact"/>
        <w:rPr>
          <w:sz w:val="20"/>
          <w:szCs w:val="20"/>
          <w:color w:val="auto"/>
        </w:rPr>
      </w:pPr>
    </w:p>
    <w:p>
      <w:pPr>
        <w:ind w:right="140" w:firstLine="51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HIPAA. </w:t>
      </w:r>
      <w:r>
        <w:rPr>
          <w:rFonts w:ascii="Times New Roman" w:cs="Times New Roman" w:eastAsia="Times New Roman" w:hAnsi="Times New Roman"/>
          <w:sz w:val="18"/>
          <w:szCs w:val="18"/>
          <w:color w:val="auto"/>
        </w:rPr>
        <w:t>The federal Health Insurance Portability and Accountability Act of 1996, or HIPAA, imposes criminal and civil liability for, among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things, executing a scheme or making materially false statements in connection with the delivery of or payment for health care benefits, items or services. Additionally, HIPAA, as amended by the Health Information Technology for Economic and Clinical Health Act and its implementing regulations, also imposes obligations on covered entities and their business associates that perform certain functions or activities that involve the use or disclosure of protected health information on their behalf, including mandatory contractual terms and technical safeguards, with respect to maintaining the privacy, security and transmission of individually identifiable health information.</w:t>
      </w:r>
    </w:p>
    <w:p>
      <w:pPr>
        <w:spacing w:after="0" w:line="74" w:lineRule="exact"/>
        <w:rPr>
          <w:sz w:val="20"/>
          <w:szCs w:val="20"/>
          <w:color w:val="auto"/>
        </w:rPr>
      </w:pPr>
    </w:p>
    <w:p>
      <w:pPr>
        <w:jc w:val="both"/>
        <w:ind w:right="20" w:firstLine="51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Transparency Requirements. </w:t>
      </w:r>
      <w:r>
        <w:rPr>
          <w:rFonts w:ascii="Times New Roman" w:cs="Times New Roman" w:eastAsia="Times New Roman" w:hAnsi="Times New Roman"/>
          <w:sz w:val="18"/>
          <w:szCs w:val="18"/>
          <w:color w:val="auto"/>
        </w:rPr>
        <w:t>The federal Physician Payments Sunshine Act requires certain manufacturers of drugs, devices, biologics and medical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supplies for which payment is available under Medicare, Medicaid or the Children’s Health Insurance Program, with specific exceptions, to report annually to CMS information related to payments or transfers of value made to physicians, other healthcare providers and teaching hospitals, as well as information regarding ownership and investment interests held by physicians and their immediate family members.</w:t>
      </w:r>
    </w:p>
    <w:p>
      <w:pPr>
        <w:spacing w:after="0" w:line="72"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Analogous State and Foreign Laws. </w:t>
      </w:r>
      <w:r>
        <w:rPr>
          <w:rFonts w:ascii="Times New Roman" w:cs="Times New Roman" w:eastAsia="Times New Roman" w:hAnsi="Times New Roman"/>
          <w:sz w:val="18"/>
          <w:szCs w:val="18"/>
          <w:color w:val="auto"/>
        </w:rPr>
        <w:t>Analogous state and foreign fraud and abuse laws and regulations, such as state anti-kickback and false claims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laws, can apply to sales or marketing arrangements and claims involving healthcare items or services reimbursed by non-governmental third-party payors and are generally broad and are enforced by many different federal and state agencies as well as through private actions. Some state laws require pharmaceutical companies to comply with the pharmaceutical industry’s voluntary compliance guidelines and the relevant compliance guidance promulgated by the federal government and require drug manufacturers to report information related to payments and other transfers of value to physicians and other healthcare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77"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Efforts to ensure that any business arrangements we have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68" w:name="page69"/>
    <w:bookmarkEnd w:id="68"/>
    <w:p>
      <w:pPr>
        <w:ind w:right="40"/>
        <w:spacing w:after="0" w:line="254" w:lineRule="auto"/>
        <w:rPr>
          <w:sz w:val="20"/>
          <w:szCs w:val="20"/>
          <w:color w:val="auto"/>
        </w:rPr>
      </w:pPr>
      <w:r>
        <w:rPr>
          <w:rFonts w:ascii="Times New Roman" w:cs="Times New Roman" w:eastAsia="Times New Roman" w:hAnsi="Times New Roman"/>
          <w:sz w:val="18"/>
          <w:szCs w:val="18"/>
          <w:color w:val="auto"/>
        </w:rPr>
        <w:t>regulations that may apply to us, we may be subject to significant civil, criminal and administrative penalties, damages, fines, individual imprisonment, additional reporting requirements and oversight if we become subject to a corporate integrity agreement or similar agreement to resolve allegations of non-compliance with these laws, exclusion of products from government funded healthcare programs, such as Medicare and Medicaid, disgorgement, contractual damages, reputational harm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84" w:lineRule="exact"/>
        <w:rPr>
          <w:sz w:val="20"/>
          <w:szCs w:val="20"/>
          <w:color w:val="auto"/>
        </w:rPr>
      </w:pPr>
    </w:p>
    <w:p>
      <w:pPr>
        <w:jc w:val="both"/>
        <w:ind w:right="380" w:firstLine="510"/>
        <w:spacing w:after="0" w:line="266" w:lineRule="auto"/>
        <w:rPr>
          <w:sz w:val="20"/>
          <w:szCs w:val="20"/>
          <w:color w:val="auto"/>
        </w:rPr>
      </w:pPr>
      <w:r>
        <w:rPr>
          <w:rFonts w:ascii="Times New Roman" w:cs="Times New Roman" w:eastAsia="Times New Roman" w:hAnsi="Times New Roman"/>
          <w:sz w:val="18"/>
          <w:szCs w:val="18"/>
          <w:color w:val="auto"/>
        </w:rPr>
        <w:t>The provision of benefits or advantages to physicians to induce or encourage the prescription, recommendation, endorsement, purchase, supply, order or use of medicinal products is also prohibited in the E.U. The provision of benefits or advantages to physicians is governed by the national anti-bribery laws of E.U. Member States. Infringement of these laws could result in substantial fines and imprisonment.</w:t>
      </w:r>
    </w:p>
    <w:p>
      <w:pPr>
        <w:spacing w:after="0" w:line="68"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71"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The collection, use, disclosure, transfer or other processing of personal data, including personal health data, of individuals in the E.U. is governed by the General Data Protection Regulation, or GDPR. The GDPR became effective on May 25, 2018. It imposes numerous requirements on companies that process personal data, including requirements relating to processing health and other sensitive data; obtaining consent of individuals; providing notice to individuals regarding data processing activities; responding to data subject requests; taking certain measures when engaging third-party processors; notifying data subjects and regulators of data breaches; and implementing safeguards to protect the security and confidentiality of personal data. The GDPR imposes strict rules on the transfer of personal data to countries outside the E.U., including the U.S. Failure to comply with the requirements of the GDPR may result in fines of up to 20 million euros or four percent of annual global revenues, whichever is greater. The GDPR also confers a private right of action on data subjects and consumer associations to lodge complaints with supervisory authorities, seek judicial remedies and obtain compensation for damages. The GDPR increases our responsibility and potential liability in relation to personal data that we process and we may be required to change our business practices or put in place additional mechanisms ensuring compliance with the GDPR. This may be onerous and adversely affect our business, financial condition, results of operations and prospects and despite our efforts, there is a risk that we may be subject to fines, litigation and reputational harm in connection with our European activities.</w:t>
      </w:r>
    </w:p>
    <w:p>
      <w:pPr>
        <w:spacing w:after="0" w:line="82"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Similar actions are either in place or under way in the U.S. There are a broad variety of data protection laws that are applicable to our activities and a wide range of enforcement agencies at both the state and federal levels that can review companies for privacy and data security concerns based on general consumer protection laws. The Federal Trade Commission and state Attorneys General all are aggressive in reviewing privacy and data security protections for consumers. New laws also are being considered at both the state and federal levels. For example, the California Consumer Privacy Act, or the CCPA, which went into effect on January 1, 2020, created similar risks and obligations as those created by GDPR, though the CCPA does exempt certain information collected as part of a clinical trial subject to the Federal Policy for the Protection of Human Subjects (the Common Rule). Additionally, effective starting on January 1, 2023, the California Privacy Rights Act, or the CPRA, will significantly modify the CCPA, including by expanding consumers’ rights with respect to certain sensitive personal information. The CPRA also creates a new state agency that will be vested with authority to implement and enforce the CCPA and the CPRA. Many other states are considering similar legislation. A broad range of legislative measures also have been introduced at the federal level. Accordingly, failure to comply with federal and state laws (both those currently in effect and future legislation) regarding privacy and security of personal information could expose us to fines and penalties under such laws. There also is the threat of consumer class actions related to these laws and the overall protection of personal data.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8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any international operations we may have in the future may preclude us from developing, manufacturing and selling certain products outside of the U.S. and require us to develop and implement costly compliance programs.</w:t>
      </w:r>
    </w:p>
    <w:p>
      <w:pPr>
        <w:spacing w:after="0" w:line="5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If we further expand our operations outside the U.S., we will need to dedicate additional resources to comply with U.S. laws regarding international operations and the laws and regulations in each jurisdiction in which we operate and plan to operate. 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certain accounting provisions requiring us to maintain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9" w:name="page70"/>
    <w:bookmarkEnd w:id="69"/>
    <w:p>
      <w:pPr>
        <w:ind w:right="500"/>
        <w:spacing w:after="0" w:line="282" w:lineRule="auto"/>
        <w:rPr>
          <w:sz w:val="20"/>
          <w:szCs w:val="20"/>
          <w:color w:val="auto"/>
        </w:rPr>
      </w:pPr>
      <w:r>
        <w:rPr>
          <w:rFonts w:ascii="Times New Roman" w:cs="Times New Roman" w:eastAsia="Times New Roman" w:hAnsi="Times New Roman"/>
          <w:sz w:val="18"/>
          <w:szCs w:val="18"/>
          <w:color w:val="auto"/>
        </w:rPr>
        <w:t>books and records that accurately and fairly reflect all transactions of the company, including international subsidiaries and to devise and maintain an adequate system of internal accounting controls for international operations.</w:t>
      </w:r>
    </w:p>
    <w:p>
      <w:pPr>
        <w:spacing w:after="0" w:line="54"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72"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U.S., or the sharing with certain non-U.S. nationals, of information classified for national security purposes, as well as certain products and technical data relating to those products. Further, the provision of benefits or advantages to physicians to induce or encourage the prescription, recommendation, endorsement, purchase, supply, order or use of medicinal products is prohibited in the E.U. The provision of benefits or advantages to physicians is also governed by the national anti-bribery laws of E.U. Member States, such as the U.K. Bribery Act 2010. Infringement of these laws could result in substantial fines and imprisonment. 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80"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If we expand our presence outside of the U.S., it will require us to dedicate additional resources to comply with these laws and these laws may preclude us from developing, manufacturing or selling certain products and product candidates outside of the U.S., which could limit our growth potential and increase our development costs.</w:t>
      </w:r>
    </w:p>
    <w:p>
      <w:pPr>
        <w:spacing w:after="0" w:line="68" w:lineRule="exact"/>
        <w:rPr>
          <w:sz w:val="20"/>
          <w:szCs w:val="20"/>
          <w:color w:val="auto"/>
        </w:rPr>
      </w:pPr>
    </w:p>
    <w:p>
      <w:pPr>
        <w:jc w:val="both"/>
        <w:ind w:right="220" w:firstLine="510"/>
        <w:spacing w:after="0" w:line="266"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Securities and Exchange Commission, or SEC, also may suspend or bar issuers from trading securities on U.S. exchanges for violations of the FCPA’s accounting provisions.</w:t>
      </w:r>
    </w:p>
    <w:p>
      <w:pPr>
        <w:spacing w:after="0" w:line="6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5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81" w:lineRule="exact"/>
        <w:rPr>
          <w:sz w:val="20"/>
          <w:szCs w:val="20"/>
          <w:color w:val="auto"/>
        </w:rPr>
      </w:pPr>
    </w:p>
    <w:p>
      <w:pPr>
        <w:ind w:right="400" w:firstLine="510"/>
        <w:spacing w:after="0" w:line="266" w:lineRule="auto"/>
        <w:rPr>
          <w:sz w:val="20"/>
          <w:szCs w:val="20"/>
          <w:color w:val="auto"/>
        </w:rPr>
      </w:pPr>
      <w:r>
        <w:rPr>
          <w:rFonts w:ascii="Times New Roman" w:cs="Times New Roman" w:eastAsia="Times New Roman" w:hAnsi="Times New Roman"/>
          <w:sz w:val="18"/>
          <w:szCs w:val="18"/>
          <w:color w:val="auto"/>
        </w:rPr>
        <w:t>We maintain workers’ compensation insurance to cover us for costs and expenses we may incur due to injuries to our employees resulting from workplace and other work-related accidents, but this insurance may not provide adequate coverage against potential liabilities. However, we do not maintain insurance for environmental liability or toxic tort claims that may be asserted against us.</w:t>
      </w:r>
    </w:p>
    <w:p>
      <w:pPr>
        <w:spacing w:after="0" w:line="68" w:lineRule="exact"/>
        <w:rPr>
          <w:sz w:val="20"/>
          <w:szCs w:val="20"/>
          <w:color w:val="auto"/>
        </w:rPr>
      </w:pPr>
    </w:p>
    <w:p>
      <w:pPr>
        <w:jc w:val="both"/>
        <w:ind w:right="120" w:firstLine="510"/>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Current or future environmental, health and safety laws and regulations may impair our research, development or production efforts. In addition, failure to comply with these laws and regulations may result in substantial fines, penalties or other sanctions.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system failures.</w:t>
      </w:r>
    </w:p>
    <w:p>
      <w:pPr>
        <w:spacing w:after="0" w:line="121" w:lineRule="exact"/>
        <w:rPr>
          <w:sz w:val="20"/>
          <w:szCs w:val="20"/>
          <w:color w:val="auto"/>
        </w:rPr>
      </w:pPr>
    </w:p>
    <w:p>
      <w:pPr>
        <w:ind w:right="60" w:firstLine="510"/>
        <w:spacing w:after="0" w:line="255" w:lineRule="auto"/>
        <w:rPr>
          <w:sz w:val="20"/>
          <w:szCs w:val="20"/>
          <w:color w:val="auto"/>
        </w:rPr>
      </w:pPr>
      <w:r>
        <w:rPr>
          <w:rFonts w:ascii="Times New Roman" w:cs="Times New Roman" w:eastAsia="Times New Roman" w:hAnsi="Times New Roman"/>
          <w:sz w:val="18"/>
          <w:szCs w:val="18"/>
          <w:color w:val="auto"/>
        </w:rPr>
        <w:t>Our computer systems, as well as those of our CROs and other third-party contractors and consultants, are vulnerable to damage from computer viruses, unauthorized access, natural disasters (including hurricanes), terrorism, war and telecommunication and electrical failures. If such an event were to occur and cause interruptions in our operations, it could result in a material disruption of our business and development programs. For example, the loss of preclinical studies or clinical trial data from completed, ongoing or planned trials could result in delays in our regulatory approval efforts and significantly increase our costs to recover or reproduce data. To the extent any disruption or security breach were to result in a loss of or damage to our data or applications or inappropriate disclosure of personal, confidential or proprietary information, we could also incur liability and the development of Haduvio or any future product candidate could be significantly delayed.</w:t>
      </w:r>
    </w:p>
    <w:p>
      <w:pPr>
        <w:spacing w:after="0" w:line="81" w:lineRule="exact"/>
        <w:rPr>
          <w:sz w:val="20"/>
          <w:szCs w:val="20"/>
          <w:color w:val="auto"/>
        </w:rPr>
      </w:pPr>
    </w:p>
    <w:p>
      <w:pPr>
        <w:ind w:right="100" w:firstLine="510"/>
        <w:spacing w:after="0" w:line="256" w:lineRule="auto"/>
        <w:rPr>
          <w:sz w:val="20"/>
          <w:szCs w:val="20"/>
          <w:color w:val="auto"/>
        </w:rPr>
      </w:pPr>
      <w:r>
        <w:rPr>
          <w:rFonts w:ascii="Times New Roman" w:cs="Times New Roman" w:eastAsia="Times New Roman" w:hAnsi="Times New Roman"/>
          <w:sz w:val="18"/>
          <w:szCs w:val="18"/>
          <w:color w:val="auto"/>
        </w:rPr>
        <w:t>In the ordinary course of our business, we directly or indirectly collect and store sensitive data, including intellectual property, confidential information, preclinical and clinical trial data, proprietary business information, personal data and personally identifiable health information of our clinical trial subjects and employees, in our data centers and on our networks or on those of third parties. The secure processing, maintenance and transmission of this information is critical to our operations. Despite our security measures, our information technology and infrastructure may be vulnerable to attacks by hackers or internal bad actors or breached due to employee error, a technical vulnerability, malfeasance or other disruptions. Although, to our knowledge, we have not experienced any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0" w:name="page71"/>
    <w:bookmarkEnd w:id="70"/>
    <w:p>
      <w:pPr>
        <w:ind w:right="40"/>
        <w:spacing w:after="0" w:line="258" w:lineRule="auto"/>
        <w:rPr>
          <w:sz w:val="20"/>
          <w:szCs w:val="20"/>
          <w:color w:val="auto"/>
        </w:rPr>
      </w:pPr>
      <w:r>
        <w:rPr>
          <w:rFonts w:ascii="Times New Roman" w:cs="Times New Roman" w:eastAsia="Times New Roman" w:hAnsi="Times New Roman"/>
          <w:sz w:val="18"/>
          <w:szCs w:val="18"/>
          <w:color w:val="auto"/>
        </w:rPr>
        <w:t>such material security breach to date,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and significant regulatory penalties and such an event could disrupt our operations, damage our reputation and cause a loss of confidence in us and our ability to conduct clinical trials, which could adversely affect our reputation and delay our clinical development of our product candidates.</w:t>
      </w:r>
    </w:p>
    <w:p>
      <w:pPr>
        <w:spacing w:after="0" w:line="71"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FDA, EMA, MHRA or other comparable foreign regulatory authorities approve generic versions of any of our small molecule investigational products that receive marketing approval, or such authorities do not grant our products appropriate periods of exclusivity before approving generic versions of those products, the sales of our products, if approved, could be adversely affected.</w:t>
      </w:r>
    </w:p>
    <w:p>
      <w:pPr>
        <w:spacing w:after="0" w:line="67"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Once an NDA is approved, the product covered thereby becomes a “reference listed drug” in the FDA’s publication, “Approved Drug Products with Therapeutic Equivalence Evaluations,” commonly known as the Orange Book. Manufacturers may seek approval of generic versions of reference listed drugs through submission of ANDAs in the United States. In support of an ANDA, a generic manufacturer need not conduct clinical trials to assess safety and efficacy. Rather, the sponsor generally must show that its product has the same active ingredient(s), dosage form, strength, route of administration and conditions of use or labelling as the reference listed drug and that the generic version is bioequivalent to the reference listed drug, meaning it is absorbed in the body at the same rate and to the same extent. Generic products may be significantly less costly to bring to market than the reference listed drug and companies that produce generic products are generally able to offer them at lower prices. Thus, following the introduction of a generic drug, a significant percentage of the sales of any branded product or reference listed drug is typically lost to the generic product.</w:t>
      </w:r>
    </w:p>
    <w:p>
      <w:pPr>
        <w:spacing w:after="0" w:line="84"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The FDA may not approve an ANDA for a generic product until any applicable period of non-patent exclusivity for the reference listed drug has expired. The FDCA provides a period of five years of non-patent exclusivity for a new drug containing a new chemical entity. Specifically, in cases where such exclusivity has been granted, an ANDA may not be submitted to the FDA until the expiration of five years unless the submission is accompanied by a Paragraph IV certification that a patent covering the reference listed drug is either invalid or will not be infringed by the generic product, in which case the sponsor may submit its application four years following approval of the reference listed drug.</w:t>
      </w:r>
    </w:p>
    <w:p>
      <w:pPr>
        <w:spacing w:after="0" w:line="75" w:lineRule="exact"/>
        <w:rPr>
          <w:sz w:val="20"/>
          <w:szCs w:val="20"/>
          <w:color w:val="auto"/>
        </w:rPr>
      </w:pPr>
    </w:p>
    <w:p>
      <w:pPr>
        <w:ind w:right="160" w:firstLine="510"/>
        <w:spacing w:after="0" w:line="261" w:lineRule="auto"/>
        <w:rPr>
          <w:sz w:val="20"/>
          <w:szCs w:val="20"/>
          <w:color w:val="auto"/>
        </w:rPr>
      </w:pPr>
      <w:r>
        <w:rPr>
          <w:rFonts w:ascii="Times New Roman" w:cs="Times New Roman" w:eastAsia="Times New Roman" w:hAnsi="Times New Roman"/>
          <w:sz w:val="18"/>
          <w:szCs w:val="18"/>
          <w:color w:val="auto"/>
        </w:rPr>
        <w:t>Generic drug manufacturers may seek to launch generic products following the expiration of any applicable exclusivity period we obtain if our products are approved, even if we still have patent protection for such products. Competition that our products could face from generic versions of our products could materially and adversely affect our future revenue, profitability, and cash flows and substantially limit our ability to obtain a return on the investments we have made in those product candidates.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our Growth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our executive team and to attract, retain and motivate qualified personnel.</w:t>
      </w:r>
    </w:p>
    <w:p>
      <w:pPr>
        <w:spacing w:after="0" w:line="121"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We are highly dependent on Jennifer Good, our President and Chief Executive Officer, and Thomas Sciascia, M.D., our Chief Scientific Officer, as well as the other principal members of our management and scientific teams. Although we have formal employment agreements with Ms. Good and Dr. Sciascia, these agreements do not prevent them from terminating their employment with us at any time. Except as otherwise required by law, all members of our executive team are employed “at will,” meaning that they may terminate their employment with us at any time with or without notice and for any reason or no reason. For instance, on August 8, 2022, Dr. William Forbes notified the Company that he would be stepping down as Chief Development Officer, effective September 1, 2022. The loss of the services of any of these persons could impede the achievement of our research, development and commercialization objectives.</w:t>
      </w:r>
    </w:p>
    <w:p>
      <w:pPr>
        <w:spacing w:after="0" w:line="8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Our ability to compete in the biotechnology and pharmaceuticals industries depends upon our ability to attract and retain highly qualified scientific, clinical, manufacturing and sales and marketing personnel. Our industry has experienced a high rate of turnover of such personnel in recent years. If we lose one or more of our executive officers or other key employees, our ability to implement our business strategy successfully could be seriously harmed. Furthermore, replacing executive officers or other key employees may be difficult and may take an extended period of time because of the limited number of individuals in our industry with the breadth of skills and experience required to develop, gain marketing approval of and commercialize products successfully. Competition to hire from this limited pool is intense and we may be unable to hire, train, retain or motivate these additional key employees on acceptable terms given the competition among numerous pharmaceutical and biotechnology companies for similar personnel. We also experience competition for the hiring of scientific and clinical personnel from universities and research institutions.</w:t>
      </w:r>
    </w:p>
    <w:p>
      <w:pPr>
        <w:spacing w:after="0" w:line="84"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We rely on consultants and advisors, including scientific and clinical advisors, to assist us in formulating our research and development and commercialization strategy. Our consultants and advisors may be employed by other entities and may have commitments under consulting or advisory contracts with those entities that may limit their availability to us. If we are unable to continue to attract and retain highly qualified personnel, our ability to develop and commercialize Haduvio or any future product candidate will be limited.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to expand our organization and as a result, we may encounter difficulties in managing our growth, which could disrupt our operations.</w:t>
      </w:r>
    </w:p>
    <w:p>
      <w:pPr>
        <w:spacing w:after="0" w:line="121" w:lineRule="exact"/>
        <w:rPr>
          <w:sz w:val="20"/>
          <w:szCs w:val="20"/>
          <w:color w:val="auto"/>
        </w:rPr>
      </w:pPr>
    </w:p>
    <w:p>
      <w:pPr>
        <w:ind w:right="80" w:firstLine="510"/>
        <w:spacing w:after="0" w:line="282" w:lineRule="auto"/>
        <w:rPr>
          <w:sz w:val="20"/>
          <w:szCs w:val="20"/>
          <w:color w:val="auto"/>
        </w:rPr>
      </w:pPr>
      <w:r>
        <w:rPr>
          <w:rFonts w:ascii="Times New Roman" w:cs="Times New Roman" w:eastAsia="Times New Roman" w:hAnsi="Times New Roman"/>
          <w:sz w:val="18"/>
          <w:szCs w:val="18"/>
          <w:color w:val="auto"/>
        </w:rPr>
        <w:t>As of September 30, 2022, we had 23 employees. We expect to experience significant growth in the number of our employees and the scope of our operations. For example, if any product candidate appears likely to receive marketing approval, we expect to</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71" w:name="page72"/>
    <w:bookmarkEnd w:id="71"/>
    <w:p>
      <w:pPr>
        <w:spacing w:after="0" w:line="254" w:lineRule="auto"/>
        <w:rPr>
          <w:sz w:val="20"/>
          <w:szCs w:val="20"/>
          <w:color w:val="auto"/>
        </w:rPr>
      </w:pPr>
      <w:r>
        <w:rPr>
          <w:rFonts w:ascii="Times New Roman" w:cs="Times New Roman" w:eastAsia="Times New Roman" w:hAnsi="Times New Roman"/>
          <w:sz w:val="18"/>
          <w:szCs w:val="18"/>
          <w:color w:val="auto"/>
        </w:rPr>
        <w:t>significantly expand our sales, marketing and distribution capabilities to support the potential commercialization of the product candidate. Our management may need to devote a significant amount of its attention to managing these growth activities. Due to our limited financial resources and the limited experience of our management team in managing a company with such anticipated growth, we may not be able to effectively manage the expansion of our operations, retain key employees or identify, recruit and train additional qualified personnel. Our inability to manage the expansion of our operations effectively may result in weaknesses in our infrastructure, give rise to operational mistakes, loss of business opportunities, loss of employees and reduced productivity among remaining employees. Our expected growth could also require significant capital expenditures and may divert financial resources from other projects, such as the development of Haduvio for additional indications or the development of additional product candidates. If we are unable to effectively manage our expected growth, our expenses may increase more than expected, our ability to generate revenues could be reduced and we may be unable to implement our business strategy, including the successful commercialization of any product candidate.</w:t>
      </w:r>
    </w:p>
    <w:p>
      <w:pPr>
        <w:spacing w:after="0" w:line="76"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and consultants may engage in misconduct or other improper activities, including non-compliance with regulatory standards and requirements, which could cause significant liability for us and harm our reputation.</w:t>
      </w:r>
    </w:p>
    <w:p>
      <w:pPr>
        <w:spacing w:after="0" w:line="51" w:lineRule="exact"/>
        <w:rPr>
          <w:sz w:val="20"/>
          <w:szCs w:val="20"/>
          <w:color w:val="auto"/>
        </w:rPr>
      </w:pPr>
    </w:p>
    <w:p>
      <w:pPr>
        <w:ind w:right="100" w:firstLine="510"/>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and consultants may engage in fraud or other misconduct, including intentional failures to comply with FDA regulations or similar regulations of comparable non-U.S. regulatory authorities, to provide accurate information to the FDA or comparable non-U.S. regulatory authorities, to comply with manufacturing standards we have established, to comply with federal and state healthcare fraud and abuse laws and regulations and similar laws and regulations established and enforced by comparable non-U.S. regulatory authorities, to report financial information or data accurately or to disclose unauthorized activities to us. Such misconduct could also involve the improper use of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criminal, civil and administrative sanctions including monetary penalties, damages, fines, disgorgement, individual imprisonment,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reputational harm and requirements to curtail or restructure our operations.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sustainable.</w:t>
      </w:r>
    </w:p>
    <w:p>
      <w:pPr>
        <w:spacing w:after="0" w:line="121"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Our shares of common stock began trading on the Nasdaq Global Market, or Nasdaq, on May 7, 2019. Given the limited trading history of our common stock, there is a risk that an active trading market for our shares will not be sustained, which could put downward pressure on the market price for our common stock and thereby affect the ability of our stockholders to sell their shares. An inactive trading market may also impair our ability to raise capital to continue to fund operations by selling shares and may impair our ability to acquire other companies or technologies by using our shares as consideration.</w:t>
      </w:r>
    </w:p>
    <w:p>
      <w:pPr>
        <w:spacing w:after="0" w:line="7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continued listing requirements of Nasdaq, our common stock may be delisted and the price of our common stock and our ability to access the capital markets could be negatively impacted.</w:t>
      </w:r>
    </w:p>
    <w:p>
      <w:pPr>
        <w:spacing w:after="0" w:line="51"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Our common stock is currently listed for trading on Nasdaq. We must satisfy Nasdaq’s continued listing requirements, including, among other things, a minimum closing bid price of $1.00 per share, or risk delisting, which would have a material adverse effect on our business. A delisting of our common stock from Nasdaq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potential loss of confidence by investors, suppliers, customers and employees and fewer business development opportunities.</w:t>
      </w:r>
    </w:p>
    <w:p>
      <w:pPr>
        <w:spacing w:after="0" w:line="75" w:lineRule="exact"/>
        <w:rPr>
          <w:sz w:val="20"/>
          <w:szCs w:val="20"/>
          <w:color w:val="auto"/>
        </w:rPr>
      </w:pPr>
    </w:p>
    <w:p>
      <w:pPr>
        <w:ind w:right="40" w:firstLine="510"/>
        <w:spacing w:after="0" w:line="266" w:lineRule="auto"/>
        <w:rPr>
          <w:sz w:val="20"/>
          <w:szCs w:val="20"/>
          <w:color w:val="auto"/>
        </w:rPr>
      </w:pPr>
      <w:r>
        <w:rPr>
          <w:rFonts w:ascii="Times New Roman" w:cs="Times New Roman" w:eastAsia="Times New Roman" w:hAnsi="Times New Roman"/>
          <w:sz w:val="18"/>
          <w:szCs w:val="18"/>
          <w:color w:val="auto"/>
        </w:rPr>
        <w:t>On January 10, 2022, we received a deficiency letter from the Listing Qualifications Department, or the Staff, of Nasdaq notifying us that, for the prior 30 consecutive business days, the bid price for our common stock had closed below the $1.00 per share minimum bid price requirement for continued inclusion on Nasdaq pursuant to Nasdaq Listing Rule 5450(a)(1), or the Bid Price Requirement.</w:t>
      </w:r>
    </w:p>
    <w:p>
      <w:pPr>
        <w:spacing w:after="0" w:line="68"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In accordance with Nasdaq Listing Rule 5810(c)(3)(A), or the Compliance Period Rule, we were provided a period of 180 calendar days, or until July 11, 2022, or the Compliance Date, to regain compliance with the Bid Price Requirement. If, at any time before the Compliance Date, the bid price for our common stock closed at $1.00 or more for a minimum of 10 consecutive business days as required under the Compliance Period Rule, the Staff would provide written notification to us that we had regained compliance with the Bid Price Requirement, unless the Staff chose to exercise its discretion to extend this ten-day period pursuant to Nasdaq Listing Rule 5810(c)(3)(H).</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2" w:name="page73"/>
    <w:bookmarkEnd w:id="72"/>
    <w:p>
      <w:pPr>
        <w:ind w:left="520"/>
        <w:spacing w:after="0"/>
        <w:rPr>
          <w:sz w:val="20"/>
          <w:szCs w:val="20"/>
          <w:color w:val="auto"/>
        </w:rPr>
      </w:pPr>
      <w:r>
        <w:rPr>
          <w:rFonts w:ascii="Times New Roman" w:cs="Times New Roman" w:eastAsia="Times New Roman" w:hAnsi="Times New Roman"/>
          <w:sz w:val="18"/>
          <w:szCs w:val="18"/>
          <w:color w:val="auto"/>
        </w:rPr>
        <w:t>On March 16, 2022, we received a letter from the Staff indicating that we had regained compliance with the Bid Price Requirement as of such date.</w:t>
      </w:r>
    </w:p>
    <w:p>
      <w:pPr>
        <w:spacing w:after="0" w:line="117"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Although we were able to regain compliance with the Bid Price Requirement within the manner and time period prescribed by Nasdaq, there can be no assurance that we will be able to maintain compliance with the Bid Price Requirement or other Nasdaq continued listing requirements in the future or that we will be able to regain compliance with respect to any future deficiencies. If we fail to satisfy the Nasdaq Global Market’s continued listing requirements, we may submit an application to transfer to the Nasdaq Capital Market, which generally has lower financial requirements for initial listing, in an effort to avoid delisting. However, we may not be able to satisfy the initial listing requirements for the Nasdaq Capital Market and may therefore not be able to transfer our listing to the Nasdaq Capital Market. A transfer of our listing to the Nasdaq Capital Market could adversely affect the liquidity of our common stock. Any such event could make it more difficult to dispose of, or obtain accurate quotations for the price of, our common stock, and there also would likely be a reduction in our coverage by securities analysts and the news media, which could cause the price of our common stock to decline further. We may also face other material adverse consequences in such event, such as negative publicity, a decreased ability to obtain additional financing, diminished investor and/or employee confidence, and the loss of business development opportunities, some or all of which may contribute to a further decline in our stock price.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is highly volatile, which could result in substantial losses for purchasers of our common stock.</w:t>
      </w:r>
    </w:p>
    <w:p>
      <w:pPr>
        <w:spacing w:after="0" w:line="121"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is highly volatile. The stock market in general and the market for smaller pharmaceutical and biotechnology companies in particular have experienced extreme volatility that has often been unrelated to the operating performance of particular companies. The trading price for our common stock may be influenced by many factors, including:</w:t>
      </w:r>
    </w:p>
    <w:p>
      <w:pPr>
        <w:spacing w:after="0" w:line="68" w:lineRule="exact"/>
        <w:rPr>
          <w:sz w:val="20"/>
          <w:szCs w:val="20"/>
          <w:color w:val="auto"/>
        </w:rPr>
      </w:pPr>
    </w:p>
    <w:p>
      <w:pPr>
        <w:ind w:left="880" w:hanging="373"/>
        <w:spacing w:after="0"/>
        <w:tabs>
          <w:tab w:leader="none" w:pos="8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clinical trials of Haduvio or any future product candidates;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existing or new competitive products or technologies;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Haduvio or any future product candidates or competitors’ products and product candidates;</w:t>
      </w:r>
    </w:p>
    <w:p>
      <w:pPr>
        <w:spacing w:after="0" w:line="144" w:lineRule="exact"/>
        <w:rPr>
          <w:rFonts w:ascii="Times New Roman" w:cs="Times New Roman" w:eastAsia="Times New Roman" w:hAnsi="Times New Roman"/>
          <w:sz w:val="18"/>
          <w:szCs w:val="18"/>
          <w:color w:val="auto"/>
        </w:rPr>
      </w:pPr>
    </w:p>
    <w:p>
      <w:pPr>
        <w:ind w:left="880" w:right="980" w:hanging="373"/>
        <w:spacing w:after="0" w:line="282" w:lineRule="auto"/>
        <w:tabs>
          <w:tab w:leader="none" w:pos="8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collaborations or capital commitments;</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or termination of collaborations for our development programs;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discontinuation of any of our development programs;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product candidates of our competitors;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intellectual property rights;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any of our development programs;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our efforts to discover, develop, acquire or in-license additional product candidates;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estimated financial results or development timelines;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or expectations of additional financing efforts;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other stockholders;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market stand-off or lock-up agreements;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recommendations and changes in estimates or recommendations by securities analysts, if any, that cover our stock;</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 in the U.S. and other countries;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44" w:lineRule="exact"/>
        <w:rPr>
          <w:rFonts w:ascii="Times New Roman" w:cs="Times New Roman" w:eastAsia="Times New Roman" w:hAnsi="Times New Roman"/>
          <w:sz w:val="18"/>
          <w:szCs w:val="18"/>
          <w:color w:val="auto"/>
        </w:rPr>
      </w:pPr>
    </w:p>
    <w:p>
      <w:pPr>
        <w:ind w:left="880" w:right="280" w:hanging="373"/>
        <w:spacing w:after="0" w:line="282" w:lineRule="auto"/>
        <w:tabs>
          <w:tab w:leader="none" w:pos="8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including recent adverse changes in the domestic and international financial markets, the impacts of the COVID-19 pandemic, and the impacts of rising inflation and government action in response thereto;</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in connection with the SVB Term Loan;</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73" w:name="page74"/>
    <w:bookmarkEnd w:id="73"/>
    <w:p>
      <w:pPr>
        <w:ind w:left="880" w:hanging="373"/>
        <w:spacing w:after="0"/>
        <w:tabs>
          <w:tab w:leader="none" w:pos="8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listing on the Nasdaq Global Market;</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 and</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and considerations described in this “Risk Factors” section.</w:t>
      </w:r>
    </w:p>
    <w:p>
      <w:pPr>
        <w:spacing w:after="0" w:line="252"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In addition, the COVID-19 pandemic, rising inflation, interest rate increases and other factors have negatively affected the stock market and investor sentiment. The price and volatility of our common stock may be disproportionately affected as investors may favor traditional profit-making industries and companies during such times of market uncertainty and instability.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p>
    <w:p>
      <w:pPr>
        <w:spacing w:after="0" w:line="121" w:lineRule="exact"/>
        <w:rPr>
          <w:sz w:val="20"/>
          <w:szCs w:val="20"/>
          <w:color w:val="auto"/>
        </w:rPr>
      </w:pPr>
    </w:p>
    <w:p>
      <w:pPr>
        <w:ind w:right="240" w:firstLine="510"/>
        <w:spacing w:after="0" w:line="261"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public companies following declines in the trading prices of their securities. This risk is especially relevant for us because companies in the life sciences space have experienced significant stock price volatility in recent years. If we face such litigation, it could result in substantial costs and a diversion of management’s attention and our resources, which could harm our business.</w:t>
      </w:r>
    </w:p>
    <w:p>
      <w:pPr>
        <w:spacing w:after="0" w:line="68"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the trading price and volume of our shares could decline.</w:t>
      </w:r>
    </w:p>
    <w:p>
      <w:pPr>
        <w:spacing w:after="0" w:line="51"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likely depend in part on the research and reports that securities or industry analysts publish about us and our business. We do not have any control over these analysts. There can be no assurance that analysts will cover us or provide favorable coverage. If one or more analysts downgrade our stock or change their opinion of our stock, the trading price of our shares would likely decline. In addition, if one or more analysts cease coverage of us or fail to regularly publish reports on us, we could lose visibility in the financial markets, which could cause the trading price and volume of our shares to decline.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of our common stock, including by us, employees and significant stockholders, could negatively affect our stock price.</w:t>
      </w:r>
    </w:p>
    <w:p>
      <w:pPr>
        <w:spacing w:after="0" w:line="121" w:lineRule="exact"/>
        <w:rPr>
          <w:sz w:val="20"/>
          <w:szCs w:val="20"/>
          <w:color w:val="auto"/>
        </w:rPr>
      </w:pPr>
    </w:p>
    <w:p>
      <w:pPr>
        <w:ind w:right="260" w:firstLine="510"/>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of our common stock intend to sell their shares, could reduce the trading price of our common stock.</w:t>
      </w:r>
    </w:p>
    <w:p>
      <w:pPr>
        <w:spacing w:after="0" w:line="54"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All of our outstanding shares of common stock may be freely sold in the public market at any time to the extent permitted by Rules 144 and 701 under the Securities Act of 1933, as amended, or the Securities Act, or to the extent that such shares have already been registered under the Securities Act and are held by non-affiliates of ours.</w:t>
      </w:r>
    </w:p>
    <w:p>
      <w:pPr>
        <w:spacing w:after="0" w:line="68" w:lineRule="exact"/>
        <w:rPr>
          <w:sz w:val="20"/>
          <w:szCs w:val="20"/>
          <w:color w:val="auto"/>
        </w:rPr>
      </w:pPr>
    </w:p>
    <w:p>
      <w:pPr>
        <w:jc w:val="both"/>
        <w:ind w:right="100" w:firstLine="510"/>
        <w:spacing w:after="0" w:line="282" w:lineRule="auto"/>
        <w:rPr>
          <w:sz w:val="20"/>
          <w:szCs w:val="20"/>
          <w:color w:val="auto"/>
        </w:rPr>
      </w:pPr>
      <w:r>
        <w:rPr>
          <w:rFonts w:ascii="Times New Roman" w:cs="Times New Roman" w:eastAsia="Times New Roman" w:hAnsi="Times New Roman"/>
          <w:sz w:val="18"/>
          <w:szCs w:val="18"/>
          <w:color w:val="auto"/>
        </w:rPr>
        <w:t>Moreover, holders of a substantial number of shares of our common stock have rights, subject to specified limitations and conditions, to require us to file registration statements covering their shares or to include their shares in registration statements that we may file for ourselves or other stockholders.</w:t>
      </w:r>
    </w:p>
    <w:p>
      <w:pPr>
        <w:spacing w:after="0" w:line="54" w:lineRule="exact"/>
        <w:rPr>
          <w:sz w:val="20"/>
          <w:szCs w:val="20"/>
          <w:color w:val="auto"/>
        </w:rPr>
      </w:pPr>
    </w:p>
    <w:p>
      <w:pPr>
        <w:ind w:right="100" w:firstLine="510"/>
        <w:spacing w:after="0" w:line="266" w:lineRule="auto"/>
        <w:rPr>
          <w:sz w:val="20"/>
          <w:szCs w:val="20"/>
          <w:color w:val="auto"/>
        </w:rPr>
      </w:pPr>
      <w:r>
        <w:rPr>
          <w:rFonts w:ascii="Times New Roman" w:cs="Times New Roman" w:eastAsia="Times New Roman" w:hAnsi="Times New Roman"/>
          <w:sz w:val="18"/>
          <w:szCs w:val="18"/>
          <w:color w:val="auto"/>
        </w:rPr>
        <w:t>In addition, we have registered all shares of common stock that we may issue under our equity compensation plans. These shares can be freely sold in the public market upon issuance and once vested, subject to volume limitations applicable to affiliates. If these additional shares are sold or if it is perceived in the market that they will be sold, in the public market, the trading price of our common stock could decline.</w:t>
      </w:r>
    </w:p>
    <w:p>
      <w:pPr>
        <w:spacing w:after="0" w:line="68"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We currently have on file with the SEC a universal shelf registration statement on Form S-3, or the Shelf Registration Statement, which allows us to offer and sell registered common stock, preferred stock, debt securities, units and/or warrants from time to time pursuant to one or more offerings at prices and terms to be determined at the time of sale. In June 2020, we entered into the ATM Sales Agreement, pursuant to which, from time to time, we may offer and sell under the ATM Sales Agreement up to $12.0 million of the common stock registered under the Shelf Registration Statement pursuant to one or more “at-the-market” offerings. In May 2022, we amended the ATM Sales Agreement with SVB Leerink LLC to increase the maximum aggregate offering price of common stock that we may issue and sell from time to time under the ATM Sales Agreement by $50.0 million, from $12.0 million to up to $62.0 million. As of September 30, 2022, we had sold 3,583,394 shares of common stock for an aggregate purchase price of $11.0 million, before deducting estimated commissions and allocated fees of $0.8 million, pursuant to the ATM Sales Agreement. The extent to which we utilize the ATM Sales Agreement as a source of funding will depend on a number of factors, including the prevailing market price of our common stock, general market conditions and the extent to which we are able to secure funds from other sources.</w:t>
      </w:r>
    </w:p>
    <w:p>
      <w:pPr>
        <w:spacing w:after="0" w:line="86"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On October 5, 2021, we issued to a single investor in a private placement, or the Initial Private Placement Investor, (i) 2,373,201 shares of our common stock and accompanying warrants to purchase an aggregate of 4,746,402 shares of our common stock, and (ii) pre-funded warrants to purchase up to an aggregate of 4,926,069 shares of our common stock and accompanying warrants to purchase an aggregate of 9,852,138 shares of our common stock. Under the terms of the pre-funded warrants and the accompanying common stock warrants, we may not effect the exercise of any such warrant, and the Initial Private Placement Investor will not be entitled to exercise any portion of any such warrant, if, upon giving effect to such exercise, the aggregate number of shares of common stock beneficially owned by the Initial Private Placement Investor, together with its affiliates, would exceed 4.99%, for the accompanying common stock warrants, or 9.99%, for the pre-funded warrants, of the number of shares of common stock outstanding immediately after giving effect to the exercise, as such percentage ownership is determined in accordance with the terms of such warrant, which percentage may be increased or decreased at the Initial Private Placement Investor’s election upon 61 days’ notice to us, subject to the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74" w:name="page75"/>
    <w:bookmarkEnd w:id="74"/>
    <w:p>
      <w:pPr>
        <w:spacing w:after="0" w:line="253" w:lineRule="auto"/>
        <w:rPr>
          <w:sz w:val="20"/>
          <w:szCs w:val="20"/>
          <w:color w:val="auto"/>
        </w:rPr>
      </w:pPr>
      <w:r>
        <w:rPr>
          <w:rFonts w:ascii="Times New Roman" w:cs="Times New Roman" w:eastAsia="Times New Roman" w:hAnsi="Times New Roman"/>
          <w:sz w:val="18"/>
          <w:szCs w:val="18"/>
          <w:color w:val="auto"/>
        </w:rPr>
        <w:t>terms of such warrants, provided that such percentage may in no event exceed 9.99%. We refer to such percentage limitations as the Initial Private Placement Beneficial Ownership Limitations. We filed a registration statement on Form S-3, or the Initial Private Placement Form S-3, covering the resale of up to 21,897,810 shares of common stock, comprised of the 2,373,201 shares of common stock issued outright and the 19,524,609 shares of common stock issuable upon exercise of the warrants, which was declared effective in October 2021. While the Initial Private Placement Form S-3 covers the resale of the number of shares of common stock issued or issuable to the Initial Private Placement Investor without giving effect to the Initial Private Placement Beneficial Ownership Limitations, the Initial Private Placement Investor may not exercise, and subsequently resell the underlying shares of common stock of, any portion of the warrants to the extent such exercise would result in the Initial Private Placement Investor exceeding the applicable Initial Private Placement Beneficial Ownership Limitation. The Initial Private Placement Investor may resell all, some or none of the shares of common stock registered pursuant to the Initial Private Placement Form S-3 at any time or in its discretion, subject to the Initial Private Placement Beneficial Ownership Limitations. As of November 10, 2022, 6,000,000 of the warrants to purchase shares of common stock that are to expire in October 2028 remained outstanding.</w:t>
      </w:r>
    </w:p>
    <w:p>
      <w:pPr>
        <w:spacing w:after="0" w:line="86"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Similarly, on October 18, 2021, we issued to New Enterprise Associates 16, L.P., or NEA, in a private placement, 1,851,852 shares of our common stock and accompanying warrants to purchase an aggregate of 3,703,704 shares of our common stock. We filed a registration statement on Form S-3, or the Second Private Placement Form S-3, covering the resale of 5,555,556 shares of common stock, comprised of the 1,851,852 shares of common stock and the 3,703,704 shares of common stock issuable upon exercise of the warrants, which was declared effective in November 2021. NEA will be able to resell all, some or none of the shares of common stock registered pursuant to the Second Private Placement Form S-3 at any time or in its discretion. As of November 10, 2022, all of the warrants issued to NEA remained outstanding.</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Similarly, on April 11, 2022, we issued to several purchasers in a private placement, (i) an aggregate of 4,580,526 shares of our common stock and</w:t>
      </w:r>
    </w:p>
    <w:p>
      <w:pPr>
        <w:spacing w:after="0" w:line="27" w:lineRule="exact"/>
        <w:rPr>
          <w:sz w:val="20"/>
          <w:szCs w:val="20"/>
          <w:color w:val="auto"/>
        </w:rPr>
      </w:pPr>
    </w:p>
    <w:p>
      <w:pPr>
        <w:ind w:firstLine="8"/>
        <w:spacing w:after="0" w:line="251" w:lineRule="auto"/>
        <w:tabs>
          <w:tab w:leader="none" w:pos="26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pre-funded warrants to purchase an aggregate of 24,379,673 shares of our common stock. Under the terms of the pre-funded warrants, we may not effect the exercise of any such warrant, and a purchaser will not be entitled to exercise any portion of any such warrant, if, upon giving effect to such exercise, the aggregate number of shares of common stock beneficially owned by such purchaser (together with its affiliates, any other persons acting as a group together with such purchaser or any of such purchaser’s affiliates, and any other persons whose beneficial ownership of common stock would or could be aggregated with such purchaser's for purposes of Section 13(d) or Section 16 of the Exchange Act) would exceed 9.99% of the number of shares of common stock outstanding immediately after giving effect to the exercise, as such percentage ownership is determined in accordance with the terms of such warrant, which percentage may be increased or decreased at such purchaser’s election upon 61 days’ notice to us subject to the terms of such warrants, provided that such percentage may in no event exceed 19.99%. We refer to such percentage limitations as the 2022 Private Placement Beneficial Ownership Limitations. We filed a registration statement on Form S-3, or the Third Private Placement Form S-3, covering the resale of 28,960,199 shares of common stock, comprised of the 4,580,526 shares of common stock and the 24,379,673 shares of common stock issuable upon exercise of the warrants, which was declared effective in May 2022. While the Third Private Placement Form S-3 covers the resale of the number of shares of common stock issued or issuable to the purchasers without giving effect to the 2022 Private Placement Beneficial Ownership Limitations, a purchaser may not exercise, and subsequently resell the underlying shares of common stock of, any portion of the warrants to the extent such exercise would result in such purchaser exceeding the applicable 2022 Private Placement Beneficial Ownership Limitation. The purchasers will be able to resell all, some or none of the shares of common stock registered pursuant to the Third Private Placement Form S-3 at any time or in their discretion, subject to the 2022 Private Placement Beneficial Ownership Limitations. As of November 10, 2022, all of the pre-funded warrants issued to purchasers in the 2022 Private Placement remained outstanding.</w:t>
      </w:r>
    </w:p>
    <w:p>
      <w:pPr>
        <w:spacing w:after="0" w:line="82"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Finally, on September 27, 2022, we issued in the September 2022 Offering an aggregate of 14,252,670 shares of our common stock, and, in lieu of common stock to certain investors, pre-funded warrants to purchase 14,247,330 shares of common stock. Under the terms of the pre-funded warrants, we may not effect the exercise of any such warrant, and a purchaser will not be entitled to exercise any portion of any such warrant, if, upon giving effect to such exercise, the aggregate number of shares of common stock beneficially owned by such purchaser (together with its affiliates, any other persons acting as a group together with such purchaser or any of such purchaser’s affiliates, and any other persons whose beneficial ownership of common stock would or could be aggregated with such purchaser's for purposes of Section 13(d) or Section 16 of the Exchange Act) would exceed 9.99% of the number of shares of common stock outstanding immediately after giving effect to the exercise, as such percentage ownership is determined in accordance with the terms of such warrant, which percentage may be increased or decreased at such purchaser’s election upon 61 days’ notice to us subject to the terms of such warrants, provided that such percentage may in no event exceed 19.99%. We refer to such percentage limitations as the September 2022 Offering Beneficial Ownership Limitations. The shares of common stock, the pre-funded warrants were issued pursuant to a prospectus supplement dated September 22, 2022 to the Shelf Registration Statement. A purchaser may not exercise, and subsequently resell the underlying shares of common stock of, any portion of the pre-funded warrants to the extent such exercise would result in such purchaser exceeding the applicable September 2022 Offering Beneficial Ownership Limitation. The purchasers will be able to resell all, some or none of the shares of common stock registered pursuant to the Shelf Registration Statement at any time or in their discretion, subject to the September 2022 Offering Beneficial Ownership Limitations. As of November 10, 2022, all of the pre-funded warrants issued to purchasers in the September 2022 Offering remained outstanding.</w:t>
      </w:r>
    </w:p>
    <w:p>
      <w:pPr>
        <w:spacing w:after="0" w:line="88"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Sales of substantial amounts of shares of our common stock or other securities by our stockholders, by us under the Shelf Registration Statement, whether pursuant to the ATM Sales Agreement or otherwise, by Lincoln Park pursuant to the Form S-1, by the private placement investors pursuant to the Initial Private Placement Form S-3, the Second Private Placement Form S-3 or the Third Private Placement Form S-3 or through any other means could also lower the market price of our common stock, make it more difficult for you to sell your shares at a price that you desire and impair our ability to raise capital through the sale of equity or equity-related securities.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5" w:name="page76"/>
    <w:bookmarkEnd w:id="75"/>
    <w:p>
      <w:pPr>
        <w:ind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number of shares of common stock underlying our outstanding warrants is significant in relation to our currently outstanding common stock, which could have a negative effect on the market price of our common stock and make it more difficult for us to raise funds through future equity offerings. In addition, in connection with any merger, consolidation or sale of all or substantially all of our assets, holders of our outstanding warrants would be entitled to receive consideration in excess of their reported beneficial ownership of our common stock and this could adversely impact the consideration our other stockholders would receive.</w:t>
      </w:r>
    </w:p>
    <w:p>
      <w:pPr>
        <w:spacing w:after="0" w:line="75"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As part of our October 2021 Private Placements, we issued to the Initial Private Placement Investor warrants to purchase an aggregate of 14,598,540 shares of our common stock at an exercise price of $1.37 per share, and pre-funded warrants to purchase up to an aggregate of 4,926,069 shares of our common stock at an exercise price of $0.001 per share, which as of February 10, 2022 have been exercised in full. Of the common stock warrants issued to the Initial Private Placement Investor at an exercise price of $1.37 per share, warrants to purchase an aggregate of 7,299,270 shares will expire on April 5, 2025 and warrants to purchase an aggregate of 7,299,270 shares will expire on October 5, 2028. In addition, we issued to NEA warrants to purchase an aggregate of 3,703,704 shares of our common stock at an exercise price of $1.37 per share. Of the common stock warrants issued to NEA, warrants to purchase an aggregate of 1,851,852 shares of our common stock will expire on April 18, 2025 and warrants to purchase an aggregate of 1,851,852 shares of our common stock will expire on October 18, 2028. We issued pre-funded warrants to purchase up to an aggregate of 24,379,673 shares of our common stock to the purchasers in the April 2022 Private Placement. Finally, we issued pre-funded warrants to purchase up to an aggregate of 14,247,330 shares of our common stock at an exercise price of $0.001 per share to certain purchasers in the September 2022 Offering.</w:t>
      </w:r>
    </w:p>
    <w:p>
      <w:pPr>
        <w:spacing w:after="0" w:line="86" w:lineRule="exact"/>
        <w:rPr>
          <w:sz w:val="20"/>
          <w:szCs w:val="20"/>
          <w:color w:val="auto"/>
        </w:rPr>
      </w:pPr>
    </w:p>
    <w:p>
      <w:pPr>
        <w:ind w:right="100" w:firstLine="510"/>
        <w:spacing w:after="0" w:line="268" w:lineRule="auto"/>
        <w:rPr>
          <w:sz w:val="20"/>
          <w:szCs w:val="20"/>
          <w:color w:val="auto"/>
        </w:rPr>
      </w:pPr>
      <w:r>
        <w:rPr>
          <w:rFonts w:ascii="Times New Roman" w:cs="Times New Roman" w:eastAsia="Times New Roman" w:hAnsi="Times New Roman"/>
          <w:sz w:val="17"/>
          <w:szCs w:val="17"/>
          <w:color w:val="auto"/>
        </w:rPr>
        <w:t>As discussed above, the common stock warrants issued to the Initial Private Placement Investor are subject to the Initial Investor Beneficial Ownership Limitations, the pre-funded warrants issued to the purchasers in the April 2022 Private Placement are subject to the 2022 Private Placement Beneficial Ownership Limitations and the pre-funded warrants issued to certain purchasers in the September 2022 Offering are subject to the September 2022 Offering Beneficial Ownership Limitations. Although the Initial Private Placement Investor’s warrants are subject to the Initial Investor Beneficial Ownership Limitations, the pre-funded warrants issued to the purchasers in the April 2022 Private Placement are subject to the 2022 Private Placement Beneficial Ownership Limitations and the pre-funded warrants issued to the purchasers in the September 2022 Offering are subject to the September 2022 Offering Beneficial Ownership Limitations, upon exercise in full of the warrants, the shares issuable upon exercise would represent a significant portion of our outstanding common stock. As a result, the Initial Private Placement Investor, NEA and the other purchasers in the April 2022 Private Placement and the September 2022 Offering may be able to exert substantial influence over our business. The concentration of voting power resulting from the exercise of the warrants could delay, defer or prevent a change of control, entrench our management and our board of directors or delay or prevent a merger, consolidation, takeover or other business combination involving us on terms that other stockholders may desire. In addition, conflicts of interest could arise in the future between us, on the one hand, and the Initial Private Placement Investor, NEA, the purchasers in the April 2022 Private Placement and/or the purchasers in the September 2022 Offering on the other hand, concerning potential competitive business activities, business opportunities, the issuance of additional securities and other matters. In addition, sales of these shares could cause the market price of our common stock to decline significantly.</w:t>
      </w:r>
    </w:p>
    <w:p>
      <w:pPr>
        <w:spacing w:after="0" w:line="76" w:lineRule="exact"/>
        <w:rPr>
          <w:sz w:val="20"/>
          <w:szCs w:val="20"/>
          <w:color w:val="auto"/>
        </w:rPr>
      </w:pPr>
    </w:p>
    <w:p>
      <w:pPr>
        <w:ind w:right="60" w:firstLine="510"/>
        <w:spacing w:after="0" w:line="252" w:lineRule="auto"/>
        <w:rPr>
          <w:sz w:val="20"/>
          <w:szCs w:val="20"/>
          <w:color w:val="auto"/>
        </w:rPr>
      </w:pPr>
      <w:r>
        <w:rPr>
          <w:rFonts w:ascii="Times New Roman" w:cs="Times New Roman" w:eastAsia="Times New Roman" w:hAnsi="Times New Roman"/>
          <w:sz w:val="18"/>
          <w:szCs w:val="18"/>
          <w:color w:val="auto"/>
        </w:rPr>
        <w:t>Furthermore, in the event of a sale of our company, whether by merger, sale of all or substantially all of our assets or otherwise, the holders of warrants would be entitled to receive, with respect to each share of common stock issuable upon exercise of the warrants then held by them and, and in the case of the Initial Private Placement Investor, without regard to the Beneficial Ownership Limitations, the same amount and kind of securities, cash or property as they would have been entitled to receive if such securities had been converted into or exercised for shares of our common stock immediately prior to such sale of our company. Although the Initial Private Placement Investor’s beneficial ownership of our common stock is reported as 9.99% as a result of the application of the Beneficial Ownership Limitations, in the event of a sale of our company, the Initial Private Placement Investor would receive sale consideration without regard to the Beneficial Ownership Limitations. In such a sale, the Initial Private Placement Investor would be entitled to receive a significantly larger portion of the total proceeds distributable to the holders of our securities than is represented by its reported beneficial ownership of our common stock. In addition, pursuant to the terms of the common stock warrants issued to both the Initial Private Placement Investor and NEA in our October 2021 Private Placements, in specified circumstances upon a fundamental transaction by us, such warrant holders may have the right to require us to repurchase their common stock warrants at their fair value using a Black Scholes option pricing formula. As a result, in the event of a sale of our company, the Initial Private Placement Investor and NEA may be entitled to receive a significantly larger portion of the total proceeds distributable to our stockholders than they would if they exercised the warrants immediately prior to the transaction, and our stockholders could receive significantly less than they otherwise would in such a transaction.</w:t>
      </w:r>
    </w:p>
    <w:p>
      <w:pPr>
        <w:spacing w:after="0" w:line="89" w:lineRule="exact"/>
        <w:rPr>
          <w:sz w:val="20"/>
          <w:szCs w:val="20"/>
          <w:color w:val="auto"/>
        </w:rPr>
      </w:pPr>
    </w:p>
    <w:p>
      <w:pPr>
        <w:ind w:right="300" w:firstLine="510"/>
        <w:spacing w:after="0" w:line="282" w:lineRule="auto"/>
        <w:rPr>
          <w:sz w:val="20"/>
          <w:szCs w:val="20"/>
          <w:color w:val="auto"/>
        </w:rPr>
      </w:pPr>
      <w:r>
        <w:rPr>
          <w:rFonts w:ascii="Times New Roman" w:cs="Times New Roman" w:eastAsia="Times New Roman" w:hAnsi="Times New Roman"/>
          <w:sz w:val="18"/>
          <w:szCs w:val="18"/>
          <w:color w:val="auto"/>
        </w:rPr>
        <w:t>Given the amount and terms of these warrants, we may find it more difficult to raise additional equity capital on favorable terms or at all while these warrants are outstanding.</w:t>
      </w:r>
    </w:p>
    <w:p>
      <w:pPr>
        <w:spacing w:after="0" w:line="5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Ownership of our common stock is concentrated among our executive officers and directors and their affiliates, who have significant influence over our business, which may prevent new investors from influencing significant corporate decisions.</w:t>
      </w:r>
    </w:p>
    <w:p>
      <w:pPr>
        <w:spacing w:after="0" w:line="51" w:lineRule="exact"/>
        <w:rPr>
          <w:sz w:val="20"/>
          <w:szCs w:val="20"/>
          <w:color w:val="auto"/>
        </w:rPr>
      </w:pPr>
    </w:p>
    <w:p>
      <w:pPr>
        <w:ind w:right="200" w:firstLine="510"/>
        <w:spacing w:after="0" w:line="289" w:lineRule="auto"/>
        <w:rPr>
          <w:sz w:val="20"/>
          <w:szCs w:val="20"/>
          <w:color w:val="auto"/>
        </w:rPr>
      </w:pPr>
      <w:r>
        <w:rPr>
          <w:rFonts w:ascii="Times New Roman" w:cs="Times New Roman" w:eastAsia="Times New Roman" w:hAnsi="Times New Roman"/>
          <w:sz w:val="17"/>
          <w:szCs w:val="17"/>
          <w:color w:val="auto"/>
        </w:rPr>
        <w:t>Our executive officers and directors and their respective affiliates, beneficially own, in the aggregate, shares representing approximately 37.1% of our common stock as of November 10, 2022. As a result, our executive officers and directors and their affiliates acting together may be able to significantly influence all matters submitted to our stockholders for approval, as well as our management and affairs. This concentration of ownership control may: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6" w:name="page77"/>
    <w:bookmarkEnd w:id="76"/>
    <w:p>
      <w:pPr>
        <w:ind w:left="880" w:hanging="373"/>
        <w:spacing w:after="0"/>
        <w:tabs>
          <w:tab w:leader="none" w:pos="8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defer or prevent a change in control;</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entrench our management or the board of directors; or</w:t>
      </w:r>
    </w:p>
    <w:p>
      <w:pPr>
        <w:spacing w:after="0" w:line="144" w:lineRule="exact"/>
        <w:rPr>
          <w:rFonts w:ascii="Times New Roman" w:cs="Times New Roman" w:eastAsia="Times New Roman" w:hAnsi="Times New Roman"/>
          <w:sz w:val="18"/>
          <w:szCs w:val="18"/>
          <w:color w:val="auto"/>
        </w:rPr>
      </w:pPr>
    </w:p>
    <w:p>
      <w:pPr>
        <w:ind w:left="880" w:right="260" w:hanging="373"/>
        <w:spacing w:after="0" w:line="282" w:lineRule="auto"/>
        <w:tabs>
          <w:tab w:leader="none" w:pos="8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impede a merger, consolidation, takeover, sale, other business combination or other significant corporate transaction involving us that other stockholders may desire.</w:t>
      </w:r>
    </w:p>
    <w:p>
      <w:pPr>
        <w:spacing w:after="0" w:line="54" w:lineRule="exact"/>
        <w:rPr>
          <w:sz w:val="20"/>
          <w:szCs w:val="20"/>
          <w:color w:val="auto"/>
        </w:rPr>
      </w:pPr>
    </w:p>
    <w:p>
      <w:pPr>
        <w:ind w:right="120" w:firstLine="510"/>
        <w:spacing w:after="0" w:line="266" w:lineRule="auto"/>
        <w:rPr>
          <w:sz w:val="20"/>
          <w:szCs w:val="20"/>
          <w:color w:val="auto"/>
        </w:rPr>
      </w:pPr>
      <w:r>
        <w:rPr>
          <w:rFonts w:ascii="Times New Roman" w:cs="Times New Roman" w:eastAsia="Times New Roman" w:hAnsi="Times New Roman"/>
          <w:sz w:val="18"/>
          <w:szCs w:val="18"/>
          <w:color w:val="auto"/>
        </w:rPr>
        <w:t>Some of these persons or entities may have interests different than yours. For example, certain of these stockholders may have purchased their shares at prices substantially below the prices you paid for your shares or may have held their shares for a longer period, and they may be more interested in selling our company to an acquirer or they may want us to pursue strategies that deviate from your interests.</w:t>
      </w:r>
    </w:p>
    <w:p>
      <w:pPr>
        <w:spacing w:after="0" w:line="6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paying any cash dividends on our capital stock in the foreseeable future. Accordingly, stockholders must rely on appreciation in the price of our common stock, if any, for any return on their investment.</w:t>
      </w:r>
    </w:p>
    <w:p>
      <w:pPr>
        <w:spacing w:after="0" w:line="51"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and we do not intend to do so in the foreseeable future. We currently plan to retain all of our future earnings, if any, to finance the operation, development and growth of our product pipeline and business. In addition, the terms of the SVB Term Loan preclude us from paying dividends and any future debt or credit agreements may also preclude us from paying dividends. As a result, future appreciation, if any, in the market value of our common stock will be your sole source of gain for the foreseeable future. There is no guarantee that our common stock will appreciate or even maintain the price at which our holders have purchased it.</w:t>
      </w:r>
    </w:p>
    <w:p>
      <w:pPr>
        <w:spacing w:after="0" w:line="7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the reduced disclosure requirements applicable to us may make our common stock less attractive to investors.</w:t>
      </w:r>
    </w:p>
    <w:p>
      <w:pPr>
        <w:spacing w:after="0" w:line="5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and may remain an emerging growth company for up to five years.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as amended, or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in our periodic reports, proxy statements and registration statements and not being required to hold a nonbinding advisory vote on executive compensation and stockholder approval of any golden parachute payments not previously approved. Even after we no longer qualify as an emerging growth company, we may still qualify as a “smaller reporting company,” which would allow us to take advantage of many of the same exemptions from disclosure requirements, including not being required to comply with the auditor attestation requirements of SOX Section 404 and reduced disclosure obligations regarding executive compensation. If some investors find our common stock less attractive as a result of our reliance on these exemptions, the trading market for our common stock may be less active and our stock price may be more volatile.</w:t>
      </w:r>
    </w:p>
    <w:p>
      <w:pPr>
        <w:spacing w:after="0" w:line="78"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operating as a public company and our management is required to devote substantial time to compliance initiatives and corporate governance practices.</w:t>
      </w:r>
    </w:p>
    <w:p>
      <w:pPr>
        <w:spacing w:after="0" w:line="51"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As a public company and particularly after we are no longer an “emerging growth company” or a “smaller reporting company,” we incur and will continue to incur, significant legal, accounting, investor relations and other expenses that we did not incur as a private company. The Sarbanes-Oxley Act of 2002, the Dodd-Frank Wall Street Reform and Consumer Protection Act, the listing requirements of the Nasdaq Stock Market and other applicable securities rules and regulations impose various requirements on public companies, including establishment and maintenance of effective disclosure and financial controls and corporate governance practices. We may need to hire additional accounting, finance and other personnel in connection with our efforts to comply with the requirements of being a public company and our management and other personnel devote a substantial amount of time in complying with these requirements, which could negatively impact our financial results. Current and changing laws, rules and regulations relating to corporate governance and public disclosure may increase our legal and financial compliance costs and make some activities more time-consuming and costly. For example, the rules and regulations applicable to us as a public company have made it and we expect that they may continue to make it, more difficult and more expensive for us to obtain director and officer liability insurance, which could make it more difficult for us to attract and retain qualified members of our board of directors. We are evaluating these rules and regulations and cannot currently predict or estimate the additional costs we may incur or the timing of such costs. In addition, these laws,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have invested in and intend to continue to invest in, resources to comply with evolving laws, rules and regulations and this investment may result in increased general and administrative expenses and a diversion of management’s time and attention from revenue generating activities to compliance activities. If, notwithstanding our efforts to comply with new laws, rules and regulations, we fail to comply, regulatory authorities may initiate legal proceedings against us and our business may be harmed.</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our ability to produce accurate financial statements on a timely basis could be impaired.</w:t>
      </w:r>
    </w:p>
    <w:p>
      <w:pPr>
        <w:spacing w:after="0" w:line="121" w:lineRule="exact"/>
        <w:rPr>
          <w:sz w:val="20"/>
          <w:szCs w:val="20"/>
          <w:color w:val="auto"/>
        </w:rPr>
      </w:pPr>
    </w:p>
    <w:p>
      <w:pPr>
        <w:ind w:right="20" w:firstLine="510"/>
        <w:spacing w:after="0" w:line="252" w:lineRule="auto"/>
        <w:rPr>
          <w:sz w:val="20"/>
          <w:szCs w:val="20"/>
          <w:color w:val="auto"/>
        </w:rPr>
      </w:pPr>
      <w:r>
        <w:rPr>
          <w:rFonts w:ascii="Times New Roman" w:cs="Times New Roman" w:eastAsia="Times New Roman" w:hAnsi="Times New Roman"/>
          <w:sz w:val="18"/>
          <w:szCs w:val="18"/>
          <w:color w:val="auto"/>
        </w:rPr>
        <w:t>We are subject to the reporting requirements of the Securities Exchange Act of 1934, or the Exchange Act, the Sarbanes-Oxley Act of 2002 and the rules and regulations of the Nasdaq Stock Market. The Sarbanes-Oxley Act of 2002 requires, among other things, that we maintain effective disclosure controls and procedures and internal control over financial reporting. Pursuant to SOX Section 404, we are required to furnish annual reports by our management on our internal control over financial reporting. However, while we remain an emerging growth company or a smaller reporting company with less than $100 million in annual revenue, we will not be required to include an attestation report on internal control over financial reporting issued by our independent registered public accounting firm. To achieve compliance with SOX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that our internal control over financial reporting is effective. If we are unable to comply with the requirements of SOX Section 404 in a timely manner or if we are unable to maintain proper and effective internal controls, we may not be able to produce timely and accurate financial statements. If that were to happen, the trading price of our common stock could decline and we could be subject to sanctions or investigations by the Nasdaq Stock Market, the SEC or other regulatory authorities.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might not be able to utilize a significant portion of our net operating loss carryforwards and research and development tax credit carryforwards.</w:t>
      </w:r>
    </w:p>
    <w:p>
      <w:pPr>
        <w:spacing w:after="0" w:line="121" w:lineRule="exact"/>
        <w:rPr>
          <w:sz w:val="20"/>
          <w:szCs w:val="20"/>
          <w:color w:val="auto"/>
        </w:rPr>
      </w:pPr>
    </w:p>
    <w:p>
      <w:pPr>
        <w:ind w:right="20" w:firstLine="510"/>
        <w:spacing w:after="0" w:line="252" w:lineRule="auto"/>
        <w:rPr>
          <w:sz w:val="20"/>
          <w:szCs w:val="20"/>
          <w:color w:val="auto"/>
        </w:rPr>
      </w:pPr>
      <w:r>
        <w:rPr>
          <w:rFonts w:ascii="Times New Roman" w:cs="Times New Roman" w:eastAsia="Times New Roman" w:hAnsi="Times New Roman"/>
          <w:sz w:val="18"/>
          <w:szCs w:val="18"/>
          <w:color w:val="auto"/>
        </w:rPr>
        <w:t>As of December 31, 2021, we had federal and state net operating loss carryforwards of $169.7 million and federal research and development tax credit carryforwards of $4.6 million, which if not utilized generally will begin to expire in 2031 and 2032, respectively. These net operating loss and tax credit carryforwards could expire unused and be unavailable to offset future income tax liabilities. In general, under Section 382 of the Internal Revenue Code of 1986, as amended, or the IRC, and corresponding provisions of state law, a corporation that undergoes an “ownership change,” generally defined as a greater than 50 percentage point change (by value) in its equity ownership by certain stockholders over a three year period, is subject to limitations on its ability to utilize its pre-change net operating losses and research and development tax credit carryforwards to offset future taxable income. Due to our Series A convertible preferred stock financing in December 2012 and the shares issued in connection with our IPO in May 2019, an “ownership change” under Section 382 of the IRC occurred. As a result, our ability to use approximately $91.3 million of our net operating loss carryforwards and approximately $3.0 million of our research and development tax credits is limited. We may experience further ownership changes in the future as a result of subsequent shifts in our stock ownership, some of which may be outside of our control. If a further ownership change occurs, our ability to use our net operating loss carryforwards might be further limited. We have not conducted a detailed study to document whether our historical activities qualify to support our research and development credit carryforwards. A detailed study could result in adjustment to our research and development credit carryforwards. If we determine that an ownership change occurs and our ability to use our historical net operating loss and tax credit carryforwards is materially limited or if our research and development tax credit carryforwards are adjusted, it would harm our future operating results by effectively increasing our future tax obligations.</w:t>
      </w:r>
    </w:p>
    <w:p>
      <w:pPr>
        <w:spacing w:after="0" w:line="88"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There is also a risk that due to regulatory changes, such as suspensions on the use of net operating losses or other unforeseen reasons, our existing net operating losses could expire or otherwise become unavailable to offset future income tax liabilities. As described below in “Changes in tax laws or in their implementation or interpretation may adversely affect our business and financial condition,” the Tax Cuts and Jobs Act, or the Tax Act, as amended by the Coronavirus Aid, Relief and Economic Security Act, or CARES Act, includes changes to U.S. federal tax rates and the rules governing net operating loss carryforwards that may significantly impact our ability to utilize our net operating losses to offset taxable income in the future. In addition, state net operating losses generated in one state cannot be used to offset income generated in another state. For these reasons, even if we attain profitability, we may be unable to use a material portion of our net operating losses and other tax attributes.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in their implementation or interpretation may adversely affect our business and financial condition.</w:t>
      </w:r>
    </w:p>
    <w:p>
      <w:pPr>
        <w:spacing w:after="0" w:line="121" w:lineRule="exact"/>
        <w:rPr>
          <w:sz w:val="20"/>
          <w:szCs w:val="20"/>
          <w:color w:val="auto"/>
        </w:rPr>
      </w:pPr>
    </w:p>
    <w:p>
      <w:pPr>
        <w:ind w:right="160" w:firstLine="510"/>
        <w:spacing w:after="0" w:line="254" w:lineRule="auto"/>
        <w:rPr>
          <w:sz w:val="20"/>
          <w:szCs w:val="20"/>
          <w:color w:val="auto"/>
        </w:rPr>
      </w:pPr>
      <w:r>
        <w:rPr>
          <w:rFonts w:ascii="Times New Roman" w:cs="Times New Roman" w:eastAsia="Times New Roman" w:hAnsi="Times New Roman"/>
          <w:sz w:val="18"/>
          <w:szCs w:val="18"/>
          <w:color w:val="auto"/>
        </w:rPr>
        <w:t>Recent changes in tax law may adversely affect our business or financial condition. On December 22, 2017, the U.S. government enacted the Tax Act, which significantly reformed the IRC. The Tax Act, among other things, contained significant changes to corporate taxation, including a reduction of the corporate tax rate from a top marginal rate of 35% to a flat rate of 21%, the limitation of the tax deduction for net interest expense to 30% of adjusted taxable income (except for certain small businesses), the limitation of the deduction for net operating losses arising in taxable years beginning after December 31, 2017 to 80% of current year taxable income and elimination of net operating loss carrybacks for losses arising in taxable years ending after December 31, 2017 (though any such NOLs may be carried forward indefinitely), the imposition of a one-time taxation of offshore earnings at reduced rates regardless of whether they are repatriated, the elimination of U.S. tax on foreign earnings (subject to certain important exceptions), the allowance of immediate deductions for certain new investments instead of deductions for depreciation expense over time and the modification or repeal of many business deductions and credits.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78" w:name="page79"/>
    <w:bookmarkEnd w:id="78"/>
    <w:p>
      <w:pPr>
        <w:ind w:right="100" w:firstLine="510"/>
        <w:spacing w:after="0" w:line="256" w:lineRule="auto"/>
        <w:rPr>
          <w:sz w:val="20"/>
          <w:szCs w:val="20"/>
          <w:color w:val="auto"/>
        </w:rPr>
      </w:pPr>
      <w:r>
        <w:rPr>
          <w:rFonts w:ascii="Times New Roman" w:cs="Times New Roman" w:eastAsia="Times New Roman" w:hAnsi="Times New Roman"/>
          <w:sz w:val="18"/>
          <w:szCs w:val="18"/>
          <w:color w:val="auto"/>
        </w:rPr>
        <w:t>As part of Congress’s response to the COVID-19 pandemic, the Families First Coronavirus Response Act, or FFCR Act, was enacted on March 18, 2020 and the CARES Act was enacted on March 27, 2020. Both contain numerous tax provisions. In particular, the CARES Act retroactively and temporarily (for taxable years beginning before January 1, 2021) suspends application of the 80%-of-income limitation on the use of net operating losses, which was enacted as part of the Tax Act. It also provides that net operating losses arising in any taxable year beginning after December 31, 2017 and before January 1, 2021, are generally eligible to be carried back up to five years. The CARES Act also temporarily (for taxable years beginning in 2019 or 2020) relaxes the limitation of the tax deductibility for net interest expense by increasing the limitation from 30 to 50% of adjusted taxable income.</w:t>
      </w:r>
    </w:p>
    <w:p>
      <w:pPr>
        <w:spacing w:after="0" w:line="79"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Regulatory guidance under the Tax Act, the FFCR Act and the CARES Act is and continues to be forthcoming and such guidance could ultimately increase or lessen impact of these laws on our business and financial condition. It is also likely that Congress will enact additional legislation in connection with the COVID-19 pandemic, some of which could have an impact on us. In addition, it is uncertain if and to what extent various states will conform to the Tax Act, the FFCR Act or the CARES Act.</w:t>
      </w:r>
    </w:p>
    <w:p>
      <w:pPr>
        <w:spacing w:after="0" w:line="6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organizational documents and under Delaware law may prevent or frustrate attempts by our stockholders to change our management or hinder efforts to acquire a controlling interest in us.</w:t>
      </w:r>
    </w:p>
    <w:p>
      <w:pPr>
        <w:spacing w:after="0" w:line="51"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Provisions in our certificate of incorporation and our bylaws may discourage, delay or prevent a merger, acquisition or other change in control of us that stockholders may consider favorable, including transactions in which you might otherwise receive a premium for your shares. These provisions could also limit the price that investors might be willing to pay in the future for shares of our common stock, thereby depressing the trading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9" w:lineRule="exact"/>
        <w:rPr>
          <w:sz w:val="20"/>
          <w:szCs w:val="20"/>
          <w:color w:val="auto"/>
        </w:rPr>
      </w:pPr>
    </w:p>
    <w:p>
      <w:pPr>
        <w:ind w:left="880" w:hanging="373"/>
        <w:spacing w:after="0"/>
        <w:tabs>
          <w:tab w:leader="none" w:pos="8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all members of the board are not elected at one time;</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144"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the board;</w:t>
      </w:r>
    </w:p>
    <w:p>
      <w:pPr>
        <w:spacing w:after="0" w:line="144" w:lineRule="exact"/>
        <w:rPr>
          <w:rFonts w:ascii="Times New Roman" w:cs="Times New Roman" w:eastAsia="Times New Roman" w:hAnsi="Times New Roman"/>
          <w:sz w:val="18"/>
          <w:szCs w:val="18"/>
          <w:color w:val="auto"/>
        </w:rPr>
      </w:pPr>
    </w:p>
    <w:p>
      <w:pPr>
        <w:ind w:left="880" w:right="340" w:hanging="373"/>
        <w:spacing w:after="0" w:line="282" w:lineRule="auto"/>
        <w:tabs>
          <w:tab w:leader="none" w:pos="8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the board of directors or for proposing matters that can be acted on at stockholder meetings;</w:t>
      </w:r>
    </w:p>
    <w:p>
      <w:pPr>
        <w:spacing w:after="0" w:line="53" w:lineRule="exact"/>
        <w:rPr>
          <w:rFonts w:ascii="Times New Roman" w:cs="Times New Roman" w:eastAsia="Times New Roman" w:hAnsi="Times New Roman"/>
          <w:sz w:val="18"/>
          <w:szCs w:val="18"/>
          <w:color w:val="auto"/>
        </w:rPr>
      </w:pPr>
    </w:p>
    <w:p>
      <w:pPr>
        <w:ind w:left="880" w:right="480" w:hanging="373"/>
        <w:spacing w:after="0" w:line="282" w:lineRule="auto"/>
        <w:tabs>
          <w:tab w:leader="none" w:pos="8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53"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a special meeting of stockholders;</w:t>
      </w:r>
    </w:p>
    <w:p>
      <w:pPr>
        <w:spacing w:after="0" w:line="144" w:lineRule="exact"/>
        <w:rPr>
          <w:rFonts w:ascii="Times New Roman" w:cs="Times New Roman" w:eastAsia="Times New Roman" w:hAnsi="Times New Roman"/>
          <w:sz w:val="18"/>
          <w:szCs w:val="18"/>
          <w:color w:val="auto"/>
        </w:rPr>
      </w:pPr>
    </w:p>
    <w:p>
      <w:pPr>
        <w:ind w:left="880" w:right="40" w:hanging="373"/>
        <w:spacing w:after="0" w:line="266" w:lineRule="auto"/>
        <w:tabs>
          <w:tab w:leader="none" w:pos="8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67" w:lineRule="exact"/>
        <w:rPr>
          <w:rFonts w:ascii="Times New Roman" w:cs="Times New Roman" w:eastAsia="Times New Roman" w:hAnsi="Times New Roman"/>
          <w:sz w:val="18"/>
          <w:szCs w:val="18"/>
          <w:color w:val="auto"/>
        </w:rPr>
      </w:pPr>
    </w:p>
    <w:p>
      <w:pPr>
        <w:ind w:left="880" w:right="340" w:hanging="373"/>
        <w:spacing w:after="0" w:line="282" w:lineRule="auto"/>
        <w:tabs>
          <w:tab w:leader="none" w:pos="8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75% of the votes that all our stockholders would be entitled to cast to amend or repeal certain provisions of our certificate of incorporation or bylaws.</w:t>
      </w:r>
    </w:p>
    <w:p>
      <w:pPr>
        <w:spacing w:after="0" w:line="54"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General Corporation Law of the State of Delaware, which prohibits an “interested stockholder,” which is either a person who owns at least 15% of our outstanding voting stock or an affiliate or associate who owned at least 15% of our outstanding voting stock at any time within the prior three years, from engaging in a business combination with us for a period of three years after the date of the transaction in which the person became an “interested stockholder” unless the business combination is approved in a prescribed manner. This could discourage, delay or prevent someone from acquiring us or merging with us, whether or not it is desired by or beneficial to, our stockholders. This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8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provides that the Court of Chancery of the State of Delaware will be the exclusive forum for substantially all disputes between us and our stockholders and that the federal district courts of the U.S. are the sole and exclusive forum for the resolution of any complaint asserting a cause of action arising under the Securities Act. These choice of forum provisions could limit our stockholders’ ability to obtain a favorable judicial forum for disputes with us or our directors, officers or employees.</w:t>
      </w:r>
    </w:p>
    <w:p>
      <w:pPr>
        <w:spacing w:after="0" w:line="72" w:lineRule="exact"/>
        <w:rPr>
          <w:sz w:val="20"/>
          <w:szCs w:val="20"/>
          <w:color w:val="auto"/>
        </w:rPr>
      </w:pPr>
    </w:p>
    <w:p>
      <w:pPr>
        <w:ind w:right="140" w:firstLine="510"/>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provides that the Court of Chancery of the State of Delaware (or, if the Court of Chancery of the State of Delaware does not have jurisdiction, the federal district court for the District of Delaware) shall, to the fullest extent permitted by law, be the sole and exclusive forum for (1) any derivative action or proceeding brought on behalf of our company, (2) any action asserting a claim of breach of fiduciary duty owed by any director, officer, other employee or stockholder of our company to us or our stockholders, (3) any action asserting a claim arising pursuant to any provision of the Delaware General Corporation Law or as to</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79" w:name="page80"/>
    <w:bookmarkEnd w:id="79"/>
    <w:p>
      <w:pPr>
        <w:spacing w:after="0" w:line="274" w:lineRule="auto"/>
        <w:rPr>
          <w:sz w:val="20"/>
          <w:szCs w:val="20"/>
          <w:color w:val="auto"/>
        </w:rPr>
      </w:pPr>
      <w:r>
        <w:rPr>
          <w:rFonts w:ascii="Times New Roman" w:cs="Times New Roman" w:eastAsia="Times New Roman" w:hAnsi="Times New Roman"/>
          <w:sz w:val="17"/>
          <w:szCs w:val="17"/>
          <w:color w:val="auto"/>
        </w:rPr>
        <w:t>which the Delaware General Corporation Law confers jurisdiction on the Court of Chancery or (4) any action asserting a claim arising pursuant to any provision of our certificate of incorporation or bylaws or governed by the internal affairs doctrine. Our certificate of incorporation further provides that, unless we consent in writing to the selection of an alternative forum, the federal district courts of the U.S. shall, to the fullest extent permitted by law, be the sole and exclusive forum for the resolution of any complaint asserting a cause of action arising under the Securities Act. Neither of these choice of forum provisions would affect suits brought to enforce any liability or duty created by the Exchange Act or the rules and regulations thereunder, jurisdiction over which is exclusively vested by statute in the U.S. federal courts or any other claim for which U.S. federal courts have exclusive jurisdiction.</w:t>
      </w:r>
    </w:p>
    <w:p>
      <w:pPr>
        <w:spacing w:after="0" w:line="65"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provisions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w:t>
      </w:r>
    </w:p>
    <w:p>
      <w:pPr>
        <w:spacing w:after="0" w:line="11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related to health epidemics and other widespread outbreaks of contagious disease, including the COVID-19 pandemic, which has delayed our ability to complete our ongoing clinical trials, disrupted our business operations and may further delay our clinical trials, interrupt our supply chain, disrupt regulatory activities, or have other adverse effects on our business and operations. In addition, the COVID-19 pandemic has caused substantial disruption in the financial markets and economies worldwide, which could result in adverse effects on our business and operations.</w:t>
      </w:r>
    </w:p>
    <w:p>
      <w:pPr>
        <w:spacing w:after="0" w:line="72"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Significant outbreaks of contagious diseases, such as COVID-19, and other adverse public health developments, could have a material impact on our business operations and operating results.</w:t>
      </w:r>
    </w:p>
    <w:p>
      <w:pPr>
        <w:spacing w:after="0" w:line="54"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The COVID-19 pandemic and government measures taken in response thereto have also had a significant impact, both direct and indirect, on segments of the global economy and have interrupted our clinical trial activities, disrupted our business operations and have the potential to interrupt our supply chain. We have experienced restrictions and delays at our existing clinical sites. For example, the clinical sites in our Phase 2 CANAL trial for chronic cough in adults with IPF experienced delays in the enrollment and treatment of subjects in the trial due to the vulnerability of IPF patients to COVID-19 and as a result, we amended the protocol for the trial to reduce the number of in-person subject visits and procedures. Any trials we may conduct in the future for the treatment of chronic cough in adults with IPF or other chronic cough conditions could be delayed or negatively impacted by the COVID-19 pandemic or other outbreaks of infectious diseases due to the vulnerability of this patient population to respiratory illness. In addition, in our Phase 2b/3 PRISM trial, new subject screening and most enrollment was temporarily halted in March 2020 due to the COVID-19 pandemic. After resuming screening and enrollment, multiple sites in the Phase 2b/3 PRISM trial required some remote monitoring of subject data. We also experienced slower recruitment activities in the Phase 2b/3 PRISM trial worldwide through the latter part of 2020 and the beginning of 2021 due to the resurgence of COVID-19. Although the Phase 2 CANAL trial has concluded and the Phase 2b/3 PRISM trial open-label extension is ongoing, the COVID-19 pandemic and other outbreaks of infectious disease could still adversely affect our ability to retain subjects, principal investigators and site staff who, as healthcare providers, may have heightened exposure to COVID-19 and other infectious diseases and may result in further disruptions to our clinical trials in the future due to prioritization of hospital and medical resources toward the pandemic or future outbreaks, restrictions on travel of patients and healthcare providers, or potential inability of subjects to comply with clinical trial protocols if quarantines or travel restrictions impede subject movement or interrupt healthcare services. The response to the COVID-19 pandemic may also redirect resources of regulators in a way that could adversely impact our ability to progress regulatory approvals and we may face impediments to regulatory meetings and approvals relating to our clinical trials due to measures intended to limit in-person interactions.</w:t>
      </w:r>
    </w:p>
    <w:p>
      <w:pPr>
        <w:spacing w:after="0" w:line="84" w:lineRule="exact"/>
        <w:rPr>
          <w:sz w:val="20"/>
          <w:szCs w:val="20"/>
          <w:color w:val="auto"/>
        </w:rPr>
      </w:pPr>
    </w:p>
    <w:p>
      <w:pPr>
        <w:ind w:right="20" w:firstLine="510"/>
        <w:spacing w:after="0" w:line="266" w:lineRule="auto"/>
        <w:rPr>
          <w:sz w:val="20"/>
          <w:szCs w:val="20"/>
          <w:color w:val="auto"/>
        </w:rPr>
      </w:pPr>
      <w:r>
        <w:rPr>
          <w:rFonts w:ascii="Times New Roman" w:cs="Times New Roman" w:eastAsia="Times New Roman" w:hAnsi="Times New Roman"/>
          <w:sz w:val="18"/>
          <w:szCs w:val="18"/>
          <w:color w:val="auto"/>
        </w:rPr>
        <w:t>The COVID-19 pandemic may also affect employees of third-party contract research organizations located in affected geographies that we rely upon to carry out our clinical trials. The spread of COVID-19 or another infectious disease, could also negatively affect the operations at our third-party suppliers, which could result in delays or disruptions in the supply of drug product used in our clinical trials.</w:t>
      </w:r>
    </w:p>
    <w:p>
      <w:pPr>
        <w:spacing w:after="0" w:line="68"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We cannot presently predict the scope and severity of the disruptions we may experience or continue to experience as a result of the COVID-19 pandemic or other outbreaks of infectious disease. If we or any of the third parties with whom we engage experience business disruptions, our ability to conduct our business in the manner and on the timelines presently planned could be materially and negatively affected. Additionally, the pandemic has already caused significant disruptions in the financial markets and may continue to cause such disruptions, which could impact our ability to raise additional funds and has also impacted, and may continue to impact, the volatility of our stock price and trading in our stock. While the current trajectory of the COVID-19 pandemic is uncertain, in the future we may continue to experience adverse impacts on our clinical trial activities, business operations, financial condition, and prospects as a result of the future evolution of the virus, among other factors.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On October 25, 2022, we and Dr. Thomas Sciascia, our Chief Medical Officer, agreed that effective November 14, 2022, Dr. Sciascia would cease to serve as our Chief Medical Officer and would instead begin to serve as our Chief Scientific Officer.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60" w:type="dxa"/>
            <w:vAlign w:val="bottom"/>
          </w:tcPr>
          <w:p>
            <w:pPr>
              <w:spacing w:after="0"/>
              <w:rPr>
                <w:sz w:val="13"/>
                <w:szCs w:val="13"/>
                <w:color w:val="auto"/>
              </w:rPr>
            </w:pPr>
          </w:p>
        </w:tc>
        <w:tc>
          <w:tcPr>
            <w:tcW w:w="9240" w:type="dxa"/>
            <w:vAlign w:val="bottom"/>
            <w:gridSpan w:val="9"/>
            <w:vMerge w:val="restart"/>
          </w:tcPr>
          <w:p>
            <w:pPr>
              <w:ind w:left="38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60" w:type="dxa"/>
            <w:vAlign w:val="bottom"/>
          </w:tcPr>
          <w:p>
            <w:pPr>
              <w:spacing w:after="0"/>
              <w:rPr>
                <w:sz w:val="15"/>
                <w:szCs w:val="15"/>
                <w:color w:val="auto"/>
              </w:rPr>
            </w:pPr>
          </w:p>
        </w:tc>
        <w:tc>
          <w:tcPr>
            <w:tcW w:w="9240" w:type="dxa"/>
            <w:vAlign w:val="bottom"/>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9620" w:type="dxa"/>
            <w:vAlign w:val="bottom"/>
            <w:tcBorders>
              <w:top w:val="single" w:sz="8" w:color="auto"/>
              <w:bottom w:val="single" w:sz="8" w:color="0000EE"/>
            </w:tcBorders>
            <w:gridSpan w:val="7"/>
          </w:tcPr>
          <w:p>
            <w:pPr>
              <w:spacing w:after="0"/>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Form of Pre-Funded Warrant (incorporated by reference to Exhibit 4.1 to the Registrant’s Current Report on Form 8-K (File No. 001-</w:t>
              </w:r>
            </w:hyperlink>
          </w:p>
        </w:tc>
        <w:tc>
          <w:tcPr>
            <w:tcW w:w="480" w:type="dxa"/>
            <w:vAlign w:val="bottom"/>
            <w:tcBorders>
              <w:top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38886) filed with the Securities and Exchange Commission on September 23, 2022)</w:t>
              </w:r>
            </w:hyperlink>
          </w:p>
        </w:tc>
        <w:tc>
          <w:tcPr>
            <w:tcW w:w="40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79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Consulting Services Agreement, dated August 31, 2022, by and between the Registrant and William P. Forbes</w:t>
            </w:r>
          </w:p>
        </w:tc>
        <w:tc>
          <w:tcPr>
            <w:tcW w:w="21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Rules 13a-14(a) or 15d-14(a) under the Securities Exchange Act of 1934, as</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Adopted Pursuant to Section 302 of the Sarbanes-Oxley Act of 2002</w:t>
            </w:r>
          </w:p>
        </w:tc>
        <w:tc>
          <w:tcPr>
            <w:tcW w:w="4560" w:type="dxa"/>
            <w:vAlign w:val="bottom"/>
            <w:tcBorders>
              <w:top w:val="single" w:sz="8" w:color="0000EE"/>
            </w:tcBorders>
            <w:gridSpan w:val="4"/>
          </w:tcPr>
          <w:p>
            <w:pPr>
              <w:spacing w:after="0"/>
              <w:rPr>
                <w:sz w:val="17"/>
                <w:szCs w:val="17"/>
                <w:color w:val="auto"/>
              </w:rPr>
            </w:pPr>
          </w:p>
        </w:tc>
        <w:tc>
          <w:tcPr>
            <w:tcW w:w="6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94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 Rules 13a-14(a) or 15d-14(a) under the Securities Exchange Act of 1934, as</w:t>
            </w:r>
          </w:p>
        </w:tc>
        <w:tc>
          <w:tcPr>
            <w:tcW w:w="6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Adopted Pursuant to Section 302 of the Sarbanes-Oxley Act of 2002</w:t>
            </w:r>
          </w:p>
        </w:tc>
        <w:tc>
          <w:tcPr>
            <w:tcW w:w="51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14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100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 18 U.S.C. Section 1350, as Adopted Pursuant to Section 906 of the Sarbanes-Oxley</w:t>
            </w:r>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2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140" w:hanging="1132"/>
        <w:spacing w:after="0"/>
        <w:tabs>
          <w:tab w:leader="none" w:pos="11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9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95123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72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TREVI THERAPEUTICS, INC.</w:t>
            </w:r>
          </w:p>
        </w:tc>
      </w:tr>
      <w:tr>
        <w:trPr>
          <w:trHeight w:val="45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10, 2022</w:t>
            </w:r>
          </w:p>
        </w:tc>
        <w:tc>
          <w:tcPr>
            <w:tcW w:w="244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Jennifer L. Good</w:t>
            </w:r>
          </w:p>
        </w:tc>
      </w:tr>
      <w:tr>
        <w:trPr>
          <w:trHeight w:val="201"/>
        </w:trPr>
        <w:tc>
          <w:tcPr>
            <w:tcW w:w="40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48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Jennifer L. Good</w:t>
            </w:r>
          </w:p>
        </w:tc>
      </w:tr>
      <w:tr>
        <w:trPr>
          <w:trHeight w:val="216"/>
        </w:trPr>
        <w:tc>
          <w:tcPr>
            <w:tcW w:w="40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r>
      <w:tr>
        <w:trPr>
          <w:trHeight w:val="238"/>
        </w:trPr>
        <w:tc>
          <w:tcPr>
            <w:tcW w:w="40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r>
      <w:tr>
        <w:trPr>
          <w:trHeight w:val="459"/>
        </w:trPr>
        <w:tc>
          <w:tcPr>
            <w:tcW w:w="4000" w:type="dxa"/>
            <w:vAlign w:val="bottom"/>
          </w:tcPr>
          <w:p>
            <w:pPr>
              <w:spacing w:after="0"/>
              <w:rPr>
                <w:sz w:val="24"/>
                <w:szCs w:val="24"/>
                <w:color w:val="auto"/>
              </w:rPr>
            </w:pPr>
          </w:p>
        </w:tc>
        <w:tc>
          <w:tcPr>
            <w:tcW w:w="244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Lisa Delfini</w:t>
            </w:r>
          </w:p>
        </w:tc>
      </w:tr>
      <w:tr>
        <w:trPr>
          <w:trHeight w:val="201"/>
        </w:trPr>
        <w:tc>
          <w:tcPr>
            <w:tcW w:w="40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48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Lisa Delfini</w:t>
            </w:r>
          </w:p>
        </w:tc>
      </w:tr>
      <w:tr>
        <w:trPr>
          <w:trHeight w:val="216"/>
        </w:trPr>
        <w:tc>
          <w:tcPr>
            <w:tcW w:w="40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8"/>
        </w:trPr>
        <w:tc>
          <w:tcPr>
            <w:tcW w:w="40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40"/>
          </w:cols>
          <w:pgMar w:left="320" w:top="549"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20"/>
          <w:szCs w:val="20"/>
          <w:color w:val="auto"/>
        </w:rPr>
        <w:t>Exhibit 10.1</w:t>
      </w:r>
    </w:p>
    <w:p>
      <w:pPr>
        <w:spacing w:after="0" w:line="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CONSULTING SERVICES AGREEMENT</w:t>
      </w:r>
    </w:p>
    <w:p>
      <w:pPr>
        <w:spacing w:after="0" w:line="233" w:lineRule="exact"/>
        <w:rPr>
          <w:sz w:val="20"/>
          <w:szCs w:val="20"/>
          <w:color w:val="auto"/>
        </w:rPr>
      </w:pPr>
    </w:p>
    <w:p>
      <w:pPr>
        <w:ind w:left="80" w:right="260" w:firstLine="835"/>
        <w:spacing w:after="0" w:line="241"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CONSULTING SERVICES AGREEMENT</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made as of the date of last signature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xml:space="preserve">”), by and between </w:t>
      </w:r>
      <w:r>
        <w:rPr>
          <w:rFonts w:ascii="Times New Roman" w:cs="Times New Roman" w:eastAsia="Times New Roman" w:hAnsi="Times New Roman"/>
          <w:sz w:val="22"/>
          <w:szCs w:val="22"/>
          <w:b w:val="1"/>
          <w:bCs w:val="1"/>
          <w:color w:val="auto"/>
        </w:rPr>
        <w:t>Trevi Therapeutics, Inc.</w:t>
      </w:r>
      <w:r>
        <w:rPr>
          <w:rFonts w:ascii="Times New Roman" w:cs="Times New Roman" w:eastAsia="Times New Roman" w:hAnsi="Times New Roman"/>
          <w:sz w:val="22"/>
          <w:szCs w:val="22"/>
          <w:color w:val="auto"/>
        </w:rPr>
        <w:t>, a Delaware corporation with an address at 195 Church St., 14</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xml:space="preserve"> Floor, New Haven, CT 06510 (“</w:t>
      </w:r>
      <w:r>
        <w:rPr>
          <w:rFonts w:ascii="Times New Roman" w:cs="Times New Roman" w:eastAsia="Times New Roman" w:hAnsi="Times New Roman"/>
          <w:sz w:val="22"/>
          <w:szCs w:val="22"/>
          <w:b w:val="1"/>
          <w:bCs w:val="1"/>
          <w:color w:val="auto"/>
        </w:rPr>
        <w:t>Trevi</w:t>
      </w:r>
      <w:r>
        <w:rPr>
          <w:rFonts w:ascii="Times New Roman" w:cs="Times New Roman" w:eastAsia="Times New Roman" w:hAnsi="Times New Roman"/>
          <w:sz w:val="22"/>
          <w:szCs w:val="22"/>
          <w:color w:val="auto"/>
        </w:rPr>
        <w:t>”) and William Forbes, an individual with an address at 1008 Heydon Court, Raleigh, NC 27614 (“</w:t>
      </w:r>
      <w:r>
        <w:rPr>
          <w:rFonts w:ascii="Times New Roman" w:cs="Times New Roman" w:eastAsia="Times New Roman" w:hAnsi="Times New Roman"/>
          <w:sz w:val="22"/>
          <w:szCs w:val="22"/>
          <w:b w:val="1"/>
          <w:bCs w:val="1"/>
          <w:color w:val="auto"/>
        </w:rPr>
        <w:t>Consultant</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Trevi desires to retain Consultant to provide Services to Trevi and Consultant desires to provide those Services.</w:t>
      </w:r>
    </w:p>
    <w:p>
      <w:pPr>
        <w:spacing w:after="0" w:line="1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Accordingly, the parties agree as follows:</w:t>
      </w:r>
    </w:p>
    <w:p>
      <w:pPr>
        <w:spacing w:after="0" w:line="205" w:lineRule="exact"/>
        <w:rPr>
          <w:sz w:val="20"/>
          <w:szCs w:val="20"/>
          <w:color w:val="auto"/>
        </w:rPr>
      </w:pPr>
    </w:p>
    <w:p>
      <w:pPr>
        <w:ind w:left="920" w:hanging="844"/>
        <w:spacing w:after="0"/>
        <w:tabs>
          <w:tab w:leader="none" w:pos="92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Services</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ind w:left="80" w:right="360"/>
        <w:spacing w:after="0" w:line="235"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Services</w:t>
      </w:r>
      <w:r>
        <w:rPr>
          <w:rFonts w:ascii="Times New Roman" w:cs="Times New Roman" w:eastAsia="Times New Roman" w:hAnsi="Times New Roman"/>
          <w:sz w:val="22"/>
          <w:szCs w:val="22"/>
          <w:color w:val="auto"/>
        </w:rPr>
        <w:t>. Subject to the terms of this Agreement, Consultant will provide consulting, advisory and related services as may be reasonably requested from time to time by Trevi, including, but not limited to, the services specified on Exhibit A (the “</w:t>
      </w:r>
      <w:r>
        <w:rPr>
          <w:rFonts w:ascii="Times New Roman" w:cs="Times New Roman" w:eastAsia="Times New Roman" w:hAnsi="Times New Roman"/>
          <w:sz w:val="22"/>
          <w:szCs w:val="22"/>
          <w:b w:val="1"/>
          <w:bCs w:val="1"/>
          <w:color w:val="auto"/>
        </w:rPr>
        <w:t>Services</w:t>
      </w:r>
      <w:r>
        <w:rPr>
          <w:rFonts w:ascii="Times New Roman" w:cs="Times New Roman" w:eastAsia="Times New Roman" w:hAnsi="Times New Roman"/>
          <w:sz w:val="22"/>
          <w:szCs w:val="22"/>
          <w:color w:val="auto"/>
        </w:rPr>
        <w:t>”). The manner and means by which Consultant chooses to perform the Services are in Consultant’s sole discretion and control. Consultant acknowledges that time is of the essence in performing the Services. Consultant may not subcontract or otherwise delegate Consultant’s obligations under this Agreement without Trevi’s prior written consent, and in the event Trevi gives such consent, Consultant will remain fully liable to Trevi for the performance of all permitted subcontractors.</w:t>
      </w:r>
    </w:p>
    <w:p>
      <w:pPr>
        <w:spacing w:after="0" w:line="206" w:lineRule="exact"/>
        <w:rPr>
          <w:sz w:val="20"/>
          <w:szCs w:val="20"/>
          <w:color w:val="auto"/>
        </w:rPr>
      </w:pPr>
    </w:p>
    <w:p>
      <w:pPr>
        <w:ind w:left="920" w:hanging="844"/>
        <w:spacing w:after="0"/>
        <w:tabs>
          <w:tab w:leader="none" w:pos="92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Consideration</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ind w:left="80" w:right="280"/>
        <w:spacing w:after="0" w:line="235"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Fees</w:t>
      </w:r>
      <w:r>
        <w:rPr>
          <w:rFonts w:ascii="Times New Roman" w:cs="Times New Roman" w:eastAsia="Times New Roman" w:hAnsi="Times New Roman"/>
          <w:sz w:val="22"/>
          <w:szCs w:val="22"/>
          <w:color w:val="auto"/>
        </w:rPr>
        <w:t>. In consideration for Services performed by Consultant, during the term of this Agreement, Trevi will pay the Consultant a monthly consulting fee of $15,000 per month (calculated on the basis of $375/hour for 40 hours per month), which fee shall be payable in arrears on the last day of each month. The fee will be pro-rated for any partial month. Although it is expected that Consultant will work approximately 40 hours per month, the monthly consulting fee is a fixed amount and shall not be subject to increase or decrease regardless of the number of hours expended in any given month by Consultant in the provision of the Services. However, the parties agree to evaluate the consulting fee from time to time as needed to adjust for use or non-use of Consultant’s services.</w:t>
      </w:r>
    </w:p>
    <w:p>
      <w:pPr>
        <w:spacing w:after="0" w:line="210" w:lineRule="exact"/>
        <w:rPr>
          <w:sz w:val="20"/>
          <w:szCs w:val="20"/>
          <w:color w:val="auto"/>
        </w:rPr>
      </w:pPr>
    </w:p>
    <w:p>
      <w:pPr>
        <w:ind w:left="80" w:right="140"/>
        <w:spacing w:after="0" w:line="238"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Trevi will reimburse Consultant for reasonable and customary out-of-pocket business expenses incurred at the request of Trevi in the course of performing the Services (“</w:t>
      </w:r>
      <w:r>
        <w:rPr>
          <w:rFonts w:ascii="Times New Roman" w:cs="Times New Roman" w:eastAsia="Times New Roman" w:hAnsi="Times New Roman"/>
          <w:sz w:val="22"/>
          <w:szCs w:val="22"/>
          <w:b w:val="1"/>
          <w:bCs w:val="1"/>
          <w:color w:val="auto"/>
        </w:rPr>
        <w:t>Pass-Through Expenses</w:t>
      </w:r>
      <w:r>
        <w:rPr>
          <w:rFonts w:ascii="Times New Roman" w:cs="Times New Roman" w:eastAsia="Times New Roman" w:hAnsi="Times New Roman"/>
          <w:sz w:val="22"/>
          <w:szCs w:val="22"/>
          <w:color w:val="auto"/>
        </w:rPr>
        <w:t>”) provided: (i) Consultant provides receipts and descriptions for such expenses; and (ii) such expenses are permitted under any Trevi travel and expense policy currently in effect. Notwithstanding the foregoing, Trevi shall not reimburse Consultant for expenses incurred in any month that exceed $500.00 in the aggregate without the prior written approval of an executive officer of Trevi.</w:t>
      </w:r>
    </w:p>
    <w:p>
      <w:pPr>
        <w:spacing w:after="0" w:line="204" w:lineRule="exact"/>
        <w:rPr>
          <w:sz w:val="20"/>
          <w:szCs w:val="20"/>
          <w:color w:val="auto"/>
        </w:rPr>
      </w:pPr>
    </w:p>
    <w:p>
      <w:pPr>
        <w:ind w:left="80" w:right="440"/>
        <w:spacing w:after="0" w:line="239"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u w:val="single" w:color="auto"/>
          <w:color w:val="auto"/>
        </w:rPr>
        <w:t>Invoices</w:t>
      </w:r>
      <w:r>
        <w:rPr>
          <w:rFonts w:ascii="Times New Roman" w:cs="Times New Roman" w:eastAsia="Times New Roman" w:hAnsi="Times New Roman"/>
          <w:sz w:val="22"/>
          <w:szCs w:val="22"/>
          <w:color w:val="auto"/>
        </w:rPr>
        <w:t>. Consultant will submit a monthly invoice to Trevi no later than 10 calendar days after the end of the month in which Services detailed in the invoice have been rendered or after incurring an authorized Pass-Through Expense. Consultant will include on the invoices the date and detailed description of the Services rendered and the Pass-Through Expenses incurred,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Trevi – Forbes Consulting Agmt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1</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9</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Confidential </w:t>
      </w:r>
      <w:r>
        <w:rPr>
          <w:rFonts w:ascii="Times New Roman" w:cs="Times New Roman" w:eastAsia="Times New Roman" w:hAnsi="Times New Roman"/>
          <w:sz w:val="16"/>
          <w:szCs w:val="16"/>
          <w:color w:val="auto"/>
        </w:rPr>
        <w:t>(v. 7/22)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294640</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60" w:top="346" w:right="339" w:bottom="1440" w:gutter="0" w:footer="0" w:header="0"/>
        </w:sectPr>
      </w:pPr>
    </w:p>
    <w:bookmarkStart w:id="83" w:name="page84"/>
    <w:bookmarkEnd w:id="83"/>
    <w:p>
      <w:pPr>
        <w:ind w:left="80"/>
        <w:spacing w:after="0"/>
        <w:rPr>
          <w:sz w:val="20"/>
          <w:szCs w:val="20"/>
          <w:color w:val="auto"/>
        </w:rPr>
      </w:pPr>
      <w:r>
        <w:rPr>
          <w:rFonts w:ascii="Times New Roman" w:cs="Times New Roman" w:eastAsia="Times New Roman" w:hAnsi="Times New Roman"/>
          <w:sz w:val="22"/>
          <w:szCs w:val="22"/>
          <w:color w:val="auto"/>
        </w:rPr>
        <w:t>accompanied by original receipts. Trevi will pay all undisputed invoices within 30 days of receipt.</w:t>
      </w:r>
    </w:p>
    <w:p>
      <w:pPr>
        <w:spacing w:after="0" w:line="233" w:lineRule="exact"/>
        <w:rPr>
          <w:sz w:val="20"/>
          <w:szCs w:val="20"/>
          <w:color w:val="auto"/>
        </w:rPr>
      </w:pPr>
    </w:p>
    <w:p>
      <w:pPr>
        <w:ind w:left="80" w:right="140"/>
        <w:spacing w:after="0" w:line="235" w:lineRule="auto"/>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u w:val="single" w:color="auto"/>
          <w:color w:val="auto"/>
        </w:rPr>
        <w:t>Stock Options</w:t>
      </w:r>
      <w:r>
        <w:rPr>
          <w:rFonts w:ascii="Times New Roman" w:cs="Times New Roman" w:eastAsia="Times New Roman" w:hAnsi="Times New Roman"/>
          <w:sz w:val="22"/>
          <w:szCs w:val="22"/>
          <w:color w:val="auto"/>
        </w:rPr>
        <w:t>. The parties agree and acknowledge that (i) in accordance with the terms of any stock options held by Consultant as of the date hereof that provide for time-based vesting (the “</w:t>
      </w:r>
      <w:r>
        <w:rPr>
          <w:rFonts w:ascii="Times New Roman" w:cs="Times New Roman" w:eastAsia="Times New Roman" w:hAnsi="Times New Roman"/>
          <w:sz w:val="22"/>
          <w:szCs w:val="22"/>
          <w:b w:val="1"/>
          <w:bCs w:val="1"/>
          <w:color w:val="auto"/>
        </w:rPr>
        <w:t>Option</w:t>
      </w:r>
      <w:r>
        <w:rPr>
          <w:rFonts w:ascii="Times New Roman" w:cs="Times New Roman" w:eastAsia="Times New Roman" w:hAnsi="Times New Roman"/>
          <w:sz w:val="22"/>
          <w:szCs w:val="22"/>
          <w:color w:val="auto"/>
        </w:rPr>
        <w:t>s”) (and the option agreements evidencing the Options), any portion of the Options that are not vested as of the Effective Date shall continue to vest from and after the Effective Date for so long as Consultant continues to be a consultant and provide the Services hereunder and (ii) Consultant’s right to exercise the portion of the Options that are vested will terminate three months after the date Consultant ceases to be a consultant hereunder, provided that in the case of clause (ii) the vested Options may not be exercised after the Final Exercise Date (as defined in the option agreements evidencing the Options) or at all if, under the terms of the Options, Consultant’s rights to exercise the Options would have otherwise terminated immediately.</w:t>
      </w:r>
    </w:p>
    <w:p>
      <w:pPr>
        <w:spacing w:after="0" w:line="205" w:lineRule="exact"/>
        <w:rPr>
          <w:sz w:val="20"/>
          <w:szCs w:val="20"/>
          <w:color w:val="auto"/>
        </w:rPr>
      </w:pPr>
    </w:p>
    <w:p>
      <w:pPr>
        <w:ind w:left="80" w:right="560"/>
        <w:spacing w:after="0" w:line="261" w:lineRule="auto"/>
        <w:rPr>
          <w:sz w:val="20"/>
          <w:szCs w:val="20"/>
          <w:color w:val="auto"/>
        </w:rPr>
      </w:pPr>
      <w:r>
        <w:rPr>
          <w:rFonts w:ascii="Times New Roman" w:cs="Times New Roman" w:eastAsia="Times New Roman" w:hAnsi="Times New Roman"/>
          <w:sz w:val="21"/>
          <w:szCs w:val="21"/>
          <w:color w:val="auto"/>
        </w:rPr>
        <w:t xml:space="preserve">2.5. </w:t>
      </w:r>
      <w:r>
        <w:rPr>
          <w:rFonts w:ascii="Times New Roman" w:cs="Times New Roman" w:eastAsia="Times New Roman" w:hAnsi="Times New Roman"/>
          <w:sz w:val="21"/>
          <w:szCs w:val="21"/>
          <w:u w:val="single" w:color="auto"/>
          <w:color w:val="auto"/>
        </w:rPr>
        <w:t>No Additional Consulting Benefits</w:t>
      </w:r>
      <w:r>
        <w:rPr>
          <w:rFonts w:ascii="Times New Roman" w:cs="Times New Roman" w:eastAsia="Times New Roman" w:hAnsi="Times New Roman"/>
          <w:sz w:val="21"/>
          <w:szCs w:val="21"/>
          <w:color w:val="auto"/>
        </w:rPr>
        <w:t>. Consultant agrees that he is not entitled to any benefits, coverages or privileges, including, without limitation, social security, unemployment, medical or pension payments, made available to employees of the Company or any other consideration or benefits from Trevi for the performance of the Services.</w:t>
      </w:r>
    </w:p>
    <w:p>
      <w:pPr>
        <w:spacing w:after="0" w:line="180" w:lineRule="exact"/>
        <w:rPr>
          <w:sz w:val="20"/>
          <w:szCs w:val="20"/>
          <w:color w:val="auto"/>
        </w:rPr>
      </w:pPr>
    </w:p>
    <w:p>
      <w:pPr>
        <w:ind w:left="920" w:hanging="844"/>
        <w:spacing w:after="0"/>
        <w:tabs>
          <w:tab w:leader="none" w:pos="92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80"/>
        <w:spacing w:after="0" w:line="234"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Definition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 means information disclosed to Consultant by Trevi in the course of his service to the Company hereunder relating to Trevi’s business practices, financials, business plans, customer lists, strategies, plans, designs, products, processes, programs, trade secrets, know-how, technologies and inventions. Any of such information, in whatever form and whether or not marked as confidential or proprietary, and all derivatives, improvements and enhancements to any of the above, whether provided to Consultant, or created or developed by Consultant under this Agreement, as well as information of third parties as to which Trevi has an obligation of confidentiality, are all Confidential Information. Confidential Information does not include any information that Consultant can establish: (a) was publicly known or in the public domain prior to the time of disclosure to Consultant by Trevi; (b) becomes publicly known and made generally available after disclosure to Consultant by Trevi through no act or omission of Consultant; or (c) is approved for release by written authorization of Trevi.</w:t>
      </w:r>
    </w:p>
    <w:p>
      <w:pPr>
        <w:spacing w:after="0" w:line="210" w:lineRule="exact"/>
        <w:rPr>
          <w:sz w:val="20"/>
          <w:szCs w:val="20"/>
          <w:color w:val="auto"/>
        </w:rPr>
      </w:pPr>
    </w:p>
    <w:p>
      <w:pPr>
        <w:ind w:left="80" w:right="120"/>
        <w:spacing w:after="0" w:line="235"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Restrictions on Use and Disclosure</w:t>
      </w:r>
      <w:r>
        <w:rPr>
          <w:rFonts w:ascii="Times New Roman" w:cs="Times New Roman" w:eastAsia="Times New Roman" w:hAnsi="Times New Roman"/>
          <w:sz w:val="22"/>
          <w:szCs w:val="22"/>
          <w:color w:val="auto"/>
        </w:rPr>
        <w:t>. Consultant acknowledges the confidential and secret character of the Confidential Information, and agrees that the Confidential Information is the sole, exclusive and extremely valuable property of Trevi. Consultant will not use or reproduce the Confidential Information except as necessary in the performance of this Agreement and will not disclose any part of the Confidential Information in any form to any third party, either during or after the term of this Agreement, without the prior written consent of Trevi. Upon expiration or any termination of this Agreement, Consultant agrees to cease using and to return to Trevi, or at Trevi’s sole option, destroy, all whole and partial copies and derivatives of the Confidential Information, whether in Consultant’s possession or under Consultant’s direct or indirect control.</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Trevi – Forbes Consulting Agmt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2</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9</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Confidential </w:t>
      </w:r>
      <w:r>
        <w:rPr>
          <w:rFonts w:ascii="Times New Roman" w:cs="Times New Roman" w:eastAsia="Times New Roman" w:hAnsi="Times New Roman"/>
          <w:sz w:val="16"/>
          <w:szCs w:val="16"/>
          <w:color w:val="auto"/>
        </w:rPr>
        <w:t>(v. 7/22)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294640</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60"/>
          </w:cols>
          <w:pgMar w:left="360" w:top="639" w:right="479" w:bottom="1440" w:gutter="0" w:footer="0" w:header="0"/>
        </w:sectPr>
      </w:pPr>
    </w:p>
    <w:bookmarkStart w:id="84" w:name="page85"/>
    <w:bookmarkEnd w:id="84"/>
    <w:p>
      <w:pPr>
        <w:ind w:left="80" w:right="140"/>
        <w:spacing w:after="0" w:line="249" w:lineRule="auto"/>
        <w:rPr>
          <w:sz w:val="20"/>
          <w:szCs w:val="20"/>
          <w:color w:val="auto"/>
        </w:rPr>
      </w:pPr>
      <w:r>
        <w:rPr>
          <w:rFonts w:ascii="Times New Roman" w:cs="Times New Roman" w:eastAsia="Times New Roman" w:hAnsi="Times New Roman"/>
          <w:sz w:val="21"/>
          <w:szCs w:val="21"/>
          <w:color w:val="auto"/>
        </w:rPr>
        <w:t xml:space="preserve">3.3. </w:t>
      </w:r>
      <w:r>
        <w:rPr>
          <w:rFonts w:ascii="Times New Roman" w:cs="Times New Roman" w:eastAsia="Times New Roman" w:hAnsi="Times New Roman"/>
          <w:sz w:val="21"/>
          <w:szCs w:val="21"/>
          <w:u w:val="single" w:color="auto"/>
          <w:color w:val="auto"/>
        </w:rPr>
        <w:t>Permitted Disclosures</w:t>
      </w:r>
      <w:r>
        <w:rPr>
          <w:rFonts w:ascii="Times New Roman" w:cs="Times New Roman" w:eastAsia="Times New Roman" w:hAnsi="Times New Roman"/>
          <w:sz w:val="21"/>
          <w:szCs w:val="21"/>
          <w:color w:val="auto"/>
        </w:rPr>
        <w:t>. If Consultant is required by law, rule of court or regulation to make any disclosure that is prohibited by this Agreement, Consultant will, if legally permitted, provide Trevi with prompt written notice (email being sufficient) of such requirement prior to disclosure so that Trevi may seek a protective order or other appropriate relief. Subject to the foregoing sentence, Consultant may furnish that portion (and only that portion) of the Confidential Information that Consultant is legally compelled or is otherwise legally required to disclose. Any Confidential Information disclosed pursuant to the preceding sentence will continue to be treated as Confidential Information for all other purposes.</w:t>
      </w:r>
    </w:p>
    <w:p>
      <w:pPr>
        <w:spacing w:after="0" w:line="198" w:lineRule="exact"/>
        <w:rPr>
          <w:sz w:val="20"/>
          <w:szCs w:val="20"/>
          <w:color w:val="auto"/>
        </w:rPr>
      </w:pPr>
    </w:p>
    <w:p>
      <w:pPr>
        <w:jc w:val="both"/>
        <w:ind w:left="80" w:right="580"/>
        <w:spacing w:after="0" w:line="258"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u w:val="single" w:color="auto"/>
          <w:color w:val="auto"/>
        </w:rPr>
        <w:t>Third Party Information</w:t>
      </w:r>
      <w:r>
        <w:rPr>
          <w:rFonts w:ascii="Times New Roman" w:cs="Times New Roman" w:eastAsia="Times New Roman" w:hAnsi="Times New Roman"/>
          <w:sz w:val="22"/>
          <w:szCs w:val="22"/>
          <w:color w:val="auto"/>
        </w:rPr>
        <w:t>. Consultant will not disclose or otherwise make available to Trevi any confidential information received by Consultant under obligations of confidentiality from a third party.</w:t>
      </w:r>
    </w:p>
    <w:p>
      <w:pPr>
        <w:spacing w:after="0" w:line="185" w:lineRule="exact"/>
        <w:rPr>
          <w:sz w:val="20"/>
          <w:szCs w:val="20"/>
          <w:color w:val="auto"/>
        </w:rPr>
      </w:pPr>
    </w:p>
    <w:p>
      <w:pPr>
        <w:jc w:val="both"/>
        <w:ind w:left="80" w:right="600"/>
        <w:spacing w:after="0" w:line="239" w:lineRule="auto"/>
        <w:rPr>
          <w:sz w:val="20"/>
          <w:szCs w:val="20"/>
          <w:color w:val="auto"/>
        </w:rPr>
      </w:pPr>
      <w:r>
        <w:rPr>
          <w:rFonts w:ascii="Times New Roman" w:cs="Times New Roman" w:eastAsia="Times New Roman" w:hAnsi="Times New Roman"/>
          <w:sz w:val="22"/>
          <w:szCs w:val="22"/>
          <w:color w:val="auto"/>
        </w:rPr>
        <w:t xml:space="preserve">3.5. </w:t>
      </w:r>
      <w:r>
        <w:rPr>
          <w:rFonts w:ascii="Times New Roman" w:cs="Times New Roman" w:eastAsia="Times New Roman" w:hAnsi="Times New Roman"/>
          <w:sz w:val="22"/>
          <w:szCs w:val="22"/>
          <w:u w:val="single" w:color="auto"/>
          <w:color w:val="auto"/>
        </w:rPr>
        <w:t>Competitive Engagements</w:t>
      </w:r>
      <w:r>
        <w:rPr>
          <w:rFonts w:ascii="Times New Roman" w:cs="Times New Roman" w:eastAsia="Times New Roman" w:hAnsi="Times New Roman"/>
          <w:sz w:val="22"/>
          <w:szCs w:val="22"/>
          <w:color w:val="auto"/>
        </w:rPr>
        <w:t>. Consultant will provide prior written notice to Trevi if Consultant is to perform any services for a third party that develops, manufactures, promotes, sells, licenses, distributes, or provides products or services, or has plans to do any of the foregoing, that are substantially similar to or would compete with the technology, products or services of Trevi.</w:t>
      </w:r>
    </w:p>
    <w:p>
      <w:pPr>
        <w:spacing w:after="0" w:line="207" w:lineRule="exact"/>
        <w:rPr>
          <w:sz w:val="20"/>
          <w:szCs w:val="20"/>
          <w:color w:val="auto"/>
        </w:rPr>
      </w:pPr>
    </w:p>
    <w:p>
      <w:pPr>
        <w:ind w:left="80"/>
        <w:spacing w:after="0" w:line="249" w:lineRule="auto"/>
        <w:rPr>
          <w:sz w:val="20"/>
          <w:szCs w:val="20"/>
          <w:color w:val="auto"/>
        </w:rPr>
      </w:pPr>
      <w:r>
        <w:rPr>
          <w:rFonts w:ascii="Times New Roman" w:cs="Times New Roman" w:eastAsia="Times New Roman" w:hAnsi="Times New Roman"/>
          <w:sz w:val="21"/>
          <w:szCs w:val="21"/>
          <w:color w:val="auto"/>
        </w:rPr>
        <w:t xml:space="preserve">3.6. </w:t>
      </w:r>
      <w:r>
        <w:rPr>
          <w:rFonts w:ascii="Times New Roman" w:cs="Times New Roman" w:eastAsia="Times New Roman" w:hAnsi="Times New Roman"/>
          <w:sz w:val="21"/>
          <w:szCs w:val="21"/>
          <w:u w:val="single" w:color="auto"/>
          <w:color w:val="auto"/>
        </w:rPr>
        <w:t>Non-Solicitation</w:t>
      </w:r>
      <w:r>
        <w:rPr>
          <w:rFonts w:ascii="Times New Roman" w:cs="Times New Roman" w:eastAsia="Times New Roman" w:hAnsi="Times New Roman"/>
          <w:sz w:val="21"/>
          <w:szCs w:val="21"/>
          <w:color w:val="auto"/>
        </w:rPr>
        <w:t xml:space="preserve">. During the term of this Agreement and for 12 months thereafter Consultant will not, directly or indirectly, on Consultant’s own behalf or on behalf of any third party: (a) solicit, encourage or induce any employee or consultant of Trevi to terminate his or her employment or engagement with Trevi; or (b) hire any person who was employed by Trevi during the 12 month period immediately prior to the effective date of termination of this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general public solicitations and advertisements not directed at employees of Trevi, and the extension of offers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persons who respond to such general solicitations and advertisements, will not be deemed violations of this provision.</w:t>
      </w:r>
    </w:p>
    <w:p>
      <w:pPr>
        <w:spacing w:after="0" w:line="198" w:lineRule="exact"/>
        <w:rPr>
          <w:sz w:val="20"/>
          <w:szCs w:val="20"/>
          <w:color w:val="auto"/>
        </w:rPr>
      </w:pPr>
    </w:p>
    <w:p>
      <w:pPr>
        <w:ind w:left="80" w:right="20"/>
        <w:spacing w:after="0" w:line="235" w:lineRule="auto"/>
        <w:rPr>
          <w:sz w:val="20"/>
          <w:szCs w:val="20"/>
          <w:color w:val="auto"/>
        </w:rPr>
      </w:pPr>
      <w:r>
        <w:rPr>
          <w:rFonts w:ascii="Times New Roman" w:cs="Times New Roman" w:eastAsia="Times New Roman" w:hAnsi="Times New Roman"/>
          <w:sz w:val="22"/>
          <w:szCs w:val="22"/>
          <w:color w:val="auto"/>
        </w:rPr>
        <w:t xml:space="preserve">3.7. </w:t>
      </w:r>
      <w:r>
        <w:rPr>
          <w:rFonts w:ascii="Times New Roman" w:cs="Times New Roman" w:eastAsia="Times New Roman" w:hAnsi="Times New Roman"/>
          <w:sz w:val="22"/>
          <w:szCs w:val="22"/>
          <w:u w:val="single" w:color="auto"/>
          <w:color w:val="auto"/>
        </w:rPr>
        <w:t>Other Obligations</w:t>
      </w:r>
      <w:r>
        <w:rPr>
          <w:rFonts w:ascii="Times New Roman" w:cs="Times New Roman" w:eastAsia="Times New Roman" w:hAnsi="Times New Roman"/>
          <w:sz w:val="22"/>
          <w:szCs w:val="22"/>
          <w:color w:val="auto"/>
        </w:rPr>
        <w:t>. Consultant acknowledges and agrees that nothing herein, including Sections 3.5 and 3.6, shall be deemed to conflict with, supersede or terminate Consultant’s obligations to Trevi under the Non-Competition and Non-Solicitation Agreement between the parties (the “</w:t>
      </w:r>
      <w:r>
        <w:rPr>
          <w:rFonts w:ascii="Times New Roman" w:cs="Times New Roman" w:eastAsia="Times New Roman" w:hAnsi="Times New Roman"/>
          <w:sz w:val="22"/>
          <w:szCs w:val="22"/>
          <w:b w:val="1"/>
          <w:bCs w:val="1"/>
          <w:color w:val="auto"/>
        </w:rPr>
        <w:t>Non-Competition and Non-Solicitation Agreement</w:t>
      </w:r>
      <w:r>
        <w:rPr>
          <w:rFonts w:ascii="Times New Roman" w:cs="Times New Roman" w:eastAsia="Times New Roman" w:hAnsi="Times New Roman"/>
          <w:sz w:val="22"/>
          <w:szCs w:val="22"/>
          <w:color w:val="auto"/>
        </w:rPr>
        <w:t>”) and the Invention and Non- Disclosure Agreement between the parties (together with the Non-Competition and Non- Solicitation Agreement, the “</w:t>
      </w:r>
      <w:r>
        <w:rPr>
          <w:rFonts w:ascii="Times New Roman" w:cs="Times New Roman" w:eastAsia="Times New Roman" w:hAnsi="Times New Roman"/>
          <w:sz w:val="22"/>
          <w:szCs w:val="22"/>
          <w:b w:val="1"/>
          <w:bCs w:val="1"/>
          <w:color w:val="auto"/>
        </w:rPr>
        <w:t>Restrictive Covenant Agreements</w:t>
      </w:r>
      <w:r>
        <w:rPr>
          <w:rFonts w:ascii="Times New Roman" w:cs="Times New Roman" w:eastAsia="Times New Roman" w:hAnsi="Times New Roman"/>
          <w:sz w:val="22"/>
          <w:szCs w:val="22"/>
          <w:color w:val="auto"/>
        </w:rPr>
        <w:t>”). For clarity, except as provided in the Non-Competition and Non-Solicitation Agreement, the obligation of Consultant to comply with the non-competition and non-solicitation provisions set forth therein will conclude one year from the Effective Date.</w:t>
      </w:r>
    </w:p>
    <w:p>
      <w:pPr>
        <w:spacing w:after="0" w:line="206" w:lineRule="exact"/>
        <w:rPr>
          <w:sz w:val="20"/>
          <w:szCs w:val="20"/>
          <w:color w:val="auto"/>
        </w:rPr>
      </w:pPr>
    </w:p>
    <w:p>
      <w:pPr>
        <w:ind w:left="920" w:hanging="844"/>
        <w:spacing w:after="0"/>
        <w:tabs>
          <w:tab w:leader="none" w:pos="92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Ownership; Licenses</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ind w:left="80" w:right="180"/>
        <w:spacing w:after="0" w:line="238"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Work Product; Assignment</w:t>
      </w:r>
      <w:r>
        <w:rPr>
          <w:rFonts w:ascii="Times New Roman" w:cs="Times New Roman" w:eastAsia="Times New Roman" w:hAnsi="Times New Roman"/>
          <w:sz w:val="22"/>
          <w:szCs w:val="22"/>
          <w:color w:val="auto"/>
        </w:rPr>
        <w:t>. Trevi will be the sole and exclusive owner of all right, title and interest in and to all inventions, notes, data, information, records, drawings, designs, discoveries, materials, and other deliverables, and any improvements to the foregoing that arise or are made, conceived and/or reduced to practice by Consultant in the course of providing the Services and all intellectual property rights in and to the Work Product, whether now known or hereafter recognized in any jurisdiction (collectively, “</w:t>
      </w:r>
      <w:r>
        <w:rPr>
          <w:rFonts w:ascii="Times New Roman" w:cs="Times New Roman" w:eastAsia="Times New Roman" w:hAnsi="Times New Roman"/>
          <w:sz w:val="22"/>
          <w:szCs w:val="22"/>
          <w:b w:val="1"/>
          <w:bCs w:val="1"/>
          <w:color w:val="auto"/>
        </w:rPr>
        <w:t>Work Product</w:t>
      </w:r>
      <w:r>
        <w:rPr>
          <w:rFonts w:ascii="Times New Roman" w:cs="Times New Roman" w:eastAsia="Times New Roman" w:hAnsi="Times New Roman"/>
          <w:sz w:val="22"/>
          <w:szCs w:val="22"/>
          <w:color w:val="auto"/>
        </w:rPr>
        <w:t>”). Consultant hereby</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Trevi – Forbes Consulting Agmt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3</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9</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Confidential </w:t>
      </w:r>
      <w:r>
        <w:rPr>
          <w:rFonts w:ascii="Times New Roman" w:cs="Times New Roman" w:eastAsia="Times New Roman" w:hAnsi="Times New Roman"/>
          <w:sz w:val="16"/>
          <w:szCs w:val="16"/>
          <w:color w:val="auto"/>
        </w:rPr>
        <w:t>(v. 7/22)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294640</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80"/>
          </w:cols>
          <w:pgMar w:left="360" w:top="639" w:right="559" w:bottom="1440" w:gutter="0" w:footer="0" w:header="0"/>
        </w:sectPr>
      </w:pPr>
    </w:p>
    <w:bookmarkStart w:id="85" w:name="page86"/>
    <w:bookmarkEnd w:id="85"/>
    <w:p>
      <w:pPr>
        <w:ind w:left="80" w:right="260"/>
        <w:spacing w:after="0" w:line="258" w:lineRule="auto"/>
        <w:rPr>
          <w:sz w:val="20"/>
          <w:szCs w:val="20"/>
          <w:color w:val="auto"/>
        </w:rPr>
      </w:pPr>
      <w:r>
        <w:rPr>
          <w:rFonts w:ascii="Times New Roman" w:cs="Times New Roman" w:eastAsia="Times New Roman" w:hAnsi="Times New Roman"/>
          <w:sz w:val="22"/>
          <w:szCs w:val="22"/>
          <w:color w:val="auto"/>
        </w:rPr>
        <w:t>assigns to Trevi all of Consultant’s right, title and interest in and to any and all Work Product. Consultant hereby waives any applicable moral rights in the Work Product.</w:t>
      </w:r>
    </w:p>
    <w:p>
      <w:pPr>
        <w:spacing w:after="0" w:line="185" w:lineRule="exact"/>
        <w:rPr>
          <w:sz w:val="20"/>
          <w:szCs w:val="20"/>
          <w:color w:val="auto"/>
        </w:rPr>
      </w:pPr>
    </w:p>
    <w:p>
      <w:pPr>
        <w:ind w:left="80" w:right="300"/>
        <w:spacing w:after="0" w:line="239"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Disclosure of Work Product; Maintenance of Records</w:t>
      </w:r>
      <w:r>
        <w:rPr>
          <w:rFonts w:ascii="Times New Roman" w:cs="Times New Roman" w:eastAsia="Times New Roman" w:hAnsi="Times New Roman"/>
          <w:sz w:val="22"/>
          <w:szCs w:val="22"/>
          <w:color w:val="auto"/>
        </w:rPr>
        <w:t>. Consultant will promptly disclose to Trevi all Work Product. Consultant will keep and maintain current and accurate written records of all Work Product made by Consultant (solely or jointly with others) during the term of this Agreement, and for a period of three years thereafter. Such records are and remain the sole property of Trevi and upon Trevi’s request, Consultant will deliver the same to Trevi.</w:t>
      </w:r>
    </w:p>
    <w:p>
      <w:pPr>
        <w:spacing w:after="0" w:line="207" w:lineRule="exact"/>
        <w:rPr>
          <w:sz w:val="20"/>
          <w:szCs w:val="20"/>
          <w:color w:val="auto"/>
        </w:rPr>
      </w:pPr>
    </w:p>
    <w:p>
      <w:pPr>
        <w:ind w:left="80"/>
        <w:spacing w:after="0" w:line="235"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Assistance</w:t>
      </w:r>
      <w:r>
        <w:rPr>
          <w:rFonts w:ascii="Times New Roman" w:cs="Times New Roman" w:eastAsia="Times New Roman" w:hAnsi="Times New Roman"/>
          <w:sz w:val="22"/>
          <w:szCs w:val="22"/>
          <w:color w:val="auto"/>
        </w:rPr>
        <w:t>. Consultant agrees to execute all papers, including patent applications, invention assignments and copyright assignments, and otherwise agrees to assist Trevi, at Trevi’s expense, to perfect in Trevi the right, title and other interest in the Work Product. If Trevi is unable for any reason, after reasonable effort, to secure Consultant’s signature on any document needed in connection with the actions specified above, Consultant hereby irrevocably designates and appoints Trevi as Consultant’s agent and attorney-in-fact, which appointment is coupled with an interest, to act for and on Consultant’s behalf, to execute, verify and file any such documents and to do all other lawfully permitted acts to further the purposes of this Section with the same legal force and effect as if executed by Consultant.</w:t>
      </w:r>
    </w:p>
    <w:p>
      <w:pPr>
        <w:spacing w:after="0" w:line="210" w:lineRule="exact"/>
        <w:rPr>
          <w:sz w:val="20"/>
          <w:szCs w:val="20"/>
          <w:color w:val="auto"/>
        </w:rPr>
      </w:pPr>
    </w:p>
    <w:p>
      <w:pPr>
        <w:ind w:left="80" w:right="160"/>
        <w:spacing w:after="0" w:line="239"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u w:val="single" w:color="auto"/>
          <w:color w:val="auto"/>
        </w:rPr>
        <w:t>Background IP License</w:t>
      </w:r>
      <w:r>
        <w:rPr>
          <w:rFonts w:ascii="Times New Roman" w:cs="Times New Roman" w:eastAsia="Times New Roman" w:hAnsi="Times New Roman"/>
          <w:sz w:val="22"/>
          <w:szCs w:val="22"/>
          <w:color w:val="auto"/>
        </w:rPr>
        <w:t>. Consultant hereby grants to Trevi a non-exclusive license to technology and intellectual property rights thereto (if any), owned by or licensed exclusively to Consultant that are related to and necessary or useful to the development, marketing, selling and supporting of products and services that utilize or are based on the Services (“</w:t>
      </w:r>
      <w:r>
        <w:rPr>
          <w:rFonts w:ascii="Times New Roman" w:cs="Times New Roman" w:eastAsia="Times New Roman" w:hAnsi="Times New Roman"/>
          <w:sz w:val="22"/>
          <w:szCs w:val="22"/>
          <w:b w:val="1"/>
          <w:bCs w:val="1"/>
          <w:color w:val="auto"/>
        </w:rPr>
        <w:t>Background IP</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ind w:left="80" w:right="260"/>
        <w:spacing w:after="0" w:line="239" w:lineRule="auto"/>
        <w:rPr>
          <w:sz w:val="20"/>
          <w:szCs w:val="20"/>
          <w:color w:val="auto"/>
        </w:rPr>
      </w:pPr>
      <w:r>
        <w:rPr>
          <w:rFonts w:ascii="Times New Roman" w:cs="Times New Roman" w:eastAsia="Times New Roman" w:hAnsi="Times New Roman"/>
          <w:sz w:val="22"/>
          <w:szCs w:val="22"/>
          <w:color w:val="auto"/>
        </w:rPr>
        <w:t xml:space="preserve">4.5. </w:t>
      </w:r>
      <w:r>
        <w:rPr>
          <w:rFonts w:ascii="Times New Roman" w:cs="Times New Roman" w:eastAsia="Times New Roman" w:hAnsi="Times New Roman"/>
          <w:sz w:val="22"/>
          <w:szCs w:val="22"/>
          <w:u w:val="single" w:color="auto"/>
          <w:color w:val="auto"/>
        </w:rPr>
        <w:t>License to Perform Services</w:t>
      </w:r>
      <w:r>
        <w:rPr>
          <w:rFonts w:ascii="Times New Roman" w:cs="Times New Roman" w:eastAsia="Times New Roman" w:hAnsi="Times New Roman"/>
          <w:sz w:val="22"/>
          <w:szCs w:val="22"/>
          <w:color w:val="auto"/>
        </w:rPr>
        <w:t>. Solely to the extent required for Consultant to perform the Services, Trevi grants Consultant a non-exclusive, limited license to all intellectual property rights owned or controlled by Trevi. Except for the foregoing limited license, no right, title or interest in or to any intellectual property rights of Trevi are granted to Consultant under this Agreement.</w:t>
      </w:r>
    </w:p>
    <w:p>
      <w:pPr>
        <w:spacing w:after="0" w:line="203" w:lineRule="exact"/>
        <w:rPr>
          <w:sz w:val="20"/>
          <w:szCs w:val="20"/>
          <w:color w:val="auto"/>
        </w:rPr>
      </w:pPr>
    </w:p>
    <w:p>
      <w:pPr>
        <w:ind w:left="920" w:hanging="844"/>
        <w:spacing w:after="0"/>
        <w:tabs>
          <w:tab w:leader="none" w:pos="920"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Representations and Warranties.</w:t>
      </w:r>
    </w:p>
    <w:p>
      <w:pPr>
        <w:spacing w:after="0" w:line="237" w:lineRule="exact"/>
        <w:rPr>
          <w:sz w:val="20"/>
          <w:szCs w:val="20"/>
          <w:color w:val="auto"/>
        </w:rPr>
      </w:pPr>
    </w:p>
    <w:p>
      <w:pPr>
        <w:jc w:val="both"/>
        <w:ind w:left="80" w:right="140"/>
        <w:spacing w:after="0" w:line="244"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Authority</w:t>
      </w:r>
      <w:r>
        <w:rPr>
          <w:rFonts w:ascii="Times New Roman" w:cs="Times New Roman" w:eastAsia="Times New Roman" w:hAnsi="Times New Roman"/>
          <w:sz w:val="22"/>
          <w:szCs w:val="22"/>
          <w:color w:val="auto"/>
        </w:rPr>
        <w:t>. Consultant represents and warrants that Consultant has good and marketable title to all Work Product, and that the Work Product will be free and clear of all liens, claims, encumbrances or demands of third parties, including any claims by any such third parties of any right, title or interest in or to the Work Product.</w:t>
      </w:r>
    </w:p>
    <w:p>
      <w:pPr>
        <w:spacing w:after="0" w:line="200" w:lineRule="exact"/>
        <w:rPr>
          <w:sz w:val="20"/>
          <w:szCs w:val="20"/>
          <w:color w:val="auto"/>
        </w:rPr>
      </w:pPr>
    </w:p>
    <w:p>
      <w:pPr>
        <w:ind w:left="80" w:right="140"/>
        <w:spacing w:after="0" w:line="239"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Diligence.</w:t>
      </w:r>
      <w:r>
        <w:rPr>
          <w:rFonts w:ascii="Times New Roman" w:cs="Times New Roman" w:eastAsia="Times New Roman" w:hAnsi="Times New Roman"/>
          <w:sz w:val="22"/>
          <w:szCs w:val="22"/>
          <w:color w:val="auto"/>
        </w:rPr>
        <w:t xml:space="preserve"> Consultant will perform all of its obligations under this Agreement: (i) in strict accordance with the terms of this Agreement, including any amendments or related documents; and (ii) in a timely, professional, commercially diligent basis, in accordance with the generally accepted industry and professional standards, procedures and practices, to the reasonable satisfaction of Trevi.</w:t>
      </w:r>
    </w:p>
    <w:p>
      <w:pPr>
        <w:spacing w:after="0" w:line="207" w:lineRule="exact"/>
        <w:rPr>
          <w:sz w:val="20"/>
          <w:szCs w:val="20"/>
          <w:color w:val="auto"/>
        </w:rPr>
      </w:pPr>
    </w:p>
    <w:p>
      <w:pPr>
        <w:ind w:left="80" w:right="260"/>
        <w:spacing w:after="0" w:line="244"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Compliance</w:t>
      </w:r>
      <w:r>
        <w:rPr>
          <w:rFonts w:ascii="Times New Roman" w:cs="Times New Roman" w:eastAsia="Times New Roman" w:hAnsi="Times New Roman"/>
          <w:sz w:val="22"/>
          <w:szCs w:val="22"/>
          <w:color w:val="auto"/>
        </w:rPr>
        <w:t>. Consultant represents and warrants that the Services, the Work Product, and the Background IP licensed under this Agreement comply with all applicable United States and foreign laws and regulations, and that all Work Product will conform with the specifications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Trevi – Forbes Consulting Agmt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4</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9</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Confidential </w:t>
      </w:r>
      <w:r>
        <w:rPr>
          <w:rFonts w:ascii="Times New Roman" w:cs="Times New Roman" w:eastAsia="Times New Roman" w:hAnsi="Times New Roman"/>
          <w:sz w:val="16"/>
          <w:szCs w:val="16"/>
          <w:color w:val="auto"/>
        </w:rPr>
        <w:t>(v. 7/22)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294640</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20"/>
          </w:cols>
          <w:pgMar w:left="360" w:top="639" w:right="519" w:bottom="1440" w:gutter="0" w:footer="0" w:header="0"/>
        </w:sectPr>
      </w:pPr>
    </w:p>
    <w:bookmarkStart w:id="86" w:name="page87"/>
    <w:bookmarkEnd w:id="86"/>
    <w:p>
      <w:pPr>
        <w:ind w:left="80" w:right="140"/>
        <w:spacing w:after="0" w:line="246" w:lineRule="auto"/>
        <w:rPr>
          <w:sz w:val="20"/>
          <w:szCs w:val="20"/>
          <w:color w:val="auto"/>
        </w:rPr>
      </w:pPr>
      <w:r>
        <w:rPr>
          <w:rFonts w:ascii="Times New Roman" w:cs="Times New Roman" w:eastAsia="Times New Roman" w:hAnsi="Times New Roman"/>
          <w:sz w:val="21"/>
          <w:szCs w:val="21"/>
          <w:color w:val="auto"/>
        </w:rPr>
        <w:t>agreed by the parties for such Work Product. Consultant will not export, directly or indirectly, any United States source technical data acquired from Trevi or any products utilizing such data to any countries outside the United States which export may be in violation of applicable law and will comply with all applicable laws and regulations in the performance of the Services, including without limitation, all Global Trade Control Laws. “Global Trade Control Laws” means the U.S. Export Administration Regulations; the U.S. International Traffic in Arms Regulations; the economic sanctions rules and regulations implemented under statutory authority and/or President's Executive Orders and administered by the U.S. Department of the Treasury Office of Foreign Assets Control; European Union (E.U.) Council Regulations on export controls, including Nos.428/2009, 267/2012; other E.U. Council sanctions regulations, as implemented in E.U. Member States; United Nations sanctions policies and all relevant regulations and legislative instruments made under any of the above.</w:t>
      </w:r>
    </w:p>
    <w:p>
      <w:pPr>
        <w:spacing w:after="0" w:line="202" w:lineRule="exact"/>
        <w:rPr>
          <w:sz w:val="20"/>
          <w:szCs w:val="20"/>
          <w:color w:val="auto"/>
        </w:rPr>
      </w:pPr>
    </w:p>
    <w:p>
      <w:pPr>
        <w:ind w:left="80" w:right="280"/>
        <w:spacing w:after="0" w:line="238"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Anti-Bribery Laws</w:t>
      </w:r>
      <w:r>
        <w:rPr>
          <w:rFonts w:ascii="Times New Roman" w:cs="Times New Roman" w:eastAsia="Times New Roman" w:hAnsi="Times New Roman"/>
          <w:sz w:val="22"/>
          <w:szCs w:val="22"/>
          <w:color w:val="auto"/>
        </w:rPr>
        <w:t>. Consultant will comply with all applicable anti-bribery and anti- corruption laws (“Anti-Bribery Laws”) and will: (i) not do or omit to do any act or thing which causes or may cause Trevi to be guilty of an offense under an Anti-Bribery Law; (ii) offer any payment or other benefit to any current or prospective customer or distributor of Trevi; and (iii) promptly report to Trevi any request or demand for any undue financial or other advantage of any kind, in connection with Trevi, its business or the Services.</w:t>
      </w:r>
    </w:p>
    <w:p>
      <w:pPr>
        <w:spacing w:after="0" w:line="204" w:lineRule="exact"/>
        <w:rPr>
          <w:sz w:val="20"/>
          <w:szCs w:val="20"/>
          <w:color w:val="auto"/>
        </w:rPr>
      </w:pPr>
    </w:p>
    <w:p>
      <w:pPr>
        <w:ind w:left="80" w:right="40"/>
        <w:spacing w:after="0" w:line="236" w:lineRule="auto"/>
        <w:rPr>
          <w:sz w:val="20"/>
          <w:szCs w:val="20"/>
          <w:color w:val="auto"/>
        </w:rPr>
      </w:pPr>
      <w:r>
        <w:rPr>
          <w:rFonts w:ascii="Times New Roman" w:cs="Times New Roman" w:eastAsia="Times New Roman" w:hAnsi="Times New Roman"/>
          <w:sz w:val="22"/>
          <w:szCs w:val="22"/>
          <w:color w:val="auto"/>
        </w:rPr>
        <w:t xml:space="preserve">5.5. </w:t>
      </w:r>
      <w:r>
        <w:rPr>
          <w:rFonts w:ascii="Times New Roman" w:cs="Times New Roman" w:eastAsia="Times New Roman" w:hAnsi="Times New Roman"/>
          <w:sz w:val="22"/>
          <w:szCs w:val="22"/>
          <w:u w:val="single" w:color="auto"/>
          <w:color w:val="auto"/>
        </w:rPr>
        <w:t>Non-Infringement</w:t>
      </w:r>
      <w:r>
        <w:rPr>
          <w:rFonts w:ascii="Times New Roman" w:cs="Times New Roman" w:eastAsia="Times New Roman" w:hAnsi="Times New Roman"/>
          <w:sz w:val="22"/>
          <w:szCs w:val="22"/>
          <w:color w:val="auto"/>
        </w:rPr>
        <w:t>. Consultant represents and warrants that: (a) to the best of Consultant’s knowledge the Work Product and the use and/or incorporation of Work Product in the products and services of Trevi do not and will not infringe or misappropriate the intellectual property rights of any third party; (b) Consultant has all necessary rights to license the Background IP (if any); and (c) Consultant’s engagement by Trevi pursuant to this Agreement does not and will not breach any agreement with any current or former employer or client; and (d) Consultant has not entered into, and will not enter into, any agreement, either written or oral, in conflict with Consultant’s obligations under this Agreement.</w:t>
      </w:r>
    </w:p>
    <w:p>
      <w:pPr>
        <w:spacing w:after="0" w:line="208" w:lineRule="exact"/>
        <w:rPr>
          <w:sz w:val="20"/>
          <w:szCs w:val="20"/>
          <w:color w:val="auto"/>
        </w:rPr>
      </w:pPr>
    </w:p>
    <w:p>
      <w:pPr>
        <w:jc w:val="both"/>
        <w:ind w:left="80"/>
        <w:spacing w:after="0" w:line="236" w:lineRule="auto"/>
        <w:rPr>
          <w:sz w:val="20"/>
          <w:szCs w:val="20"/>
          <w:color w:val="auto"/>
        </w:rPr>
      </w:pPr>
      <w:r>
        <w:rPr>
          <w:rFonts w:ascii="Times New Roman" w:cs="Times New Roman" w:eastAsia="Times New Roman" w:hAnsi="Times New Roman"/>
          <w:sz w:val="22"/>
          <w:szCs w:val="22"/>
          <w:color w:val="auto"/>
        </w:rPr>
        <w:t xml:space="preserve">5.6. </w:t>
      </w:r>
      <w:r>
        <w:rPr>
          <w:rFonts w:ascii="Times New Roman" w:cs="Times New Roman" w:eastAsia="Times New Roman" w:hAnsi="Times New Roman"/>
          <w:sz w:val="22"/>
          <w:szCs w:val="22"/>
          <w:u w:val="single" w:color="auto"/>
          <w:color w:val="auto"/>
        </w:rPr>
        <w:t>Debarment and Exclusion</w:t>
      </w:r>
      <w:r>
        <w:rPr>
          <w:rFonts w:ascii="Times New Roman" w:cs="Times New Roman" w:eastAsia="Times New Roman" w:hAnsi="Times New Roman"/>
          <w:sz w:val="22"/>
          <w:szCs w:val="22"/>
          <w:color w:val="auto"/>
        </w:rPr>
        <w:t>. Consultant represents and warrants that: (a) it is not debarred under subsections 306(a) or (b) of the Federal Food, Drug, and Cosmetic Act [US Generic Drug Enforcement Act of 1992; 21 USC 335a (a) or (b)] or similar local laws or regulations and that Consultant has not and will not use in any capacity the services of any person debarred under such law with respect to the Services; and (b) it is not excluded from any federal health care program, including but not limited to Medicare and Medicaid. Consultant will notify Trevi immediately if either of these representations needs to be amended in light of new information.</w:t>
      </w:r>
    </w:p>
    <w:p>
      <w:pPr>
        <w:spacing w:after="0" w:line="208" w:lineRule="exact"/>
        <w:rPr>
          <w:sz w:val="20"/>
          <w:szCs w:val="20"/>
          <w:color w:val="auto"/>
        </w:rPr>
      </w:pPr>
    </w:p>
    <w:p>
      <w:pPr>
        <w:ind w:left="80" w:right="220"/>
        <w:spacing w:after="0" w:line="236" w:lineRule="auto"/>
        <w:rPr>
          <w:sz w:val="20"/>
          <w:szCs w:val="20"/>
          <w:color w:val="auto"/>
        </w:rPr>
      </w:pPr>
      <w:r>
        <w:rPr>
          <w:rFonts w:ascii="Times New Roman" w:cs="Times New Roman" w:eastAsia="Times New Roman" w:hAnsi="Times New Roman"/>
          <w:sz w:val="22"/>
          <w:szCs w:val="22"/>
          <w:color w:val="auto"/>
        </w:rPr>
        <w:t xml:space="preserve">5.7. </w:t>
      </w:r>
      <w:r>
        <w:rPr>
          <w:rFonts w:ascii="Times New Roman" w:cs="Times New Roman" w:eastAsia="Times New Roman" w:hAnsi="Times New Roman"/>
          <w:sz w:val="22"/>
          <w:szCs w:val="22"/>
          <w:u w:val="single" w:color="auto"/>
          <w:color w:val="auto"/>
        </w:rPr>
        <w:t>Data Security</w:t>
      </w:r>
      <w:r>
        <w:rPr>
          <w:rFonts w:ascii="Times New Roman" w:cs="Times New Roman" w:eastAsia="Times New Roman" w:hAnsi="Times New Roman"/>
          <w:sz w:val="22"/>
          <w:szCs w:val="22"/>
          <w:color w:val="auto"/>
        </w:rPr>
        <w:t>. Consultant will implement and maintain reasonable and appropriate administrative, physical, organizational, and technical security measures and safeguards (“Safeguards”) to prevent any unauthorized collection, use or disclosure of, destruction, loss or alteration of or access to any data managed, transmitted, accessed, stored or otherwise processed in any way by Consultant to perform the Services or any data provided by or on behalf of Trevi</w:t>
      </w:r>
    </w:p>
    <w:p>
      <w:pPr>
        <w:spacing w:after="0" w:line="1" w:lineRule="exact"/>
        <w:rPr>
          <w:sz w:val="20"/>
          <w:szCs w:val="20"/>
          <w:color w:val="auto"/>
        </w:rPr>
      </w:pPr>
    </w:p>
    <w:p>
      <w:pPr>
        <w:ind w:left="80" w:right="120"/>
        <w:spacing w:after="0" w:line="234" w:lineRule="auto"/>
        <w:rPr>
          <w:sz w:val="20"/>
          <w:szCs w:val="20"/>
          <w:color w:val="auto"/>
        </w:rPr>
      </w:pPr>
      <w:r>
        <w:rPr>
          <w:rFonts w:ascii="Times New Roman" w:cs="Times New Roman" w:eastAsia="Times New Roman" w:hAnsi="Times New Roman"/>
          <w:sz w:val="22"/>
          <w:szCs w:val="22"/>
          <w:color w:val="auto"/>
        </w:rPr>
        <w:t>to Consultant (collectively, the “Trevi Data”) including maintaining the following minimum data security practices and measures to: (a) ensure the security, integrity and confidentiality of all Trevi Data; (b) detect, prevent and respond to any threats, attacks, intrusions, unauthorized disclosure, access to, or use of Trevi Data; and (c) ensure the secure disposal of Trevi Data. Such</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Trevi – Forbes Consulting Agmt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5</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9</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Confidential </w:t>
      </w:r>
      <w:r>
        <w:rPr>
          <w:rFonts w:ascii="Times New Roman" w:cs="Times New Roman" w:eastAsia="Times New Roman" w:hAnsi="Times New Roman"/>
          <w:sz w:val="16"/>
          <w:szCs w:val="16"/>
          <w:color w:val="auto"/>
        </w:rPr>
        <w:t>(v. 7/22)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294640</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80"/>
          </w:cols>
          <w:pgMar w:left="360" w:top="639" w:right="459" w:bottom="1440" w:gutter="0" w:footer="0" w:header="0"/>
        </w:sectPr>
      </w:pPr>
    </w:p>
    <w:bookmarkStart w:id="87" w:name="page88"/>
    <w:bookmarkEnd w:id="87"/>
    <w:p>
      <w:pPr>
        <w:ind w:left="80" w:right="20"/>
        <w:spacing w:after="0" w:line="232" w:lineRule="auto"/>
        <w:rPr>
          <w:sz w:val="20"/>
          <w:szCs w:val="20"/>
          <w:color w:val="auto"/>
        </w:rPr>
      </w:pPr>
      <w:r>
        <w:rPr>
          <w:rFonts w:ascii="Times New Roman" w:cs="Times New Roman" w:eastAsia="Times New Roman" w:hAnsi="Times New Roman"/>
          <w:sz w:val="22"/>
          <w:szCs w:val="22"/>
          <w:color w:val="auto"/>
        </w:rPr>
        <w:t>information security practices shall include physical security of all premises in which Trevi Data will be processed and/or stored, including the implementation of industry-accepted password protections and data encryption. At all times that Consultant is in possession of Trevi Data, Consultant will implement and maintain industry-accepted quality security firewall, antivirus protection software, and malware protection software, each of which shall be subscription-based, automatically-updating software from a reputable provider. Upon written request by Trevi, Consultant shall provide Trevi with reasonable detail regarding Consultant’s compliance with this Section. Consultant will immediately notify Trevi (no more than 24 hours) if Consultant reasonably suspects, detects or is notified of any attempted or actual security breach that results or may have resulted in unauthorized destruction, loss, alteration or theft of, or unauthorized access to, Trevi Data (each such incident, a “Security Incident”). Consultant will investigate such breach or potential breach and mitigate and remediate the adverse effects of such Security Incident and preserve forensic evidence. Consultant will provide information to Trevi about the nature and scope of the Security Incident and the status of any ongoing remedial actions.</w:t>
      </w:r>
    </w:p>
    <w:p>
      <w:pPr>
        <w:spacing w:after="0" w:line="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Consultant will correct, at no additional charge to Trevi, any destruction, loss or alteration of any Trevi Data.</w:t>
      </w:r>
    </w:p>
    <w:p>
      <w:pPr>
        <w:spacing w:after="0" w:line="209" w:lineRule="exact"/>
        <w:rPr>
          <w:sz w:val="20"/>
          <w:szCs w:val="20"/>
          <w:color w:val="auto"/>
        </w:rPr>
      </w:pPr>
    </w:p>
    <w:p>
      <w:pPr>
        <w:ind w:left="80" w:right="240"/>
        <w:spacing w:after="0" w:line="236" w:lineRule="auto"/>
        <w:rPr>
          <w:sz w:val="20"/>
          <w:szCs w:val="20"/>
          <w:color w:val="auto"/>
        </w:rPr>
      </w:pPr>
      <w:r>
        <w:rPr>
          <w:rFonts w:ascii="Times New Roman" w:cs="Times New Roman" w:eastAsia="Times New Roman" w:hAnsi="Times New Roman"/>
          <w:sz w:val="22"/>
          <w:szCs w:val="22"/>
          <w:color w:val="auto"/>
        </w:rPr>
        <w:t xml:space="preserve">5.8. </w:t>
      </w:r>
      <w:r>
        <w:rPr>
          <w:rFonts w:ascii="Times New Roman" w:cs="Times New Roman" w:eastAsia="Times New Roman" w:hAnsi="Times New Roman"/>
          <w:sz w:val="22"/>
          <w:szCs w:val="22"/>
          <w:u w:val="single" w:color="auto"/>
          <w:color w:val="auto"/>
        </w:rPr>
        <w:t>Breach of Warranty</w:t>
      </w:r>
      <w:r>
        <w:rPr>
          <w:rFonts w:ascii="Times New Roman" w:cs="Times New Roman" w:eastAsia="Times New Roman" w:hAnsi="Times New Roman"/>
          <w:sz w:val="22"/>
          <w:szCs w:val="22"/>
          <w:color w:val="auto"/>
        </w:rPr>
        <w:t>. In the event of a breach or threatened breach of the foregoing warranties, and in addition to any other remedies to which Trevi may be entitled under this Agreement or by operation of law, Consultant will, at no additional cost to Trevi, replace or modify the Work Product including any Background IP incorporated therein with a functionally equivalent and conforming Work Product, obtain for Trevi the right to continue to use the Work Product including any Background IP incorporated therein and, in all other respects, use Consultant’s best efforts to remedy the breach.</w:t>
      </w:r>
    </w:p>
    <w:p>
      <w:pPr>
        <w:spacing w:after="0" w:line="204" w:lineRule="exact"/>
        <w:rPr>
          <w:sz w:val="20"/>
          <w:szCs w:val="20"/>
          <w:color w:val="auto"/>
        </w:rPr>
      </w:pPr>
    </w:p>
    <w:p>
      <w:pPr>
        <w:ind w:left="80" w:firstLine="5"/>
        <w:spacing w:after="0" w:line="245" w:lineRule="auto"/>
        <w:tabs>
          <w:tab w:leader="none" w:pos="980"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Term and Termination</w:t>
      </w:r>
      <w:r>
        <w:rPr>
          <w:rFonts w:ascii="Times New Roman" w:cs="Times New Roman" w:eastAsia="Times New Roman" w:hAnsi="Times New Roman"/>
          <w:sz w:val="21"/>
          <w:szCs w:val="21"/>
          <w:color w:val="auto"/>
        </w:rPr>
        <w:t>. This Agreement will expire one year after the Effective Date, unless terminated earlier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accordance herewith. Either party may terminate this Agreement: (i) for convenience at any time upon 14 days prior written notice to the other; provided that Trevi may not terminate this Agreement under this clause prior to December 1, 2022; or (ii) if the other party materially breaches the Agreement and does not cure the breach within 30 days after the non-breaching party notifies it in writing of the breach;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such breach is not capable of cure the non-breaching party may terminate this Agreement immediately upon notice. In the event of any termination by Trevi, Consultant will cease work immediately after receiving notice of such termination unless otherwise advised by Trevi and will notify Trevi of all costs incurred up to the date of termination. If Trevi terminates this Agreement for convenience, Trevi will pay Consultant for all Services actually performed through the date of termination and will reimburse all reasonable, non-cancellable pre-approved costs and expenses incurred by Consultant in performing such Services. Sections 3 </w:t>
      </w:r>
      <w:r>
        <w:rPr>
          <w:rFonts w:ascii="Times New Roman" w:cs="Times New Roman" w:eastAsia="Times New Roman" w:hAnsi="Times New Roman"/>
          <w:sz w:val="21"/>
          <w:szCs w:val="21"/>
          <w:color w:val="0000EE"/>
        </w:rPr>
        <w:t>– 9 survive expiration or any termination of this Agreement, as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EE"/>
        </w:rPr>
        <w:t>does any other provision in this Agreement that by its nature and intent remains valid after the term.</w:t>
      </w:r>
    </w:p>
    <w:p>
      <w:pPr>
        <w:spacing w:after="0" w:line="204" w:lineRule="exact"/>
        <w:rPr>
          <w:rFonts w:ascii="Times New Roman" w:cs="Times New Roman" w:eastAsia="Times New Roman" w:hAnsi="Times New Roman"/>
          <w:sz w:val="21"/>
          <w:szCs w:val="21"/>
          <w:color w:val="auto"/>
        </w:rPr>
      </w:pPr>
    </w:p>
    <w:p>
      <w:pPr>
        <w:jc w:val="both"/>
        <w:ind w:left="80" w:right="200" w:firstLine="5"/>
        <w:spacing w:after="0" w:line="241" w:lineRule="auto"/>
        <w:tabs>
          <w:tab w:leader="none" w:pos="980" w:val="left"/>
        </w:tabs>
        <w:numPr>
          <w:ilvl w:val="0"/>
          <w:numId w:val="61"/>
        </w:numPr>
        <w:rPr>
          <w:rFonts w:ascii="Times New Roman" w:cs="Times New Roman" w:eastAsia="Times New Roman" w:hAnsi="Times New Roman"/>
          <w:sz w:val="22"/>
          <w:szCs w:val="22"/>
          <w:u w:val="single" w:color="auto"/>
          <w:color w:val="0000EE"/>
        </w:rPr>
      </w:pPr>
      <w:r>
        <w:rPr>
          <w:rFonts w:ascii="Times New Roman" w:cs="Times New Roman" w:eastAsia="Times New Roman" w:hAnsi="Times New Roman"/>
          <w:sz w:val="22"/>
          <w:szCs w:val="22"/>
          <w:b w:val="1"/>
          <w:bCs w:val="1"/>
          <w:u w:val="single" w:color="auto"/>
          <w:color w:val="auto"/>
        </w:rPr>
        <w:t>Independent Contractor</w:t>
      </w:r>
      <w:r>
        <w:rPr>
          <w:rFonts w:ascii="Times New Roman" w:cs="Times New Roman" w:eastAsia="Times New Roman" w:hAnsi="Times New Roman"/>
          <w:sz w:val="22"/>
          <w:szCs w:val="22"/>
          <w:u w:val="single" w:color="auto"/>
          <w:color w:val="auto"/>
        </w:rPr>
        <w:t>. Consultant is an independent contractor and not an employee, agent or partner of Trevi.</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u w:val="single" w:color="auto"/>
          <w:color w:val="auto"/>
        </w:rPr>
        <w:t>Consultant is not authorized to make any representation, warranty, contract, or commitment on behalf of Trevi. Consultant is not eligible to any Trevi employee programs or benefits of any kind and Trevi will not treat Consultant as an employee for any purpose. Consultant will provide Trevi with a completed Internal Revenue Service (IRS)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3524250</wp:posOffset>
            </wp:positionH>
            <wp:positionV relativeFrom="paragraph">
              <wp:posOffset>-958850</wp:posOffset>
            </wp:positionV>
            <wp:extent cx="34886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34886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-650240</wp:posOffset>
            </wp:positionV>
            <wp:extent cx="342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120650</wp:posOffset>
            </wp:positionV>
            <wp:extent cx="342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EE"/>
        </w:rPr>
        <w:t>Trevi – Forbes Consulting Agmt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6</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9</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Confidential </w:t>
      </w:r>
      <w:r>
        <w:rPr>
          <w:rFonts w:ascii="Times New Roman" w:cs="Times New Roman" w:eastAsia="Times New Roman" w:hAnsi="Times New Roman"/>
          <w:sz w:val="16"/>
          <w:szCs w:val="16"/>
          <w:color w:val="auto"/>
        </w:rPr>
        <w:t>(v. 7/22)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294640</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60"/>
          </w:cols>
          <w:pgMar w:left="360" w:top="639" w:right="479" w:bottom="1440" w:gutter="0" w:footer="0" w:header="0"/>
        </w:sectPr>
      </w:pPr>
    </w:p>
    <w:bookmarkStart w:id="88" w:name="page89"/>
    <w:bookmarkEnd w:id="88"/>
    <w:p>
      <w:pPr>
        <w:jc w:val="both"/>
        <w:ind w:left="80" w:right="620"/>
        <w:spacing w:after="0" w:line="238" w:lineRule="auto"/>
        <w:rPr>
          <w:sz w:val="20"/>
          <w:szCs w:val="20"/>
          <w:color w:val="auto"/>
        </w:rPr>
      </w:pPr>
      <w:r>
        <w:rPr>
          <w:rFonts w:ascii="Times New Roman" w:cs="Times New Roman" w:eastAsia="Times New Roman" w:hAnsi="Times New Roman"/>
          <w:sz w:val="22"/>
          <w:szCs w:val="22"/>
          <w:color w:val="auto"/>
        </w:rPr>
        <w:t>W-9 or W-8 before any payments are made under this Agreement. Trevi will regularly report amounts paid to Consultant by filing Form 1099-MISC with the Internal Revenue Service as required by law. Trevi will not withhold or make payments for social security, make</w:t>
      </w:r>
    </w:p>
    <w:p>
      <w:pPr>
        <w:ind w:left="80"/>
        <w:spacing w:after="0" w:line="234" w:lineRule="auto"/>
        <w:rPr>
          <w:sz w:val="20"/>
          <w:szCs w:val="20"/>
          <w:color w:val="auto"/>
        </w:rPr>
      </w:pPr>
      <w:r>
        <w:rPr>
          <w:rFonts w:ascii="Times New Roman" w:cs="Times New Roman" w:eastAsia="Times New Roman" w:hAnsi="Times New Roman"/>
          <w:sz w:val="22"/>
          <w:szCs w:val="22"/>
          <w:color w:val="auto"/>
        </w:rPr>
        <w:t>unemployment insurance or disability insurance contributions, or obtain worker’s compensation insurance on Consultant’s behalf. Consultant agrees to accept exclusive liability for complying with all applicable state and federal laws governing self-employed individuals, including obligations such as payment of taxes, social security, disability and other contributions based on fees paid under this Agreement.</w:t>
      </w:r>
    </w:p>
    <w:p>
      <w:pPr>
        <w:spacing w:after="0" w:line="200" w:lineRule="exact"/>
        <w:rPr>
          <w:sz w:val="20"/>
          <w:szCs w:val="20"/>
          <w:color w:val="auto"/>
        </w:rPr>
      </w:pPr>
    </w:p>
    <w:p>
      <w:pPr>
        <w:ind w:left="80" w:right="220" w:firstLine="5"/>
        <w:spacing w:after="0" w:line="250" w:lineRule="auto"/>
        <w:tabs>
          <w:tab w:leader="none" w:pos="980"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Indemnification</w:t>
      </w:r>
      <w:r>
        <w:rPr>
          <w:rFonts w:ascii="Times New Roman" w:cs="Times New Roman" w:eastAsia="Times New Roman" w:hAnsi="Times New Roman"/>
          <w:sz w:val="21"/>
          <w:szCs w:val="21"/>
          <w:color w:val="auto"/>
        </w:rPr>
        <w:t>. Trevi shall indemnify, defend and hold harmless Consultant against any and all claims, suits,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judgments, liability, damages or causes of action (collectively, “</w:t>
      </w:r>
      <w:r>
        <w:rPr>
          <w:rFonts w:ascii="Times New Roman" w:cs="Times New Roman" w:eastAsia="Times New Roman" w:hAnsi="Times New Roman"/>
          <w:sz w:val="21"/>
          <w:szCs w:val="21"/>
          <w:b w:val="1"/>
          <w:bCs w:val="1"/>
          <w:color w:val="auto"/>
        </w:rPr>
        <w:t>Claims</w:t>
      </w:r>
      <w:r>
        <w:rPr>
          <w:rFonts w:ascii="Times New Roman" w:cs="Times New Roman" w:eastAsia="Times New Roman" w:hAnsi="Times New Roman"/>
          <w:sz w:val="21"/>
          <w:szCs w:val="21"/>
          <w:color w:val="auto"/>
        </w:rPr>
        <w:t>”) initiated by any third party against Consultant that arise out of the performance by Consultant of the Services other than such Claims that may result from or arise out of the bad faith, negligence or misconduct of Consultant; provided that it shall be a condition to such indemnification that Consultant (a) provide prompt written notice to Company of the applicable Claim; (b) cooperate with Company at Company’s expense in the defense of such Claim; and (c) not settle or compromise such Claim without Trevi’s prior written consent.</w:t>
      </w:r>
    </w:p>
    <w:p>
      <w:pPr>
        <w:spacing w:after="0" w:line="191" w:lineRule="exact"/>
        <w:rPr>
          <w:rFonts w:ascii="Times New Roman" w:cs="Times New Roman" w:eastAsia="Times New Roman" w:hAnsi="Times New Roman"/>
          <w:sz w:val="21"/>
          <w:szCs w:val="21"/>
          <w:color w:val="auto"/>
        </w:rPr>
      </w:pPr>
    </w:p>
    <w:p>
      <w:pPr>
        <w:ind w:left="920" w:hanging="844"/>
        <w:spacing w:after="0"/>
        <w:tabs>
          <w:tab w:leader="none" w:pos="92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ind w:left="80" w:right="760"/>
        <w:spacing w:after="0" w:line="239"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Consultant will not assign this Agreement or Consultant’s rights or obligations hereunder without the prior written consent of Trevi. Trevi may freely assign this Agreement, and Consultant expressly agrees that any intellectual property rights licensed to Trevi, including any rights to Background IP, are transferable to Trevi’s assignee without Consultant’s consent.</w:t>
      </w:r>
    </w:p>
    <w:p>
      <w:pPr>
        <w:spacing w:after="0" w:line="207" w:lineRule="exact"/>
        <w:rPr>
          <w:sz w:val="20"/>
          <w:szCs w:val="20"/>
          <w:color w:val="auto"/>
        </w:rPr>
      </w:pPr>
    </w:p>
    <w:p>
      <w:pPr>
        <w:ind w:left="80" w:right="540"/>
        <w:spacing w:after="0" w:line="239"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The validity, interpretation and performance of this Agreement will be governed by and construed in accordance with the laws of Delaware without regard to the principles of conflicts of law. All disputes arising hereunder will be adjudicated in the state and federal courts having jurisdiction over disputes arising in Connecticut, and Consultant hereby agrees to consent to the personal jurisdiction of such courts.</w:t>
      </w:r>
    </w:p>
    <w:p>
      <w:pPr>
        <w:spacing w:after="0" w:line="207" w:lineRule="exact"/>
        <w:rPr>
          <w:sz w:val="20"/>
          <w:szCs w:val="20"/>
          <w:color w:val="auto"/>
        </w:rPr>
      </w:pPr>
    </w:p>
    <w:p>
      <w:pPr>
        <w:ind w:left="80" w:right="200"/>
        <w:spacing w:after="0" w:line="238" w:lineRule="auto"/>
        <w:rPr>
          <w:sz w:val="20"/>
          <w:szCs w:val="20"/>
          <w:color w:val="auto"/>
        </w:rPr>
      </w:pPr>
      <w:r>
        <w:rPr>
          <w:rFonts w:ascii="Times New Roman" w:cs="Times New Roman" w:eastAsia="Times New Roman" w:hAnsi="Times New Roman"/>
          <w:sz w:val="22"/>
          <w:szCs w:val="22"/>
          <w:color w:val="auto"/>
        </w:rPr>
        <w:t xml:space="preserve">9.3.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xml:space="preserve">. All notices or reports permitted or required under this Agreement will be in writing and will be delivered by personal delivery, electronic mail, facsimile transmission or by certified or registered mail, return receipt requested, and will be deemed given upon personal delivery, five days after deposit in the mail, or upon acknowledgment of receipt of electronic transmission. Notices will be sent to the addresses set forth at the beginning of this Agreement or such other address as set forth on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xml:space="preserve"> or as either party may specify in writing.</w:t>
      </w:r>
    </w:p>
    <w:p>
      <w:pPr>
        <w:spacing w:after="0" w:line="204" w:lineRule="exact"/>
        <w:rPr>
          <w:sz w:val="20"/>
          <w:szCs w:val="20"/>
          <w:color w:val="auto"/>
        </w:rPr>
      </w:pPr>
    </w:p>
    <w:p>
      <w:pPr>
        <w:ind w:left="80" w:right="440"/>
        <w:spacing w:after="0" w:line="236" w:lineRule="auto"/>
        <w:rPr>
          <w:sz w:val="20"/>
          <w:szCs w:val="20"/>
          <w:color w:val="auto"/>
        </w:rPr>
      </w:pPr>
      <w:r>
        <w:rPr>
          <w:rFonts w:ascii="Times New Roman" w:cs="Times New Roman" w:eastAsia="Times New Roman" w:hAnsi="Times New Roman"/>
          <w:sz w:val="22"/>
          <w:szCs w:val="22"/>
          <w:color w:val="auto"/>
        </w:rPr>
        <w:t xml:space="preserve">9.4. </w:t>
      </w:r>
      <w:r>
        <w:rPr>
          <w:rFonts w:ascii="Times New Roman" w:cs="Times New Roman" w:eastAsia="Times New Roman" w:hAnsi="Times New Roman"/>
          <w:sz w:val="22"/>
          <w:szCs w:val="22"/>
          <w:u w:val="single" w:color="auto"/>
          <w:color w:val="auto"/>
        </w:rPr>
        <w:t>Entire Agreement; Construction</w:t>
      </w:r>
      <w:r>
        <w:rPr>
          <w:rFonts w:ascii="Times New Roman" w:cs="Times New Roman" w:eastAsia="Times New Roman" w:hAnsi="Times New Roman"/>
          <w:sz w:val="22"/>
          <w:szCs w:val="22"/>
          <w:color w:val="auto"/>
        </w:rPr>
        <w:t>. This Agreement and any attachments (each of which is incorporated herein by reference), together with the Restrictive Covenant Agreements and the option agreements referenced herein, constitutes the final, complete and exclusive agreement of the parties with respect to the subject matter hereof and supersedes all prior and contemporaneous understandings and agreements relating to its subject matter. This Agreement may not be changed or amended except by a written instrument signed by each party. In the event any provision of this Agreement is found to be legally unenforceable, such</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Trevi – Forbes Consulting Agmt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7</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9</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Confidential </w:t>
      </w:r>
      <w:r>
        <w:rPr>
          <w:rFonts w:ascii="Times New Roman" w:cs="Times New Roman" w:eastAsia="Times New Roman" w:hAnsi="Times New Roman"/>
          <w:sz w:val="16"/>
          <w:szCs w:val="16"/>
          <w:color w:val="auto"/>
        </w:rPr>
        <w:t>(v. 7/22)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294640</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60" w:top="639" w:right="359" w:bottom="1440" w:gutter="0" w:footer="0" w:header="0"/>
        </w:sectPr>
      </w:pPr>
    </w:p>
    <w:bookmarkStart w:id="89" w:name="page90"/>
    <w:bookmarkEnd w:id="89"/>
    <w:p>
      <w:pPr>
        <w:ind w:left="100" w:right="200"/>
        <w:spacing w:after="0" w:line="239" w:lineRule="auto"/>
        <w:rPr>
          <w:sz w:val="20"/>
          <w:szCs w:val="20"/>
          <w:color w:val="auto"/>
        </w:rPr>
      </w:pPr>
      <w:r>
        <w:rPr>
          <w:rFonts w:ascii="Times New Roman" w:cs="Times New Roman" w:eastAsia="Times New Roman" w:hAnsi="Times New Roman"/>
          <w:sz w:val="22"/>
          <w:szCs w:val="22"/>
          <w:color w:val="auto"/>
        </w:rPr>
        <w:t>unenforceability will not prevent enforcement of any other provision of this Agreement. Ambiguities and uncertainties in this Agreement, if any, will not be interpreted against either party, irrespective of which party may be deemed to have caused the ambiguity or uncertainty to exist. This Agreement may be executed in two or more counterparts, each of which will be considered an original, but all of which together will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hereto have executed this Agreement as of the Effective Date first set forth above.</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 w:type="dxa"/>
            <w:vAlign w:val="bottom"/>
          </w:tcPr>
          <w:p>
            <w:pPr>
              <w:spacing w:after="0"/>
              <w:rPr>
                <w:sz w:val="24"/>
                <w:szCs w:val="24"/>
                <w:color w:val="auto"/>
              </w:rPr>
            </w:pPr>
          </w:p>
        </w:tc>
        <w:tc>
          <w:tcPr>
            <w:tcW w:w="2280" w:type="dxa"/>
            <w:vAlign w:val="bottom"/>
            <w:gridSpan w:val="5"/>
          </w:tcPr>
          <w:p>
            <w:pPr>
              <w:spacing w:after="0"/>
              <w:rPr>
                <w:sz w:val="20"/>
                <w:szCs w:val="20"/>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revi</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tc>
        <w:tc>
          <w:tcPr>
            <w:tcW w:w="8760" w:type="dxa"/>
            <w:vAlign w:val="bottom"/>
            <w:gridSpan w:val="2"/>
          </w:tcPr>
          <w:p>
            <w:pPr>
              <w:ind w:left="4560"/>
              <w:spacing w:after="0"/>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illiam</w:t>
            </w:r>
            <w:r>
              <w:rPr>
                <w:rFonts w:ascii="Times New Roman" w:cs="Times New Roman" w:eastAsia="Times New Roman" w:hAnsi="Times New Roman"/>
                <w:sz w:val="22"/>
                <w:szCs w:val="22"/>
                <w:b w:val="1"/>
                <w:bCs w:val="1"/>
                <w:color w:val="auto"/>
              </w:rPr>
              <w:t xml:space="preserve"> P. F</w:t>
            </w:r>
            <w:r>
              <w:rPr>
                <w:rFonts w:ascii="Times New Roman" w:cs="Times New Roman" w:eastAsia="Times New Roman" w:hAnsi="Times New Roman"/>
                <w:sz w:val="14"/>
                <w:szCs w:val="14"/>
                <w:b w:val="1"/>
                <w:bCs w:val="1"/>
                <w:color w:val="auto"/>
              </w:rPr>
              <w:t>orbes</w:t>
            </w:r>
          </w:p>
        </w:tc>
        <w:tc>
          <w:tcPr>
            <w:tcW w:w="0" w:type="dxa"/>
            <w:vAlign w:val="bottom"/>
          </w:tcPr>
          <w:p>
            <w:pPr>
              <w:spacing w:after="0"/>
              <w:rPr>
                <w:sz w:val="1"/>
                <w:szCs w:val="1"/>
                <w:color w:val="auto"/>
              </w:rPr>
            </w:pPr>
          </w:p>
        </w:tc>
      </w:tr>
      <w:tr>
        <w:trPr>
          <w:trHeight w:val="677"/>
        </w:trPr>
        <w:tc>
          <w:tcPr>
            <w:tcW w:w="100" w:type="dxa"/>
            <w:vAlign w:val="bottom"/>
          </w:tcPr>
          <w:p>
            <w:pPr>
              <w:spacing w:after="0"/>
              <w:rPr>
                <w:sz w:val="24"/>
                <w:szCs w:val="24"/>
                <w:color w:val="auto"/>
              </w:rPr>
            </w:pPr>
          </w:p>
        </w:tc>
        <w:tc>
          <w:tcPr>
            <w:tcW w:w="228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/s/ Jennifer L. Good</w:t>
            </w:r>
          </w:p>
        </w:tc>
        <w:tc>
          <w:tcPr>
            <w:tcW w:w="8760" w:type="dxa"/>
            <w:vAlign w:val="bottom"/>
            <w:gridSpan w:val="2"/>
          </w:tcPr>
          <w:p>
            <w:pPr>
              <w:ind w:left="8180"/>
              <w:spacing w:after="0"/>
              <w:rPr>
                <w:sz w:val="20"/>
                <w:szCs w:val="20"/>
                <w:color w:val="auto"/>
              </w:rPr>
            </w:pPr>
            <w:r>
              <w:rPr>
                <w:rFonts w:ascii="Times New Roman" w:cs="Times New Roman" w:eastAsia="Times New Roman" w:hAnsi="Times New Roman"/>
                <w:sz w:val="22"/>
                <w:szCs w:val="22"/>
                <w:color w:val="auto"/>
                <w:w w:val="96"/>
              </w:rPr>
              <w:t>By: /s/</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 w:type="dxa"/>
            <w:vAlign w:val="bottom"/>
          </w:tcPr>
          <w:p>
            <w:pPr>
              <w:spacing w:after="0"/>
              <w:rPr>
                <w:sz w:val="19"/>
                <w:szCs w:val="19"/>
                <w:color w:val="auto"/>
              </w:rPr>
            </w:pPr>
          </w:p>
        </w:tc>
        <w:tc>
          <w:tcPr>
            <w:tcW w:w="1680" w:type="dxa"/>
            <w:vAlign w:val="bottom"/>
            <w:gridSpan w:val="3"/>
          </w:tcPr>
          <w:p>
            <w:pPr>
              <w:spacing w:after="0" w:line="223" w:lineRule="exact"/>
              <w:rPr>
                <w:sz w:val="20"/>
                <w:szCs w:val="20"/>
                <w:color w:val="auto"/>
              </w:rPr>
            </w:pPr>
            <w:r>
              <w:rPr>
                <w:rFonts w:ascii="Times New Roman" w:cs="Times New Roman" w:eastAsia="Times New Roman" w:hAnsi="Times New Roman"/>
                <w:sz w:val="22"/>
                <w:szCs w:val="22"/>
                <w:color w:val="auto"/>
              </w:rPr>
              <w:t>William P. Forbes</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360" w:type="dxa"/>
            <w:vAlign w:val="bottom"/>
            <w:gridSpan w:val="4"/>
            <w:vMerge w:val="restart"/>
          </w:tcPr>
          <w:p>
            <w:pPr>
              <w:ind w:left="140"/>
              <w:spacing w:after="0"/>
              <w:rPr>
                <w:sz w:val="20"/>
                <w:szCs w:val="20"/>
                <w:color w:val="auto"/>
              </w:rPr>
            </w:pPr>
            <w:r>
              <w:rPr>
                <w:rFonts w:ascii="Times New Roman" w:cs="Times New Roman" w:eastAsia="Times New Roman" w:hAnsi="Times New Roman"/>
                <w:sz w:val="22"/>
                <w:szCs w:val="22"/>
                <w:color w:val="auto"/>
              </w:rPr>
              <w:t xml:space="preserve">Name: </w:t>
            </w:r>
            <w:r>
              <w:rPr>
                <w:rFonts w:ascii="Times New Roman" w:cs="Times New Roman" w:eastAsia="Times New Roman" w:hAnsi="Times New Roman"/>
                <w:sz w:val="16"/>
                <w:szCs w:val="16"/>
                <w:color w:val="auto"/>
              </w:rPr>
              <w:t>William P. Forbes</w:t>
            </w:r>
          </w:p>
        </w:tc>
        <w:tc>
          <w:tcPr>
            <w:tcW w:w="0" w:type="dxa"/>
            <w:vAlign w:val="bottom"/>
          </w:tcPr>
          <w:p>
            <w:pPr>
              <w:spacing w:after="0" w:line="20" w:lineRule="exact"/>
              <w:rPr>
                <w:sz w:val="1"/>
                <w:szCs w:val="1"/>
                <w:color w:val="auto"/>
              </w:rPr>
            </w:pPr>
          </w:p>
        </w:tc>
      </w:tr>
      <w:tr>
        <w:trPr>
          <w:trHeight w:val="586"/>
        </w:trPr>
        <w:tc>
          <w:tcPr>
            <w:tcW w:w="17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Name:</w:t>
            </w:r>
          </w:p>
        </w:tc>
        <w:tc>
          <w:tcPr>
            <w:tcW w:w="936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JENNIFER</w:t>
            </w: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7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GOOD</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9"/>
        </w:trPr>
        <w:tc>
          <w:tcPr>
            <w:tcW w:w="178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760" w:type="dxa"/>
            <w:vAlign w:val="bottom"/>
            <w:gridSpan w:val="2"/>
          </w:tcPr>
          <w:p>
            <w:pPr>
              <w:ind w:left="80"/>
              <w:spacing w:after="0"/>
              <w:rPr>
                <w:sz w:val="20"/>
                <w:szCs w:val="20"/>
                <w:color w:val="auto"/>
              </w:rPr>
            </w:pPr>
            <w:r>
              <w:rPr>
                <w:rFonts w:ascii="Times New Roman" w:cs="Times New Roman" w:eastAsia="Times New Roman" w:hAnsi="Times New Roman"/>
                <w:sz w:val="43"/>
                <w:szCs w:val="43"/>
                <w:color w:val="auto"/>
                <w:vertAlign w:val="subscript"/>
              </w:rPr>
              <w:t>Title:</w:t>
            </w:r>
            <w:r>
              <w:rPr>
                <w:rFonts w:ascii="Times New Roman" w:cs="Times New Roman" w:eastAsia="Times New Roman" w:hAnsi="Times New Roman"/>
                <w:sz w:val="16"/>
                <w:szCs w:val="16"/>
                <w:color w:val="auto"/>
              </w:rPr>
              <w:t xml:space="preserve">  Chief Development Officer</w:t>
            </w:r>
          </w:p>
        </w:tc>
        <w:tc>
          <w:tcPr>
            <w:tcW w:w="0" w:type="dxa"/>
            <w:vAlign w:val="bottom"/>
          </w:tcPr>
          <w:p>
            <w:pPr>
              <w:spacing w:after="0"/>
              <w:rPr>
                <w:sz w:val="1"/>
                <w:szCs w:val="1"/>
                <w:color w:val="auto"/>
              </w:rPr>
            </w:pPr>
          </w:p>
        </w:tc>
      </w:tr>
      <w:tr>
        <w:trPr>
          <w:trHeight w:val="265"/>
        </w:trPr>
        <w:tc>
          <w:tcPr>
            <w:tcW w:w="17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President and CEO</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Date:</w:t>
            </w:r>
          </w:p>
        </w:tc>
        <w:tc>
          <w:tcPr>
            <w:tcW w:w="270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8"/>
              </w:rPr>
              <w:t xml:space="preserve">Date: </w:t>
            </w:r>
            <w:r>
              <w:rPr>
                <w:rFonts w:ascii="Times New Roman" w:cs="Times New Roman" w:eastAsia="Times New Roman" w:hAnsi="Times New Roman"/>
                <w:sz w:val="16"/>
                <w:szCs w:val="16"/>
                <w:color w:val="auto"/>
                <w:w w:val="98"/>
              </w:rPr>
              <w:t>30-Aug-2022 | 5:58 PM EDT</w:t>
            </w:r>
          </w:p>
        </w:tc>
        <w:tc>
          <w:tcPr>
            <w:tcW w:w="0" w:type="dxa"/>
            <w:vAlign w:val="bottom"/>
          </w:tcPr>
          <w:p>
            <w:pPr>
              <w:spacing w:after="0"/>
              <w:rPr>
                <w:sz w:val="1"/>
                <w:szCs w:val="1"/>
                <w:color w:val="auto"/>
              </w:rPr>
            </w:pPr>
          </w:p>
        </w:tc>
      </w:tr>
      <w:tr>
        <w:trPr>
          <w:trHeight w:val="108"/>
        </w:trPr>
        <w:tc>
          <w:tcPr>
            <w:tcW w:w="960" w:type="dxa"/>
            <w:vAlign w:val="bottom"/>
            <w:vMerge w:val="continue"/>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8"/>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31-Aug-</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2022 |</w:t>
            </w:r>
          </w:p>
        </w:tc>
        <w:tc>
          <w:tcPr>
            <w:tcW w:w="2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10:17 AM</w:t>
            </w:r>
          </w:p>
        </w:tc>
        <w:tc>
          <w:tcPr>
            <w:tcW w:w="2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EDT</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Trevi – Forbes Consulting Agmt</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8</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9</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Confidential </w:t>
      </w:r>
      <w:r>
        <w:rPr>
          <w:rFonts w:ascii="Times New Roman" w:cs="Times New Roman" w:eastAsia="Times New Roman" w:hAnsi="Times New Roman"/>
          <w:sz w:val="16"/>
          <w:szCs w:val="16"/>
          <w:color w:val="auto"/>
        </w:rPr>
        <w:t>(v. 7/22)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294640</wp:posOffset>
            </wp:positionV>
            <wp:extent cx="71748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340" w:top="639" w:right="419" w:bottom="1440" w:gutter="0" w:footer="0" w:header="0"/>
        </w:sectPr>
      </w:pPr>
    </w:p>
    <w:bookmarkStart w:id="90" w:name="page91"/>
    <w:bookmarkEnd w:id="90"/>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0" w:lineRule="exact"/>
        <w:rPr>
          <w:sz w:val="20"/>
          <w:szCs w:val="20"/>
          <w:color w:val="auto"/>
        </w:rPr>
      </w:pPr>
    </w:p>
    <w:p>
      <w:pPr>
        <w:spacing w:after="0" w:line="30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i w:val="1"/>
          <w:iCs w:val="1"/>
          <w:color w:val="auto"/>
        </w:rPr>
        <w:t>Description of Services</w:t>
      </w:r>
    </w:p>
    <w:p>
      <w:pPr>
        <w:spacing w:after="0" w:line="239" w:lineRule="exact"/>
        <w:rPr>
          <w:sz w:val="20"/>
          <w:szCs w:val="20"/>
          <w:color w:val="auto"/>
        </w:rPr>
      </w:pPr>
    </w:p>
    <w:p>
      <w:pPr>
        <w:ind w:left="80"/>
        <w:spacing w:after="0" w:line="239" w:lineRule="auto"/>
        <w:rPr>
          <w:sz w:val="20"/>
          <w:szCs w:val="20"/>
          <w:color w:val="auto"/>
        </w:rPr>
      </w:pPr>
      <w:r>
        <w:rPr>
          <w:rFonts w:ascii="Times New Roman" w:cs="Times New Roman" w:eastAsia="Times New Roman" w:hAnsi="Times New Roman"/>
          <w:sz w:val="22"/>
          <w:szCs w:val="22"/>
          <w:color w:val="auto"/>
        </w:rPr>
        <w:t>Consultant will provide to and for the Chief Executive Officer of Trevi strategic drug development advice including reviewing protocols, data, statistical plans and the like as requested by the Chief Executive Officer. Consultant will also speak publicly as requested and agreed upon with the Chief Executive Officer of Trevi about Trevi’s data, development programs and technology with investors, investigators, at medical meetings, and the like.</w:t>
      </w:r>
    </w:p>
    <w:p>
      <w:pPr>
        <w:spacing w:after="0" w:line="20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i w:val="1"/>
          <w:iCs w:val="1"/>
          <w:color w:val="auto"/>
        </w:rPr>
        <w:t>Fees/Payments</w:t>
      </w:r>
    </w:p>
    <w:p>
      <w:pPr>
        <w:spacing w:after="0" w:line="239" w:lineRule="exact"/>
        <w:rPr>
          <w:sz w:val="20"/>
          <w:szCs w:val="20"/>
          <w:color w:val="auto"/>
        </w:rPr>
      </w:pPr>
    </w:p>
    <w:p>
      <w:pPr>
        <w:jc w:val="both"/>
        <w:ind w:left="80" w:right="620"/>
        <w:spacing w:after="0" w:line="244" w:lineRule="auto"/>
        <w:rPr>
          <w:sz w:val="20"/>
          <w:szCs w:val="20"/>
          <w:color w:val="auto"/>
        </w:rPr>
      </w:pPr>
      <w:r>
        <w:rPr>
          <w:rFonts w:ascii="Times New Roman" w:cs="Times New Roman" w:eastAsia="Times New Roman" w:hAnsi="Times New Roman"/>
          <w:sz w:val="22"/>
          <w:szCs w:val="22"/>
          <w:color w:val="auto"/>
        </w:rPr>
        <w:t>Consultant will submit all invoices and requests for payment to Trevi via email to: AP@TreviTherapeutics.com and cc: XXXXXXXXXXXXX@TreviTherapeutics.com including reference to Trevi Project Name and description of services performed.</w:t>
      </w:r>
    </w:p>
    <w:p>
      <w:pPr>
        <w:spacing w:after="0" w:line="200" w:lineRule="exact"/>
        <w:rPr>
          <w:sz w:val="20"/>
          <w:szCs w:val="20"/>
          <w:color w:val="auto"/>
        </w:rPr>
      </w:pPr>
    </w:p>
    <w:p>
      <w:pPr>
        <w:ind w:left="80" w:right="100"/>
        <w:spacing w:after="0" w:line="258" w:lineRule="auto"/>
        <w:rPr>
          <w:sz w:val="20"/>
          <w:szCs w:val="20"/>
          <w:color w:val="auto"/>
        </w:rPr>
      </w:pPr>
      <w:r>
        <w:rPr>
          <w:rFonts w:ascii="Times New Roman" w:cs="Times New Roman" w:eastAsia="Times New Roman" w:hAnsi="Times New Roman"/>
          <w:sz w:val="22"/>
          <w:szCs w:val="22"/>
          <w:color w:val="auto"/>
        </w:rPr>
        <w:t>Trevi pays via ACH for Domestic banks and Wire Transfer for International banks. Please insert Consultant’s applicable bank account information.</w:t>
      </w:r>
    </w:p>
    <w:p>
      <w:pPr>
        <w:spacing w:after="0" w:line="18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auto"/>
        </w:rPr>
        <w:t>U.S Payments via ACH:</w:t>
      </w:r>
    </w:p>
    <w:p>
      <w:pPr>
        <w:ind w:left="80"/>
        <w:spacing w:after="0" w:line="222" w:lineRule="auto"/>
        <w:rPr>
          <w:sz w:val="20"/>
          <w:szCs w:val="20"/>
          <w:color w:val="auto"/>
        </w:rPr>
      </w:pPr>
      <w:r>
        <w:rPr>
          <w:rFonts w:ascii="Times New Roman" w:cs="Times New Roman" w:eastAsia="Times New Roman" w:hAnsi="Times New Roman"/>
          <w:sz w:val="22"/>
          <w:szCs w:val="22"/>
          <w:color w:val="auto"/>
        </w:rPr>
        <w:t>Bank Account Number:</w:t>
      </w:r>
    </w:p>
    <w:p>
      <w:pPr>
        <w:ind w:left="80"/>
        <w:spacing w:after="0" w:line="230" w:lineRule="auto"/>
        <w:rPr>
          <w:sz w:val="20"/>
          <w:szCs w:val="20"/>
          <w:color w:val="auto"/>
        </w:rPr>
      </w:pPr>
      <w:r>
        <w:rPr>
          <w:rFonts w:ascii="Times New Roman" w:cs="Times New Roman" w:eastAsia="Times New Roman" w:hAnsi="Times New Roman"/>
          <w:sz w:val="22"/>
          <w:szCs w:val="22"/>
          <w:color w:val="auto"/>
        </w:rPr>
        <w:t>Bank Routing Number for ACH payments: Type of Account</w:t>
      </w:r>
    </w:p>
    <w:p>
      <w:pPr>
        <w:ind w:left="80"/>
        <w:spacing w:after="0" w:line="231" w:lineRule="auto"/>
        <w:rPr>
          <w:sz w:val="20"/>
          <w:szCs w:val="20"/>
          <w:color w:val="auto"/>
        </w:rPr>
      </w:pPr>
      <w:r>
        <w:rPr>
          <w:rFonts w:ascii="Times New Roman" w:cs="Times New Roman" w:eastAsia="Times New Roman" w:hAnsi="Times New Roman"/>
          <w:sz w:val="22"/>
          <w:szCs w:val="22"/>
          <w:color w:val="auto"/>
        </w:rPr>
        <w:t>(checking or savings):</w:t>
      </w:r>
    </w:p>
    <w:p>
      <w:pPr>
        <w:ind w:left="80"/>
        <w:spacing w:after="0"/>
        <w:rPr>
          <w:sz w:val="20"/>
          <w:szCs w:val="20"/>
          <w:color w:val="auto"/>
        </w:rPr>
      </w:pPr>
      <w:r>
        <w:rPr>
          <w:rFonts w:ascii="Times New Roman" w:cs="Times New Roman" w:eastAsia="Times New Roman" w:hAnsi="Times New Roman"/>
          <w:sz w:val="22"/>
          <w:szCs w:val="22"/>
          <w:color w:val="auto"/>
        </w:rPr>
        <w:t>Is this a Business or Personal account:</w:t>
      </w:r>
    </w:p>
    <w:p>
      <w:pPr>
        <w:spacing w:after="0" w:line="20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auto"/>
        </w:rPr>
        <w:t>International Payments via Wire:</w:t>
      </w:r>
    </w:p>
    <w:p>
      <w:pPr>
        <w:ind w:left="80"/>
        <w:spacing w:after="0" w:line="234" w:lineRule="auto"/>
        <w:rPr>
          <w:sz w:val="20"/>
          <w:szCs w:val="20"/>
          <w:color w:val="auto"/>
        </w:rPr>
      </w:pPr>
      <w:r>
        <w:rPr>
          <w:rFonts w:ascii="Times New Roman" w:cs="Times New Roman" w:eastAsia="Times New Roman" w:hAnsi="Times New Roman"/>
          <w:sz w:val="22"/>
          <w:szCs w:val="22"/>
          <w:color w:val="auto"/>
        </w:rPr>
        <w:t>IBAN #:</w:t>
      </w:r>
    </w:p>
    <w:p>
      <w:pPr>
        <w:ind w:left="80"/>
        <w:spacing w:after="0" w:line="231" w:lineRule="auto"/>
        <w:rPr>
          <w:sz w:val="20"/>
          <w:szCs w:val="20"/>
          <w:color w:val="auto"/>
        </w:rPr>
      </w:pPr>
      <w:r>
        <w:rPr>
          <w:rFonts w:ascii="Times New Roman" w:cs="Times New Roman" w:eastAsia="Times New Roman" w:hAnsi="Times New Roman"/>
          <w:sz w:val="22"/>
          <w:szCs w:val="22"/>
          <w:color w:val="auto"/>
        </w:rPr>
        <w:t>Bank Swift Code:</w:t>
      </w:r>
    </w:p>
    <w:p>
      <w:pPr>
        <w:ind w:left="80"/>
        <w:spacing w:after="0" w:line="230" w:lineRule="auto"/>
        <w:rPr>
          <w:sz w:val="20"/>
          <w:szCs w:val="20"/>
          <w:color w:val="auto"/>
        </w:rPr>
      </w:pPr>
      <w:r>
        <w:rPr>
          <w:rFonts w:ascii="Times New Roman" w:cs="Times New Roman" w:eastAsia="Times New Roman" w:hAnsi="Times New Roman"/>
          <w:sz w:val="22"/>
          <w:szCs w:val="22"/>
          <w:color w:val="auto"/>
        </w:rPr>
        <w:t>Bank Name:</w:t>
      </w:r>
    </w:p>
    <w:p>
      <w:pPr>
        <w:ind w:left="80"/>
        <w:spacing w:after="0" w:line="231" w:lineRule="auto"/>
        <w:rPr>
          <w:sz w:val="20"/>
          <w:szCs w:val="20"/>
          <w:color w:val="auto"/>
        </w:rPr>
      </w:pPr>
      <w:r>
        <w:rPr>
          <w:rFonts w:ascii="Times New Roman" w:cs="Times New Roman" w:eastAsia="Times New Roman" w:hAnsi="Times New Roman"/>
          <w:sz w:val="22"/>
          <w:szCs w:val="22"/>
          <w:color w:val="auto"/>
        </w:rPr>
        <w:t>Bank Address:</w:t>
      </w:r>
    </w:p>
    <w:p>
      <w:pPr>
        <w:ind w:left="80"/>
        <w:spacing w:after="0" w:line="230" w:lineRule="auto"/>
        <w:rPr>
          <w:sz w:val="20"/>
          <w:szCs w:val="20"/>
          <w:color w:val="auto"/>
        </w:rPr>
      </w:pPr>
      <w:r>
        <w:rPr>
          <w:rFonts w:ascii="Times New Roman" w:cs="Times New Roman" w:eastAsia="Times New Roman" w:hAnsi="Times New Roman"/>
          <w:sz w:val="22"/>
          <w:szCs w:val="22"/>
          <w:color w:val="auto"/>
        </w:rPr>
        <w:t>Bank Account Holder/Beneficiary Name: Bank Account</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Holder/Beneficiary Address: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Trevi – Forbes Consulting Agmt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9</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9</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Confidential </w:t>
      </w:r>
      <w:r>
        <w:rPr>
          <w:rFonts w:ascii="Times New Roman" w:cs="Times New Roman" w:eastAsia="Times New Roman" w:hAnsi="Times New Roman"/>
          <w:sz w:val="16"/>
          <w:szCs w:val="16"/>
          <w:color w:val="auto"/>
        </w:rPr>
        <w:t>(v. 7/22)</w:t>
      </w:r>
    </w:p>
    <w:p>
      <w:pPr>
        <w:sectPr>
          <w:pgSz w:w="11900" w:h="16838" w:orient="portrait"/>
          <w:cols w:equalWidth="0" w:num="1">
            <w:col w:w="11020"/>
          </w:cols>
          <w:pgMar w:left="360" w:top="918" w:right="519" w:bottom="1440" w:gutter="0" w:footer="0" w:header="0"/>
        </w:sectPr>
      </w:pPr>
    </w:p>
    <w:bookmarkStart w:id="91" w:name="page92"/>
    <w:bookmarkEnd w:id="91"/>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ind w:left="340" w:right="12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OR 15d-14(a) UNDER THE SECURITIES EXCHANGE ACT OF 1934, AS ADOPTED PURSUANT TO SECTION 302 OF THE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Jennifer L. Good, certify that:</w:t>
      </w:r>
    </w:p>
    <w:p>
      <w:pPr>
        <w:spacing w:after="0" w:line="225" w:lineRule="exact"/>
        <w:rPr>
          <w:sz w:val="20"/>
          <w:szCs w:val="20"/>
          <w:color w:val="auto"/>
        </w:rPr>
      </w:pPr>
    </w:p>
    <w:p>
      <w:pPr>
        <w:ind w:left="700" w:hanging="182"/>
        <w:spacing w:after="0"/>
        <w:tabs>
          <w:tab w:leader="none" w:pos="7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Trevi Therapeutics, Inc.;</w:t>
      </w:r>
    </w:p>
    <w:p>
      <w:pPr>
        <w:spacing w:after="0" w:line="225" w:lineRule="exact"/>
        <w:rPr>
          <w:rFonts w:ascii="Times New Roman" w:cs="Times New Roman" w:eastAsia="Times New Roman" w:hAnsi="Times New Roman"/>
          <w:sz w:val="18"/>
          <w:szCs w:val="18"/>
          <w:color w:val="auto"/>
        </w:rPr>
      </w:pPr>
    </w:p>
    <w:p>
      <w:pPr>
        <w:ind w:right="80" w:firstLine="518"/>
        <w:spacing w:after="0" w:line="312" w:lineRule="auto"/>
        <w:tabs>
          <w:tab w:leader="none" w:pos="69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40" w:firstLine="518"/>
        <w:spacing w:after="0" w:line="282" w:lineRule="auto"/>
        <w:tabs>
          <w:tab w:leader="none" w:pos="69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80" w:firstLine="518"/>
        <w:spacing w:after="0" w:line="266" w:lineRule="auto"/>
        <w:tabs>
          <w:tab w:leader="none" w:pos="69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20" w:firstLine="483"/>
        <w:spacing w:after="0" w:line="266" w:lineRule="auto"/>
        <w:tabs>
          <w:tab w:leader="none" w:pos="1191"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200" w:firstLine="483"/>
        <w:spacing w:after="0" w:line="266" w:lineRule="auto"/>
        <w:tabs>
          <w:tab w:leader="none" w:pos="1201"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360" w:firstLine="483"/>
        <w:spacing w:after="0" w:line="282" w:lineRule="auto"/>
        <w:tabs>
          <w:tab w:leader="none" w:pos="1191"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320" w:firstLine="483"/>
        <w:spacing w:after="0" w:line="266" w:lineRule="auto"/>
        <w:tabs>
          <w:tab w:leader="none" w:pos="1201"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40" w:firstLine="518"/>
        <w:spacing w:after="0" w:line="282" w:lineRule="auto"/>
        <w:tabs>
          <w:tab w:leader="none" w:pos="69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560" w:firstLine="483"/>
        <w:spacing w:after="0" w:line="282" w:lineRule="auto"/>
        <w:tabs>
          <w:tab w:leader="none" w:pos="1191"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240" w:firstLine="483"/>
        <w:spacing w:after="0" w:line="282" w:lineRule="auto"/>
        <w:tabs>
          <w:tab w:leader="none" w:pos="1201"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tabs>
          <w:tab w:leader="none" w:pos="5580" w:val="left"/>
          <w:tab w:leader="none" w:pos="5980" w:val="left"/>
        </w:tabs>
        <w:rPr>
          <w:sz w:val="20"/>
          <w:szCs w:val="20"/>
          <w:color w:val="auto"/>
        </w:rPr>
      </w:pPr>
      <w:r>
        <w:rPr>
          <w:rFonts w:ascii="Times New Roman" w:cs="Times New Roman" w:eastAsia="Times New Roman" w:hAnsi="Times New Roman"/>
          <w:sz w:val="18"/>
          <w:szCs w:val="18"/>
          <w:color w:val="auto"/>
        </w:rPr>
        <w:t>Date: November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Jennifer L.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17145</wp:posOffset>
            </wp:positionV>
            <wp:extent cx="332613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4"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Jennifer L. Good</w:t>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360" w:right="339" w:bottom="1440" w:gutter="0" w:footer="0" w:header="0"/>
        </w:sectPr>
      </w:pPr>
    </w:p>
    <w:bookmarkStart w:id="92" w:name="page93"/>
    <w:bookmarkEnd w:id="92"/>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ind w:left="340" w:right="12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OR 15d-14(a) UNDER THE SECURITIES EXCHANGE ACT OF 1934, AS ADOPTED PURSUANT TO SECTION 302 OF THE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Lisa Delfini, certify that:</w:t>
      </w:r>
    </w:p>
    <w:p>
      <w:pPr>
        <w:spacing w:after="0" w:line="225" w:lineRule="exact"/>
        <w:rPr>
          <w:sz w:val="20"/>
          <w:szCs w:val="20"/>
          <w:color w:val="auto"/>
        </w:rPr>
      </w:pPr>
    </w:p>
    <w:p>
      <w:pPr>
        <w:ind w:left="700" w:hanging="182"/>
        <w:spacing w:after="0"/>
        <w:tabs>
          <w:tab w:leader="none" w:pos="7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Trevi Therapeutics, Inc.;</w:t>
      </w:r>
    </w:p>
    <w:p>
      <w:pPr>
        <w:spacing w:after="0" w:line="225" w:lineRule="exact"/>
        <w:rPr>
          <w:rFonts w:ascii="Times New Roman" w:cs="Times New Roman" w:eastAsia="Times New Roman" w:hAnsi="Times New Roman"/>
          <w:sz w:val="18"/>
          <w:szCs w:val="18"/>
          <w:color w:val="auto"/>
        </w:rPr>
      </w:pPr>
    </w:p>
    <w:p>
      <w:pPr>
        <w:ind w:right="80" w:firstLine="518"/>
        <w:spacing w:after="0" w:line="312" w:lineRule="auto"/>
        <w:tabs>
          <w:tab w:leader="none" w:pos="69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right="40" w:firstLine="518"/>
        <w:spacing w:after="0" w:line="282" w:lineRule="auto"/>
        <w:tabs>
          <w:tab w:leader="none" w:pos="69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80" w:firstLine="518"/>
        <w:spacing w:after="0" w:line="266" w:lineRule="auto"/>
        <w:tabs>
          <w:tab w:leader="none" w:pos="69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20" w:firstLine="483"/>
        <w:spacing w:after="0" w:line="266" w:lineRule="auto"/>
        <w:tabs>
          <w:tab w:leader="none" w:pos="1191"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200" w:firstLine="483"/>
        <w:spacing w:after="0" w:line="266" w:lineRule="auto"/>
        <w:tabs>
          <w:tab w:leader="none" w:pos="1201"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360" w:firstLine="483"/>
        <w:spacing w:after="0" w:line="282" w:lineRule="auto"/>
        <w:tabs>
          <w:tab w:leader="none" w:pos="1191"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320" w:firstLine="483"/>
        <w:spacing w:after="0" w:line="266" w:lineRule="auto"/>
        <w:tabs>
          <w:tab w:leader="none" w:pos="1201"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40" w:firstLine="518"/>
        <w:spacing w:after="0" w:line="282" w:lineRule="auto"/>
        <w:tabs>
          <w:tab w:leader="none" w:pos="69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560" w:firstLine="483"/>
        <w:spacing w:after="0" w:line="282" w:lineRule="auto"/>
        <w:tabs>
          <w:tab w:leader="none" w:pos="1191"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240" w:firstLine="483"/>
        <w:spacing w:after="0" w:line="282" w:lineRule="auto"/>
        <w:tabs>
          <w:tab w:leader="none" w:pos="1201"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tabs>
          <w:tab w:leader="none" w:pos="5580" w:val="left"/>
          <w:tab w:leader="none" w:pos="5980" w:val="left"/>
        </w:tabs>
        <w:rPr>
          <w:sz w:val="20"/>
          <w:szCs w:val="20"/>
          <w:color w:val="auto"/>
        </w:rPr>
      </w:pPr>
      <w:r>
        <w:rPr>
          <w:rFonts w:ascii="Times New Roman" w:cs="Times New Roman" w:eastAsia="Times New Roman" w:hAnsi="Times New Roman"/>
          <w:sz w:val="18"/>
          <w:szCs w:val="18"/>
          <w:color w:val="auto"/>
        </w:rPr>
        <w:t>Date: November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Lisa Delfini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17145</wp:posOffset>
            </wp:positionV>
            <wp:extent cx="332613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4"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Lisa Delfini</w:t>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360"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60" w:firstLine="51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Trevi Therapeutics, Inc. (the “Company”) for the period ended September 30, 2022, as filed with the Securities and Exchange Commission on the date hereof (the “Report”), the undersigned, Jennifer L. Good, President and Chief Executive Officer of the Company, hereby certifies, pursuant to 18 U.S.C. Section 1350, as adopted pursuant to Section 906 of the Sarbanes-Oxley Act of 2002, that to her knowledge:</w:t>
      </w:r>
    </w:p>
    <w:p>
      <w:pPr>
        <w:spacing w:after="0" w:line="180" w:lineRule="exact"/>
        <w:rPr>
          <w:sz w:val="20"/>
          <w:szCs w:val="20"/>
          <w:color w:val="auto"/>
        </w:rPr>
      </w:pPr>
    </w:p>
    <w:p>
      <w:pPr>
        <w:ind w:left="1000" w:hanging="493"/>
        <w:spacing w:after="0"/>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00" w:right="620" w:hanging="493"/>
        <w:spacing w:after="0" w:line="282"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2" w:lineRule="exact"/>
        <w:rPr>
          <w:sz w:val="20"/>
          <w:szCs w:val="20"/>
          <w:color w:val="auto"/>
        </w:rPr>
      </w:pPr>
    </w:p>
    <w:p>
      <w:pPr>
        <w:spacing w:after="0"/>
        <w:tabs>
          <w:tab w:leader="none" w:pos="5500" w:val="left"/>
          <w:tab w:leader="none" w:pos="5940" w:val="left"/>
        </w:tabs>
        <w:rPr>
          <w:sz w:val="20"/>
          <w:szCs w:val="20"/>
          <w:color w:val="auto"/>
        </w:rPr>
      </w:pPr>
      <w:r>
        <w:rPr>
          <w:rFonts w:ascii="Times New Roman" w:cs="Times New Roman" w:eastAsia="Times New Roman" w:hAnsi="Times New Roman"/>
          <w:sz w:val="18"/>
          <w:szCs w:val="18"/>
          <w:color w:val="auto"/>
        </w:rPr>
        <w:t>Date: November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Jennifer L.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Jennifer L. Good</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80" w:firstLine="51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Trevi Therapeutics, Inc. (the “Company”) for the period ended September 30, 2022, as filed with the Securities and Exchange Commission on the date hereof (the “Report”), the undersigned, Lisa Delfini, Chief Financial Officer of the Company, hereby certifies, pursuant to 18 U.S.C. Section 1350, as adopted pursuant to Section 906 of the Sarbanes-Oxley Act of 2002, that to her knowledge:</w:t>
      </w:r>
    </w:p>
    <w:p>
      <w:pPr>
        <w:spacing w:after="0" w:line="180" w:lineRule="exact"/>
        <w:rPr>
          <w:sz w:val="20"/>
          <w:szCs w:val="20"/>
          <w:color w:val="auto"/>
        </w:rPr>
      </w:pPr>
    </w:p>
    <w:p>
      <w:pPr>
        <w:ind w:left="1000" w:hanging="493"/>
        <w:spacing w:after="0"/>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00" w:right="620" w:hanging="493"/>
        <w:spacing w:after="0" w:line="282"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2" w:lineRule="exact"/>
        <w:rPr>
          <w:sz w:val="20"/>
          <w:szCs w:val="20"/>
          <w:color w:val="auto"/>
        </w:rPr>
      </w:pPr>
    </w:p>
    <w:p>
      <w:pPr>
        <w:spacing w:after="0"/>
        <w:tabs>
          <w:tab w:leader="none" w:pos="5500" w:val="left"/>
          <w:tab w:leader="none" w:pos="5940" w:val="left"/>
        </w:tabs>
        <w:rPr>
          <w:sz w:val="20"/>
          <w:szCs w:val="20"/>
          <w:color w:val="auto"/>
        </w:rPr>
      </w:pPr>
      <w:r>
        <w:rPr>
          <w:rFonts w:ascii="Times New Roman" w:cs="Times New Roman" w:eastAsia="Times New Roman" w:hAnsi="Times New Roman"/>
          <w:sz w:val="18"/>
          <w:szCs w:val="18"/>
          <w:color w:val="auto"/>
        </w:rPr>
        <w:t>Date: November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Lisa Delfini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Lisa Delfini</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1."/>
      <w:numFmt w:val="decimal"/>
      <w:start w:val="1"/>
    </w:lvl>
  </w:abstractNum>
  <w:abstractNum w:abstractNumId="6">
    <w:nsid w:val="3804823E"/>
    <w:multiLevelType w:val="hybridMultilevel"/>
    <w:lvl w:ilvl="0">
      <w:lvlJc w:val="left"/>
      <w:lvlText w:val="%1."/>
      <w:numFmt w:val="decimal"/>
      <w:start w:val="2"/>
    </w:lvl>
  </w:abstractNum>
  <w:abstractNum w:abstractNumId="7">
    <w:nsid w:val="77465F01"/>
    <w:multiLevelType w:val="hybridMultilevel"/>
    <w:lvl w:ilvl="0">
      <w:lvlJc w:val="left"/>
      <w:lvlText w:val="%1."/>
      <w:numFmt w:val="decimal"/>
      <w:start w:val="3"/>
    </w:lvl>
  </w:abstractNum>
  <w:abstractNum w:abstractNumId="8">
    <w:nsid w:val="7724C67E"/>
    <w:multiLevelType w:val="hybridMultilevel"/>
    <w:lvl w:ilvl="0">
      <w:lvlJc w:val="left"/>
      <w:lvlText w:val="%1."/>
      <w:numFmt w:val="decimal"/>
      <w:start w:val="4"/>
    </w:lvl>
  </w:abstractNum>
  <w:abstractNum w:abstractNumId="9">
    <w:nsid w:val="5C482A97"/>
    <w:multiLevelType w:val="hybridMultilevel"/>
    <w:lvl w:ilvl="0">
      <w:lvlJc w:val="left"/>
      <w:lvlText w:val="%1."/>
      <w:numFmt w:val="decimal"/>
      <w:start w:val="5"/>
    </w:lvl>
  </w:abstractNum>
  <w:abstractNum w:abstractNumId="10">
    <w:nsid w:val="2463B9EA"/>
    <w:multiLevelType w:val="hybridMultilevel"/>
    <w:lvl w:ilvl="0">
      <w:lvlJc w:val="left"/>
      <w:lvlText w:val="%1."/>
      <w:numFmt w:val="decimal"/>
      <w:start w:val="6"/>
    </w:lvl>
  </w:abstractNum>
  <w:abstractNum w:abstractNumId="11">
    <w:nsid w:val="5E884ADC"/>
    <w:multiLevelType w:val="hybridMultilevel"/>
    <w:lvl w:ilvl="0">
      <w:lvlJc w:val="left"/>
      <w:lvlText w:val="%1."/>
      <w:numFmt w:val="decimal"/>
      <w:start w:val="7"/>
    </w:lvl>
  </w:abstractNum>
  <w:abstractNum w:abstractNumId="12">
    <w:nsid w:val="51EAD36B"/>
    <w:multiLevelType w:val="hybridMultilevel"/>
    <w:lvl w:ilvl="0">
      <w:lvlJc w:val="left"/>
      <w:lvlText w:val="(%1)"/>
      <w:numFmt w:val="upperLetter"/>
      <w:start w:val="1"/>
    </w:lvl>
  </w:abstractNum>
  <w:abstractNum w:abstractNumId="13">
    <w:nsid w:val="2D517796"/>
    <w:multiLevelType w:val="hybridMultilevel"/>
    <w:lvl w:ilvl="0">
      <w:lvlJc w:val="left"/>
      <w:lvlText w:val="(%1)"/>
      <w:numFmt w:val="upperLetter"/>
      <w:start w:val="1"/>
    </w:lvl>
  </w:abstractNum>
  <w:abstractNum w:abstractNumId="14">
    <w:nsid w:val="580BD78F"/>
    <w:multiLevelType w:val="hybridMultilevel"/>
    <w:lvl w:ilvl="0">
      <w:lvlJc w:val="left"/>
      <w:lvlText w:val="%1."/>
      <w:numFmt w:val="decimal"/>
      <w:start w:val="8"/>
    </w:lvl>
  </w:abstractNum>
  <w:abstractNum w:abstractNumId="15">
    <w:nsid w:val="153EA438"/>
    <w:multiLevelType w:val="hybridMultilevel"/>
    <w:lvl w:ilvl="0">
      <w:lvlJc w:val="left"/>
      <w:lvlText w:val="%1."/>
      <w:numFmt w:val="decimal"/>
      <w:start w:val="9"/>
    </w:lvl>
  </w:abstractNum>
  <w:abstractNum w:abstractNumId="16">
    <w:nsid w:val="3855585C"/>
    <w:multiLevelType w:val="hybridMultilevel"/>
    <w:lvl w:ilvl="0">
      <w:lvlJc w:val="left"/>
      <w:lvlText w:val="%1."/>
      <w:numFmt w:val="decimal"/>
      <w:start w:val="10"/>
    </w:lvl>
  </w:abstractNum>
  <w:abstractNum w:abstractNumId="17">
    <w:nsid w:val="70A64E2A"/>
    <w:multiLevelType w:val="hybridMultilevel"/>
    <w:lvl w:ilvl="0">
      <w:lvlJc w:val="left"/>
      <w:lvlText w:val="%1."/>
      <w:numFmt w:val="decimal"/>
      <w:start w:val="11"/>
    </w:lvl>
  </w:abstractNum>
  <w:abstractNum w:abstractNumId="18">
    <w:nsid w:val="6A2342EC"/>
    <w:multiLevelType w:val="hybridMultilevel"/>
    <w:lvl w:ilvl="0">
      <w:lvlJc w:val="left"/>
      <w:lvlText w:val="%1."/>
      <w:numFmt w:val="decimal"/>
      <w:start w:val="12"/>
    </w:lvl>
  </w:abstractNum>
  <w:abstractNum w:abstractNumId="19">
    <w:nsid w:val="2A487CB0"/>
    <w:multiLevelType w:val="hybridMultilevel"/>
    <w:lvl w:ilvl="0">
      <w:lvlJc w:val="left"/>
      <w:lvlText w:val="%1."/>
      <w:numFmt w:val="decimal"/>
      <w:start w:val="13"/>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1)"/>
      <w:numFmt w:val="lowerRoman"/>
      <w:start w:val="1"/>
    </w:lvl>
  </w:abstractNum>
  <w:abstractNum w:abstractNumId="23">
    <w:nsid w:val="57E4CCAF"/>
    <w:multiLevelType w:val="hybridMultilevel"/>
    <w:lvl w:ilvl="0">
      <w:lvlJc w:val="left"/>
      <w:lvlText w:val="(%1)"/>
      <w:numFmt w:val="upperLetter"/>
      <w:start w:val="2"/>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
      <w:numFmt w:val="bullet"/>
      <w:start w:val="1"/>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
      <w:numFmt w:val="bullet"/>
      <w:start w:val="1"/>
    </w:lvl>
  </w:abstractNum>
  <w:abstractNum w:abstractNumId="39">
    <w:nsid w:val="70C6A529"/>
    <w:multiLevelType w:val="hybridMultilevel"/>
    <w:lvl w:ilvl="0">
      <w:lvlJc w:val="left"/>
      <w:lvlText w:val="•"/>
      <w:numFmt w:val="bullet"/>
      <w:start w:val="1"/>
    </w:lvl>
  </w:abstractNum>
  <w:abstractNum w:abstractNumId="40">
    <w:nsid w:val="520EEDD1"/>
    <w:multiLevelType w:val="hybridMultilevel"/>
    <w:lvl w:ilvl="0">
      <w:lvlJc w:val="left"/>
      <w:lvlText w:val="•"/>
      <w:numFmt w:val="bullet"/>
      <w:start w:val="1"/>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
      <w:numFmt w:val="bullet"/>
      <w:start w:val="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
      <w:numFmt w:val="bullet"/>
      <w:start w:val="1"/>
    </w:lvl>
  </w:abstractNum>
  <w:abstractNum w:abstractNumId="45">
    <w:nsid w:val="275AC794"/>
    <w:multiLevelType w:val="hybridMultilevel"/>
    <w:lvl w:ilvl="0">
      <w:lvlJc w:val="left"/>
      <w:lvlText w:val="•"/>
      <w:numFmt w:val="bullet"/>
      <w:start w:val="1"/>
    </w:lvl>
  </w:abstractNum>
  <w:abstractNum w:abstractNumId="46">
    <w:nsid w:val="39386575"/>
    <w:multiLevelType w:val="hybridMultilevel"/>
    <w:lvl w:ilvl="0">
      <w:lvlJc w:val="left"/>
      <w:lvlText w:val="•"/>
      <w:numFmt w:val="bullet"/>
      <w:start w:val="1"/>
    </w:lvl>
  </w:abstractNum>
  <w:abstractNum w:abstractNumId="47">
    <w:nsid w:val="1CF10FD8"/>
    <w:multiLevelType w:val="hybridMultilevel"/>
    <w:lvl w:ilvl="0">
      <w:lvlJc w:val="left"/>
      <w:lvlText w:val="•"/>
      <w:numFmt w:val="bullet"/>
      <w:start w:val="1"/>
    </w:lvl>
  </w:abstractNum>
  <w:abstractNum w:abstractNumId="48">
    <w:nsid w:val="180115BE"/>
    <w:multiLevelType w:val="hybridMultilevel"/>
    <w:lvl w:ilvl="0">
      <w:lvlJc w:val="left"/>
      <w:lvlText w:val="•"/>
      <w:numFmt w:val="bullet"/>
      <w:start w:val="1"/>
    </w:lvl>
  </w:abstractNum>
  <w:abstractNum w:abstractNumId="49">
    <w:nsid w:val="235BA861"/>
    <w:multiLevelType w:val="hybridMultilevel"/>
    <w:lvl w:ilvl="0">
      <w:lvlJc w:val="left"/>
      <w:lvlText w:val="•"/>
      <w:numFmt w:val="bullet"/>
      <w:start w:val="1"/>
    </w:lvl>
  </w:abstractNum>
  <w:abstractNum w:abstractNumId="50">
    <w:nsid w:val="47398C89"/>
    <w:multiLevelType w:val="hybridMultilevel"/>
    <w:lvl w:ilvl="0">
      <w:lvlJc w:val="left"/>
      <w:lvlText w:val="•"/>
      <w:numFmt w:val="bullet"/>
      <w:start w:val="1"/>
    </w:lvl>
  </w:abstractNum>
  <w:abstractNum w:abstractNumId="51">
    <w:nsid w:val="354FE9F9"/>
    <w:multiLevelType w:val="hybridMultilevel"/>
    <w:lvl w:ilvl="0">
      <w:lvlJc w:val="left"/>
      <w:lvlText w:val="(%1)"/>
      <w:numFmt w:val="lowerRoman"/>
      <w:start w:val="2"/>
    </w:lvl>
  </w:abstractNum>
  <w:abstractNum w:abstractNumId="52">
    <w:nsid w:val="15B5AF5C"/>
    <w:multiLevelType w:val="hybridMultilevel"/>
    <w:lvl w:ilvl="0">
      <w:lvlJc w:val="left"/>
      <w:lvlText w:val="•"/>
      <w:numFmt w:val="bullet"/>
      <w:start w:val="1"/>
    </w:lvl>
  </w:abstractNum>
  <w:abstractNum w:abstractNumId="53">
    <w:nsid w:val="741226BB"/>
    <w:multiLevelType w:val="hybridMultilevel"/>
    <w:lvl w:ilvl="0">
      <w:lvlJc w:val="left"/>
      <w:lvlText w:val="•"/>
      <w:numFmt w:val="bullet"/>
      <w:start w:val="1"/>
    </w:lvl>
  </w:abstractNum>
  <w:abstractNum w:abstractNumId="54">
    <w:nsid w:val="D34B6A8"/>
    <w:multiLevelType w:val="hybridMultilevel"/>
    <w:lvl w:ilvl="0">
      <w:lvlJc w:val="left"/>
      <w:lvlText w:val="%1"/>
      <w:numFmt w:val="decimal"/>
      <w:start w:val="104"/>
    </w:lvl>
  </w:abstractNum>
  <w:abstractNum w:abstractNumId="55">
    <w:nsid w:val="10233C99"/>
    <w:multiLevelType w:val="hybridMultilevel"/>
    <w:lvl w:ilvl="0">
      <w:lvlJc w:val="left"/>
      <w:lvlText w:val="%1."/>
      <w:numFmt w:val="decimal"/>
      <w:start w:val="1"/>
    </w:lvl>
  </w:abstractNum>
  <w:abstractNum w:abstractNumId="56">
    <w:nsid w:val="3F6AB60F"/>
    <w:multiLevelType w:val="hybridMultilevel"/>
    <w:lvl w:ilvl="0">
      <w:lvlJc w:val="left"/>
      <w:lvlText w:val="%1."/>
      <w:numFmt w:val="decimal"/>
      <w:start w:val="2"/>
    </w:lvl>
  </w:abstractNum>
  <w:abstractNum w:abstractNumId="57">
    <w:nsid w:val="61574095"/>
    <w:multiLevelType w:val="hybridMultilevel"/>
    <w:lvl w:ilvl="0">
      <w:lvlJc w:val="left"/>
      <w:lvlText w:val="%1."/>
      <w:numFmt w:val="decimal"/>
      <w:start w:val="3"/>
    </w:lvl>
  </w:abstractNum>
  <w:abstractNum w:abstractNumId="58">
    <w:nsid w:val="7E0C57B1"/>
    <w:multiLevelType w:val="hybridMultilevel"/>
    <w:lvl w:ilvl="0">
      <w:lvlJc w:val="left"/>
      <w:lvlText w:val="%1."/>
      <w:numFmt w:val="decimal"/>
      <w:start w:val="4"/>
    </w:lvl>
  </w:abstractNum>
  <w:abstractNum w:abstractNumId="59">
    <w:nsid w:val="77AE35EB"/>
    <w:multiLevelType w:val="hybridMultilevel"/>
    <w:lvl w:ilvl="0">
      <w:lvlJc w:val="left"/>
      <w:lvlText w:val="%1."/>
      <w:numFmt w:val="decimal"/>
      <w:start w:val="5"/>
    </w:lvl>
  </w:abstractNum>
  <w:abstractNum w:abstractNumId="60">
    <w:nsid w:val="579BE4F1"/>
    <w:multiLevelType w:val="hybridMultilevel"/>
    <w:lvl w:ilvl="0">
      <w:lvlJc w:val="left"/>
      <w:lvlText w:val="%1."/>
      <w:numFmt w:val="decimal"/>
      <w:start w:val="6"/>
    </w:lvl>
  </w:abstractNum>
  <w:abstractNum w:abstractNumId="61">
    <w:nsid w:val="310C50B3"/>
    <w:multiLevelType w:val="hybridMultilevel"/>
    <w:lvl w:ilvl="0">
      <w:lvlJc w:val="left"/>
      <w:lvlText w:val="%1."/>
      <w:numFmt w:val="decimal"/>
      <w:start w:val="8"/>
    </w:lvl>
  </w:abstractNum>
  <w:abstractNum w:abstractNumId="62">
    <w:nsid w:val="5FF87E05"/>
    <w:multiLevelType w:val="hybridMultilevel"/>
    <w:lvl w:ilvl="0">
      <w:lvlJc w:val="left"/>
      <w:lvlText w:val="%1."/>
      <w:numFmt w:val="decimal"/>
      <w:start w:val="1"/>
    </w:lvl>
    <w:lvl w:ilvl="1">
      <w:lvlJc w:val="left"/>
      <w:lvlText w:val="%2)"/>
      <w:numFmt w:val="lowerLetter"/>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99" Type="http://schemas.openxmlformats.org/officeDocument/2006/relationships/hyperlink" Target="http://www.sec.gov/Archives/edgar/data/1563880/000119312522249748/d378568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2022-11-10T16:04:42Z</dcterms:created>
  <dcterms:modified xsi:type="dcterms:W3CDTF">2022-11-10T16:04:42Z</dcterms:modified>
</cp:coreProperties>
</file>