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731520</wp:posOffset>
                </wp:positionH>
                <wp:positionV relativeFrom="page">
                  <wp:posOffset>789940</wp:posOffset>
                </wp:positionV>
                <wp:extent cx="630936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36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6pt,62.2pt" to="554.4pt,62.2pt" o:allowincell="f" strokecolor="#00000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731520</wp:posOffset>
                </wp:positionH>
                <wp:positionV relativeFrom="page">
                  <wp:posOffset>808990</wp:posOffset>
                </wp:positionV>
                <wp:extent cx="630936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36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6pt,63.7pt" to="554.4pt,63.7pt" o:allowincell="f" strokecolor="#000000" strokeweight="0.75pt">
                <w10:wrap anchorx="page" anchory="page"/>
              </v:line>
            </w:pict>
          </mc:Fallback>
        </mc:AlternateContent>
        <w:t>UNITED STATES</w:t>
      </w:r>
    </w:p>
    <w:p>
      <w:pPr>
        <w:jc w:val="center"/>
        <w:ind w:right="-7"/>
        <w:spacing w:after="0" w:line="220" w:lineRule="auto"/>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48895</wp:posOffset>
                </wp:positionV>
                <wp:extent cx="82296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3.85pt" to="280.8pt,3.85pt" o:allowincell="f" strokecolor="#000000" strokeweight="1pt"/>
            </w:pict>
          </mc:Fallback>
        </mc:AlternateContent>
      </w:r>
    </w:p>
    <w:p>
      <w:pPr>
        <w:spacing w:after="0" w:line="5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74930</wp:posOffset>
                </wp:positionV>
                <wp:extent cx="82296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5.9pt" to="280.8pt,5.9pt" o:allowincell="f" strokecolor="#000000" strokeweight="1pt"/>
            </w:pict>
          </mc:Fallback>
        </mc:AlternateContent>
      </w:r>
    </w:p>
    <w:p>
      <w:pPr>
        <w:spacing w:after="0" w:line="12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 w:lineRule="exact"/>
        <w:rPr>
          <w:sz w:val="24"/>
          <w:szCs w:val="24"/>
          <w:color w:val="auto"/>
        </w:rPr>
      </w:pPr>
    </w:p>
    <w:p>
      <w:pPr>
        <w:ind w:left="3448" w:right="1620" w:hanging="3448"/>
        <w:spacing w:after="0" w:line="271" w:lineRule="auto"/>
        <w:tabs>
          <w:tab w:leader="none" w:pos="481" w:val="left"/>
        </w:tabs>
        <w:numPr>
          <w:ilvl w:val="0"/>
          <w:numId w:val="1"/>
        </w:numPr>
        <w:rPr>
          <w:rFonts w:ascii="Segoe UI" w:cs="Segoe UI" w:eastAsia="Segoe UI" w:hAnsi="Segoe UI"/>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4848"/>
        <w:spacing w:after="0"/>
        <w:rPr>
          <w:rFonts w:ascii="Segoe UI" w:cs="Segoe UI" w:eastAsia="Segoe UI" w:hAnsi="Segoe UI"/>
          <w:sz w:val="16"/>
          <w:szCs w:val="16"/>
          <w:b w:val="1"/>
          <w:bCs w:val="1"/>
          <w:color w:val="auto"/>
        </w:rPr>
      </w:pPr>
      <w:r>
        <w:rPr>
          <w:rFonts w:ascii="Times New Roman" w:cs="Times New Roman" w:eastAsia="Times New Roman" w:hAnsi="Times New Roman"/>
          <w:sz w:val="16"/>
          <w:szCs w:val="16"/>
          <w:b w:val="1"/>
          <w:bCs w:val="1"/>
          <w:color w:val="auto"/>
        </w:rPr>
        <w:t>OR</w:t>
      </w:r>
    </w:p>
    <w:p>
      <w:pPr>
        <w:ind w:left="488" w:hanging="488"/>
        <w:spacing w:after="0" w:line="195" w:lineRule="auto"/>
        <w:tabs>
          <w:tab w:leader="none" w:pos="488" w:val="left"/>
        </w:tabs>
        <w:numPr>
          <w:ilvl w:val="0"/>
          <w:numId w:val="2"/>
        </w:numPr>
        <w:rPr>
          <w:rFonts w:ascii="Segoe UI" w:cs="Segoe UI" w:eastAsia="Segoe UI" w:hAnsi="Segoe UI"/>
          <w:sz w:val="5"/>
          <w:szCs w:val="5"/>
          <w:b w:val="1"/>
          <w:bCs w:val="1"/>
          <w:color w:val="auto"/>
        </w:rPr>
      </w:pPr>
      <w:r>
        <w:rPr>
          <w:rFonts w:ascii="Times New Roman" w:cs="Times New Roman" w:eastAsia="Times New Roman" w:hAnsi="Times New Roman"/>
          <w:sz w:val="5"/>
          <w:szCs w:val="5"/>
          <w:b w:val="1"/>
          <w:bCs w:val="1"/>
          <w:color w:val="auto"/>
        </w:rPr>
        <w:t>TRANSITION REPORT PURSUANT TO SECTION 13 OR 15(d) OF THE SECURITIES EXCHANGE ACT OF 1934 FOR THE</w:t>
      </w:r>
    </w:p>
    <w:p>
      <w:pPr>
        <w:spacing w:after="0" w:line="171" w:lineRule="exact"/>
        <w:rPr>
          <w:sz w:val="24"/>
          <w:szCs w:val="24"/>
          <w:color w:val="auto"/>
        </w:rPr>
      </w:pPr>
    </w:p>
    <w:p>
      <w:pPr>
        <w:ind w:left="488"/>
        <w:spacing w:after="0"/>
        <w:tabs>
          <w:tab w:leader="none" w:pos="3548" w:val="left"/>
        </w:tabs>
        <w:rPr>
          <w:sz w:val="20"/>
          <w:szCs w:val="20"/>
          <w:color w:val="auto"/>
        </w:rPr>
      </w:pPr>
      <w:r>
        <w:rPr>
          <w:rFonts w:ascii="Times New Roman" w:cs="Times New Roman" w:eastAsia="Times New Roman" w:hAnsi="Times New Roman"/>
          <w:sz w:val="16"/>
          <w:szCs w:val="16"/>
          <w:b w:val="1"/>
          <w:bCs w:val="1"/>
          <w:color w:val="auto"/>
        </w:rPr>
        <w:t>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Commission File Number 001-38886</w:t>
      </w:r>
    </w:p>
    <w:p>
      <w:pPr>
        <w:spacing w:after="0" w:line="8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36"/>
          <w:szCs w:val="36"/>
          <w:b w:val="1"/>
          <w:bCs w:val="1"/>
          <w:color w:val="auto"/>
        </w:rPr>
        <w:t>TREVI THERAPEUTICS,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-254000</wp:posOffset>
                </wp:positionV>
                <wp:extent cx="82296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20pt" to="280.8pt,-20pt" o:allowincell="f" strokecolor="#000000" strokeweight="1pt"/>
            </w:pict>
          </mc:Fallback>
        </mc:AlternateContent>
      </w: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48895</wp:posOffset>
                </wp:positionV>
                <wp:extent cx="82296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3.85pt" to="280.8pt,3.85pt" o:allowincell="f" strokecolor="#000000" strokeweight="1pt"/>
            </w:pict>
          </mc:Fallback>
        </mc:AlternateContent>
      </w:r>
    </w:p>
    <w:p>
      <w:pPr>
        <w:spacing w:after="0" w:line="68" w:lineRule="exact"/>
        <w:rPr>
          <w:sz w:val="24"/>
          <w:szCs w:val="24"/>
          <w:color w:val="auto"/>
        </w:rPr>
      </w:pPr>
    </w:p>
    <w:tbl>
      <w:tblPr>
        <w:tblLayout w:type="fixed"/>
        <w:tblInd w:w="1328" w:type="dxa"/>
        <w:tblCellMar>
          <w:top w:w="0" w:type="dxa"/>
          <w:left w:w="0" w:type="dxa"/>
          <w:bottom w:w="0" w:type="dxa"/>
          <w:right w:w="0" w:type="dxa"/>
        </w:tblCellMar>
      </w:tblPr>
      <w:tr>
        <w:trPr>
          <w:trHeight w:val="230"/>
        </w:trPr>
        <w:tc>
          <w:tcPr>
            <w:tcW w:w="3940" w:type="dxa"/>
            <w:vAlign w:val="bottom"/>
          </w:tcPr>
          <w:p>
            <w:pPr>
              <w:jc w:val="center"/>
              <w:ind w:right="1541"/>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2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45-0834299</w:t>
            </w:r>
          </w:p>
        </w:tc>
        <w:tc>
          <w:tcPr>
            <w:tcW w:w="0" w:type="dxa"/>
            <w:vAlign w:val="bottom"/>
          </w:tcPr>
          <w:p>
            <w:pPr>
              <w:spacing w:after="0"/>
              <w:rPr>
                <w:sz w:val="1"/>
                <w:szCs w:val="1"/>
                <w:color w:val="auto"/>
              </w:rPr>
            </w:pPr>
          </w:p>
        </w:tc>
      </w:tr>
      <w:tr>
        <w:trPr>
          <w:trHeight w:val="147"/>
        </w:trPr>
        <w:tc>
          <w:tcPr>
            <w:tcW w:w="3940" w:type="dxa"/>
            <w:vAlign w:val="bottom"/>
          </w:tcPr>
          <w:p>
            <w:pPr>
              <w:jc w:val="center"/>
              <w:ind w:right="1541"/>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40" w:type="dxa"/>
            <w:vAlign w:val="bottom"/>
          </w:tcPr>
          <w:p>
            <w:pPr>
              <w:jc w:val="center"/>
              <w:ind w:left="15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(I.R.S. Employer</w:t>
            </w:r>
          </w:p>
        </w:tc>
        <w:tc>
          <w:tcPr>
            <w:tcW w:w="0" w:type="dxa"/>
            <w:vAlign w:val="bottom"/>
          </w:tcPr>
          <w:p>
            <w:pPr>
              <w:spacing w:after="0"/>
              <w:rPr>
                <w:sz w:val="1"/>
                <w:szCs w:val="1"/>
                <w:color w:val="auto"/>
              </w:rPr>
            </w:pPr>
          </w:p>
        </w:tc>
      </w:tr>
      <w:tr>
        <w:trPr>
          <w:trHeight w:val="141"/>
        </w:trPr>
        <w:tc>
          <w:tcPr>
            <w:tcW w:w="3940" w:type="dxa"/>
            <w:vAlign w:val="bottom"/>
          </w:tcPr>
          <w:p>
            <w:pPr>
              <w:jc w:val="center"/>
              <w:ind w:right="1541"/>
              <w:spacing w:after="0" w:line="14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40" w:type="dxa"/>
            <w:vAlign w:val="bottom"/>
          </w:tcPr>
          <w:p>
            <w:pPr>
              <w:jc w:val="center"/>
              <w:ind w:left="1560"/>
              <w:spacing w:after="0" w:line="141"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74"/>
        </w:trPr>
        <w:tc>
          <w:tcPr>
            <w:tcW w:w="3940" w:type="dxa"/>
            <w:vAlign w:val="bottom"/>
          </w:tcPr>
          <w:p>
            <w:pPr>
              <w:jc w:val="center"/>
              <w:ind w:right="1541"/>
              <w:spacing w:after="0" w:line="174" w:lineRule="exact"/>
              <w:rPr>
                <w:sz w:val="20"/>
                <w:szCs w:val="20"/>
                <w:color w:val="auto"/>
              </w:rPr>
            </w:pPr>
            <w:r>
              <w:rPr>
                <w:rFonts w:ascii="Times New Roman" w:cs="Times New Roman" w:eastAsia="Times New Roman" w:hAnsi="Times New Roman"/>
                <w:sz w:val="15"/>
                <w:szCs w:val="15"/>
                <w:b w:val="1"/>
                <w:bCs w:val="1"/>
                <w:color w:val="auto"/>
              </w:rPr>
              <w:t>195 Church Street, 16</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5"/>
                <w:szCs w:val="15"/>
                <w:b w:val="1"/>
                <w:bCs w:val="1"/>
                <w:color w:val="auto"/>
              </w:rPr>
              <w:t xml:space="preserve"> Floor</w:t>
            </w:r>
          </w:p>
        </w:tc>
        <w:tc>
          <w:tcPr>
            <w:tcW w:w="274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06510</w:t>
            </w:r>
          </w:p>
        </w:tc>
        <w:tc>
          <w:tcPr>
            <w:tcW w:w="0" w:type="dxa"/>
            <w:vAlign w:val="bottom"/>
          </w:tcPr>
          <w:p>
            <w:pPr>
              <w:spacing w:after="0"/>
              <w:rPr>
                <w:sz w:val="1"/>
                <w:szCs w:val="1"/>
                <w:color w:val="auto"/>
              </w:rPr>
            </w:pPr>
          </w:p>
        </w:tc>
      </w:tr>
      <w:tr>
        <w:trPr>
          <w:trHeight w:val="184"/>
        </w:trPr>
        <w:tc>
          <w:tcPr>
            <w:tcW w:w="3940" w:type="dxa"/>
            <w:vAlign w:val="bottom"/>
          </w:tcPr>
          <w:p>
            <w:pPr>
              <w:jc w:val="center"/>
              <w:ind w:right="1561"/>
              <w:spacing w:after="0" w:line="184" w:lineRule="exact"/>
              <w:rPr>
                <w:sz w:val="20"/>
                <w:szCs w:val="20"/>
                <w:color w:val="auto"/>
              </w:rPr>
            </w:pPr>
            <w:r>
              <w:rPr>
                <w:rFonts w:ascii="Times New Roman" w:cs="Times New Roman" w:eastAsia="Times New Roman" w:hAnsi="Times New Roman"/>
                <w:sz w:val="18"/>
                <w:szCs w:val="18"/>
                <w:b w:val="1"/>
                <w:bCs w:val="1"/>
                <w:color w:val="auto"/>
                <w:w w:val="99"/>
              </w:rPr>
              <w:t>New Haven, Connecticut</w:t>
            </w:r>
          </w:p>
        </w:tc>
        <w:tc>
          <w:tcPr>
            <w:tcW w:w="2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940" w:type="dxa"/>
            <w:vAlign w:val="bottom"/>
          </w:tcPr>
          <w:p>
            <w:pPr>
              <w:jc w:val="center"/>
              <w:ind w:right="15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40" w:type="dxa"/>
            <w:vAlign w:val="bottom"/>
          </w:tcPr>
          <w:p>
            <w:pPr>
              <w:jc w:val="center"/>
              <w:ind w:left="1540"/>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0" w:type="dxa"/>
            <w:vAlign w:val="bottom"/>
          </w:tcPr>
          <w:p>
            <w:pPr>
              <w:spacing w:after="0"/>
              <w:rPr>
                <w:sz w:val="1"/>
                <w:szCs w:val="1"/>
                <w:color w:val="auto"/>
              </w:rPr>
            </w:pPr>
          </w:p>
        </w:tc>
      </w:tr>
    </w:tbl>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(203) 304-2499</w:t>
      </w:r>
    </w:p>
    <w:p>
      <w:pPr>
        <w:spacing w:after="0" w:line="1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6"/>
          <w:szCs w:val="6"/>
          <w:color w:val="auto"/>
        </w:rPr>
        <w: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15875</wp:posOffset>
                </wp:positionV>
                <wp:extent cx="82296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29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1.25pt" to="280.8pt,1.25pt" o:allowincell="f" strokecolor="#000000" strokeweight="1pt"/>
            </w:pict>
          </mc:Fallback>
        </mc:AlternateContent>
      </w:r>
    </w:p>
    <w:p>
      <w:pPr>
        <w:spacing w:after="0" w:line="4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5" w:lineRule="exact"/>
        <w:rPr>
          <w:sz w:val="24"/>
          <w:szCs w:val="24"/>
          <w:color w:val="auto"/>
        </w:rPr>
      </w:pPr>
    </w:p>
    <w:tbl>
      <w:tblPr>
        <w:tblLayout w:type="fixed"/>
        <w:tblInd w:w="8" w:type="dxa"/>
        <w:tblCellMar>
          <w:top w:w="0" w:type="dxa"/>
          <w:left w:w="0" w:type="dxa"/>
          <w:bottom w:w="0" w:type="dxa"/>
          <w:right w:w="0" w:type="dxa"/>
        </w:tblCellMar>
      </w:tblPr>
      <w:tr>
        <w:trPr>
          <w:trHeight w:val="184"/>
        </w:trPr>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0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1720" w:type="dxa"/>
            <w:vAlign w:val="bottom"/>
          </w:tcPr>
          <w:p>
            <w:pPr>
              <w:jc w:val="center"/>
              <w:ind w:right="397"/>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00" w:type="dxa"/>
            <w:vAlign w:val="bottom"/>
          </w:tcPr>
          <w:p>
            <w:pPr>
              <w:spacing w:after="0"/>
              <w:rPr>
                <w:sz w:val="16"/>
                <w:szCs w:val="16"/>
                <w:color w:val="auto"/>
              </w:rPr>
            </w:pPr>
          </w:p>
        </w:tc>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tcPr>
          <w:p>
            <w:pPr>
              <w:jc w:val="center"/>
              <w:ind w:right="397"/>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17"/>
                <w:szCs w:val="17"/>
                <w:color w:val="auto"/>
              </w:rPr>
            </w:pPr>
          </w:p>
        </w:tc>
        <w:tc>
          <w:tcPr>
            <w:tcW w:w="3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3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1720" w:type="dxa"/>
            <w:vAlign w:val="bottom"/>
          </w:tcPr>
          <w:p>
            <w:pPr>
              <w:jc w:val="center"/>
              <w:ind w:right="397"/>
              <w:spacing w:after="0"/>
              <w:rPr>
                <w:sz w:val="20"/>
                <w:szCs w:val="20"/>
                <w:color w:val="auto"/>
              </w:rPr>
            </w:pPr>
            <w:r>
              <w:rPr>
                <w:rFonts w:ascii="Times New Roman" w:cs="Times New Roman" w:eastAsia="Times New Roman" w:hAnsi="Times New Roman"/>
                <w:sz w:val="18"/>
                <w:szCs w:val="18"/>
                <w:b w:val="1"/>
                <w:bCs w:val="1"/>
                <w:color w:val="auto"/>
                <w:w w:val="97"/>
              </w:rPr>
              <w:t>TRVI</w:t>
            </w:r>
          </w:p>
        </w:tc>
        <w:tc>
          <w:tcPr>
            <w:tcW w:w="1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26"/>
        </w:trPr>
        <w:tc>
          <w:tcPr>
            <w:tcW w:w="43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4" w:lineRule="exact"/>
        <w:rPr>
          <w:sz w:val="24"/>
          <w:szCs w:val="24"/>
          <w:color w:val="auto"/>
        </w:rPr>
      </w:pPr>
    </w:p>
    <w:p>
      <w:pPr>
        <w:ind w:left="8" w:right="1480"/>
        <w:spacing w:after="0" w:line="288"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շ</w:t>
      </w:r>
    </w:p>
    <w:p>
      <w:pPr>
        <w:spacing w:after="0" w:line="2" w:lineRule="exact"/>
        <w:rPr>
          <w:sz w:val="24"/>
          <w:szCs w:val="24"/>
          <w:color w:val="auto"/>
        </w:rPr>
      </w:pPr>
    </w:p>
    <w:p>
      <w:pPr>
        <w:ind w:left="8" w:right="100"/>
        <w:spacing w:after="0" w:line="236"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6"/>
          <w:szCs w:val="16"/>
          <w:color w:val="auto"/>
        </w:rPr>
        <w:t xml:space="preserve">requirements for the past 90 days. 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ն</w:t>
      </w:r>
    </w:p>
    <w:p>
      <w:pPr>
        <w:spacing w:after="0" w:line="30" w:lineRule="exact"/>
        <w:rPr>
          <w:sz w:val="24"/>
          <w:szCs w:val="24"/>
          <w:color w:val="auto"/>
        </w:rPr>
      </w:pPr>
    </w:p>
    <w:p>
      <w:pPr>
        <w:ind w:left="8"/>
        <w:spacing w:after="0" w:line="18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w:t>
      </w:r>
    </w:p>
    <w:p>
      <w:pPr>
        <w:spacing w:after="0" w:line="14" w:lineRule="exact"/>
        <w:rPr>
          <w:sz w:val="24"/>
          <w:szCs w:val="24"/>
          <w:color w:val="auto"/>
        </w:rPr>
      </w:pPr>
    </w:p>
    <w:p>
      <w:pPr>
        <w:ind w:left="8" w:right="180"/>
        <w:spacing w:after="0" w:line="23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8" w:type="dxa"/>
        <w:tblCellMar>
          <w:top w:w="0" w:type="dxa"/>
          <w:left w:w="0" w:type="dxa"/>
          <w:bottom w:w="0" w:type="dxa"/>
          <w:right w:w="0" w:type="dxa"/>
        </w:tblCellMar>
      </w:tblPr>
      <w:tr>
        <w:trPr>
          <w:trHeight w:val="266"/>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960" w:type="dxa"/>
            <w:vAlign w:val="bottom"/>
          </w:tcPr>
          <w:p>
            <w:pPr>
              <w:ind w:left="160"/>
              <w:spacing w:after="0"/>
              <w:rPr>
                <w:sz w:val="20"/>
                <w:szCs w:val="20"/>
                <w:color w:val="auto"/>
              </w:rPr>
            </w:pPr>
            <w:r>
              <w:rPr>
                <w:rFonts w:ascii="Segoe UI" w:cs="Segoe UI" w:eastAsia="Segoe UI" w:hAnsi="Segoe UI"/>
                <w:sz w:val="17"/>
                <w:szCs w:val="17"/>
                <w:color w:val="auto"/>
              </w:rPr>
              <w:t>ն</w:t>
            </w:r>
          </w:p>
        </w:tc>
        <w:tc>
          <w:tcPr>
            <w:tcW w:w="46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Accelerated filer</w:t>
            </w:r>
          </w:p>
        </w:tc>
        <w:tc>
          <w:tcPr>
            <w:tcW w:w="280" w:type="dxa"/>
            <w:vAlign w:val="bottom"/>
          </w:tcPr>
          <w:p>
            <w:pPr>
              <w:ind w:left="140"/>
              <w:spacing w:after="0"/>
              <w:rPr>
                <w:sz w:val="20"/>
                <w:szCs w:val="20"/>
                <w:color w:val="auto"/>
              </w:rPr>
            </w:pPr>
            <w:r>
              <w:rPr>
                <w:rFonts w:ascii="Segoe UI" w:cs="Segoe UI" w:eastAsia="Segoe UI" w:hAnsi="Segoe UI"/>
                <w:sz w:val="17"/>
                <w:szCs w:val="17"/>
                <w:color w:val="auto"/>
              </w:rPr>
              <w:t>ն</w:t>
            </w:r>
          </w:p>
        </w:tc>
      </w:tr>
      <w:tr>
        <w:trPr>
          <w:trHeight w:val="263"/>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960" w:type="dxa"/>
            <w:vAlign w:val="bottom"/>
          </w:tcPr>
          <w:p>
            <w:pPr>
              <w:ind w:left="160"/>
              <w:spacing w:after="0"/>
              <w:rPr>
                <w:sz w:val="20"/>
                <w:szCs w:val="20"/>
                <w:color w:val="auto"/>
              </w:rPr>
            </w:pPr>
            <w:r>
              <w:rPr>
                <w:rFonts w:ascii="Segoe UI" w:cs="Segoe UI" w:eastAsia="Segoe UI" w:hAnsi="Segoe UI"/>
                <w:sz w:val="17"/>
                <w:szCs w:val="17"/>
                <w:color w:val="auto"/>
              </w:rPr>
              <w:t>շ</w:t>
            </w:r>
          </w:p>
        </w:tc>
        <w:tc>
          <w:tcPr>
            <w:tcW w:w="46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Smaller reporting compan</w:t>
            </w:r>
            <w:r>
              <w:rPr>
                <w:rFonts w:ascii="Times New Roman" w:cs="Times New Roman" w:eastAsia="Times New Roman" w:hAnsi="Times New Roman"/>
                <w:sz w:val="18"/>
                <w:szCs w:val="18"/>
                <w:color w:val="auto"/>
              </w:rPr>
              <w:t>y</w:t>
            </w:r>
          </w:p>
        </w:tc>
        <w:tc>
          <w:tcPr>
            <w:tcW w:w="280" w:type="dxa"/>
            <w:vAlign w:val="bottom"/>
          </w:tcPr>
          <w:p>
            <w:pPr>
              <w:ind w:left="140"/>
              <w:spacing w:after="0"/>
              <w:rPr>
                <w:sz w:val="20"/>
                <w:szCs w:val="20"/>
                <w:color w:val="auto"/>
              </w:rPr>
            </w:pPr>
            <w:r>
              <w:rPr>
                <w:rFonts w:ascii="Segoe UI" w:cs="Segoe UI" w:eastAsia="Segoe UI" w:hAnsi="Segoe UI"/>
                <w:sz w:val="17"/>
                <w:szCs w:val="17"/>
                <w:color w:val="auto"/>
              </w:rPr>
              <w:t>շ</w:t>
            </w:r>
          </w:p>
        </w:tc>
      </w:tr>
      <w:tr>
        <w:trPr>
          <w:trHeight w:val="275"/>
        </w:trPr>
        <w:tc>
          <w:tcPr>
            <w:tcW w:w="200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2960" w:type="dxa"/>
            <w:vAlign w:val="bottom"/>
          </w:tcPr>
          <w:p>
            <w:pPr>
              <w:ind w:left="160"/>
              <w:spacing w:after="0"/>
              <w:rPr>
                <w:sz w:val="20"/>
                <w:szCs w:val="20"/>
                <w:color w:val="auto"/>
              </w:rPr>
            </w:pPr>
            <w:r>
              <w:rPr>
                <w:rFonts w:ascii="Segoe UI" w:cs="Segoe UI" w:eastAsia="Segoe UI" w:hAnsi="Segoe UI"/>
                <w:sz w:val="17"/>
                <w:szCs w:val="17"/>
                <w:color w:val="auto"/>
              </w:rPr>
              <w:t>ն</w:t>
            </w:r>
          </w:p>
        </w:tc>
        <w:tc>
          <w:tcPr>
            <w:tcW w:w="4680" w:type="dxa"/>
            <w:vAlign w:val="bottom"/>
          </w:tcPr>
          <w:p>
            <w:pPr>
              <w:spacing w:after="0"/>
              <w:rPr>
                <w:sz w:val="23"/>
                <w:szCs w:val="23"/>
                <w:color w:val="auto"/>
              </w:rPr>
            </w:pPr>
          </w:p>
        </w:tc>
        <w:tc>
          <w:tcPr>
            <w:tcW w:w="280" w:type="dxa"/>
            <w:vAlign w:val="bottom"/>
          </w:tcPr>
          <w:p>
            <w:pPr>
              <w:spacing w:after="0"/>
              <w:rPr>
                <w:sz w:val="23"/>
                <w:szCs w:val="23"/>
                <w:color w:val="auto"/>
              </w:rPr>
            </w:pPr>
          </w:p>
        </w:tc>
      </w:tr>
    </w:tbl>
    <w:p>
      <w:pPr>
        <w:ind w:left="8" w:right="80"/>
        <w:spacing w:after="0" w:line="25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ն</w:t>
      </w:r>
    </w:p>
    <w:p>
      <w:pPr>
        <w:spacing w:after="0" w:line="1" w:lineRule="exact"/>
        <w:rPr>
          <w:sz w:val="24"/>
          <w:szCs w:val="24"/>
          <w:color w:val="auto"/>
        </w:rPr>
      </w:pPr>
    </w:p>
    <w:p>
      <w:pPr>
        <w:ind w:left="8" w:right="460"/>
        <w:spacing w:after="0" w:line="236" w:lineRule="auto"/>
        <w:rPr>
          <w:sz w:val="20"/>
          <w:szCs w:val="20"/>
          <w:color w:val="auto"/>
        </w:rPr>
      </w:pPr>
      <w:r>
        <w:rPr>
          <w:rFonts w:ascii="Times New Roman" w:cs="Times New Roman" w:eastAsia="Times New Roman" w:hAnsi="Times New Roman"/>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6"/>
          <w:szCs w:val="16"/>
          <w:color w:val="auto"/>
        </w:rPr>
        <w:t xml:space="preserve">prepared or issued its audit report. </w:t>
      </w:r>
      <w:r>
        <w:rPr>
          <w:rFonts w:ascii="Segoe UI" w:cs="Segoe UI" w:eastAsia="Segoe UI" w:hAnsi="Segoe UI"/>
          <w:sz w:val="16"/>
          <w:szCs w:val="16"/>
          <w:color w:val="auto"/>
        </w:rPr>
        <w:t>ն</w:t>
      </w:r>
    </w:p>
    <w:p>
      <w:pPr>
        <w:spacing w:after="0" w:line="30" w:lineRule="exact"/>
        <w:rPr>
          <w:sz w:val="24"/>
          <w:szCs w:val="24"/>
          <w:color w:val="auto"/>
        </w:rPr>
      </w:pPr>
    </w:p>
    <w:p>
      <w:pPr>
        <w:ind w:left="8" w:right="200"/>
        <w:spacing w:after="0" w:line="252"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ն</w:t>
      </w:r>
    </w:p>
    <w:p>
      <w:pPr>
        <w:spacing w:after="0" w:line="1" w:lineRule="exact"/>
        <w:rPr>
          <w:sz w:val="24"/>
          <w:szCs w:val="24"/>
          <w:color w:val="auto"/>
        </w:rPr>
      </w:pPr>
    </w:p>
    <w:p>
      <w:pPr>
        <w:ind w:left="8" w:right="20"/>
        <w:spacing w:after="0" w:line="253"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ն</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շ</w:t>
      </w:r>
    </w:p>
    <w:p>
      <w:pPr>
        <w:spacing w:after="0" w:line="39" w:lineRule="exact"/>
        <w:rPr>
          <w:sz w:val="24"/>
          <w:szCs w:val="24"/>
          <w:color w:val="auto"/>
        </w:rPr>
      </w:pPr>
    </w:p>
    <w:p>
      <w:pPr>
        <w:ind w:left="8" w:right="120"/>
        <w:spacing w:after="0" w:line="223"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was $588.4 million.</w:t>
      </w:r>
    </w:p>
    <w:p>
      <w:pPr>
        <w:spacing w:after="0" w:line="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6"/>
          <w:szCs w:val="16"/>
          <w:color w:val="auto"/>
        </w:rPr>
        <w:t>The number of shares of the Registrant’s Common Stock outstanding as of March 12, 2026 was 128,397,271.</w:t>
      </w:r>
    </w:p>
    <w:p>
      <w:pPr>
        <w:spacing w:after="0" w:line="22" w:lineRule="exact"/>
        <w:rPr>
          <w:sz w:val="24"/>
          <w:szCs w:val="24"/>
          <w:color w:val="auto"/>
        </w:rPr>
      </w:pPr>
    </w:p>
    <w:p>
      <w:pPr>
        <w:ind w:left="3228"/>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0" w:lineRule="exact"/>
        <w:rPr>
          <w:sz w:val="24"/>
          <w:szCs w:val="24"/>
          <w:color w:val="auto"/>
        </w:rPr>
      </w:pPr>
    </w:p>
    <w:p>
      <w:pPr>
        <w:ind w:left="8" w:right="40"/>
        <w:spacing w:after="0" w:line="237" w:lineRule="auto"/>
        <w:rPr>
          <w:sz w:val="20"/>
          <w:szCs w:val="20"/>
          <w:color w:val="auto"/>
        </w:rPr>
      </w:pPr>
      <w:r>
        <w:rPr>
          <w:rFonts w:ascii="Times New Roman" w:cs="Times New Roman" w:eastAsia="Times New Roman" w:hAnsi="Times New Roman"/>
          <w:sz w:val="16"/>
          <w:szCs w:val="16"/>
          <w:color w:val="auto"/>
        </w:rPr>
        <w:t>Portions of the Proxy Statement for the registrant’s 2026 Annual Meeting of Stockholders are incorporated by reference into Part III of this Annual Report on 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51435</wp:posOffset>
                </wp:positionV>
                <wp:extent cx="630936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36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05pt" to="496.8pt,4.05pt" o:allowincell="f" strokecolor="#00000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70485</wp:posOffset>
                </wp:positionV>
                <wp:extent cx="630936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36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55pt" to="496.8pt,5.55pt" o:allowincell="f" strokecolor="#000000" strokeweight="0.75pt"/>
            </w:pict>
          </mc:Fallback>
        </mc:AlternateContent>
      </w:r>
    </w:p>
    <w:p>
      <w:pPr>
        <w:sectPr>
          <w:pgSz w:w="12240" w:h="15840" w:orient="portrait"/>
          <w:cols w:equalWidth="0" w:num="1">
            <w:col w:w="9928"/>
          </w:cols>
          <w:pgMar w:left="1152" w:top="1277" w:right="1160" w:bottom="1440" w:gutter="0" w:footer="0" w:header="0"/>
        </w:sectPr>
      </w:pPr>
    </w:p>
    <w:bookmarkStart w:id="1" w:name="page2"/>
    <w:bookmarkEnd w:id="1"/>
    <w:p>
      <w:pPr>
        <w:ind w:left="455"/>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 AND INDUSTRY DATA</w:t>
      </w:r>
    </w:p>
    <w:p>
      <w:pPr>
        <w:spacing w:after="0" w:line="116" w:lineRule="exact"/>
        <w:rPr>
          <w:sz w:val="20"/>
          <w:szCs w:val="20"/>
          <w:color w:val="auto"/>
        </w:rPr>
      </w:pPr>
    </w:p>
    <w:p>
      <w:pPr>
        <w:ind w:left="15" w:right="200" w:firstLine="490"/>
        <w:spacing w:after="0" w:line="236"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that involve substantial risks and uncertainties. All statements, other than statements of historical fact, contained in this Annual Report on Form 10-K,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80" w:lineRule="exact"/>
        <w:rPr>
          <w:sz w:val="20"/>
          <w:szCs w:val="20"/>
          <w:color w:val="auto"/>
        </w:rPr>
      </w:pPr>
    </w:p>
    <w:p>
      <w:pPr>
        <w:ind w:left="495"/>
        <w:spacing w:after="0"/>
        <w:rPr>
          <w:sz w:val="20"/>
          <w:szCs w:val="20"/>
          <w:color w:val="auto"/>
        </w:rPr>
      </w:pPr>
      <w:r>
        <w:rPr>
          <w:rFonts w:ascii="Times New Roman" w:cs="Times New Roman" w:eastAsia="Times New Roman" w:hAnsi="Times New Roman"/>
          <w:sz w:val="20"/>
          <w:szCs w:val="20"/>
          <w:color w:val="auto"/>
        </w:rPr>
        <w:t>The forward-looking statements in this Annual Report on Form 10-K include, among other things, statements about:</w:t>
      </w:r>
    </w:p>
    <w:p>
      <w:pPr>
        <w:spacing w:after="0" w:line="133" w:lineRule="exact"/>
        <w:rPr>
          <w:sz w:val="20"/>
          <w:szCs w:val="20"/>
          <w:color w:val="auto"/>
        </w:rPr>
      </w:pPr>
    </w:p>
    <w:p>
      <w:pPr>
        <w:ind w:left="375" w:right="280" w:hanging="368"/>
        <w:spacing w:after="0" w:line="258" w:lineRule="auto"/>
        <w:tabs>
          <w:tab w:leader="none" w:pos="375"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plans to develop and, if approved, subsequently commercialize Haduvio for the treatment of chronic cough in patients with idiopathic pulmonary fibrosis, or IPF, non-IPF interstitial lung disease, or non-IPF ILD, and refractory chronic cough, or RCC;</w:t>
      </w:r>
    </w:p>
    <w:p>
      <w:pPr>
        <w:spacing w:after="0" w:line="81" w:lineRule="exact"/>
        <w:rPr>
          <w:rFonts w:ascii="Arial" w:cs="Arial" w:eastAsia="Arial" w:hAnsi="Arial"/>
          <w:sz w:val="20"/>
          <w:szCs w:val="20"/>
          <w:color w:val="auto"/>
        </w:rPr>
      </w:pPr>
    </w:p>
    <w:p>
      <w:pPr>
        <w:ind w:left="375" w:right="120" w:hanging="368"/>
        <w:spacing w:after="0" w:line="252" w:lineRule="auto"/>
        <w:tabs>
          <w:tab w:leader="none" w:pos="375"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clinical trials, including our planned Phase 3 trials of Haduvio for the treatment of chronic cough in patients with IPF, our planned adaptive design Phase 2b clinical trial of Haduvio for the treatment of chronic cough in patients with non-IPF ILD, our planned Phase 2b trial of Haduvio for the treatment of patients with RCC, and our planned Phase 1 NDA supportive studies;</w:t>
      </w:r>
    </w:p>
    <w:p>
      <w:pPr>
        <w:spacing w:after="0" w:line="87" w:lineRule="exact"/>
        <w:rPr>
          <w:rFonts w:ascii="Arial" w:cs="Arial" w:eastAsia="Arial" w:hAnsi="Arial"/>
          <w:sz w:val="20"/>
          <w:szCs w:val="20"/>
          <w:color w:val="auto"/>
        </w:rPr>
      </w:pPr>
    </w:p>
    <w:p>
      <w:pPr>
        <w:ind w:left="375" w:hanging="375"/>
        <w:spacing w:after="0"/>
        <w:tabs>
          <w:tab w:leader="none" w:pos="375"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regarding the timing for the initiation of clinical trials and the reporting of data from such trials;</w:t>
      </w:r>
    </w:p>
    <w:p>
      <w:pPr>
        <w:spacing w:after="0" w:line="133" w:lineRule="exact"/>
        <w:rPr>
          <w:rFonts w:ascii="Arial" w:cs="Arial" w:eastAsia="Arial" w:hAnsi="Arial"/>
          <w:sz w:val="20"/>
          <w:szCs w:val="20"/>
          <w:color w:val="auto"/>
        </w:rPr>
      </w:pPr>
    </w:p>
    <w:p>
      <w:pPr>
        <w:ind w:left="375" w:hanging="375"/>
        <w:spacing w:after="0"/>
        <w:tabs>
          <w:tab w:leader="none" w:pos="375"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and our ability to submit applications for and to obtain and maintain regulatory approvals for Haduvio;</w:t>
      </w:r>
    </w:p>
    <w:p>
      <w:pPr>
        <w:spacing w:after="0" w:line="133" w:lineRule="exact"/>
        <w:rPr>
          <w:rFonts w:ascii="Arial" w:cs="Arial" w:eastAsia="Arial" w:hAnsi="Arial"/>
          <w:sz w:val="20"/>
          <w:szCs w:val="20"/>
          <w:color w:val="auto"/>
        </w:rPr>
      </w:pPr>
    </w:p>
    <w:p>
      <w:pPr>
        <w:ind w:left="375" w:hanging="375"/>
        <w:spacing w:after="0" w:line="276" w:lineRule="auto"/>
        <w:tabs>
          <w:tab w:leader="none" w:pos="375"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expectations regarding our ability to fund our operating expenses, including our ongoing and planned clinical trials, with our cash, cash equivalents and marketable securities;</w:t>
      </w:r>
    </w:p>
    <w:p>
      <w:pPr>
        <w:spacing w:after="0" w:line="64" w:lineRule="exact"/>
        <w:rPr>
          <w:rFonts w:ascii="Arial" w:cs="Arial" w:eastAsia="Arial" w:hAnsi="Arial"/>
          <w:sz w:val="20"/>
          <w:szCs w:val="20"/>
          <w:color w:val="auto"/>
        </w:rPr>
      </w:pPr>
    </w:p>
    <w:p>
      <w:pPr>
        <w:ind w:left="375" w:hanging="375"/>
        <w:spacing w:after="0"/>
        <w:tabs>
          <w:tab w:leader="none" w:pos="375"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regarding expenses, capital requirements and needs for additional financing;</w:t>
      </w:r>
    </w:p>
    <w:p>
      <w:pPr>
        <w:spacing w:after="0" w:line="133" w:lineRule="exact"/>
        <w:rPr>
          <w:rFonts w:ascii="Arial" w:cs="Arial" w:eastAsia="Arial" w:hAnsi="Arial"/>
          <w:sz w:val="20"/>
          <w:szCs w:val="20"/>
          <w:color w:val="auto"/>
        </w:rPr>
      </w:pPr>
    </w:p>
    <w:p>
      <w:pPr>
        <w:ind w:left="375" w:hanging="375"/>
        <w:spacing w:after="0"/>
        <w:tabs>
          <w:tab w:leader="none" w:pos="375"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government laws and regulations;</w:t>
      </w:r>
    </w:p>
    <w:p>
      <w:pPr>
        <w:spacing w:after="0" w:line="133" w:lineRule="exact"/>
        <w:rPr>
          <w:rFonts w:ascii="Arial" w:cs="Arial" w:eastAsia="Arial" w:hAnsi="Arial"/>
          <w:sz w:val="20"/>
          <w:szCs w:val="20"/>
          <w:color w:val="auto"/>
        </w:rPr>
      </w:pPr>
    </w:p>
    <w:p>
      <w:pPr>
        <w:ind w:left="375" w:hanging="368"/>
        <w:spacing w:after="0"/>
        <w:tabs>
          <w:tab w:leader="none" w:pos="375"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competitive position; and</w:t>
      </w:r>
    </w:p>
    <w:p>
      <w:pPr>
        <w:spacing w:after="0" w:line="133" w:lineRule="exact"/>
        <w:rPr>
          <w:rFonts w:ascii="Arial" w:cs="Arial" w:eastAsia="Arial" w:hAnsi="Arial"/>
          <w:sz w:val="20"/>
          <w:szCs w:val="20"/>
          <w:color w:val="auto"/>
        </w:rPr>
      </w:pPr>
    </w:p>
    <w:p>
      <w:pPr>
        <w:ind w:left="375" w:hanging="368"/>
        <w:spacing w:after="0"/>
        <w:tabs>
          <w:tab w:leader="none" w:pos="375"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collaborations.</w:t>
      </w:r>
    </w:p>
    <w:p>
      <w:pPr>
        <w:spacing w:after="0" w:line="111" w:lineRule="exact"/>
        <w:rPr>
          <w:sz w:val="20"/>
          <w:szCs w:val="20"/>
          <w:color w:val="auto"/>
        </w:rPr>
      </w:pPr>
    </w:p>
    <w:p>
      <w:pPr>
        <w:ind w:left="15" w:right="240" w:firstLine="490"/>
        <w:spacing w:after="0" w:line="236" w:lineRule="auto"/>
        <w:rPr>
          <w:sz w:val="20"/>
          <w:szCs w:val="20"/>
          <w:color w:val="auto"/>
        </w:rPr>
      </w:pPr>
      <w:r>
        <w:rPr>
          <w:rFonts w:ascii="Times New Roman" w:cs="Times New Roman" w:eastAsia="Times New Roman" w:hAnsi="Times New Roman"/>
          <w:sz w:val="20"/>
          <w:szCs w:val="20"/>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80" w:lineRule="exact"/>
        <w:rPr>
          <w:sz w:val="20"/>
          <w:szCs w:val="20"/>
          <w:color w:val="auto"/>
        </w:rPr>
      </w:pPr>
    </w:p>
    <w:p>
      <w:pPr>
        <w:ind w:left="15" w:right="100" w:firstLine="490"/>
        <w:spacing w:after="0" w:line="239" w:lineRule="auto"/>
        <w:rPr>
          <w:sz w:val="20"/>
          <w:szCs w:val="20"/>
          <w:color w:val="auto"/>
        </w:rPr>
      </w:pPr>
      <w:r>
        <w:rPr>
          <w:rFonts w:ascii="Times New Roman" w:cs="Times New Roman" w:eastAsia="Times New Roman" w:hAnsi="Times New Roman"/>
          <w:sz w:val="20"/>
          <w:szCs w:val="20"/>
          <w:color w:val="auto"/>
        </w:rPr>
        <w:t>You should read this Annual Report on Form 10-K and the documents that we have filed as exhibits to this Annual Report on Form 10-K completely and with the understanding that our actual future results may differ materially from what we expect. The forward-looking statements contained in this Annual Report on Form 10-K are made as of the date of this Annual Report on Form 10-K, and we do not assume any obligation to update any forward-looking statements except as required by applicable law.</w:t>
      </w:r>
    </w:p>
    <w:p>
      <w:pPr>
        <w:spacing w:after="0" w:line="77" w:lineRule="exact"/>
        <w:rPr>
          <w:sz w:val="20"/>
          <w:szCs w:val="20"/>
          <w:color w:val="auto"/>
        </w:rPr>
      </w:pPr>
    </w:p>
    <w:p>
      <w:pPr>
        <w:jc w:val="both"/>
        <w:ind w:left="15" w:right="280" w:firstLine="490"/>
        <w:spacing w:after="0" w:line="252" w:lineRule="auto"/>
        <w:rPr>
          <w:sz w:val="20"/>
          <w:szCs w:val="20"/>
          <w:color w:val="auto"/>
        </w:rPr>
      </w:pPr>
      <w:r>
        <w:rPr>
          <w:rFonts w:ascii="Times New Roman" w:cs="Times New Roman" w:eastAsia="Times New Roman" w:hAnsi="Times New Roman"/>
          <w:sz w:val="19"/>
          <w:szCs w:val="19"/>
          <w:color w:val="auto"/>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w:t>
      </w:r>
    </w:p>
    <w:p>
      <w:pPr>
        <w:spacing w:after="0" w:line="1" w:lineRule="exact"/>
        <w:rPr>
          <w:sz w:val="20"/>
          <w:szCs w:val="20"/>
          <w:color w:val="auto"/>
        </w:rPr>
      </w:pPr>
    </w:p>
    <w:p>
      <w:pPr>
        <w:ind w:left="15" w:right="80"/>
        <w:spacing w:after="0" w:line="233" w:lineRule="auto"/>
        <w:rPr>
          <w:sz w:val="20"/>
          <w:szCs w:val="20"/>
          <w:color w:val="auto"/>
        </w:rPr>
      </w:pPr>
      <w:r>
        <w:rPr>
          <w:rFonts w:ascii="Times New Roman" w:cs="Times New Roman" w:eastAsia="Times New Roman" w:hAnsi="Times New Roman"/>
          <w:sz w:val="20"/>
          <w:szCs w:val="20"/>
          <w:color w:val="auto"/>
        </w:rPr>
        <w:t>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75" w:lineRule="exact"/>
        <w:rPr>
          <w:sz w:val="20"/>
          <w:szCs w:val="20"/>
          <w:color w:val="auto"/>
        </w:rPr>
      </w:pPr>
    </w:p>
    <w:p>
      <w:pPr>
        <w:ind w:left="15" w:right="120" w:firstLine="490"/>
        <w:spacing w:after="0" w:line="229" w:lineRule="auto"/>
        <w:rPr>
          <w:sz w:val="20"/>
          <w:szCs w:val="20"/>
          <w:color w:val="auto"/>
        </w:rPr>
      </w:pPr>
      <w:r>
        <w:rPr>
          <w:rFonts w:ascii="Times New Roman" w:cs="Times New Roman" w:eastAsia="Times New Roman" w:hAnsi="Times New Roman"/>
          <w:sz w:val="20"/>
          <w:szCs w:val="20"/>
          <w:color w:val="auto"/>
        </w:rPr>
        <w:t>We own or have rights to trademarks, service marks and trade names that we use in connection with the operation of our business, including our corporate name, logos and website names. We own the trademarks Trevi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and Haduvio™.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and ™ symbols, but we will assert, to the fullest extent under</w:t>
      </w:r>
    </w:p>
    <w:p>
      <w:pPr>
        <w:sectPr>
          <w:pgSz w:w="12240" w:h="15840" w:orient="portrait"/>
          <w:cols w:equalWidth="0" w:num="1">
            <w:col w:w="9935"/>
          </w:cols>
          <w:pgMar w:left="1145" w:top="1128" w:right="1160" w:bottom="921" w:gutter="0" w:footer="0" w:header="0"/>
        </w:sectPr>
      </w:pPr>
    </w:p>
    <w:bookmarkStart w:id="2" w:name="page3"/>
    <w:bookmarkEnd w:id="2"/>
    <w:p>
      <w:pPr>
        <w:ind w:right="80"/>
        <w:spacing w:after="0" w:line="267" w:lineRule="auto"/>
        <w:rPr>
          <w:sz w:val="20"/>
          <w:szCs w:val="20"/>
          <w:color w:val="auto"/>
        </w:rPr>
      </w:pPr>
      <w:r>
        <w:rPr>
          <w:rFonts w:ascii="Times New Roman" w:cs="Times New Roman" w:eastAsia="Times New Roman" w:hAnsi="Times New Roman"/>
          <w:sz w:val="20"/>
          <w:szCs w:val="20"/>
          <w:color w:val="auto"/>
        </w:rPr>
        <w:t>applicable law, our rights to our trademarks, service marks and trade names. We intend to propose Haduvio as the trade name for our oral nalbuphine ER investigational product.</w:t>
      </w:r>
    </w:p>
    <w:p>
      <w:pPr>
        <w:sectPr>
          <w:pgSz w:w="12240" w:h="15840" w:orient="portrait"/>
          <w:cols w:equalWidth="0" w:num="1">
            <w:col w:w="9640"/>
          </w:cols>
          <w:pgMar w:left="1160" w:top="1124" w:right="1440" w:bottom="1440" w:gutter="0" w:footer="0" w:header="0"/>
        </w:sectPr>
      </w:pPr>
    </w:p>
    <w:bookmarkStart w:id="3" w:name="page4"/>
    <w:bookmarkEnd w:id="3"/>
    <w:p>
      <w:pPr>
        <w:ind w:left="3968"/>
        <w:spacing w:after="0"/>
        <w:rPr>
          <w:sz w:val="20"/>
          <w:szCs w:val="20"/>
          <w:color w:val="auto"/>
        </w:rPr>
      </w:pPr>
      <w:r>
        <w:rPr>
          <w:rFonts w:ascii="Times New Roman" w:cs="Times New Roman" w:eastAsia="Times New Roman" w:hAnsi="Times New Roman"/>
          <w:sz w:val="20"/>
          <w:szCs w:val="20"/>
          <w:b w:val="1"/>
          <w:bCs w:val="1"/>
          <w:color w:val="auto"/>
        </w:rPr>
        <w:t>RISK FACTOR SUMMARY</w:t>
      </w:r>
    </w:p>
    <w:p>
      <w:pPr>
        <w:spacing w:after="0" w:line="124" w:lineRule="exact"/>
        <w:rPr>
          <w:sz w:val="20"/>
          <w:szCs w:val="20"/>
          <w:color w:val="auto"/>
        </w:rPr>
      </w:pPr>
    </w:p>
    <w:p>
      <w:pPr>
        <w:ind w:left="8" w:right="60" w:firstLine="490"/>
        <w:spacing w:after="0" w:line="244" w:lineRule="auto"/>
        <w:rPr>
          <w:sz w:val="20"/>
          <w:szCs w:val="20"/>
          <w:color w:val="auto"/>
        </w:rPr>
      </w:pPr>
      <w:r>
        <w:rPr>
          <w:rFonts w:ascii="Times New Roman" w:cs="Times New Roman" w:eastAsia="Times New Roman" w:hAnsi="Times New Roman"/>
          <w:sz w:val="20"/>
          <w:szCs w:val="20"/>
          <w:color w:val="auto"/>
        </w:rPr>
        <w:t>The following is a summary of the principal factors that make an investment in our company speculative or risky. This summary does not address all of the risks and uncertainties that we face. Additional risks and uncertainties not presently known to us or that we presently deem less significant may also impair our business operations. Additional discussion of the risks summarized in this summary and other risks that we face, can be found in the “Risk Factors” section of this Annual Report on Form 10-K, and should be carefully considered, together with other information in this Annual Report on Form 10-K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00" w:lineRule="exact"/>
        <w:rPr>
          <w:sz w:val="20"/>
          <w:szCs w:val="20"/>
          <w:color w:val="auto"/>
        </w:rPr>
      </w:pPr>
    </w:p>
    <w:p>
      <w:pPr>
        <w:ind w:left="368" w:right="20" w:hanging="368"/>
        <w:spacing w:after="0" w:line="276" w:lineRule="auto"/>
        <w:tabs>
          <w:tab w:leader="none" w:pos="36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have incurred significant losses since inception and expect to continue to incur significant and increasing losses for the foreseeable future. We may never achieve or maintain profitability.</w:t>
      </w:r>
    </w:p>
    <w:p>
      <w:pPr>
        <w:spacing w:after="0" w:line="64" w:lineRule="exact"/>
        <w:rPr>
          <w:rFonts w:ascii="Arial" w:cs="Arial" w:eastAsia="Arial" w:hAnsi="Arial"/>
          <w:sz w:val="20"/>
          <w:szCs w:val="20"/>
          <w:color w:val="auto"/>
        </w:rPr>
      </w:pPr>
    </w:p>
    <w:p>
      <w:pPr>
        <w:ind w:left="368" w:right="420" w:hanging="368"/>
        <w:spacing w:after="0" w:line="258" w:lineRule="auto"/>
        <w:tabs>
          <w:tab w:leader="none" w:pos="36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will need substantial additional funding. If we are unable to raise sufficient capital when needed on acceptable terms or at all, we could be forced to delay, reduce or abandon our product development programs or commercialization efforts.</w:t>
      </w:r>
    </w:p>
    <w:p>
      <w:pPr>
        <w:spacing w:after="0" w:line="81" w:lineRule="exact"/>
        <w:rPr>
          <w:rFonts w:ascii="Arial" w:cs="Arial" w:eastAsia="Arial" w:hAnsi="Arial"/>
          <w:sz w:val="20"/>
          <w:szCs w:val="20"/>
          <w:color w:val="auto"/>
        </w:rPr>
      </w:pPr>
    </w:p>
    <w:p>
      <w:pPr>
        <w:ind w:left="368" w:right="60" w:hanging="368"/>
        <w:spacing w:after="0" w:line="258" w:lineRule="auto"/>
        <w:tabs>
          <w:tab w:leader="none" w:pos="36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81" w:lineRule="exact"/>
        <w:rPr>
          <w:rFonts w:ascii="Arial" w:cs="Arial" w:eastAsia="Arial" w:hAnsi="Arial"/>
          <w:sz w:val="20"/>
          <w:szCs w:val="20"/>
          <w:color w:val="auto"/>
        </w:rPr>
      </w:pPr>
    </w:p>
    <w:p>
      <w:pPr>
        <w:ind w:left="368" w:right="80" w:hanging="368"/>
        <w:spacing w:after="0" w:line="269" w:lineRule="auto"/>
        <w:tabs>
          <w:tab w:leader="none" w:pos="368"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We are in the process of designing future clinical trials of Haduvio for the treatment of chronic cough in patients with IPF, non-IPF ILD, and RCC. Before commencing these trials, we plan to submit the protocols to regulatory authorities to obtain any feedback they may have. Changes in the design of the planned trials or regulatory delays may affect the timing and costs of these trials and may affect our ability to complete these trials with our existing cash resources.</w:t>
      </w:r>
    </w:p>
    <w:p>
      <w:pPr>
        <w:spacing w:after="0" w:line="73" w:lineRule="exact"/>
        <w:rPr>
          <w:rFonts w:ascii="Arial" w:cs="Arial" w:eastAsia="Arial" w:hAnsi="Arial"/>
          <w:sz w:val="19"/>
          <w:szCs w:val="19"/>
          <w:color w:val="auto"/>
        </w:rPr>
      </w:pPr>
    </w:p>
    <w:p>
      <w:pPr>
        <w:ind w:left="368" w:right="80" w:hanging="368"/>
        <w:spacing w:after="0" w:line="252" w:lineRule="auto"/>
        <w:tabs>
          <w:tab w:leader="none" w:pos="36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outcome of clinical trials of a product candidate may not be predictive of the success of later clinical trials of such product candidate or of clinical trials of such product candidate for different indications. For instance, Haduvio may fail to show the desired safety and efficacy results in our planned trials of Haduvio despite demonstrating positive results in earlier Phase 2 clinical trials.</w:t>
      </w:r>
    </w:p>
    <w:p>
      <w:pPr>
        <w:spacing w:after="0" w:line="87" w:lineRule="exact"/>
        <w:rPr>
          <w:rFonts w:ascii="Arial" w:cs="Arial" w:eastAsia="Arial" w:hAnsi="Arial"/>
          <w:sz w:val="20"/>
          <w:szCs w:val="20"/>
          <w:color w:val="auto"/>
        </w:rPr>
      </w:pPr>
    </w:p>
    <w:p>
      <w:pPr>
        <w:ind w:left="368" w:hanging="368"/>
        <w:spacing w:after="0" w:line="246" w:lineRule="auto"/>
        <w:tabs>
          <w:tab w:leader="none" w:pos="36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have experienced delays and difficulties in the enrollment of patients in our clinical trials in the past. If we experience delays or difficulties in the enrollment of patients in future clinical trials, our receipt of necessary regulatory approvals could be delayed or prevented. Other companies are conducting clinical trials or have announced plans for future clinical trials that are seeking or are likely to seek to enroll patients with IPF, non-IPF ILD, and RCC, and patients are generally only able to enroll in a single trial at a time. In addition, many patients use various treatments not specifically approved to treat chronic cough and these patients and their physicians may be reluctant to forgo, discontinue or otherwise alter their use of such treatments to participate in our clinical trials.</w:t>
      </w:r>
    </w:p>
    <w:p>
      <w:pPr>
        <w:spacing w:after="0" w:line="93" w:lineRule="exact"/>
        <w:rPr>
          <w:rFonts w:ascii="Arial" w:cs="Arial" w:eastAsia="Arial" w:hAnsi="Arial"/>
          <w:sz w:val="20"/>
          <w:szCs w:val="20"/>
          <w:color w:val="auto"/>
        </w:rPr>
      </w:pPr>
    </w:p>
    <w:p>
      <w:pPr>
        <w:ind w:left="368" w:right="60" w:hanging="368"/>
        <w:spacing w:after="0" w:line="252" w:lineRule="auto"/>
        <w:tabs>
          <w:tab w:leader="none" w:pos="36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Clinical drug development involves a lengthy and expensive process with an uncertain outcome. Even if we complete the necessary nonclinical studies and clinical trials, the regulatory approval process is uncertain, which may prevent us from obtaining approvals for the commercialization of Haduvio or any future product candidate on a timely basis or at all.</w:t>
      </w:r>
    </w:p>
    <w:p>
      <w:pPr>
        <w:spacing w:after="0" w:line="87" w:lineRule="exact"/>
        <w:rPr>
          <w:rFonts w:ascii="Arial" w:cs="Arial" w:eastAsia="Arial" w:hAnsi="Arial"/>
          <w:sz w:val="20"/>
          <w:szCs w:val="20"/>
          <w:color w:val="auto"/>
        </w:rPr>
      </w:pPr>
    </w:p>
    <w:p>
      <w:pPr>
        <w:jc w:val="both"/>
        <w:ind w:left="368" w:right="60" w:hanging="368"/>
        <w:spacing w:after="0" w:line="258" w:lineRule="auto"/>
        <w:tabs>
          <w:tab w:leader="none" w:pos="36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81" w:lineRule="exact"/>
        <w:rPr>
          <w:rFonts w:ascii="Arial" w:cs="Arial" w:eastAsia="Arial" w:hAnsi="Arial"/>
          <w:sz w:val="20"/>
          <w:szCs w:val="20"/>
          <w:color w:val="auto"/>
        </w:rPr>
      </w:pPr>
    </w:p>
    <w:p>
      <w:pPr>
        <w:ind w:left="368" w:right="80" w:hanging="368"/>
        <w:spacing w:after="0" w:line="258" w:lineRule="auto"/>
        <w:tabs>
          <w:tab w:leader="none" w:pos="36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drug label for nalbuphine, the active ingredient in Haduvio, carries an opioid class label warning for serious, life-threatening or fatal respiratory depression and Haduvio, if approved for marketing in any indication, will likely carry a similar opioid class label.</w:t>
      </w:r>
    </w:p>
    <w:p>
      <w:pPr>
        <w:spacing w:after="0" w:line="81" w:lineRule="exact"/>
        <w:rPr>
          <w:rFonts w:ascii="Arial" w:cs="Arial" w:eastAsia="Arial" w:hAnsi="Arial"/>
          <w:sz w:val="20"/>
          <w:szCs w:val="20"/>
          <w:color w:val="auto"/>
        </w:rPr>
      </w:pPr>
    </w:p>
    <w:p>
      <w:pPr>
        <w:jc w:val="both"/>
        <w:ind w:left="368" w:right="440" w:hanging="368"/>
        <w:spacing w:after="0" w:line="304" w:lineRule="auto"/>
        <w:tabs>
          <w:tab w:leader="none" w:pos="368" w:val="left"/>
        </w:tabs>
        <w:numPr>
          <w:ilvl w:val="0"/>
          <w:numId w:val="4"/>
        </w:numPr>
        <w:rPr>
          <w:rFonts w:ascii="Arial" w:cs="Arial" w:eastAsia="Arial" w:hAnsi="Arial"/>
          <w:sz w:val="19"/>
          <w:szCs w:val="19"/>
          <w:color w:val="auto"/>
        </w:rPr>
      </w:pPr>
      <w:r>
        <w:rPr>
          <w:rFonts w:ascii="Times New Roman" w:cs="Times New Roman" w:eastAsia="Times New Roman" w:hAnsi="Times New Roman"/>
          <w:sz w:val="19"/>
          <w:szCs w:val="19"/>
          <w:color w:val="auto"/>
        </w:rPr>
        <w:t>Many currently approved mu-opioid receptor agonist products are subject to restrictive marketing and distribution regulations which, if applied to Haduvio, could potentially restrict its use and harm our ability to generate profits.</w:t>
      </w:r>
    </w:p>
    <w:p>
      <w:pPr>
        <w:spacing w:after="0" w:line="39" w:lineRule="exact"/>
        <w:rPr>
          <w:rFonts w:ascii="Arial" w:cs="Arial" w:eastAsia="Arial" w:hAnsi="Arial"/>
          <w:sz w:val="19"/>
          <w:szCs w:val="19"/>
          <w:color w:val="auto"/>
        </w:rPr>
      </w:pPr>
    </w:p>
    <w:p>
      <w:pPr>
        <w:ind w:left="368" w:hanging="368"/>
        <w:spacing w:after="0" w:line="258" w:lineRule="auto"/>
        <w:tabs>
          <w:tab w:leader="none" w:pos="36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81" w:lineRule="exact"/>
        <w:rPr>
          <w:rFonts w:ascii="Arial" w:cs="Arial" w:eastAsia="Arial" w:hAnsi="Arial"/>
          <w:sz w:val="20"/>
          <w:szCs w:val="20"/>
          <w:color w:val="auto"/>
        </w:rPr>
      </w:pPr>
    </w:p>
    <w:p>
      <w:pPr>
        <w:ind w:left="368" w:right="120" w:hanging="368"/>
        <w:spacing w:after="0" w:line="276" w:lineRule="auto"/>
        <w:tabs>
          <w:tab w:leader="none" w:pos="368"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face competition, which may result in others developing or commercializing products before or more successfully than we do.</w:t>
      </w:r>
    </w:p>
    <w:p>
      <w:pPr>
        <w:sectPr>
          <w:pgSz w:w="12240" w:h="15840" w:orient="portrait"/>
          <w:cols w:equalWidth="0" w:num="1">
            <w:col w:w="9928"/>
          </w:cols>
          <w:pgMar w:left="1152" w:top="1128" w:right="1160" w:bottom="840" w:gutter="0" w:footer="0" w:header="0"/>
        </w:sectPr>
      </w:pPr>
    </w:p>
    <w:bookmarkStart w:id="4" w:name="page5"/>
    <w:bookmarkEnd w:id="4"/>
    <w:p>
      <w:pPr>
        <w:ind w:left="368" w:right="20" w:hanging="368"/>
        <w:spacing w:after="0" w:line="252" w:lineRule="auto"/>
        <w:tabs>
          <w:tab w:leader="none" w:pos="368"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contract with third parties to conduct our clinical trials and for the manufacture, storage, packaging and distribution of Haduvio for clinical trials, including with a single supplier for the active ingredient in Haduvio. We expect to continue to rely on third parties for these services in connection with our future development and commercialization efforts for Haduvio. If they do not perform satisfactorily, our business could be harmed.</w:t>
      </w:r>
    </w:p>
    <w:p>
      <w:pPr>
        <w:spacing w:after="0" w:line="87" w:lineRule="exact"/>
        <w:rPr>
          <w:rFonts w:ascii="Arial" w:cs="Arial" w:eastAsia="Arial" w:hAnsi="Arial"/>
          <w:sz w:val="20"/>
          <w:szCs w:val="20"/>
          <w:color w:val="auto"/>
        </w:rPr>
      </w:pPr>
    </w:p>
    <w:p>
      <w:pPr>
        <w:ind w:left="368" w:right="440" w:hanging="368"/>
        <w:spacing w:after="0" w:line="258" w:lineRule="auto"/>
        <w:tabs>
          <w:tab w:leader="none" w:pos="368"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If we fail to comply with our obligations under our existing and any future intellectual property licenses with third parties, including our license with Keenova Therapeutics plc, we could lose license rights that are critical to our business or owe damages to the licensor of such intellectual property.</w:t>
      </w:r>
    </w:p>
    <w:p>
      <w:pPr>
        <w:spacing w:after="0" w:line="81" w:lineRule="exact"/>
        <w:rPr>
          <w:rFonts w:ascii="Arial" w:cs="Arial" w:eastAsia="Arial" w:hAnsi="Arial"/>
          <w:sz w:val="20"/>
          <w:szCs w:val="20"/>
          <w:color w:val="auto"/>
        </w:rPr>
      </w:pPr>
    </w:p>
    <w:p>
      <w:pPr>
        <w:ind w:left="368" w:hanging="368"/>
        <w:spacing w:after="0" w:line="249" w:lineRule="auto"/>
        <w:tabs>
          <w:tab w:leader="none" w:pos="368"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90" w:lineRule="exact"/>
        <w:rPr>
          <w:rFonts w:ascii="Arial" w:cs="Arial" w:eastAsia="Arial" w:hAnsi="Arial"/>
          <w:sz w:val="20"/>
          <w:szCs w:val="20"/>
          <w:color w:val="auto"/>
        </w:rPr>
      </w:pPr>
    </w:p>
    <w:p>
      <w:pPr>
        <w:jc w:val="both"/>
        <w:ind w:left="368" w:right="200" w:hanging="368"/>
        <w:spacing w:after="0" w:line="258" w:lineRule="auto"/>
        <w:tabs>
          <w:tab w:leader="none" w:pos="368"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sectPr>
          <w:pgSz w:w="12240" w:h="15840" w:orient="portrait"/>
          <w:cols w:equalWidth="0" w:num="1">
            <w:col w:w="9948"/>
          </w:cols>
          <w:pgMar w:left="1152" w:top="1146" w:right="11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4"/>
        </w:trPr>
        <w:tc>
          <w:tcPr>
            <w:tcW w:w="920" w:type="dxa"/>
            <w:vAlign w:val="bottom"/>
          </w:tcPr>
          <w:p>
            <w:pPr>
              <w:spacing w:after="0"/>
              <w:rPr>
                <w:sz w:val="23"/>
                <w:szCs w:val="23"/>
                <w:color w:val="auto"/>
              </w:rPr>
            </w:pPr>
          </w:p>
        </w:tc>
        <w:tc>
          <w:tcPr>
            <w:tcW w:w="8300" w:type="dxa"/>
            <w:vAlign w:val="bottom"/>
          </w:tcPr>
          <w:p>
            <w:pPr>
              <w:ind w:left="32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300" w:type="dxa"/>
            <w:vAlign w:val="bottom"/>
          </w:tcPr>
          <w:p>
            <w:pPr>
              <w:spacing w:after="0"/>
              <w:rPr>
                <w:sz w:val="24"/>
                <w:szCs w:val="24"/>
                <w:color w:val="auto"/>
              </w:rPr>
            </w:pPr>
          </w:p>
        </w:tc>
        <w:tc>
          <w:tcPr>
            <w:tcW w:w="7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30"/>
        </w:trPr>
        <w:tc>
          <w:tcPr>
            <w:tcW w:w="920" w:type="dxa"/>
            <w:vAlign w:val="bottom"/>
            <w:vMerge w:val="continue"/>
          </w:tcPr>
          <w:p>
            <w:pPr>
              <w:spacing w:after="0"/>
              <w:rPr>
                <w:sz w:val="20"/>
                <w:szCs w:val="20"/>
                <w:color w:val="auto"/>
              </w:rPr>
            </w:pPr>
          </w:p>
        </w:tc>
        <w:tc>
          <w:tcPr>
            <w:tcW w:w="8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Item 1.</w:t>
            </w: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Business</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5"/>
        </w:trPr>
        <w:tc>
          <w:tcPr>
            <w:tcW w:w="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Item 1A.</w:t>
            </w:r>
          </w:p>
        </w:tc>
        <w:tc>
          <w:tcPr>
            <w:tcW w:w="8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45"/>
        </w:trPr>
        <w:tc>
          <w:tcPr>
            <w:tcW w:w="9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Item 1B.</w:t>
            </w: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45"/>
        </w:trPr>
        <w:tc>
          <w:tcPr>
            <w:tcW w:w="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Item 1C</w:t>
            </w:r>
          </w:p>
        </w:tc>
        <w:tc>
          <w:tcPr>
            <w:tcW w:w="8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Cybersecurity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45"/>
        </w:trPr>
        <w:tc>
          <w:tcPr>
            <w:tcW w:w="9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Item 2.</w:t>
            </w: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Properties</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45"/>
        </w:trPr>
        <w:tc>
          <w:tcPr>
            <w:tcW w:w="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Item 3.</w:t>
            </w:r>
          </w:p>
        </w:tc>
        <w:tc>
          <w:tcPr>
            <w:tcW w:w="8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45"/>
        </w:trPr>
        <w:tc>
          <w:tcPr>
            <w:tcW w:w="9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Item 4.</w:t>
            </w: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Mine Safety Disclosures</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490"/>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20" w:type="dxa"/>
            <w:vAlign w:val="bottom"/>
            <w:shd w:val="clear" w:color="auto" w:fill="D5EEEE"/>
          </w:tcPr>
          <w:p>
            <w:pPr>
              <w:ind w:left="120"/>
              <w:spacing w:after="0" w:line="226" w:lineRule="exact"/>
              <w:rPr>
                <w:sz w:val="20"/>
                <w:szCs w:val="20"/>
                <w:color w:val="auto"/>
              </w:rPr>
            </w:pPr>
            <w:r>
              <w:rPr>
                <w:rFonts w:ascii="Times New Roman" w:cs="Times New Roman" w:eastAsia="Times New Roman" w:hAnsi="Times New Roman"/>
                <w:sz w:val="20"/>
                <w:szCs w:val="20"/>
                <w:color w:val="auto"/>
              </w:rPr>
              <w:t>Item 5.</w:t>
            </w:r>
          </w:p>
        </w:tc>
        <w:tc>
          <w:tcPr>
            <w:tcW w:w="8300" w:type="dxa"/>
            <w:vAlign w:val="bottom"/>
            <w:shd w:val="clear" w:color="auto" w:fill="D5EEEE"/>
          </w:tcPr>
          <w:p>
            <w:pPr>
              <w:ind w:left="80"/>
              <w:spacing w:after="0" w:line="226" w:lineRule="exact"/>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70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920" w:type="dxa"/>
            <w:vAlign w:val="bottom"/>
            <w:shd w:val="clear" w:color="auto" w:fill="D5EEEE"/>
          </w:tcPr>
          <w:p>
            <w:pPr>
              <w:spacing w:after="0"/>
              <w:rPr>
                <w:sz w:val="21"/>
                <w:szCs w:val="21"/>
                <w:color w:val="auto"/>
              </w:rPr>
            </w:pP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Securities</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45"/>
        </w:trPr>
        <w:tc>
          <w:tcPr>
            <w:tcW w:w="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Item 6.</w:t>
            </w:r>
          </w:p>
        </w:tc>
        <w:tc>
          <w:tcPr>
            <w:tcW w:w="8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45"/>
        </w:trPr>
        <w:tc>
          <w:tcPr>
            <w:tcW w:w="9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Item 7.</w:t>
            </w: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45"/>
        </w:trPr>
        <w:tc>
          <w:tcPr>
            <w:tcW w:w="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Item 7A.</w:t>
            </w:r>
          </w:p>
        </w:tc>
        <w:tc>
          <w:tcPr>
            <w:tcW w:w="8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45"/>
        </w:trPr>
        <w:tc>
          <w:tcPr>
            <w:tcW w:w="9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Item 8.</w:t>
            </w: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45"/>
        </w:trPr>
        <w:tc>
          <w:tcPr>
            <w:tcW w:w="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Item 9.</w:t>
            </w:r>
          </w:p>
        </w:tc>
        <w:tc>
          <w:tcPr>
            <w:tcW w:w="8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45"/>
        </w:trPr>
        <w:tc>
          <w:tcPr>
            <w:tcW w:w="9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Item 9A.</w:t>
            </w: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Controls and Procedures</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45"/>
        </w:trPr>
        <w:tc>
          <w:tcPr>
            <w:tcW w:w="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Item 9B.</w:t>
            </w:r>
          </w:p>
        </w:tc>
        <w:tc>
          <w:tcPr>
            <w:tcW w:w="8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Other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45"/>
        </w:trPr>
        <w:tc>
          <w:tcPr>
            <w:tcW w:w="9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Item 9C.</w:t>
            </w: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490"/>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Item 10.</w:t>
            </w: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45"/>
        </w:trPr>
        <w:tc>
          <w:tcPr>
            <w:tcW w:w="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Item 11.</w:t>
            </w:r>
          </w:p>
        </w:tc>
        <w:tc>
          <w:tcPr>
            <w:tcW w:w="8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Executive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45"/>
        </w:trPr>
        <w:tc>
          <w:tcPr>
            <w:tcW w:w="9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Item 12.</w:t>
            </w: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45"/>
        </w:trPr>
        <w:tc>
          <w:tcPr>
            <w:tcW w:w="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Item 13.</w:t>
            </w:r>
          </w:p>
        </w:tc>
        <w:tc>
          <w:tcPr>
            <w:tcW w:w="8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45"/>
        </w:trPr>
        <w:tc>
          <w:tcPr>
            <w:tcW w:w="9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Item 14.</w:t>
            </w: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490"/>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0" w:type="dxa"/>
            <w:vAlign w:val="bottom"/>
            <w:shd w:val="clear" w:color="auto" w:fill="D5EEEE"/>
          </w:tcPr>
          <w:p>
            <w:pPr>
              <w:ind w:left="120"/>
              <w:spacing w:after="0"/>
              <w:rPr>
                <w:sz w:val="20"/>
                <w:szCs w:val="20"/>
                <w:color w:val="auto"/>
              </w:rPr>
            </w:pPr>
            <w:r>
              <w:rPr>
                <w:rFonts w:ascii="Times New Roman" w:cs="Times New Roman" w:eastAsia="Times New Roman" w:hAnsi="Times New Roman"/>
                <w:sz w:val="20"/>
                <w:szCs w:val="20"/>
                <w:color w:val="auto"/>
              </w:rPr>
              <w:t>Item 15.</w:t>
            </w:r>
          </w:p>
        </w:tc>
        <w:tc>
          <w:tcPr>
            <w:tcW w:w="8300" w:type="dxa"/>
            <w:vAlign w:val="bottom"/>
            <w:shd w:val="clear" w:color="auto" w:fill="D5EEEE"/>
          </w:tcPr>
          <w:p>
            <w:pPr>
              <w:ind w:left="80"/>
              <w:spacing w:after="0"/>
              <w:rPr>
                <w:sz w:val="20"/>
                <w:szCs w:val="20"/>
                <w:color w:val="auto"/>
              </w:rPr>
            </w:pPr>
            <w:r>
              <w:rPr>
                <w:rFonts w:ascii="Times New Roman" w:cs="Times New Roman" w:eastAsia="Times New Roman" w:hAnsi="Times New Roman"/>
                <w:sz w:val="20"/>
                <w:szCs w:val="20"/>
                <w:color w:val="auto"/>
              </w:rPr>
              <w:t>Exhibits, Financial Statement Schedules</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66"/>
        </w:trPr>
        <w:tc>
          <w:tcPr>
            <w:tcW w:w="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Item 16</w:t>
            </w:r>
          </w:p>
        </w:tc>
        <w:tc>
          <w:tcPr>
            <w:tcW w:w="83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10-K Summary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bl>
    <w:p>
      <w:pPr>
        <w:sectPr>
          <w:pgSz w:w="12240" w:h="15840" w:orient="portrait"/>
          <w:cols w:equalWidth="0" w:num="1">
            <w:col w:w="9920"/>
          </w:cols>
          <w:pgMar w:left="1160" w:top="1128" w:right="1160"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4" w:lineRule="exact"/>
        <w:rPr>
          <w:sz w:val="20"/>
          <w:szCs w:val="20"/>
          <w:color w:val="auto"/>
        </w:rPr>
      </w:pPr>
    </w:p>
    <w:p>
      <w:pPr>
        <w:jc w:val="both"/>
        <w:ind w:right="640" w:firstLine="490"/>
        <w:spacing w:after="0" w:line="278" w:lineRule="auto"/>
        <w:rPr>
          <w:sz w:val="20"/>
          <w:szCs w:val="20"/>
          <w:color w:val="auto"/>
        </w:rPr>
      </w:pPr>
      <w:r>
        <w:rPr>
          <w:rFonts w:ascii="Times New Roman" w:cs="Times New Roman" w:eastAsia="Times New Roman" w:hAnsi="Times New Roman"/>
          <w:sz w:val="19"/>
          <w:szCs w:val="19"/>
          <w:color w:val="auto"/>
        </w:rPr>
        <w:t>We are a clinical -stage biopharmaceutical company focused on the development and commercialization of the investigational therapy Haduvio (oral nalbuphine ER) for the treatment of chronic cough in patients with idiopathic pulmonary fibrosis, or IPF, non-IPF interstitial lung disease, or non-IPF ILD, and refractory chronic cough, or RCC.</w:t>
      </w:r>
    </w:p>
    <w:p>
      <w:pPr>
        <w:spacing w:after="0" w:line="51"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 xml:space="preserve">Haduvio is an oral extended-release formulation of nalbuphine. Haduvio acts on the cough reflex arc both centrally and peripherally as a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appa receptor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gonist and a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u receptor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ntagonist (“KAMA”), targeting opioid receptors that play a key role in controlling chronic cough. The kappa- and mu-opioid receptors are known to be critical mediators of</w:t>
      </w:r>
    </w:p>
    <w:p>
      <w:pPr>
        <w:spacing w:after="0" w:line="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cough. Nalbuphine has been approved and marketed as an injectable for pain indications for decades in the United States, or the U.S., and Europe. Nalbuphine’s mechanism of action also mitigates the risk of abuse associated with mu-opioid agonists because it antagonizes, or blocks, the mu-opioid receptor. Parenteral nalbuphine is not scheduled as a controlled substance by the U.S. Drug Enforcement Agency and in most of Europe. We believe this makes Haduvio a promising potential therapy for the treatment of chronic cough in patients with IPF, non-IPF ILD, and RCC.</w:t>
      </w:r>
    </w:p>
    <w:p>
      <w:pPr>
        <w:spacing w:after="0" w:line="83" w:lineRule="exact"/>
        <w:rPr>
          <w:sz w:val="20"/>
          <w:szCs w:val="20"/>
          <w:color w:val="auto"/>
        </w:rPr>
      </w:pPr>
    </w:p>
    <w:p>
      <w:pPr>
        <w:ind w:right="220" w:firstLine="49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IPF-related Chronic Cough Program. </w:t>
      </w:r>
      <w:r>
        <w:rPr>
          <w:rFonts w:ascii="Times New Roman" w:cs="Times New Roman" w:eastAsia="Times New Roman" w:hAnsi="Times New Roman"/>
          <w:sz w:val="20"/>
          <w:szCs w:val="20"/>
          <w:color w:val="auto"/>
        </w:rPr>
        <w:t>We are developing Haduvio for the treatment of IPF-related chronic cough,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is a progressive fibrosing interstitial lung disease associated with high mortality rates. After an IPF diagnosis, the median survival is 3 to 5 years, during which time patients suffer from chronic cough, dyspnea, and fatigue. IPF-related chronic cough is a condition with high unmet need and no therapies approved by the U.S. Food and Drug Administration, or FDA. There are approximately 150,000 U.S. patients with IPF, and two-thirds of these patients have uncontrolled chronic cough. The impact of chronic cough is significant, with patients coughing up to 1,500 times per day. This consistent cough, and any associated damage, may lead to a higher risk of morbidity and mortality, including worsening disease, a higher risk of progression, increased respiratory hospitalizations, and a decline in patients’ physical, psychological, and social quality of life.</w:t>
      </w:r>
    </w:p>
    <w:p>
      <w:pPr>
        <w:spacing w:after="0" w:line="86"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In June 2025, we announced positive topline results from our Phase 2b CORAL trial, which was a dose-ranging study evaluating the efficacy, safety and tolerability of Haduvio for IPF-related chronic cough. The Phase 2b CORAL trial was a randomized, double-blind, placebo-controlled, parallel-arm design that evaluated three different dose groups of Haduvio (108 mg BID, 54 mg BID and 27 mg BID) as compared to placebo. The primary efficacy endpoint for the trial was the relative change in 24-hour cough frequency (coughs per hour) for the modified intent-to-treat, or mITT, population at the end of Week 6 versus Baseline for Haduvio compared to placebo, as measured via an objective cough monitor. The mITT population consists of all randomized patients who received at least one dose of study drug or placebo (n=165). The primary efficacy endpoint in the Phase 2b CORAL trial was achieved, demonstrating statistically significant reductions in 24-hour cough frequency across all dose groups at Week 6. The 108 mg BID, 54 mg BID and 27 mg BID dose groups achieved statistically significant reductions from Baseline of 60.2% (p&lt;0.0001), 53.4% (p&lt;0.0001), and 47.9% (p&lt;0.01), respectively, compared to a placebo reduction from Baseline of 16.9%.</w:t>
      </w:r>
    </w:p>
    <w:p>
      <w:pPr>
        <w:spacing w:after="0" w:line="89"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We have completed an End-of-Phase 2 meeting with the FDA. At the meeting, we gained overall alignment on the plan for the remaining clinical studies to potentially support an NDA submission for nalbuphine ER, including two pivotal Phase 3 clinical trials and agreement on the remaining Phase 1 clinical studies. The Phase 3 trials will run in parallel, and we remain on track to initiate the first Phase 3 trial in the second quarter of 2026 and the second Phase 3 trial in the second half of 2026. The first of the two Phase 3 trials is planned to enroll approximately 300 patients and have 52 weeks of fixed dosing with nalbuphine ER 54 mg twice-a-day (BID), with the primary endpoint at 24 weeks of fixed dosing. The second Phase 3 trial is planned to enroll approximately 130 patients with and have 12 weeks of fixed</w:t>
      </w:r>
    </w:p>
    <w:p>
      <w:pPr>
        <w:spacing w:after="0" w:line="1"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0"/>
          <w:szCs w:val="20"/>
          <w:color w:val="auto"/>
        </w:rPr>
        <w:t>dosing with nalbuphine ER 54 mg BID. The primary efficacy endpoint for both trials will be the relative change from Baseline in 24-hour cough frequency (coughs per hour), as determined by an objective cough monitor, for nalbuphine ER compared with placebo. These trial designs are subject to final review of the protocols by the FDA.</w:t>
      </w:r>
    </w:p>
    <w:p>
      <w:pPr>
        <w:spacing w:after="0" w:line="81"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Non-IPF ILD-related Chronic Cough Program. </w:t>
      </w:r>
      <w:r>
        <w:rPr>
          <w:rFonts w:ascii="Times New Roman" w:cs="Times New Roman" w:eastAsia="Times New Roman" w:hAnsi="Times New Roman"/>
          <w:sz w:val="20"/>
          <w:szCs w:val="20"/>
          <w:color w:val="auto"/>
        </w:rPr>
        <w:t>We also plan to develop Haduvio for the treatment of non-IPF ILD-related chronic cough. Many patients diagnosed with non-IPF ILD suffer from a dry, non- productive chronic cough that is as disruptive as the cough associated with IPF. Cough may be an independent predictor of disease progression in non-IPF ILDs, and therefore we believe chronic cough may contribute to the progression of the underlying disease and worsening health outcomes.</w:t>
      </w:r>
    </w:p>
    <w:p>
      <w:pPr>
        <w:spacing w:after="0" w:line="77" w:lineRule="exact"/>
        <w:rPr>
          <w:sz w:val="20"/>
          <w:szCs w:val="20"/>
          <w:color w:val="auto"/>
        </w:rPr>
      </w:pPr>
    </w:p>
    <w:p>
      <w:pPr>
        <w:jc w:val="both"/>
        <w:ind w:right="380" w:firstLine="490"/>
        <w:spacing w:after="0" w:line="278" w:lineRule="auto"/>
        <w:rPr>
          <w:sz w:val="20"/>
          <w:szCs w:val="20"/>
          <w:color w:val="auto"/>
        </w:rPr>
      </w:pPr>
      <w:r>
        <w:rPr>
          <w:rFonts w:ascii="Times New Roman" w:cs="Times New Roman" w:eastAsia="Times New Roman" w:hAnsi="Times New Roman"/>
          <w:sz w:val="19"/>
          <w:szCs w:val="19"/>
          <w:color w:val="auto"/>
        </w:rPr>
        <w:t>Approximately 228,000 adults in the U.S. and greater than 1 million adults worldwide are believed to have ILDs other than IPF. In addition, up to 50%-60% of non-IPF ILD patients are reported to suffer from an uncontrolled chronic cough. There are no approved therapies for the treatment of non-IPF ILD-related chronic cough. We plan to initiate an</w:t>
      </w:r>
    </w:p>
    <w:p>
      <w:pPr>
        <w:sectPr>
          <w:pgSz w:w="12240" w:h="15840" w:orient="portrait"/>
          <w:cols w:equalWidth="0" w:num="1">
            <w:col w:w="9940"/>
          </w:cols>
          <w:pgMar w:left="1160" w:top="1128" w:right="1140" w:bottom="175"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940"/>
          </w:cols>
          <w:pgMar w:left="1160" w:top="1128" w:right="1140" w:bottom="175" w:gutter="0" w:footer="0" w:header="0"/>
          <w:type w:val="continuous"/>
        </w:sectPr>
      </w:pPr>
    </w:p>
    <w:bookmarkStart w:id="7" w:name="page8"/>
    <w:bookmarkEnd w:id="7"/>
    <w:p>
      <w:pPr>
        <w:ind w:right="220"/>
        <w:spacing w:after="0" w:line="277" w:lineRule="auto"/>
        <w:rPr>
          <w:sz w:val="20"/>
          <w:szCs w:val="20"/>
          <w:color w:val="auto"/>
        </w:rPr>
      </w:pPr>
      <w:r>
        <w:rPr>
          <w:rFonts w:ascii="Times New Roman" w:cs="Times New Roman" w:eastAsia="Times New Roman" w:hAnsi="Times New Roman"/>
          <w:sz w:val="20"/>
          <w:szCs w:val="20"/>
          <w:color w:val="auto"/>
        </w:rPr>
        <w:t>adaptive design Phase 2b clinical trial for the treatment of patients with non-IPF ILD-related chronic cough in the second half of 2026, subject to review of the protocol for the trial by the FDA.</w:t>
      </w:r>
    </w:p>
    <w:p>
      <w:pPr>
        <w:spacing w:after="0" w:line="49" w:lineRule="exact"/>
        <w:rPr>
          <w:sz w:val="20"/>
          <w:szCs w:val="20"/>
          <w:color w:val="auto"/>
        </w:rPr>
      </w:pPr>
    </w:p>
    <w:p>
      <w:pPr>
        <w:jc w:val="both"/>
        <w:ind w:right="20"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RCC Program. </w:t>
      </w:r>
      <w:r>
        <w:rPr>
          <w:rFonts w:ascii="Times New Roman" w:cs="Times New Roman" w:eastAsia="Times New Roman" w:hAnsi="Times New Roman"/>
          <w:sz w:val="20"/>
          <w:szCs w:val="20"/>
          <w:color w:val="auto"/>
        </w:rPr>
        <w:t>We are developing Haduvio for the treatment of RCC, which affects approximately 2-3 million adults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U.S. and is related to biological changes in the central and peripheral nervous systems that lower the threshold of the cough reflex. It is highly disruptive and accompanied by a wide range of complications, ranging from urinary incontinence in females to sleep disruption and social embarrassment that causes significant social and economic burden for patients and those around them.</w:t>
      </w:r>
    </w:p>
    <w:p>
      <w:pPr>
        <w:spacing w:after="0" w:line="77"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In March 2025, we announced positive topline data from our Phase 2a clinical trial of Haduvio in patients with RCC, which we refer to as the Phase 2a RIVER trial. The Phase 2a RIVER trial was a randomized, double-blind, placebo-controlled, two-treatment, two-period, crossover study that was designed to evaluate the efficacy, safety, tolerability and dosing of Haduvio for the treatment of patients with RCC. The primary endpoint of the trial was the mean change in 24-hour cough frequency, as determined by an objective cough monitor, for the full analysis set population. In the trial, Haduvio met the primary endpoint at Day 21 with a statistically significant reduction in the objective 24-hour cough frequency of 67% from Baseline and 57% from Baseline on a placebo-adjusted basis (p&lt;0.0001). Planned analyses of all pre-specified secondary endpoints, including patient reported endpoints, at the end of treatment were also statistically significant. The safety results of the trial were generally consistent with the known safety profile of Haduvio from previous trials in other patient populations and there were no serious adverse events reported in the trial.</w:t>
      </w:r>
    </w:p>
    <w:p>
      <w:pPr>
        <w:spacing w:after="0" w:line="67" w:lineRule="exact"/>
        <w:rPr>
          <w:sz w:val="20"/>
          <w:szCs w:val="20"/>
          <w:color w:val="auto"/>
        </w:rPr>
      </w:pPr>
    </w:p>
    <w:p>
      <w:pPr>
        <w:ind w:firstLine="490"/>
        <w:spacing w:after="0" w:line="230" w:lineRule="auto"/>
        <w:rPr>
          <w:sz w:val="20"/>
          <w:szCs w:val="20"/>
          <w:color w:val="auto"/>
        </w:rPr>
      </w:pPr>
      <w:r>
        <w:rPr>
          <w:rFonts w:ascii="Times New Roman" w:cs="Times New Roman" w:eastAsia="Times New Roman" w:hAnsi="Times New Roman"/>
          <w:sz w:val="20"/>
          <w:szCs w:val="20"/>
          <w:color w:val="auto"/>
        </w:rPr>
        <w:t>We expect to initiate a Phase 2b trial of Haduvio for the treatment of patients with RCC in the second quarter of 2026, which we are planning to conduct in the United Kingdom, Canada, and possibly other European countries. We expect the primary efficacy endpoint of the trial will be the mean change in 24-hour cough frequency, as determined by an objective cough monitor, and we plan to use the trial to determine the doses to be evaluated in the Phase 3 clinical trial as well as to further characterize safety in this specific patient population. The trial is subject to final review of the protocol by regulatory authorities.</w:t>
      </w:r>
    </w:p>
    <w:p>
      <w:pPr>
        <w:spacing w:after="0" w:line="82" w:lineRule="exact"/>
        <w:rPr>
          <w:sz w:val="20"/>
          <w:szCs w:val="20"/>
          <w:color w:val="auto"/>
        </w:rPr>
      </w:pPr>
    </w:p>
    <w:p>
      <w:pPr>
        <w:jc w:val="both"/>
        <w:ind w:right="100" w:firstLine="49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Other NDA Supportive Studies. </w:t>
      </w:r>
      <w:r>
        <w:rPr>
          <w:rFonts w:ascii="Times New Roman" w:cs="Times New Roman" w:eastAsia="Times New Roman" w:hAnsi="Times New Roman"/>
          <w:sz w:val="20"/>
          <w:szCs w:val="20"/>
          <w:color w:val="auto"/>
        </w:rPr>
        <w:t>We also plan to continue to progress and advance NDA supportive studies necessary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regulatory approval, including Phase 1 clinical studies such as completing our respiratory safety study, and conducting drug-drug interaction, food effect, and hepatic and renal impairment studies.</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 xml:space="preserve">Commercialization of Haduvio. </w:t>
      </w:r>
      <w:r>
        <w:rPr>
          <w:rFonts w:ascii="Times New Roman" w:cs="Times New Roman" w:eastAsia="Times New Roman" w:hAnsi="Times New Roman"/>
          <w:sz w:val="19"/>
          <w:szCs w:val="19"/>
          <w:color w:val="auto"/>
        </w:rPr>
        <w:t>We have retained worldwide commercial rights for Haduvio.</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Nalbuphine Mechanistic Rationale</w:t>
      </w:r>
    </w:p>
    <w:p>
      <w:pPr>
        <w:spacing w:after="0" w:line="101" w:lineRule="exact"/>
        <w:rPr>
          <w:sz w:val="20"/>
          <w:szCs w:val="20"/>
          <w:color w:val="auto"/>
        </w:rPr>
      </w:pPr>
    </w:p>
    <w:p>
      <w:pPr>
        <w:ind w:firstLine="490"/>
        <w:spacing w:after="0" w:line="231" w:lineRule="auto"/>
        <w:rPr>
          <w:sz w:val="20"/>
          <w:szCs w:val="20"/>
          <w:color w:val="auto"/>
        </w:rPr>
      </w:pPr>
      <w:r>
        <w:rPr>
          <w:rFonts w:ascii="Times New Roman" w:cs="Times New Roman" w:eastAsia="Times New Roman" w:hAnsi="Times New Roman"/>
          <w:sz w:val="20"/>
          <w:szCs w:val="20"/>
          <w:color w:val="auto"/>
        </w:rPr>
        <w:t>Nalbuphine is a mixed kappa-opioid receptor agonist and a mu-opioid receptor antagonist. The kappa- and mu-opioid receptors are known to be critical mediators of cough. Nalbuphine has been approved and marketed as an injectable for pain indications for decades in the U.S. and Europe. Nalbuphine’s mechanism of action also mitigates the risk of abuse associated with mu-opioid agonists because it antagonizes, or blocks, the mu-opioid receptor.</w:t>
      </w:r>
    </w:p>
    <w:p>
      <w:pPr>
        <w:spacing w:after="0" w:line="63" w:lineRule="exact"/>
        <w:rPr>
          <w:sz w:val="20"/>
          <w:szCs w:val="20"/>
          <w:color w:val="auto"/>
        </w:rPr>
      </w:pPr>
    </w:p>
    <w:p>
      <w:pPr>
        <w:ind w:right="20" w:firstLine="490"/>
        <w:spacing w:after="0" w:line="228" w:lineRule="auto"/>
        <w:rPr>
          <w:sz w:val="20"/>
          <w:szCs w:val="20"/>
          <w:color w:val="auto"/>
        </w:rPr>
      </w:pPr>
      <w:r>
        <w:rPr>
          <w:rFonts w:ascii="Times New Roman" w:cs="Times New Roman" w:eastAsia="Times New Roman" w:hAnsi="Times New Roman"/>
          <w:sz w:val="20"/>
          <w:szCs w:val="20"/>
          <w:color w:val="auto"/>
        </w:rPr>
        <w:t>Modulation of opioid receptors in the central and peripheral nervous systems, either naturally or with drugs, results in multiple signaling actions at the cellular level. The receptor dynamics are complex and receptor signaling differs depending on whether the receptor is being exposed to an agonist or antagonist opioid drug. Agonists activate the receptors to which they bind, and antagonists bind to receptors, and can block the activity of agonists. In addition, opioid drugs of the same class may have different effects depending on their pharmacological properties.</w:t>
      </w:r>
    </w:p>
    <w:p>
      <w:pPr>
        <w:spacing w:after="0" w:line="63" w:lineRule="exact"/>
        <w:rPr>
          <w:sz w:val="20"/>
          <w:szCs w:val="20"/>
          <w:color w:val="auto"/>
        </w:rPr>
      </w:pPr>
    </w:p>
    <w:p>
      <w:pPr>
        <w:ind w:right="20" w:firstLine="490"/>
        <w:spacing w:after="0" w:line="224" w:lineRule="auto"/>
        <w:rPr>
          <w:sz w:val="20"/>
          <w:szCs w:val="20"/>
          <w:color w:val="auto"/>
        </w:rPr>
      </w:pPr>
      <w:r>
        <w:rPr>
          <w:rFonts w:ascii="Times New Roman" w:cs="Times New Roman" w:eastAsia="Times New Roman" w:hAnsi="Times New Roman"/>
          <w:sz w:val="20"/>
          <w:szCs w:val="20"/>
          <w:color w:val="auto"/>
        </w:rPr>
        <w:t>In addition to the individual cellular dynamics, published research also supports the phenomena of network interaction dynamics, where activation of one type of opioid receptor type at one anatomical location can influence the activity of a different type of opiate receptor located at a different anatomical location. For example, published research has shown evidence of signaling between cell groups where kappa-opioid receptor activation on specific cells can antagonize mu-opioid receptor activation on other cells. As a result of these apparent network interaction dynamics between the kappa-and mu-opioid receptors, we believe that simultaneously modulating both kappa- and mu-opioid receptors with a single drug offers significant therapeutic potential in diseases that are mediated through these receptors.</w:t>
      </w:r>
    </w:p>
    <w:p>
      <w:pPr>
        <w:spacing w:after="0" w:line="85"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Published research suggests that in certain diseases the concentration and expression of opioid receptors is different for people with the disease as compared to healthy individuals. We believe these differences in opioid receptor concentration and expression between healthy individuals and people with disease suggest that opioid drugs targeting these receptors have the potential to offer therapeutic benefit to people suffering from these diseases.</w:t>
      </w:r>
    </w:p>
    <w:p>
      <w:pPr>
        <w:sectPr>
          <w:pgSz w:w="12240" w:h="15840" w:orient="portrait"/>
          <w:cols w:equalWidth="0" w:num="1">
            <w:col w:w="9920"/>
          </w:cols>
          <w:pgMar w:left="1160" w:top="1132"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920"/>
          </w:cols>
          <w:pgMar w:left="1160" w:top="1132" w:right="1160" w:bottom="175" w:gutter="0" w:footer="0" w:header="0"/>
          <w:type w:val="continuous"/>
        </w:sectPr>
      </w:pPr>
    </w:p>
    <w:bookmarkStart w:id="8" w:name="page9"/>
    <w:bookmarkEnd w:id="8"/>
    <w:p>
      <w:pPr>
        <w:ind w:right="100" w:firstLine="490"/>
        <w:spacing w:after="0" w:line="258" w:lineRule="auto"/>
        <w:rPr>
          <w:sz w:val="20"/>
          <w:szCs w:val="20"/>
          <w:color w:val="auto"/>
        </w:rPr>
      </w:pPr>
      <w:r>
        <w:rPr>
          <w:rFonts w:ascii="Times New Roman" w:cs="Times New Roman" w:eastAsia="Times New Roman" w:hAnsi="Times New Roman"/>
          <w:sz w:val="20"/>
          <w:szCs w:val="20"/>
          <w:color w:val="auto"/>
        </w:rPr>
        <w:t>As shown in the diagram below, kappa- and mu-opioid receptors are naturally concentrated in several areas of the body, including in the forebrain, brain stem, spinal cord, and peripheral nerves innervating the lung, which are the areas of the body involved in the physiology of chronic cough.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313170" cy="3027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extLst>
                    </a:blip>
                    <a:srcRect/>
                    <a:stretch>
                      <a:fillRect/>
                    </a:stretch>
                  </pic:blipFill>
                  <pic:spPr bwMode="auto">
                    <a:xfrm>
                      <a:off x="0" y="0"/>
                      <a:ext cx="631317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60" w:firstLine="490"/>
        <w:spacing w:after="0" w:line="268" w:lineRule="auto"/>
        <w:rPr>
          <w:sz w:val="20"/>
          <w:szCs w:val="20"/>
          <w:color w:val="auto"/>
        </w:rPr>
      </w:pPr>
      <w:r>
        <w:rPr>
          <w:rFonts w:ascii="Times New Roman" w:cs="Times New Roman" w:eastAsia="Times New Roman" w:hAnsi="Times New Roman"/>
          <w:sz w:val="19"/>
          <w:szCs w:val="19"/>
          <w:color w:val="auto"/>
        </w:rPr>
        <w:t>With respect to cough, kappa- and mu-opioid receptors in the forebrain, brain stem, lungs and the peripheral nerves innervating the lung are believed to be involved in mediating respiration and the cough reflex. While there are no approved opioid therapeutics for suppression of cough in humans, mu-agonist opioids have been used clinically to suppress cough.</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Haduvio</w:t>
      </w:r>
    </w:p>
    <w:p>
      <w:pPr>
        <w:spacing w:after="0" w:line="114" w:lineRule="exact"/>
        <w:rPr>
          <w:sz w:val="20"/>
          <w:szCs w:val="20"/>
          <w:color w:val="auto"/>
        </w:rPr>
      </w:pPr>
    </w:p>
    <w:p>
      <w:pPr>
        <w:ind w:firstLine="490"/>
        <w:spacing w:after="0" w:line="239" w:lineRule="auto"/>
        <w:rPr>
          <w:sz w:val="20"/>
          <w:szCs w:val="20"/>
          <w:color w:val="auto"/>
        </w:rPr>
      </w:pPr>
      <w:r>
        <w:rPr>
          <w:rFonts w:ascii="Times New Roman" w:cs="Times New Roman" w:eastAsia="Times New Roman" w:hAnsi="Times New Roman"/>
          <w:sz w:val="20"/>
          <w:szCs w:val="20"/>
          <w:color w:val="auto"/>
        </w:rPr>
        <w:t>Haduvio is an oral extended-release formulation of nalbuphine, a small molecule and is in the opioid mixed agonist-antagonist class of drugs. Nalbuphine is a marketed drug currently available only as nalbuphine hydrochloride for injection, a generic equivalent to Nubain, which has been approved in the U.S. and Europe for use in the relief of moderate to severe pain for decades. Nalbuphine is not currently classified as a controlled substance in the U.S. or most of Europe and is not commercially available in an oral dosage form.</w:t>
      </w:r>
    </w:p>
    <w:p>
      <w:pPr>
        <w:spacing w:after="0" w:line="77" w:lineRule="exact"/>
        <w:rPr>
          <w:sz w:val="20"/>
          <w:szCs w:val="20"/>
          <w:color w:val="auto"/>
        </w:rPr>
      </w:pPr>
    </w:p>
    <w:p>
      <w:pPr>
        <w:ind w:right="20" w:firstLine="490"/>
        <w:spacing w:after="0" w:line="237" w:lineRule="auto"/>
        <w:rPr>
          <w:sz w:val="20"/>
          <w:szCs w:val="20"/>
          <w:color w:val="auto"/>
        </w:rPr>
      </w:pPr>
      <w:r>
        <w:rPr>
          <w:rFonts w:ascii="Times New Roman" w:cs="Times New Roman" w:eastAsia="Times New Roman" w:hAnsi="Times New Roman"/>
          <w:sz w:val="20"/>
          <w:szCs w:val="20"/>
          <w:color w:val="auto"/>
        </w:rPr>
        <w:t>We have leveraged the known mechanism and proven biological activity of nalbuphine in pain to expedite the clinical development of Haduvio. We have also drawn on the safety and tolerability data from eight prior clinical trials of Haduvio conducted by Penwest Pharmaceuticals Co., which subsequently merged into Endo, Inc. and which has since merged with Mallinckrodt plc which was then renamed Keenova Therapeutics plc, or Keenova, for which we have licensed rights from Keenova, including two Phase 2 clinical trials of Haduvio for the treatment of pain, to support our clinical development efforts.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Haduvio Development Programs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IPF-related Chronic Cough Program</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u w:val="single" w:color="auto"/>
          <w:color w:val="auto"/>
        </w:rPr>
        <w:t>Overview</w:t>
      </w:r>
    </w:p>
    <w:p>
      <w:pPr>
        <w:spacing w:after="0" w:line="11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IPF is a progressive fibrosing interstitial lung disease associated with high mortality rates. After IPF diagnosis, the median survival is 3 to 5 years, during which time patients suffer from chronic cough and dyspnea. IPF-related chronic cough is a condition with high unmet need and no FDA-approved therapies. There are approximately 150,000 U.S. patients with IPF, and two-thirds of these patients are faced with uncontrolled chronic cough. The impact of chronic cough is significant, with patients coughing up to 1,500 times per day. A higher cough severity, and any associated damage, may lead to a higher risk of morbidity and mortality, including worsening disease, a higher risk of progression, increased respiratory hospitalizations, and a decline in patients’ physical, psychological, and social quality of life.</w:t>
      </w:r>
    </w:p>
    <w:p>
      <w:pPr>
        <w:spacing w:after="0" w:line="80" w:lineRule="exact"/>
        <w:rPr>
          <w:sz w:val="20"/>
          <w:szCs w:val="20"/>
          <w:color w:val="auto"/>
        </w:rPr>
      </w:pPr>
    </w:p>
    <w:p>
      <w:pPr>
        <w:jc w:val="both"/>
        <w:ind w:right="200" w:firstLine="490"/>
        <w:spacing w:after="0" w:line="258" w:lineRule="auto"/>
        <w:rPr>
          <w:sz w:val="20"/>
          <w:szCs w:val="20"/>
          <w:color w:val="auto"/>
        </w:rPr>
      </w:pPr>
      <w:r>
        <w:rPr>
          <w:rFonts w:ascii="Times New Roman" w:cs="Times New Roman" w:eastAsia="Times New Roman" w:hAnsi="Times New Roman"/>
          <w:sz w:val="20"/>
          <w:szCs w:val="20"/>
          <w:color w:val="auto"/>
        </w:rPr>
        <w:t>The opioid class of drugs has demonstrated the ability to suppress cough and is used in the clinical management of cough. There is also preclinical and clinical evidence that mixed agonist-antagonist drugs can also be effective in treating cough.</w:t>
      </w:r>
    </w:p>
    <w:p>
      <w:pPr>
        <w:sectPr>
          <w:pgSz w:w="12240" w:h="15840" w:orient="portrait"/>
          <w:cols w:equalWidth="0" w:num="1">
            <w:col w:w="9900"/>
          </w:cols>
          <w:pgMar w:left="1160" w:top="1132" w:right="11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900"/>
          </w:cols>
          <w:pgMar w:left="1160" w:top="1132" w:right="1180" w:bottom="175" w:gutter="0" w:footer="0" w:header="0"/>
          <w:type w:val="continuous"/>
        </w:sectPr>
      </w:pPr>
    </w:p>
    <w:bookmarkStart w:id="9" w:name="page10"/>
    <w:bookmarkEnd w:id="9"/>
    <w:p>
      <w:pPr>
        <w:ind w:left="488"/>
        <w:spacing w:after="0"/>
        <w:rPr>
          <w:sz w:val="20"/>
          <w:szCs w:val="20"/>
          <w:color w:val="auto"/>
        </w:rPr>
      </w:pPr>
      <w:r>
        <w:rPr>
          <w:rFonts w:ascii="Times New Roman" w:cs="Times New Roman" w:eastAsia="Times New Roman" w:hAnsi="Times New Roman"/>
          <w:sz w:val="20"/>
          <w:szCs w:val="20"/>
          <w:i w:val="1"/>
          <w:iCs w:val="1"/>
          <w:u w:val="single" w:color="auto"/>
          <w:color w:val="auto"/>
        </w:rPr>
        <w:t>Clinical Development</w:t>
      </w:r>
    </w:p>
    <w:p>
      <w:pPr>
        <w:spacing w:after="0" w:line="118" w:lineRule="exact"/>
        <w:rPr>
          <w:sz w:val="20"/>
          <w:szCs w:val="20"/>
          <w:color w:val="auto"/>
        </w:rPr>
      </w:pPr>
    </w:p>
    <w:p>
      <w:pPr>
        <w:ind w:left="8" w:right="20" w:firstLine="490"/>
        <w:spacing w:after="0" w:line="277" w:lineRule="auto"/>
        <w:rPr>
          <w:sz w:val="20"/>
          <w:szCs w:val="20"/>
          <w:color w:val="auto"/>
        </w:rPr>
      </w:pPr>
      <w:r>
        <w:rPr>
          <w:rFonts w:ascii="Times New Roman" w:cs="Times New Roman" w:eastAsia="Times New Roman" w:hAnsi="Times New Roman"/>
          <w:sz w:val="20"/>
          <w:szCs w:val="20"/>
          <w:color w:val="auto"/>
        </w:rPr>
        <w:t>We have conducted two Phase 2 trials of Haduvio for IPF-related chronic cough and plan to initiate our Phase 3 trials consisting of two Phase 3 trials, the first of which we expect to initiate in the second quarter of 2026.</w:t>
      </w:r>
    </w:p>
    <w:p>
      <w:pPr>
        <w:spacing w:after="0" w:line="42"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u w:val="single" w:color="auto"/>
          <w:color w:val="auto"/>
        </w:rPr>
        <w:t>Phase 2b CORAL Clinical Trial</w:t>
      </w:r>
    </w:p>
    <w:p>
      <w:pPr>
        <w:spacing w:after="0" w:line="118" w:lineRule="exact"/>
        <w:rPr>
          <w:sz w:val="20"/>
          <w:szCs w:val="20"/>
          <w:color w:val="auto"/>
        </w:rPr>
      </w:pPr>
    </w:p>
    <w:p>
      <w:pPr>
        <w:ind w:left="8" w:firstLine="490"/>
        <w:spacing w:after="0" w:line="244" w:lineRule="auto"/>
        <w:rPr>
          <w:sz w:val="20"/>
          <w:szCs w:val="20"/>
          <w:color w:val="auto"/>
        </w:rPr>
      </w:pPr>
      <w:r>
        <w:rPr>
          <w:rFonts w:ascii="Times New Roman" w:cs="Times New Roman" w:eastAsia="Times New Roman" w:hAnsi="Times New Roman"/>
          <w:sz w:val="20"/>
          <w:szCs w:val="20"/>
          <w:color w:val="auto"/>
        </w:rPr>
        <w:t>In June 2025, we announced positive topline results of our Phase 2b CORAL trial, which was a dose-ranging study evaluating the efficacy, safety and tolerability of Haduvio for IPF-related chronic cough. The Phase 2b CORAL trial (N=165) was conducted at multiple sites in ten countries and used a randomized, double-blind, placebo-controlled, parallel-arm design, which evaluated three doses of Haduvio as compared to placebo. The primary efficacy endpoint for the trial was the relative change in 24-hour cough frequency (coughs per hour) for the modified intent-to-treat, or mITT, population at the end of Week 6 versus Baseline for Haduvio compared to placebo, as measured via an objective cough monitor. The mITT population consists of all randomized patients who received at least one dose of study drug or placebo. The primary efficacy endpoint in the Phase 2b CORAL trial was achieved, demonstrating statistically significant reductions in 24-hour cough frequency across all dose groups at Week 6. The 108 mg BID, 54 mg BID and 27 mg BID dose groups achieved statistically significant reductions from Baseline of 60.2% (p&lt;0.0001), 53.4% (p&lt;0.0001), and 47.9% (p&lt;0.01), respectively, compared to a placebo reduction from Baseline of 16.9%</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w:t>
      </w:r>
    </w:p>
    <w:p>
      <w:pPr>
        <w:spacing w:after="0" w:line="118" w:lineRule="exact"/>
        <w:rPr>
          <w:sz w:val="20"/>
          <w:szCs w:val="20"/>
          <w:color w:val="auto"/>
        </w:rPr>
      </w:pPr>
    </w:p>
    <w:p>
      <w:pPr>
        <w:ind w:left="8" w:right="480" w:firstLine="720"/>
        <w:spacing w:after="0" w:line="277" w:lineRule="auto"/>
        <w:rPr>
          <w:sz w:val="20"/>
          <w:szCs w:val="20"/>
          <w:color w:val="auto"/>
        </w:rPr>
      </w:pPr>
      <w:r>
        <w:rPr>
          <w:rFonts w:ascii="Times New Roman" w:cs="Times New Roman" w:eastAsia="Times New Roman" w:hAnsi="Times New Roman"/>
          <w:sz w:val="20"/>
          <w:szCs w:val="20"/>
          <w:color w:val="auto"/>
        </w:rPr>
        <w:t>The table below shows the data for the primary endpoint – Relative Change from Baseline in 24-hour Cough Frequency (coughs per hour) at Week 6:</w:t>
      </w:r>
    </w:p>
    <w:p>
      <w:pPr>
        <w:sectPr>
          <w:pgSz w:w="12240" w:h="15840" w:orient="portrait"/>
          <w:cols w:equalWidth="0" w:num="1">
            <w:col w:w="9908"/>
          </w:cols>
          <w:pgMar w:left="1152" w:top="1134" w:right="11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8" w:right="120"/>
        <w:spacing w:after="0" w:line="254" w:lineRule="auto"/>
        <w:rPr>
          <w:sz w:val="20"/>
          <w:szCs w:val="20"/>
          <w:color w:val="auto"/>
        </w:rPr>
      </w:pPr>
      <w:r>
        <w:rPr>
          <w:rFonts w:ascii="Times New Roman" w:cs="Times New Roman" w:eastAsia="Times New Roman" w:hAnsi="Times New Roman"/>
          <w:sz w:val="20"/>
          <w:szCs w:val="20"/>
          <w:color w:val="auto"/>
        </w:rPr>
        <w:t>Baseline 24-hour Cough Frequency (coughs/hour)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-302260</wp:posOffset>
                </wp:positionV>
                <wp:extent cx="2047240" cy="29845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7240" cy="298450"/>
                        </a:xfrm>
                        <a:prstGeom prst="rect">
                          <a:avLst/>
                        </a:prstGeom>
                        <a:solidFill>
                          <a:srgbClr val="D5EEEE"/>
                        </a:solidFill>
                      </wps:spPr>
                      <wps:bodyPr/>
                    </wps:wsp>
                  </a:graphicData>
                </a:graphic>
              </wp:anchor>
            </w:drawing>
          </mc:Choice>
          <mc:Fallback>
            <w:pict>
              <v:rect id="Shape 11" o:spid="_x0000_s1036" style="position:absolute;margin-left:0pt;margin-top:-23.7999pt;width:161.2pt;height: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ind w:left="108"/>
        <w:spacing w:after="0" w:line="244" w:lineRule="auto"/>
        <w:rPr>
          <w:sz w:val="20"/>
          <w:szCs w:val="20"/>
          <w:color w:val="auto"/>
        </w:rPr>
      </w:pPr>
      <w:r>
        <w:rPr>
          <w:rFonts w:ascii="Times New Roman" w:cs="Times New Roman" w:eastAsia="Times New Roman" w:hAnsi="Times New Roman"/>
          <w:sz w:val="20"/>
          <w:szCs w:val="20"/>
          <w:color w:val="auto"/>
        </w:rPr>
        <w:t>Relative Change from Baseline in 24-hour Cough Frequency at Week 6 Placebo-adjusted difference</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Haduvio</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Haduvio</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Haduvio</w:t>
            </w:r>
          </w:p>
        </w:tc>
        <w:tc>
          <w:tcPr>
            <w:tcW w:w="0" w:type="dxa"/>
            <w:vAlign w:val="bottom"/>
          </w:tcPr>
          <w:p>
            <w:pPr>
              <w:spacing w:after="0"/>
              <w:rPr>
                <w:sz w:val="1"/>
                <w:szCs w:val="1"/>
                <w:color w:val="auto"/>
              </w:rPr>
            </w:pPr>
          </w:p>
        </w:tc>
      </w:tr>
      <w:tr>
        <w:trPr>
          <w:trHeight w:val="230"/>
        </w:trPr>
        <w:tc>
          <w:tcPr>
            <w:tcW w:w="1380" w:type="dxa"/>
            <w:vAlign w:val="bottom"/>
          </w:tcPr>
          <w:p>
            <w:pPr>
              <w:ind w:left="340"/>
              <w:spacing w:after="0" w:line="230" w:lineRule="exact"/>
              <w:rPr>
                <w:sz w:val="20"/>
                <w:szCs w:val="20"/>
                <w:color w:val="auto"/>
              </w:rPr>
            </w:pPr>
            <w:r>
              <w:rPr>
                <w:rFonts w:ascii="Times New Roman" w:cs="Times New Roman" w:eastAsia="Times New Roman" w:hAnsi="Times New Roman"/>
                <w:sz w:val="20"/>
                <w:szCs w:val="20"/>
                <w:b w:val="1"/>
                <w:bCs w:val="1"/>
                <w:color w:val="auto"/>
              </w:rPr>
              <w:t>Placebo</w:t>
            </w:r>
            <w:r>
              <w:rPr>
                <w:rFonts w:ascii="Times New Roman" w:cs="Times New Roman" w:eastAsia="Times New Roman" w:hAnsi="Times New Roman"/>
                <w:sz w:val="26"/>
                <w:szCs w:val="26"/>
                <w:b w:val="1"/>
                <w:bCs w:val="1"/>
                <w:color w:val="auto"/>
                <w:vertAlign w:val="superscript"/>
              </w:rPr>
              <w:t>1</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27 mg BID</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54 mg BID</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108 mg BID</w:t>
            </w:r>
          </w:p>
        </w:tc>
        <w:tc>
          <w:tcPr>
            <w:tcW w:w="0" w:type="dxa"/>
            <w:vAlign w:val="bottom"/>
          </w:tcPr>
          <w:p>
            <w:pPr>
              <w:spacing w:after="0"/>
              <w:rPr>
                <w:sz w:val="1"/>
                <w:szCs w:val="1"/>
                <w:color w:val="auto"/>
              </w:rPr>
            </w:pPr>
          </w:p>
        </w:tc>
      </w:tr>
      <w:tr>
        <w:trPr>
          <w:trHeight w:val="254"/>
        </w:trPr>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(N=39)</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(N=42)</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(N=43)</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(N=40)</w:t>
            </w:r>
          </w:p>
        </w:tc>
        <w:tc>
          <w:tcPr>
            <w:tcW w:w="0" w:type="dxa"/>
            <w:vAlign w:val="bottom"/>
          </w:tcPr>
          <w:p>
            <w:pPr>
              <w:spacing w:after="0"/>
              <w:rPr>
                <w:sz w:val="1"/>
                <w:szCs w:val="1"/>
                <w:color w:val="auto"/>
              </w:rPr>
            </w:pPr>
          </w:p>
        </w:tc>
      </w:tr>
      <w:tr>
        <w:trPr>
          <w:trHeight w:val="352"/>
        </w:trPr>
        <w:tc>
          <w:tcPr>
            <w:tcW w:w="138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7"/>
              </w:rPr>
              <w:t>29.4</w:t>
            </w:r>
          </w:p>
        </w:tc>
        <w:tc>
          <w:tcPr>
            <w:tcW w:w="148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rPr>
              <w:t>24.6</w:t>
            </w:r>
          </w:p>
        </w:tc>
        <w:tc>
          <w:tcPr>
            <w:tcW w:w="140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w w:val="97"/>
              </w:rPr>
              <w:t>28.0</w:t>
            </w:r>
          </w:p>
        </w:tc>
        <w:tc>
          <w:tcPr>
            <w:tcW w:w="146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20"/>
                <w:szCs w:val="20"/>
                <w:color w:val="auto"/>
              </w:rPr>
              <w:t>31.5</w:t>
            </w:r>
          </w:p>
        </w:tc>
        <w:tc>
          <w:tcPr>
            <w:tcW w:w="0" w:type="dxa"/>
            <w:vAlign w:val="bottom"/>
          </w:tcPr>
          <w:p>
            <w:pPr>
              <w:spacing w:after="0"/>
              <w:rPr>
                <w:sz w:val="1"/>
                <w:szCs w:val="1"/>
                <w:color w:val="auto"/>
              </w:rPr>
            </w:pPr>
          </w:p>
        </w:tc>
      </w:tr>
      <w:tr>
        <w:trPr>
          <w:trHeight w:val="98"/>
        </w:trPr>
        <w:tc>
          <w:tcPr>
            <w:tcW w:w="1380" w:type="dxa"/>
            <w:vAlign w:val="bottom"/>
            <w:shd w:val="clear" w:color="auto" w:fill="D5EEEE"/>
          </w:tcPr>
          <w:p>
            <w:pPr>
              <w:spacing w:after="0"/>
              <w:rPr>
                <w:sz w:val="8"/>
                <w:szCs w:val="8"/>
                <w:color w:val="auto"/>
              </w:rPr>
            </w:pPr>
          </w:p>
        </w:tc>
        <w:tc>
          <w:tcPr>
            <w:tcW w:w="1480" w:type="dxa"/>
            <w:vAlign w:val="bottom"/>
            <w:shd w:val="clear" w:color="auto" w:fill="D5EEEE"/>
          </w:tcPr>
          <w:p>
            <w:pPr>
              <w:spacing w:after="0"/>
              <w:rPr>
                <w:sz w:val="8"/>
                <w:szCs w:val="8"/>
                <w:color w:val="auto"/>
              </w:rPr>
            </w:pPr>
          </w:p>
        </w:tc>
        <w:tc>
          <w:tcPr>
            <w:tcW w:w="1400" w:type="dxa"/>
            <w:vAlign w:val="bottom"/>
            <w:shd w:val="clear" w:color="auto" w:fill="D5EEEE"/>
          </w:tcPr>
          <w:p>
            <w:pPr>
              <w:spacing w:after="0"/>
              <w:rPr>
                <w:sz w:val="8"/>
                <w:szCs w:val="8"/>
                <w:color w:val="auto"/>
              </w:rPr>
            </w:pPr>
          </w:p>
        </w:tc>
        <w:tc>
          <w:tcPr>
            <w:tcW w:w="1460" w:type="dxa"/>
            <w:vAlign w:val="bottom"/>
            <w:shd w:val="clear" w:color="auto" w:fill="D5EEE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-16.9%</w:t>
            </w:r>
          </w:p>
        </w:tc>
        <w:tc>
          <w:tcPr>
            <w:tcW w:w="148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rPr>
              <w:t>-47.9%</w:t>
            </w:r>
          </w:p>
        </w:tc>
        <w:tc>
          <w:tcPr>
            <w:tcW w:w="140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w w:val="99"/>
              </w:rPr>
              <w:t>-53.4%</w:t>
            </w:r>
          </w:p>
        </w:tc>
        <w:tc>
          <w:tcPr>
            <w:tcW w:w="1460" w:type="dxa"/>
            <w:vAlign w:val="bottom"/>
          </w:tcPr>
          <w:p>
            <w:pPr>
              <w:jc w:val="center"/>
              <w:spacing w:after="0" w:line="210" w:lineRule="exact"/>
              <w:rPr>
                <w:sz w:val="20"/>
                <w:szCs w:val="20"/>
                <w:color w:val="auto"/>
              </w:rPr>
            </w:pPr>
            <w:r>
              <w:rPr>
                <w:rFonts w:ascii="Times New Roman" w:cs="Times New Roman" w:eastAsia="Times New Roman" w:hAnsi="Times New Roman"/>
                <w:sz w:val="20"/>
                <w:szCs w:val="20"/>
                <w:color w:val="auto"/>
              </w:rPr>
              <w:t>-60.2%</w:t>
            </w:r>
          </w:p>
        </w:tc>
        <w:tc>
          <w:tcPr>
            <w:tcW w:w="0" w:type="dxa"/>
            <w:vAlign w:val="bottom"/>
          </w:tcPr>
          <w:p>
            <w:pPr>
              <w:spacing w:after="0"/>
              <w:rPr>
                <w:sz w:val="1"/>
                <w:szCs w:val="1"/>
                <w:color w:val="auto"/>
              </w:rPr>
            </w:pPr>
          </w:p>
        </w:tc>
      </w:tr>
      <w:tr>
        <w:trPr>
          <w:trHeight w:val="151"/>
        </w:trPr>
        <w:tc>
          <w:tcPr>
            <w:tcW w:w="1380" w:type="dxa"/>
            <w:vAlign w:val="bottom"/>
            <w:vMerge w:val="continue"/>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(p&lt;0.01)</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(p&lt;0.0001)</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(p&lt;0.0001)</w:t>
            </w:r>
          </w:p>
        </w:tc>
        <w:tc>
          <w:tcPr>
            <w:tcW w:w="0" w:type="dxa"/>
            <w:vAlign w:val="bottom"/>
          </w:tcPr>
          <w:p>
            <w:pPr>
              <w:spacing w:after="0"/>
              <w:rPr>
                <w:sz w:val="1"/>
                <w:szCs w:val="1"/>
                <w:color w:val="auto"/>
              </w:rPr>
            </w:pPr>
          </w:p>
        </w:tc>
      </w:tr>
      <w:tr>
        <w:trPr>
          <w:trHeight w:val="79"/>
        </w:trPr>
        <w:tc>
          <w:tcPr>
            <w:tcW w:w="13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6"/>
        </w:trPr>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8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-30.9%</w:t>
            </w: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-36.5%</w:t>
            </w:r>
          </w:p>
        </w:tc>
        <w:tc>
          <w:tcPr>
            <w:tcW w:w="1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-2049145</wp:posOffset>
                </wp:positionH>
                <wp:positionV relativeFrom="paragraph">
                  <wp:posOffset>-156210</wp:posOffset>
                </wp:positionV>
                <wp:extent cx="5677535" cy="19177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77535" cy="191770"/>
                        </a:xfrm>
                        <a:prstGeom prst="rect">
                          <a:avLst/>
                        </a:prstGeom>
                        <a:solidFill>
                          <a:srgbClr val="D5EEEE"/>
                        </a:solidFill>
                      </wps:spPr>
                      <wps:bodyPr/>
                    </wps:wsp>
                  </a:graphicData>
                </a:graphic>
              </wp:anchor>
            </w:drawing>
          </mc:Choice>
          <mc:Fallback>
            <w:pict>
              <v:rect id="Shape 12" o:spid="_x0000_s1037" style="position:absolute;margin-left:-161.3499pt;margin-top:-12.2999pt;width:447.05pt;height:15.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203" w:lineRule="exact"/>
        <w:rPr>
          <w:sz w:val="20"/>
          <w:szCs w:val="20"/>
          <w:color w:val="auto"/>
        </w:rPr>
      </w:pPr>
    </w:p>
    <w:p>
      <w:pPr>
        <w:sectPr>
          <w:pgSz w:w="12240" w:h="15840" w:orient="portrait"/>
          <w:cols w:equalWidth="0" w:num="2">
            <w:col w:w="3088" w:space="140"/>
            <w:col w:w="6680"/>
          </w:cols>
          <w:pgMar w:left="1152" w:top="1134" w:right="1180" w:bottom="175" w:gutter="0" w:footer="0" w:header="0"/>
          <w:type w:val="continuous"/>
        </w:sectPr>
      </w:pPr>
    </w:p>
    <w:p>
      <w:pPr>
        <w:spacing w:after="0" w:line="43" w:lineRule="exact"/>
        <w:rPr>
          <w:sz w:val="20"/>
          <w:szCs w:val="20"/>
          <w:color w:val="auto"/>
        </w:rPr>
      </w:pPr>
    </w:p>
    <w:p>
      <w:pPr>
        <w:ind w:left="728" w:right="1700"/>
        <w:spacing w:after="0" w:line="229" w:lineRule="auto"/>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8"/>
          <w:szCs w:val="18"/>
          <w:i w:val="1"/>
          <w:iCs w:val="1"/>
          <w:color w:val="auto"/>
        </w:rPr>
        <w:t>One placebo patient with an extreme outlier value at Week 6 was excluded from the modified intent-to-treat (“mITT”) population. Inclusion of the patient in the placebo group would have resulted in an increased cough frequency from Baseline in the placebo group and much greater placebo-adjusted differences.</w:t>
      </w:r>
    </w:p>
    <w:p>
      <w:pPr>
        <w:spacing w:after="0" w:line="318"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color w:val="auto"/>
        </w:rPr>
        <w:t>Additional Trial Results</w:t>
      </w:r>
    </w:p>
    <w:p>
      <w:pPr>
        <w:spacing w:after="0" w:line="134" w:lineRule="exact"/>
        <w:rPr>
          <w:sz w:val="20"/>
          <w:szCs w:val="20"/>
          <w:color w:val="auto"/>
        </w:rPr>
      </w:pPr>
    </w:p>
    <w:p>
      <w:pPr>
        <w:ind w:left="488" w:right="700" w:hanging="488"/>
        <w:spacing w:after="0" w:line="248" w:lineRule="exact"/>
        <w:tabs>
          <w:tab w:leader="none" w:pos="488"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A rapid reduction was seen in 24-hour cough frequency as early as Week 2 </w:t>
      </w:r>
      <w:r>
        <w:rPr>
          <w:rFonts w:ascii="Arial Unicode MS" w:cs="Arial Unicode MS" w:eastAsia="Arial Unicode MS" w:hAnsi="Arial Unicode MS"/>
          <w:sz w:val="20"/>
          <w:szCs w:val="20"/>
          <w:color w:val="auto"/>
        </w:rPr>
        <w:t xml:space="preserve">ZLWKௗ+DGXYLR </w:t>
      </w:r>
      <w:r>
        <w:rPr>
          <w:rFonts w:ascii="Times New Roman" w:cs="Times New Roman" w:eastAsia="Times New Roman" w:hAnsi="Times New Roman"/>
          <w:sz w:val="20"/>
          <w:szCs w:val="20"/>
          <w:color w:val="auto"/>
        </w:rPr>
        <w:t xml:space="preserve"> the first time point measured.</w:t>
      </w:r>
    </w:p>
    <w:p>
      <w:pPr>
        <w:spacing w:after="0" w:line="98" w:lineRule="exact"/>
        <w:rPr>
          <w:rFonts w:ascii="Arial" w:cs="Arial" w:eastAsia="Arial" w:hAnsi="Arial"/>
          <w:sz w:val="20"/>
          <w:szCs w:val="20"/>
          <w:color w:val="auto"/>
        </w:rPr>
      </w:pPr>
    </w:p>
    <w:p>
      <w:pPr>
        <w:ind w:left="488" w:right="520" w:hanging="488"/>
        <w:spacing w:after="0" w:line="242" w:lineRule="exact"/>
        <w:tabs>
          <w:tab w:leader="none" w:pos="488"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A 50% reduction in 24-hour cough frequency at Week 6 vs Baseline was seen in 65% of patients on 108 mg </w:t>
      </w:r>
      <w:r>
        <w:rPr>
          <w:rFonts w:ascii="Arial Unicode MS" w:cs="Arial Unicode MS" w:eastAsia="Arial Unicode MS" w:hAnsi="Arial Unicode MS"/>
          <w:sz w:val="20"/>
          <w:szCs w:val="20"/>
          <w:color w:val="auto"/>
        </w:rPr>
        <w:t>%,'ௗ+DGXYLR</w:t>
      </w:r>
      <w:r>
        <w:rPr>
          <w:rFonts w:ascii="Times New Roman" w:cs="Times New Roman" w:eastAsia="Times New Roman" w:hAnsi="Times New Roman"/>
          <w:sz w:val="20"/>
          <w:szCs w:val="20"/>
          <w:color w:val="auto"/>
        </w:rPr>
        <w:t xml:space="preserve"> (p&lt;0.001), 63% of patients on 54 mg BID Haduvio (p&lt;0.001) and 60% of patients on 27 mg BID Haduvio (p&lt;0.001) dose groups, compared to 19% of placebo patients.</w:t>
      </w:r>
    </w:p>
    <w:p>
      <w:pPr>
        <w:spacing w:after="0" w:line="98" w:lineRule="exact"/>
        <w:rPr>
          <w:rFonts w:ascii="Arial" w:cs="Arial" w:eastAsia="Arial" w:hAnsi="Arial"/>
          <w:sz w:val="20"/>
          <w:szCs w:val="20"/>
          <w:color w:val="auto"/>
        </w:rPr>
      </w:pPr>
    </w:p>
    <w:p>
      <w:pPr>
        <w:ind w:left="488" w:hanging="488"/>
        <w:spacing w:after="0" w:line="252" w:lineRule="auto"/>
        <w:tabs>
          <w:tab w:leader="none" w:pos="488"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 statistically significant response was observed on the cough-severity numerical rating scale (CS-NRS), a secondary endpoint, at Week 6 on Haduvio in both the 108 mg BID and 54 mg BID dose groups. There was a mean reduction on a 0 – 10 scale of 3.0 points on the 108 mg BID (p&lt;0.05), 3.2 points on the 54 mg BID (p&lt;0.01) and 2.0 points on the 27 mg BID (p=0.46) dose groups compared to a 1.5-point reduction on placebo at Week 6.</w:t>
      </w:r>
    </w:p>
    <w:p>
      <w:pPr>
        <w:spacing w:after="0" w:line="87" w:lineRule="exact"/>
        <w:rPr>
          <w:rFonts w:ascii="Arial" w:cs="Arial" w:eastAsia="Arial" w:hAnsi="Arial"/>
          <w:sz w:val="20"/>
          <w:szCs w:val="20"/>
          <w:color w:val="auto"/>
        </w:rPr>
      </w:pPr>
    </w:p>
    <w:p>
      <w:pPr>
        <w:ind w:left="488" w:right="40" w:hanging="488"/>
        <w:spacing w:after="0" w:line="252" w:lineRule="auto"/>
        <w:tabs>
          <w:tab w:leader="none" w:pos="488"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108 mg BID and 54 mg BID dose groups were statistically significant (p&lt;0.01) on the patient-reported outcome E-RS®: IPF Cough Subscale, a secondary endpoint, with mean relative change from Baseline of -42.4% and -43.1%, respectively at Week 6, compared to -23% for those on placebo at Week 6. The 27 mg BID dose group was not statistically significant with a mean relative change from Baseline of –31.6%.</w:t>
      </w:r>
    </w:p>
    <w:p>
      <w:pPr>
        <w:spacing w:after="0" w:line="87" w:lineRule="exact"/>
        <w:rPr>
          <w:rFonts w:ascii="Arial" w:cs="Arial" w:eastAsia="Arial" w:hAnsi="Arial"/>
          <w:sz w:val="20"/>
          <w:szCs w:val="20"/>
          <w:color w:val="auto"/>
        </w:rPr>
      </w:pPr>
    </w:p>
    <w:p>
      <w:pPr>
        <w:ind w:left="488" w:right="100" w:hanging="488"/>
        <w:spacing w:after="0" w:line="249" w:lineRule="auto"/>
        <w:tabs>
          <w:tab w:leader="none" w:pos="488"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Discontinuation rates due to adverse events were similar in the combined Haduvio groups (5.6%) and placebo group (5.0%). The safety profile observed in the trial was generally consistent with the known safety profile of Haduvio from previous trials. The most common adverse events experienced included: nausea, vomiting, constipation, dizziness, headache, fatigue, somnolence, and dry mouth. Serious adverse events (all non-fatal) were reported for four patients (10.0%) in the placebo group and for two patients (1.6%) across all Haduvio doses combined.</w:t>
      </w:r>
    </w:p>
    <w:p>
      <w:pPr>
        <w:spacing w:after="0" w:line="90" w:lineRule="exact"/>
        <w:rPr>
          <w:rFonts w:ascii="Arial" w:cs="Arial" w:eastAsia="Arial" w:hAnsi="Arial"/>
          <w:sz w:val="20"/>
          <w:szCs w:val="20"/>
          <w:color w:val="auto"/>
        </w:rPr>
      </w:pPr>
    </w:p>
    <w:p>
      <w:pPr>
        <w:ind w:left="488" w:hanging="488"/>
        <w:spacing w:after="0"/>
        <w:tabs>
          <w:tab w:leader="none" w:pos="488"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trial showed positive results with Haduvio on the Leicester Cough Questionnaire (LCQ) Total Score for the 108</w:t>
      </w:r>
    </w:p>
    <w:p>
      <w:pPr>
        <w:sectPr>
          <w:pgSz w:w="12240" w:h="15840" w:orient="portrait"/>
          <w:cols w:equalWidth="0" w:num="1">
            <w:col w:w="9908"/>
          </w:cols>
          <w:pgMar w:left="1152" w:top="1134" w:right="1180" w:bottom="175" w:gutter="0" w:footer="0" w:header="0"/>
          <w:type w:val="continuous"/>
        </w:sectPr>
      </w:pPr>
    </w:p>
    <w:p>
      <w:pPr>
        <w:spacing w:after="0" w:line="303"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908"/>
          </w:cols>
          <w:pgMar w:left="1152" w:top="1134" w:right="1180" w:bottom="175" w:gutter="0" w:footer="0" w:header="0"/>
          <w:type w:val="continuous"/>
        </w:sectPr>
      </w:pPr>
    </w:p>
    <w:bookmarkStart w:id="10" w:name="page11"/>
    <w:bookmarkEnd w:id="10"/>
    <w:p>
      <w:pPr>
        <w:ind w:left="488" w:right="540"/>
        <w:spacing w:after="0" w:line="277" w:lineRule="auto"/>
        <w:rPr>
          <w:sz w:val="20"/>
          <w:szCs w:val="20"/>
          <w:color w:val="auto"/>
        </w:rPr>
      </w:pPr>
      <w:r>
        <w:rPr>
          <w:rFonts w:ascii="Times New Roman" w:cs="Times New Roman" w:eastAsia="Times New Roman" w:hAnsi="Times New Roman"/>
          <w:sz w:val="20"/>
          <w:szCs w:val="20"/>
          <w:color w:val="auto"/>
        </w:rPr>
        <w:t>mg BID and 54 mg BID dose groups, increasing the LCQ score by 3.4 points (p=0.01) and 3.7 points (p=0.01), respectively. A 1.3-point increase from Baseline is considered clinically meaningful.</w:t>
      </w:r>
    </w:p>
    <w:p>
      <w:pPr>
        <w:spacing w:after="0" w:line="279"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u w:val="single" w:color="auto"/>
          <w:color w:val="auto"/>
        </w:rPr>
        <w:t>Phase 2a CANAL Clinical Trial</w:t>
      </w:r>
    </w:p>
    <w:p>
      <w:pPr>
        <w:spacing w:after="0" w:line="120" w:lineRule="exact"/>
        <w:rPr>
          <w:sz w:val="20"/>
          <w:szCs w:val="20"/>
          <w:color w:val="auto"/>
        </w:rPr>
      </w:pPr>
    </w:p>
    <w:p>
      <w:pPr>
        <w:ind w:left="8" w:right="20" w:firstLine="490"/>
        <w:spacing w:after="0" w:line="243" w:lineRule="auto"/>
        <w:rPr>
          <w:sz w:val="20"/>
          <w:szCs w:val="20"/>
          <w:color w:val="auto"/>
        </w:rPr>
      </w:pPr>
      <w:r>
        <w:rPr>
          <w:rFonts w:ascii="Times New Roman" w:cs="Times New Roman" w:eastAsia="Times New Roman" w:hAnsi="Times New Roman"/>
          <w:sz w:val="20"/>
          <w:szCs w:val="20"/>
          <w:color w:val="auto"/>
        </w:rPr>
        <w:t>Prior to our Phase 2b CORAL trial, we conducted our Phase 2a CANAL trial. The Phase 2a CANAL trial was a randomized, double-blind, placebo-controlled, two-treatment, two-period, crossover study that was designed to evaluate the efficacy, safety, and tolerability of Haduvio for IPF-related chronic cough that we conducted at multiple sites in the United Kingdom. Patients were randomized into one of two treatment arms. The patients in the first treatment arm received escalating doses of Haduvio for three weeks, which was followed by a two-week washout period and then a three-week treatment period during which they received placebo. The patients in the second treatment arm received placebo during the first three-week treatment period, followed by a two-week washout period, then received escalating doses of Haduvio during the second three-week treatment period. During the active treatment periods, Haduvio was studied over a dosing range starting at 27 mg once daily and titrated in steps to 162 mg twice daily. The primary efficacy endpoint of the trial was mean percent change in daytime cough frequency for Haduvio treatment compared to placebo treatment. Secondary endpoints in the trial included assessments of fatigue, dyspnea or shortness of breath and cough frequency and severity.</w:t>
      </w:r>
    </w:p>
    <w:p>
      <w:pPr>
        <w:spacing w:after="0" w:line="89" w:lineRule="exact"/>
        <w:rPr>
          <w:sz w:val="20"/>
          <w:szCs w:val="20"/>
          <w:color w:val="auto"/>
        </w:rPr>
      </w:pPr>
    </w:p>
    <w:p>
      <w:pPr>
        <w:ind w:left="8" w:right="440" w:firstLine="490"/>
        <w:spacing w:after="0" w:line="252" w:lineRule="auto"/>
        <w:rPr>
          <w:sz w:val="20"/>
          <w:szCs w:val="20"/>
          <w:color w:val="auto"/>
        </w:rPr>
      </w:pPr>
      <w:r>
        <w:rPr>
          <w:rFonts w:ascii="Times New Roman" w:cs="Times New Roman" w:eastAsia="Times New Roman" w:hAnsi="Times New Roman"/>
          <w:sz w:val="20"/>
          <w:szCs w:val="20"/>
          <w:color w:val="auto"/>
        </w:rPr>
        <w:t>In total, 42 patients in the trial received Haduvio. In the full analysis data set, Haduvio demonstrated statistically significant results for the primary efficacy endpoint of daytime cough frequency reduction (p&lt;0.0001) and for key secondary endpoints on patient and clinician reported outcomes. The trial results comparing patients randomized to Haduvio or placebo showed that:</w:t>
      </w:r>
    </w:p>
    <w:p>
      <w:pPr>
        <w:spacing w:after="0" w:line="88" w:lineRule="exact"/>
        <w:rPr>
          <w:sz w:val="20"/>
          <w:szCs w:val="20"/>
          <w:color w:val="auto"/>
        </w:rPr>
      </w:pPr>
    </w:p>
    <w:p>
      <w:pPr>
        <w:ind w:left="488" w:right="420" w:hanging="488"/>
        <w:spacing w:after="0" w:line="258" w:lineRule="auto"/>
        <w:tabs>
          <w:tab w:leader="none" w:pos="488"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On the primary efficacy endpoint, Haduvio patients had a 75.1% reduction in daytime cough frequency at end of treatment period vs. study Baseline compared to placebo patients who had a 22.6% reduction, a 52.5% placebo-adjusted change (p&lt;0.0001);</w:t>
      </w:r>
    </w:p>
    <w:p>
      <w:pPr>
        <w:spacing w:after="0" w:line="81" w:lineRule="exact"/>
        <w:rPr>
          <w:rFonts w:ascii="Arial" w:cs="Arial" w:eastAsia="Arial" w:hAnsi="Arial"/>
          <w:sz w:val="20"/>
          <w:szCs w:val="20"/>
          <w:color w:val="auto"/>
        </w:rPr>
      </w:pPr>
    </w:p>
    <w:p>
      <w:pPr>
        <w:ind w:left="488" w:right="340" w:hanging="488"/>
        <w:spacing w:after="0" w:line="304" w:lineRule="auto"/>
        <w:tabs>
          <w:tab w:leader="none" w:pos="488" w:val="left"/>
        </w:tabs>
        <w:numPr>
          <w:ilvl w:val="0"/>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Haduvio patients had a 76.1% reduction in 24-hour cough frequency at end of treatment period vs. study Baseline compared to placebo patients who had a 25.3% reduction, a 50.8% placebo-adjusted change (p&lt;0.0001);</w:t>
      </w:r>
    </w:p>
    <w:p>
      <w:pPr>
        <w:spacing w:after="0" w:line="39" w:lineRule="exact"/>
        <w:rPr>
          <w:rFonts w:ascii="Arial" w:cs="Arial" w:eastAsia="Arial" w:hAnsi="Arial"/>
          <w:sz w:val="19"/>
          <w:szCs w:val="19"/>
          <w:color w:val="auto"/>
        </w:rPr>
      </w:pPr>
    </w:p>
    <w:p>
      <w:pPr>
        <w:ind w:left="488" w:right="180" w:hanging="488"/>
        <w:spacing w:after="0" w:line="276" w:lineRule="auto"/>
        <w:tabs>
          <w:tab w:leader="none" w:pos="488"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 a post-hoc analysis, 97% of Haduvio patients had at least a 30% reduction in 24-hour cough frequency compared to 35% of placebo patients, signifying a clinically meaningful reduction in cough (p&lt;0.0001);</w:t>
      </w:r>
    </w:p>
    <w:p>
      <w:pPr>
        <w:spacing w:after="0" w:line="64" w:lineRule="exact"/>
        <w:rPr>
          <w:rFonts w:ascii="Arial" w:cs="Arial" w:eastAsia="Arial" w:hAnsi="Arial"/>
          <w:sz w:val="20"/>
          <w:szCs w:val="20"/>
          <w:color w:val="auto"/>
        </w:rPr>
      </w:pPr>
    </w:p>
    <w:p>
      <w:pPr>
        <w:ind w:left="488" w:right="600" w:hanging="488"/>
        <w:spacing w:after="0" w:line="258" w:lineRule="auto"/>
        <w:tabs>
          <w:tab w:leader="none" w:pos="488"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Patients on Haduvio experienced a statistically significant improvement as measured by their patient reported outcomes compared to placebo over the three-week treatment period in the EXACT2: Cough Frequency Score (p=0.001) and Cough Severity Numerical Rating Scale (p=0.0001); and</w:t>
      </w:r>
    </w:p>
    <w:p>
      <w:pPr>
        <w:spacing w:after="0" w:line="81" w:lineRule="exact"/>
        <w:rPr>
          <w:rFonts w:ascii="Arial" w:cs="Arial" w:eastAsia="Arial" w:hAnsi="Arial"/>
          <w:sz w:val="20"/>
          <w:szCs w:val="20"/>
          <w:color w:val="auto"/>
        </w:rPr>
      </w:pPr>
    </w:p>
    <w:p>
      <w:pPr>
        <w:ind w:left="488" w:right="100" w:hanging="488"/>
        <w:spacing w:after="0" w:line="276" w:lineRule="auto"/>
        <w:tabs>
          <w:tab w:leader="none" w:pos="488"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Based on the Clinical Global Impression of Change rating measuring clinicians’ view of change since the start of the trial, 62% of Haduvio patients improved vs. Baseline compared to 19% of placebo patients (p=0.01).</w:t>
      </w:r>
    </w:p>
    <w:p>
      <w:pPr>
        <w:spacing w:after="0" w:line="42" w:lineRule="exact"/>
        <w:rPr>
          <w:sz w:val="20"/>
          <w:szCs w:val="20"/>
          <w:color w:val="auto"/>
        </w:rPr>
      </w:pPr>
    </w:p>
    <w:p>
      <w:pPr>
        <w:ind w:left="8" w:right="80" w:firstLine="490"/>
        <w:spacing w:after="0" w:line="242" w:lineRule="auto"/>
        <w:rPr>
          <w:sz w:val="20"/>
          <w:szCs w:val="20"/>
          <w:color w:val="auto"/>
        </w:rPr>
      </w:pPr>
      <w:r>
        <w:rPr>
          <w:rFonts w:ascii="Times New Roman" w:cs="Times New Roman" w:eastAsia="Times New Roman" w:hAnsi="Times New Roman"/>
          <w:sz w:val="20"/>
          <w:szCs w:val="20"/>
          <w:color w:val="auto"/>
        </w:rPr>
        <w:t>The safety results of the trial were generally consistent with the known safety profile of Haduvio from previous trials in other patient populations. There were two SAEs reported during the trial, neither of which was considered by the investigator to be treatment related. Adverse events most commonly observed during the trial were nausea, fatigue, constipation, dizziness, somnolence, vomiting, headache, anxiety and depression.</w:t>
      </w:r>
    </w:p>
    <w:p>
      <w:pPr>
        <w:spacing w:after="0" w:line="76"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i w:val="1"/>
          <w:iCs w:val="1"/>
          <w:u w:val="single" w:color="auto"/>
          <w:color w:val="auto"/>
        </w:rPr>
        <w:t>Next Steps</w:t>
      </w:r>
    </w:p>
    <w:p>
      <w:pPr>
        <w:spacing w:after="0" w:line="108" w:lineRule="exact"/>
        <w:rPr>
          <w:sz w:val="20"/>
          <w:szCs w:val="20"/>
          <w:color w:val="auto"/>
        </w:rPr>
      </w:pPr>
    </w:p>
    <w:p>
      <w:pPr>
        <w:ind w:left="8" w:firstLine="490"/>
        <w:spacing w:after="0" w:line="235" w:lineRule="auto"/>
        <w:rPr>
          <w:sz w:val="20"/>
          <w:szCs w:val="20"/>
          <w:color w:val="auto"/>
        </w:rPr>
      </w:pPr>
      <w:r>
        <w:rPr>
          <w:rFonts w:ascii="Times New Roman" w:cs="Times New Roman" w:eastAsia="Times New Roman" w:hAnsi="Times New Roman"/>
          <w:sz w:val="20"/>
          <w:szCs w:val="20"/>
          <w:color w:val="auto"/>
        </w:rPr>
        <w:t>Based on the results of these trials, and discussions with the FDA at our End-of-Phase 2 meeting, we expect to initiate our Phase 3 trials in the second quarter of 2026 and will include two Phase 3 trials. The Phase 3 trials will run in parallel, and we remain on track to initiate the first Phase 3 trial in the second quarter of 2026 and the second Phase 3 trial in the second half of 2026. The first of the two Phase 3 trials is planned to enroll approximately 300 patients and have 52 weeks of fixed dosing with nalbuphine ER 54 mg twice-a-day (BID), with the primary endpoint at 24 weeks of fixed</w:t>
      </w:r>
    </w:p>
    <w:p>
      <w:pPr>
        <w:ind w:left="8"/>
        <w:spacing w:after="0" w:line="234" w:lineRule="auto"/>
        <w:rPr>
          <w:sz w:val="20"/>
          <w:szCs w:val="20"/>
          <w:color w:val="auto"/>
        </w:rPr>
      </w:pPr>
      <w:r>
        <w:rPr>
          <w:rFonts w:ascii="Times New Roman" w:cs="Times New Roman" w:eastAsia="Times New Roman" w:hAnsi="Times New Roman"/>
          <w:sz w:val="20"/>
          <w:szCs w:val="20"/>
          <w:color w:val="auto"/>
        </w:rPr>
        <w:t>dosing. The second Phase 3 trial is planned to enroll approximately 130 patients and have 12 weeks of fixed</w:t>
      </w:r>
    </w:p>
    <w:p>
      <w:pPr>
        <w:ind w:left="8"/>
        <w:spacing w:after="0" w:line="230" w:lineRule="auto"/>
        <w:rPr>
          <w:sz w:val="20"/>
          <w:szCs w:val="20"/>
          <w:color w:val="auto"/>
        </w:rPr>
      </w:pPr>
      <w:r>
        <w:rPr>
          <w:rFonts w:ascii="Times New Roman" w:cs="Times New Roman" w:eastAsia="Times New Roman" w:hAnsi="Times New Roman"/>
          <w:sz w:val="20"/>
          <w:szCs w:val="20"/>
          <w:color w:val="auto"/>
        </w:rPr>
        <w:t>dosing with nalbuphine ER 54 mg BID. The primary efficacy endpoint for both trials will be the relative change from</w:t>
      </w:r>
    </w:p>
    <w:p>
      <w:pPr>
        <w:ind w:left="8"/>
        <w:spacing w:after="0" w:line="230" w:lineRule="auto"/>
        <w:rPr>
          <w:sz w:val="20"/>
          <w:szCs w:val="20"/>
          <w:color w:val="auto"/>
        </w:rPr>
      </w:pPr>
      <w:r>
        <w:rPr>
          <w:rFonts w:ascii="Times New Roman" w:cs="Times New Roman" w:eastAsia="Times New Roman" w:hAnsi="Times New Roman"/>
          <w:sz w:val="20"/>
          <w:szCs w:val="20"/>
          <w:color w:val="auto"/>
        </w:rPr>
        <w:t>Baseline in 24-hour cough frequency (coughs per hour), as determined by an objective cough monitor, for nalbuphine ER</w:t>
      </w:r>
    </w:p>
    <w:p>
      <w:pPr>
        <w:ind w:left="8"/>
        <w:spacing w:after="0"/>
        <w:rPr>
          <w:sz w:val="20"/>
          <w:szCs w:val="20"/>
          <w:color w:val="auto"/>
        </w:rPr>
      </w:pPr>
      <w:r>
        <w:rPr>
          <w:rFonts w:ascii="Times New Roman" w:cs="Times New Roman" w:eastAsia="Times New Roman" w:hAnsi="Times New Roman"/>
          <w:sz w:val="20"/>
          <w:szCs w:val="20"/>
          <w:color w:val="auto"/>
        </w:rPr>
        <w:t>compared with placebo. These trial designs are subject to final review of the protocols by the FDA.</w:t>
      </w:r>
    </w:p>
    <w:p>
      <w:pPr>
        <w:spacing w:after="0" w:line="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Non-IPF ILD-related Chronic Cough Program</w:t>
      </w:r>
    </w:p>
    <w:p>
      <w:pPr>
        <w:spacing w:after="0" w:line="120"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20"/>
          <w:szCs w:val="20"/>
          <w:color w:val="auto"/>
        </w:rPr>
        <w:t>Similar to IPF, non-IPF ILDs are characterized by fibrosis of lung tissue leading to a loss of lung function and</w:t>
      </w:r>
    </w:p>
    <w:p>
      <w:pPr>
        <w:spacing w:after="0" w:line="28" w:lineRule="exact"/>
        <w:rPr>
          <w:sz w:val="20"/>
          <w:szCs w:val="20"/>
          <w:color w:val="auto"/>
        </w:rPr>
      </w:pPr>
    </w:p>
    <w:p>
      <w:pPr>
        <w:jc w:val="center"/>
        <w:ind w:right="92"/>
        <w:spacing w:after="0"/>
        <w:rPr>
          <w:sz w:val="20"/>
          <w:szCs w:val="20"/>
          <w:color w:val="auto"/>
        </w:rPr>
      </w:pPr>
      <w:r>
        <w:rPr>
          <w:rFonts w:ascii="Times New Roman" w:cs="Times New Roman" w:eastAsia="Times New Roman" w:hAnsi="Times New Roman"/>
          <w:sz w:val="19"/>
          <w:szCs w:val="19"/>
          <w:color w:val="auto"/>
        </w:rPr>
        <w:t>reduced life expectancy. Many patients diagnosed with non-IPF ILD also suffer from a dry, non-productive chronic cough.</w:t>
      </w:r>
    </w:p>
    <w:p>
      <w:pPr>
        <w:spacing w:after="0" w:line="104" w:lineRule="exact"/>
        <w:rPr>
          <w:sz w:val="20"/>
          <w:szCs w:val="20"/>
          <w:color w:val="auto"/>
        </w:rPr>
      </w:pPr>
    </w:p>
    <w:p>
      <w:pPr>
        <w:ind w:left="8" w:firstLine="490"/>
        <w:spacing w:after="0" w:line="258" w:lineRule="auto"/>
        <w:rPr>
          <w:sz w:val="20"/>
          <w:szCs w:val="20"/>
          <w:color w:val="auto"/>
        </w:rPr>
      </w:pPr>
      <w:r>
        <w:rPr>
          <w:rFonts w:ascii="Times New Roman" w:cs="Times New Roman" w:eastAsia="Times New Roman" w:hAnsi="Times New Roman"/>
          <w:sz w:val="20"/>
          <w:szCs w:val="20"/>
          <w:color w:val="auto"/>
        </w:rPr>
        <w:t>Approximately 228,000 adults in the U.S. and greater than 1 million adults worldwide are believed to have ILDs other than IPF. In addition, up to 50%-60% of non-IPF ILD patients are reported to suffer from uncontrolled chronic cough. There are no approved therapies for the treatment of non-IPF ILD-related chronic cough.</w:t>
      </w:r>
    </w:p>
    <w:p>
      <w:pPr>
        <w:sectPr>
          <w:pgSz w:w="12240" w:h="15840" w:orient="portrait"/>
          <w:cols w:equalWidth="0" w:num="1">
            <w:col w:w="9928"/>
          </w:cols>
          <w:pgMar w:left="1152" w:top="1132" w:right="1160" w:bottom="175" w:gutter="0" w:footer="0" w:header="0"/>
        </w:sectPr>
      </w:pPr>
    </w:p>
    <w:p>
      <w:pPr>
        <w:spacing w:after="0" w:line="33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928"/>
          </w:cols>
          <w:pgMar w:left="1152" w:top="1132" w:right="1160" w:bottom="175" w:gutter="0" w:footer="0" w:header="0"/>
          <w:type w:val="continuous"/>
        </w:sectPr>
      </w:pPr>
    </w:p>
    <w:bookmarkStart w:id="11" w:name="page12"/>
    <w:bookmarkEnd w:id="11"/>
    <w:p>
      <w:pPr>
        <w:ind w:left="8" w:right="240" w:firstLine="490"/>
        <w:spacing w:after="0" w:line="277" w:lineRule="auto"/>
        <w:rPr>
          <w:sz w:val="20"/>
          <w:szCs w:val="20"/>
          <w:color w:val="auto"/>
        </w:rPr>
      </w:pPr>
      <w:r>
        <w:rPr>
          <w:rFonts w:ascii="Times New Roman" w:cs="Times New Roman" w:eastAsia="Times New Roman" w:hAnsi="Times New Roman"/>
          <w:sz w:val="20"/>
          <w:szCs w:val="20"/>
          <w:color w:val="auto"/>
        </w:rPr>
        <w:t>We plan to initiate an adaptive design Phase 2b clinical trial for the treatment of patients with non-IPF ILD-related chronic cough in the second half of 2026, subject to review of the protocol for the trial by the FDA.</w:t>
      </w:r>
    </w:p>
    <w:p>
      <w:pPr>
        <w:spacing w:after="0" w:line="2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RCC Program</w:t>
      </w:r>
    </w:p>
    <w:p>
      <w:pPr>
        <w:spacing w:after="0" w:line="112"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i w:val="1"/>
          <w:iCs w:val="1"/>
          <w:u w:val="single" w:color="auto"/>
          <w:color w:val="auto"/>
        </w:rPr>
        <w:t>Overview</w:t>
      </w:r>
    </w:p>
    <w:p>
      <w:pPr>
        <w:spacing w:after="0" w:line="116" w:lineRule="exact"/>
        <w:rPr>
          <w:sz w:val="20"/>
          <w:szCs w:val="20"/>
          <w:color w:val="auto"/>
        </w:rPr>
      </w:pPr>
    </w:p>
    <w:p>
      <w:pPr>
        <w:ind w:left="8" w:firstLine="490"/>
        <w:spacing w:after="0" w:line="245" w:lineRule="auto"/>
        <w:rPr>
          <w:sz w:val="20"/>
          <w:szCs w:val="20"/>
          <w:color w:val="auto"/>
        </w:rPr>
      </w:pPr>
      <w:r>
        <w:rPr>
          <w:rFonts w:ascii="Times New Roman" w:cs="Times New Roman" w:eastAsia="Times New Roman" w:hAnsi="Times New Roman"/>
          <w:sz w:val="20"/>
          <w:szCs w:val="20"/>
          <w:color w:val="auto"/>
        </w:rPr>
        <w:t>Chronic cough affects up to 10% of the adult population and is defined as a persistent cough lasting more than eight weeks, despite treatment for an underlying condition. RCC affects approximately 2-3 million adults in the U.S. and is related to biological changes in the central and peripheral nervous systems that lower the threshold of the cough reflex. It is highly disruptive and accompanied by a wide range of complications, ranging from urinary incontinence in females to sleep disruption and social embarrassment that causes significant social and economic burden for patients and those around them. When a cause for RCC is identifiable, it is most commonly asthma, gastroesophageal reflux disease, or GERD, non-asthmatic eosinophilic bronchitis, and upper airway cough syndrome or post-nasal drip. The RCC population is generally considered to also include those with unexplained chronic cough where no cough-associated conditions can be identified.</w:t>
      </w:r>
    </w:p>
    <w:p>
      <w:pPr>
        <w:spacing w:after="0" w:line="74"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u w:val="single" w:color="auto"/>
          <w:color w:val="auto"/>
        </w:rPr>
        <w:t>Phase 2a RIVER Clinical Trial</w:t>
      </w:r>
    </w:p>
    <w:p>
      <w:pPr>
        <w:spacing w:after="0" w:line="110" w:lineRule="exact"/>
        <w:rPr>
          <w:sz w:val="20"/>
          <w:szCs w:val="20"/>
          <w:color w:val="auto"/>
        </w:rPr>
      </w:pPr>
    </w:p>
    <w:p>
      <w:pPr>
        <w:ind w:left="8" w:right="40" w:firstLine="490"/>
        <w:spacing w:after="0" w:line="235" w:lineRule="auto"/>
        <w:rPr>
          <w:sz w:val="20"/>
          <w:szCs w:val="20"/>
          <w:color w:val="auto"/>
        </w:rPr>
      </w:pPr>
      <w:r>
        <w:rPr>
          <w:rFonts w:ascii="Times New Roman" w:cs="Times New Roman" w:eastAsia="Times New Roman" w:hAnsi="Times New Roman"/>
          <w:sz w:val="20"/>
          <w:szCs w:val="20"/>
          <w:color w:val="auto"/>
        </w:rPr>
        <w:t>In March 2025, we announced positive topline data from our Phase 2a clinical trial of Haduvio for the treatment of patients with RCC, which we refer to as the Phase 2a RIVER trial. The Phase 2a RIVER trial was a randomized double-blind, placebo-controlled, two-treatment, two-period, crossover study that was designed to evaluate the efficacy and safety, tolerability and dosing of Haduvio for the treatment of patients with RCC. Each treatment period lasted 21 days, separated by a 21 -day washout period, and patients on Haduvio had their dose titrated from 27 mg once a day (QD) up to 108 mg twice a day (BID) across the 21-day dosing period. We conducted this trial at multiple sites in the United Kingdom and Canada. The primary endpoint of the study was a mean change in 24-hour cough frequency using an objective cough monitor in the overall population.</w:t>
      </w:r>
    </w:p>
    <w:p>
      <w:pPr>
        <w:spacing w:after="0" w:line="82" w:lineRule="exact"/>
        <w:rPr>
          <w:sz w:val="20"/>
          <w:szCs w:val="20"/>
          <w:color w:val="auto"/>
        </w:rPr>
      </w:pPr>
    </w:p>
    <w:p>
      <w:pPr>
        <w:ind w:left="8" w:right="180" w:firstLine="490"/>
        <w:spacing w:after="0" w:line="268" w:lineRule="auto"/>
        <w:rPr>
          <w:sz w:val="20"/>
          <w:szCs w:val="20"/>
          <w:color w:val="auto"/>
        </w:rPr>
      </w:pPr>
      <w:r>
        <w:rPr>
          <w:rFonts w:ascii="Times New Roman" w:cs="Times New Roman" w:eastAsia="Times New Roman" w:hAnsi="Times New Roman"/>
          <w:sz w:val="19"/>
          <w:szCs w:val="19"/>
          <w:color w:val="auto"/>
        </w:rPr>
        <w:t>In total, 66 patients received Haduvio. In the full analysis data set, Haduvio demonstrated statistically significant results for the primary endpoint of 24-hour cough frequency reduction (p&lt;0.0001) and for secondary endpoints on patient and clinician reported outcomes. The trial results comparing patients randomized to Haduvio or placebo showed that:</w:t>
      </w:r>
    </w:p>
    <w:p>
      <w:pPr>
        <w:spacing w:after="0" w:line="72" w:lineRule="exact"/>
        <w:rPr>
          <w:sz w:val="20"/>
          <w:szCs w:val="20"/>
          <w:color w:val="auto"/>
        </w:rPr>
      </w:pPr>
    </w:p>
    <w:p>
      <w:pPr>
        <w:ind w:left="488" w:right="220" w:hanging="488"/>
        <w:spacing w:after="0" w:line="258" w:lineRule="auto"/>
        <w:tabs>
          <w:tab w:leader="none" w:pos="488"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On the primary endpoint, Haduvio patients had a 67% reduction in 24-hour cough frequency at end of treatment period compared to placebo patients who had a 10% reduction, with a 57% placebo-adjusted change from Baseline (p&lt;0.0001);</w:t>
      </w:r>
    </w:p>
    <w:p>
      <w:pPr>
        <w:spacing w:after="0" w:line="81" w:lineRule="exact"/>
        <w:rPr>
          <w:rFonts w:ascii="Arial" w:cs="Arial" w:eastAsia="Arial" w:hAnsi="Arial"/>
          <w:sz w:val="20"/>
          <w:szCs w:val="20"/>
          <w:color w:val="auto"/>
        </w:rPr>
      </w:pPr>
    </w:p>
    <w:p>
      <w:pPr>
        <w:ind w:left="488" w:right="300" w:hanging="488"/>
        <w:spacing w:after="0" w:line="258" w:lineRule="auto"/>
        <w:tabs>
          <w:tab w:leader="none" w:pos="488"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Haduvio demonstrated a statistically significant reduction in 24-hour cough frequency of 66% in the severe cough (20+ coughs/hour) subgroup (N=40) (p&lt;0.0001) and 68% in the moderate cough (10-19 coughs/hour) subgroup (N=13) (p&lt;0.0001);</w:t>
      </w:r>
    </w:p>
    <w:p>
      <w:pPr>
        <w:spacing w:after="0" w:line="81" w:lineRule="exact"/>
        <w:rPr>
          <w:rFonts w:ascii="Arial" w:cs="Arial" w:eastAsia="Arial" w:hAnsi="Arial"/>
          <w:sz w:val="20"/>
          <w:szCs w:val="20"/>
          <w:color w:val="auto"/>
        </w:rPr>
      </w:pPr>
    </w:p>
    <w:p>
      <w:pPr>
        <w:ind w:left="488" w:right="100" w:hanging="488"/>
        <w:spacing w:after="0" w:line="276" w:lineRule="auto"/>
        <w:tabs>
          <w:tab w:leader="none" w:pos="488"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84% of Haduvio patients had at least a 30% reduction in 24-hour cough frequency vs. Baseline, as compared to 29% of placebo patients, a difference of 55% (p&lt;0.0001); and</w:t>
      </w:r>
    </w:p>
    <w:p>
      <w:pPr>
        <w:spacing w:after="0" w:line="64" w:lineRule="exact"/>
        <w:rPr>
          <w:rFonts w:ascii="Arial" w:cs="Arial" w:eastAsia="Arial" w:hAnsi="Arial"/>
          <w:sz w:val="20"/>
          <w:szCs w:val="20"/>
          <w:color w:val="auto"/>
        </w:rPr>
      </w:pPr>
    </w:p>
    <w:p>
      <w:pPr>
        <w:ind w:left="488" w:right="340" w:hanging="488"/>
        <w:spacing w:after="0" w:line="276" w:lineRule="auto"/>
        <w:tabs>
          <w:tab w:leader="none" w:pos="488"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 statistically significant reduction in 24-hour cough frequency, as measured by an objective cough monitor, was seen as early as Day 7 (27 mg BID) for patients on Haduvio (p&lt;0.0001).</w:t>
      </w:r>
    </w:p>
    <w:p>
      <w:pPr>
        <w:spacing w:after="0" w:line="272" w:lineRule="exact"/>
        <w:rPr>
          <w:sz w:val="20"/>
          <w:szCs w:val="20"/>
          <w:color w:val="auto"/>
        </w:rPr>
      </w:pPr>
    </w:p>
    <w:p>
      <w:pPr>
        <w:ind w:left="8" w:right="40" w:firstLine="490"/>
        <w:spacing w:after="0" w:line="239" w:lineRule="auto"/>
        <w:rPr>
          <w:sz w:val="20"/>
          <w:szCs w:val="20"/>
          <w:color w:val="auto"/>
        </w:rPr>
      </w:pPr>
      <w:r>
        <w:rPr>
          <w:rFonts w:ascii="Times New Roman" w:cs="Times New Roman" w:eastAsia="Times New Roman" w:hAnsi="Times New Roman"/>
          <w:sz w:val="20"/>
          <w:szCs w:val="20"/>
          <w:color w:val="auto"/>
        </w:rPr>
        <w:t>Patients on Haduvio experienced a statistically significant improvement in patient reported outcomes compared to placebo as early as Day 7 (27 mg BID) in the Cough Severity Visual Analog Scale and the Patient-Reported Cough Frequency. The safety results of the trial were generally consistent with the known safety profile of Haduvio from previous trials in other patient populations. Adverse events most commonly observed during the trial were constipation, nausea, somnolence, headache, dizziness and fatigue and there were no treatment emergent SAEs.</w:t>
      </w:r>
    </w:p>
    <w:p>
      <w:pPr>
        <w:spacing w:after="0" w:line="77" w:lineRule="exact"/>
        <w:rPr>
          <w:sz w:val="20"/>
          <w:szCs w:val="20"/>
          <w:color w:val="auto"/>
        </w:rPr>
      </w:pPr>
    </w:p>
    <w:p>
      <w:pPr>
        <w:ind w:left="508"/>
        <w:spacing w:after="0"/>
        <w:rPr>
          <w:sz w:val="20"/>
          <w:szCs w:val="20"/>
          <w:color w:val="auto"/>
        </w:rPr>
      </w:pPr>
      <w:r>
        <w:rPr>
          <w:rFonts w:ascii="Times New Roman" w:cs="Times New Roman" w:eastAsia="Times New Roman" w:hAnsi="Times New Roman"/>
          <w:sz w:val="20"/>
          <w:szCs w:val="20"/>
          <w:i w:val="1"/>
          <w:iCs w:val="1"/>
          <w:u w:val="single" w:color="auto"/>
          <w:color w:val="auto"/>
        </w:rPr>
        <w:t>Next Steps</w:t>
      </w:r>
    </w:p>
    <w:p>
      <w:pPr>
        <w:spacing w:after="0" w:line="101" w:lineRule="exact"/>
        <w:rPr>
          <w:sz w:val="20"/>
          <w:szCs w:val="20"/>
          <w:color w:val="auto"/>
        </w:rPr>
      </w:pPr>
    </w:p>
    <w:p>
      <w:pPr>
        <w:ind w:left="8" w:firstLine="490"/>
        <w:spacing w:after="0" w:line="232" w:lineRule="auto"/>
        <w:rPr>
          <w:sz w:val="20"/>
          <w:szCs w:val="20"/>
          <w:color w:val="auto"/>
        </w:rPr>
      </w:pPr>
      <w:r>
        <w:rPr>
          <w:rFonts w:ascii="Times New Roman" w:cs="Times New Roman" w:eastAsia="Times New Roman" w:hAnsi="Times New Roman"/>
          <w:sz w:val="20"/>
          <w:szCs w:val="20"/>
          <w:color w:val="auto"/>
        </w:rPr>
        <w:t>Based on these results, we plan to initiate a Phase 2b trial of Haduvio for the treatment of patients with RCC in the second quarter of 2026, which we are planning to conduct in the United Kingdom, Canada, and possibly other European countries. We expect the objectives for the trial will be to determine the doses to be evaluated in the Phase 3 clinical trial as well as to further characterize safety in this specific patient population. The trial is subject to final review of the protocol by regulatory authorities.</w:t>
      </w:r>
    </w:p>
    <w:p>
      <w:pPr>
        <w:spacing w:after="0" w:line="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Other Haduvio Development Work</w:t>
      </w:r>
    </w:p>
    <w:p>
      <w:pPr>
        <w:spacing w:after="0" w:line="93"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9"/>
          <w:szCs w:val="19"/>
          <w:color w:val="auto"/>
        </w:rPr>
        <w:t>We have agreed to the remaining Phase 1 studies required for a submission of an NDA for IPF-related chronic cough.</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These include studies such as drug-drug interaction, hepatic, renal and food effect studies.</w:t>
      </w:r>
    </w:p>
    <w:p>
      <w:pPr>
        <w:sectPr>
          <w:pgSz w:w="12240" w:h="15840" w:orient="portrait"/>
          <w:cols w:equalWidth="0" w:num="1">
            <w:col w:w="9908"/>
          </w:cols>
          <w:pgMar w:left="1152" w:top="1132" w:right="11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7"/>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08"/>
          </w:cols>
          <w:pgMar w:left="1152" w:top="1132" w:right="1180" w:bottom="175" w:gutter="0" w:footer="0" w:header="0"/>
          <w:type w:val="continuous"/>
        </w:sectPr>
      </w:pPr>
    </w:p>
    <w:bookmarkStart w:id="12" w:name="page13"/>
    <w:bookmarkEnd w:id="12"/>
    <w:p>
      <w:pPr>
        <w:ind w:left="480"/>
        <w:spacing w:after="0"/>
        <w:rPr>
          <w:sz w:val="20"/>
          <w:szCs w:val="20"/>
          <w:color w:val="auto"/>
        </w:rPr>
      </w:pPr>
      <w:r>
        <w:rPr>
          <w:rFonts w:ascii="Times New Roman" w:cs="Times New Roman" w:eastAsia="Times New Roman" w:hAnsi="Times New Roman"/>
          <w:sz w:val="20"/>
          <w:szCs w:val="20"/>
          <w:i w:val="1"/>
          <w:iCs w:val="1"/>
          <w:u w:val="single" w:color="auto"/>
          <w:color w:val="auto"/>
        </w:rPr>
        <w:t>Human Abuse Potential Study</w:t>
      </w:r>
    </w:p>
    <w:p>
      <w:pPr>
        <w:spacing w:after="0" w:line="92" w:lineRule="exact"/>
        <w:rPr>
          <w:sz w:val="20"/>
          <w:szCs w:val="20"/>
          <w:color w:val="auto"/>
        </w:rPr>
      </w:pPr>
    </w:p>
    <w:p>
      <w:pPr>
        <w:ind w:firstLine="490"/>
        <w:spacing w:after="0" w:line="220" w:lineRule="auto"/>
        <w:rPr>
          <w:sz w:val="20"/>
          <w:szCs w:val="20"/>
          <w:color w:val="auto"/>
        </w:rPr>
      </w:pPr>
      <w:r>
        <w:rPr>
          <w:rFonts w:ascii="Times New Roman" w:cs="Times New Roman" w:eastAsia="Times New Roman" w:hAnsi="Times New Roman"/>
          <w:sz w:val="20"/>
          <w:szCs w:val="20"/>
          <w:color w:val="auto"/>
        </w:rPr>
        <w:t xml:space="preserve">In December 2024, we announced positive topline results from our human abuse potential, or HAP, study which compared the abuse potential of oral nalbuphine to IV butorphanol. The injectable version of nalbuphine is currently unscheduled in the U.S. by the Drug Enforcement Agency. The study was a randomized, double-blind, active and placebo-controlled five- way crossover design. The study was conducted in two parts. The first part of the study characterized various IV butorphanol doses in order to select a dose to be studied. The second part of the study was designed to utilize the selected dose and compare oral nalbuphine relative to IV butorphanol using the study metrics. The study demonstrated </w:t>
      </w:r>
      <w:r>
        <w:rPr>
          <w:rFonts w:ascii="Times New Roman" w:cs="Times New Roman" w:eastAsia="Times New Roman" w:hAnsi="Times New Roman"/>
          <w:sz w:val="19"/>
          <w:szCs w:val="19"/>
          <w:color w:val="auto"/>
        </w:rPr>
        <w:t>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statistically significant lower "Drug Liking" for the clinical doses of oral nalbuphine (81mg and 162mg) compared to 6mg IV butorphanol. The supratherapeutic dose of oral nalbuphine (486mg) was numerically lower than the 6mg IV butorphanol for “Drug Liking” but the results were not statistically significant.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Primary Endpoint*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IV</w:t>
            </w:r>
          </w:p>
        </w:tc>
        <w:tc>
          <w:tcPr>
            <w:tcW w:w="100" w:type="dxa"/>
            <w:vAlign w:val="bottom"/>
          </w:tcPr>
          <w:p>
            <w:pPr>
              <w:spacing w:after="0"/>
              <w:rPr>
                <w:sz w:val="17"/>
                <w:szCs w:val="17"/>
                <w:color w:val="auto"/>
              </w:rPr>
            </w:pP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Oral</w:t>
            </w:r>
          </w:p>
        </w:tc>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Oral</w:t>
            </w:r>
          </w:p>
        </w:tc>
        <w:tc>
          <w:tcPr>
            <w:tcW w:w="10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Oral</w:t>
            </w:r>
          </w:p>
        </w:tc>
      </w:tr>
      <w:tr>
        <w:trPr>
          <w:trHeight w:val="216"/>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butorphanol</w:t>
            </w:r>
          </w:p>
        </w:tc>
        <w:tc>
          <w:tcPr>
            <w:tcW w:w="10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nalbuphine</w:t>
            </w:r>
          </w:p>
        </w:tc>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nalbuphine</w:t>
            </w:r>
          </w:p>
        </w:tc>
        <w:tc>
          <w:tcPr>
            <w:tcW w:w="10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nalbuphine</w:t>
            </w:r>
          </w:p>
        </w:tc>
      </w:tr>
      <w:tr>
        <w:trPr>
          <w:trHeight w:val="238"/>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Placebo</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6mg</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81mg</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162mg</w:t>
            </w:r>
          </w:p>
        </w:tc>
        <w:tc>
          <w:tcPr>
            <w:tcW w:w="10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486mg</w:t>
            </w:r>
          </w:p>
        </w:tc>
      </w:tr>
      <w:tr>
        <w:trPr>
          <w:trHeight w:val="227"/>
        </w:trPr>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(N=52)</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(N=52)</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(N=52)</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(N=52)</w:t>
            </w:r>
          </w:p>
        </w:tc>
        <w:tc>
          <w:tcPr>
            <w:tcW w:w="100" w:type="dxa"/>
            <w:vAlign w:val="bottom"/>
          </w:tcPr>
          <w:p>
            <w:pPr>
              <w:spacing w:after="0"/>
              <w:rPr>
                <w:sz w:val="19"/>
                <w:szCs w:val="19"/>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(N=52)</w:t>
            </w:r>
          </w:p>
        </w:tc>
      </w:tr>
      <w:tr>
        <w:trPr>
          <w:trHeight w:val="210"/>
        </w:trPr>
        <w:tc>
          <w:tcPr>
            <w:tcW w:w="3180" w:type="dxa"/>
            <w:vAlign w:val="bottom"/>
            <w:tcBorders>
              <w:top w:val="single" w:sz="8" w:color="auto"/>
            </w:tcBorders>
            <w:shd w:val="clear" w:color="auto" w:fill="D5EEEE"/>
          </w:tcPr>
          <w:p>
            <w:pPr>
              <w:ind w:left="20"/>
              <w:spacing w:after="0"/>
              <w:rPr>
                <w:sz w:val="20"/>
                <w:szCs w:val="20"/>
                <w:color w:val="auto"/>
              </w:rPr>
            </w:pPr>
            <w:r>
              <w:rPr>
                <w:rFonts w:ascii="Times New Roman" w:cs="Times New Roman" w:eastAsia="Times New Roman" w:hAnsi="Times New Roman"/>
                <w:sz w:val="18"/>
                <w:szCs w:val="18"/>
                <w:color w:val="auto"/>
              </w:rPr>
              <w:t>Mean E</w:t>
            </w:r>
            <w:r>
              <w:rPr>
                <w:rFonts w:ascii="Times New Roman" w:cs="Times New Roman" w:eastAsia="Times New Roman" w:hAnsi="Times New Roman"/>
                <w:sz w:val="12"/>
                <w:szCs w:val="12"/>
                <w:color w:val="auto"/>
              </w:rPr>
              <w:t>max</w:t>
            </w:r>
            <w:r>
              <w:rPr>
                <w:rFonts w:ascii="Times New Roman" w:cs="Times New Roman" w:eastAsia="Times New Roman" w:hAnsi="Times New Roman"/>
                <w:sz w:val="18"/>
                <w:szCs w:val="18"/>
                <w:color w:val="auto"/>
              </w:rPr>
              <w:t xml:space="preserve"> for "Drug Liking"</w:t>
            </w:r>
          </w:p>
        </w:tc>
        <w:tc>
          <w:tcPr>
            <w:tcW w:w="100" w:type="dxa"/>
            <w:vAlign w:val="bottom"/>
            <w:tcBorders>
              <w:top w:val="single" w:sz="8" w:color="D5EEEE"/>
            </w:tcBorders>
            <w:shd w:val="clear" w:color="auto" w:fill="D5EEEE"/>
          </w:tcPr>
          <w:p>
            <w:pPr>
              <w:spacing w:after="0"/>
              <w:rPr>
                <w:sz w:val="18"/>
                <w:szCs w:val="18"/>
                <w:color w:val="auto"/>
              </w:rPr>
            </w:pPr>
          </w:p>
        </w:tc>
        <w:tc>
          <w:tcPr>
            <w:tcW w:w="1020" w:type="dxa"/>
            <w:vAlign w:val="bottom"/>
            <w:tcBorders>
              <w:top w:val="single" w:sz="8" w:color="auto"/>
            </w:tcBorders>
            <w:shd w:val="clear" w:color="auto" w:fill="D5EEEE"/>
          </w:tcPr>
          <w:p>
            <w:pPr>
              <w:jc w:val="right"/>
              <w:ind w:right="290"/>
              <w:spacing w:after="0"/>
              <w:rPr>
                <w:sz w:val="20"/>
                <w:szCs w:val="20"/>
                <w:color w:val="auto"/>
              </w:rPr>
            </w:pPr>
            <w:r>
              <w:rPr>
                <w:rFonts w:ascii="Times New Roman" w:cs="Times New Roman" w:eastAsia="Times New Roman" w:hAnsi="Times New Roman"/>
                <w:sz w:val="18"/>
                <w:szCs w:val="18"/>
                <w:color w:val="auto"/>
              </w:rPr>
              <w:t>51.8</w:t>
            </w:r>
          </w:p>
        </w:tc>
        <w:tc>
          <w:tcPr>
            <w:tcW w:w="1420" w:type="dxa"/>
            <w:vAlign w:val="bottom"/>
            <w:tcBorders>
              <w:top w:val="single" w:sz="8" w:color="auto"/>
            </w:tcBorders>
            <w:shd w:val="clear" w:color="auto" w:fill="D5EEEE"/>
          </w:tcPr>
          <w:p>
            <w:pPr>
              <w:jc w:val="right"/>
              <w:ind w:right="450"/>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top w:val="single" w:sz="8" w:color="D5EEEE"/>
            </w:tcBorders>
            <w:shd w:val="clear" w:color="auto" w:fill="D5EEEE"/>
          </w:tcPr>
          <w:p>
            <w:pPr>
              <w:spacing w:after="0"/>
              <w:rPr>
                <w:sz w:val="18"/>
                <w:szCs w:val="18"/>
                <w:color w:val="auto"/>
              </w:rPr>
            </w:pPr>
          </w:p>
        </w:tc>
        <w:tc>
          <w:tcPr>
            <w:tcW w:w="1300" w:type="dxa"/>
            <w:vAlign w:val="bottom"/>
            <w:tcBorders>
              <w:top w:val="single" w:sz="8" w:color="auto"/>
            </w:tcBorders>
            <w:shd w:val="clear" w:color="auto" w:fill="D5EEEE"/>
          </w:tcPr>
          <w:p>
            <w:pPr>
              <w:jc w:val="right"/>
              <w:ind w:right="450"/>
              <w:spacing w:after="0"/>
              <w:rPr>
                <w:sz w:val="20"/>
                <w:szCs w:val="20"/>
                <w:color w:val="auto"/>
              </w:rPr>
            </w:pPr>
            <w:r>
              <w:rPr>
                <w:rFonts w:ascii="Times New Roman" w:cs="Times New Roman" w:eastAsia="Times New Roman" w:hAnsi="Times New Roman"/>
                <w:sz w:val="18"/>
                <w:szCs w:val="18"/>
                <w:color w:val="auto"/>
              </w:rPr>
              <w:t>71.2</w:t>
            </w:r>
          </w:p>
        </w:tc>
        <w:tc>
          <w:tcPr>
            <w:tcW w:w="1400" w:type="dxa"/>
            <w:vAlign w:val="bottom"/>
            <w:tcBorders>
              <w:top w:val="single" w:sz="8" w:color="auto"/>
            </w:tcBorders>
            <w:shd w:val="clear" w:color="auto" w:fill="D5EEEE"/>
          </w:tcPr>
          <w:p>
            <w:pPr>
              <w:jc w:val="right"/>
              <w:ind w:right="45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top w:val="single" w:sz="8" w:color="D5EEEE"/>
            </w:tcBorders>
            <w:shd w:val="clear" w:color="auto" w:fill="D5EEEE"/>
          </w:tcPr>
          <w:p>
            <w:pPr>
              <w:spacing w:after="0"/>
              <w:rPr>
                <w:sz w:val="18"/>
                <w:szCs w:val="18"/>
                <w:color w:val="auto"/>
              </w:rPr>
            </w:pPr>
          </w:p>
        </w:tc>
        <w:tc>
          <w:tcPr>
            <w:tcW w:w="1300" w:type="dxa"/>
            <w:vAlign w:val="bottom"/>
            <w:tcBorders>
              <w:top w:val="single" w:sz="8" w:color="auto"/>
            </w:tcBorders>
            <w:shd w:val="clear" w:color="auto" w:fill="D5EEEE"/>
          </w:tcPr>
          <w:p>
            <w:pPr>
              <w:jc w:val="right"/>
              <w:ind w:right="450"/>
              <w:spacing w:after="0"/>
              <w:rPr>
                <w:sz w:val="20"/>
                <w:szCs w:val="20"/>
                <w:color w:val="auto"/>
              </w:rPr>
            </w:pPr>
            <w:r>
              <w:rPr>
                <w:rFonts w:ascii="Times New Roman" w:cs="Times New Roman" w:eastAsia="Times New Roman" w:hAnsi="Times New Roman"/>
                <w:sz w:val="18"/>
                <w:szCs w:val="18"/>
                <w:color w:val="auto"/>
              </w:rPr>
              <w:t>81.1</w:t>
            </w:r>
          </w:p>
        </w:tc>
        <w:tc>
          <w:tcPr>
            <w:tcW w:w="20" w:type="dxa"/>
            <w:vAlign w:val="bottom"/>
            <w:tcBorders>
              <w:top w:val="single" w:sz="8" w:color="D5EEEE"/>
            </w:tcBorders>
            <w:shd w:val="clear" w:color="auto" w:fill="D5EEEE"/>
          </w:tcPr>
          <w:p>
            <w:pPr>
              <w:spacing w:after="0"/>
              <w:rPr>
                <w:sz w:val="18"/>
                <w:szCs w:val="18"/>
                <w:color w:val="auto"/>
              </w:rPr>
            </w:pPr>
          </w:p>
        </w:tc>
      </w:tr>
      <w:tr>
        <w:trPr>
          <w:trHeight w:val="20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P-value difference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40"/>
        </w:trPr>
        <w:tc>
          <w:tcPr>
            <w:tcW w:w="3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vs IV butorphanol 6mg</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p&lt;0.0001</w:t>
            </w:r>
          </w:p>
        </w:tc>
        <w:tc>
          <w:tcPr>
            <w:tcW w:w="14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p&lt;0.0001</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p=0.0008</w:t>
            </w:r>
          </w:p>
        </w:tc>
        <w:tc>
          <w:tcPr>
            <w:tcW w:w="10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p=0.3221</w:t>
            </w:r>
          </w:p>
        </w:tc>
      </w:tr>
    </w:tbl>
    <w:p>
      <w:pPr>
        <w:spacing w:after="0" w:line="165"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color w:val="auto"/>
        </w:rPr>
        <w:t>*All analyses performed were on the Modified Completer Population</w:t>
      </w:r>
      <w:r>
        <w:rPr>
          <w:rFonts w:ascii="Calibri" w:cs="Calibri" w:eastAsia="Calibri" w:hAnsi="Calibri"/>
          <w:sz w:val="16"/>
          <w:szCs w:val="16"/>
          <w:color w:val="auto"/>
        </w:rPr>
        <w:t>,</w:t>
      </w:r>
      <w:r>
        <w:rPr>
          <w:rFonts w:ascii="Times New Roman" w:cs="Times New Roman" w:eastAsia="Times New Roman" w:hAnsi="Times New Roman"/>
          <w:sz w:val="18"/>
          <w:szCs w:val="18"/>
          <w:color w:val="auto"/>
        </w:rPr>
        <w:t xml:space="preserve"> which was prespecified in the statistical analysis plan for the primary endpoint.</w:t>
      </w:r>
    </w:p>
    <w:p>
      <w:pPr>
        <w:spacing w:after="0" w:line="30" w:lineRule="exact"/>
        <w:rPr>
          <w:sz w:val="20"/>
          <w:szCs w:val="20"/>
          <w:color w:val="auto"/>
        </w:rPr>
      </w:pPr>
    </w:p>
    <w:p>
      <w:pPr>
        <w:ind w:right="540" w:firstLine="490"/>
        <w:spacing w:after="0" w:line="247" w:lineRule="auto"/>
        <w:rPr>
          <w:sz w:val="20"/>
          <w:szCs w:val="20"/>
          <w:color w:val="auto"/>
        </w:rPr>
      </w:pPr>
      <w:r>
        <w:rPr>
          <w:rFonts w:ascii="Times New Roman" w:cs="Times New Roman" w:eastAsia="Times New Roman" w:hAnsi="Times New Roman"/>
          <w:sz w:val="20"/>
          <w:szCs w:val="20"/>
          <w:color w:val="auto"/>
        </w:rPr>
        <w:t>Secondary endpoints included pharmacodynamic markers and patient reported outcomes, which were generally consistent with the primary endpoint. No SAEs were reported in the study.</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Secondary Endpoints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IV</w:t>
            </w:r>
          </w:p>
        </w:tc>
        <w:tc>
          <w:tcPr>
            <w:tcW w:w="100" w:type="dxa"/>
            <w:vAlign w:val="bottom"/>
          </w:tcPr>
          <w:p>
            <w:pPr>
              <w:spacing w:after="0"/>
              <w:rPr>
                <w:sz w:val="18"/>
                <w:szCs w:val="18"/>
                <w:color w:val="auto"/>
              </w:rPr>
            </w:pP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Oral</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Oral</w:t>
            </w:r>
          </w:p>
        </w:tc>
        <w:tc>
          <w:tcPr>
            <w:tcW w:w="1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Oral</w:t>
            </w:r>
          </w:p>
        </w:tc>
      </w:tr>
      <w:tr>
        <w:trPr>
          <w:trHeight w:val="216"/>
        </w:trPr>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butorphanol</w:t>
            </w:r>
          </w:p>
        </w:tc>
        <w:tc>
          <w:tcPr>
            <w:tcW w:w="100" w:type="dxa"/>
            <w:vAlign w:val="bottom"/>
          </w:tcPr>
          <w:p>
            <w:pPr>
              <w:spacing w:after="0"/>
              <w:rPr>
                <w:sz w:val="18"/>
                <w:szCs w:val="18"/>
                <w:color w:val="auto"/>
              </w:rPr>
            </w:pP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nalbuphine</w:t>
            </w:r>
          </w:p>
        </w:tc>
        <w:tc>
          <w:tcPr>
            <w:tcW w:w="13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nalbuphine</w:t>
            </w:r>
          </w:p>
        </w:tc>
        <w:tc>
          <w:tcPr>
            <w:tcW w:w="1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nalbuphine</w:t>
            </w:r>
          </w:p>
        </w:tc>
      </w:tr>
      <w:tr>
        <w:trPr>
          <w:trHeight w:val="238"/>
        </w:trPr>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Placebo</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6mg</w:t>
            </w:r>
          </w:p>
        </w:tc>
        <w:tc>
          <w:tcPr>
            <w:tcW w:w="100" w:type="dxa"/>
            <w:vAlign w:val="bottom"/>
          </w:tcPr>
          <w:p>
            <w:pPr>
              <w:spacing w:after="0"/>
              <w:rPr>
                <w:sz w:val="20"/>
                <w:szCs w:val="20"/>
                <w:color w:val="auto"/>
              </w:rPr>
            </w:pPr>
          </w:p>
        </w:tc>
        <w:tc>
          <w:tcPr>
            <w:tcW w:w="12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81mg</w:t>
            </w: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7"/>
              </w:rPr>
              <w:t>162mg</w:t>
            </w:r>
          </w:p>
        </w:tc>
        <w:tc>
          <w:tcPr>
            <w:tcW w:w="10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486mg</w:t>
            </w:r>
          </w:p>
        </w:tc>
      </w:tr>
      <w:tr>
        <w:trPr>
          <w:trHeight w:val="227"/>
        </w:trPr>
        <w:tc>
          <w:tcPr>
            <w:tcW w:w="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(N=52)</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(N=52)</w:t>
            </w:r>
          </w:p>
        </w:tc>
        <w:tc>
          <w:tcPr>
            <w:tcW w:w="100" w:type="dxa"/>
            <w:vAlign w:val="bottom"/>
          </w:tcPr>
          <w:p>
            <w:pPr>
              <w:spacing w:after="0"/>
              <w:rPr>
                <w:sz w:val="19"/>
                <w:szCs w:val="19"/>
                <w:color w:val="auto"/>
              </w:rPr>
            </w:pPr>
          </w:p>
        </w:tc>
        <w:tc>
          <w:tcPr>
            <w:tcW w:w="12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(N=52)</w:t>
            </w:r>
          </w:p>
        </w:tc>
        <w:tc>
          <w:tcPr>
            <w:tcW w:w="13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(N=52)</w:t>
            </w:r>
          </w:p>
        </w:tc>
        <w:tc>
          <w:tcPr>
            <w:tcW w:w="10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(N=52)</w:t>
            </w:r>
          </w:p>
        </w:tc>
      </w:tr>
      <w:tr>
        <w:trPr>
          <w:trHeight w:val="210"/>
        </w:trPr>
        <w:tc>
          <w:tcPr>
            <w:tcW w:w="100" w:type="dxa"/>
            <w:vAlign w:val="bottom"/>
          </w:tcPr>
          <w:p>
            <w:pPr>
              <w:spacing w:after="0"/>
              <w:rPr>
                <w:sz w:val="18"/>
                <w:szCs w:val="18"/>
                <w:color w:val="auto"/>
              </w:rPr>
            </w:pPr>
          </w:p>
        </w:tc>
        <w:tc>
          <w:tcPr>
            <w:tcW w:w="318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18"/>
                <w:szCs w:val="18"/>
                <w:color w:val="auto"/>
              </w:rPr>
              <w:t>Mean E</w:t>
            </w:r>
            <w:r>
              <w:rPr>
                <w:rFonts w:ascii="Times New Roman" w:cs="Times New Roman" w:eastAsia="Times New Roman" w:hAnsi="Times New Roman"/>
                <w:sz w:val="12"/>
                <w:szCs w:val="12"/>
                <w:color w:val="auto"/>
              </w:rPr>
              <w:t>max</w:t>
            </w:r>
            <w:r>
              <w:rPr>
                <w:rFonts w:ascii="Times New Roman" w:cs="Times New Roman" w:eastAsia="Times New Roman" w:hAnsi="Times New Roman"/>
                <w:sz w:val="18"/>
                <w:szCs w:val="18"/>
                <w:color w:val="auto"/>
              </w:rPr>
              <w:t xml:space="preserve"> for "Take Drug Again"</w:t>
            </w:r>
          </w:p>
        </w:tc>
        <w:tc>
          <w:tcPr>
            <w:tcW w:w="100" w:type="dxa"/>
            <w:vAlign w:val="bottom"/>
            <w:tcBorders>
              <w:top w:val="single" w:sz="8" w:color="D5EEEE"/>
            </w:tcBorders>
            <w:shd w:val="clear" w:color="auto" w:fill="D5EEEE"/>
          </w:tcPr>
          <w:p>
            <w:pPr>
              <w:spacing w:after="0"/>
              <w:rPr>
                <w:sz w:val="18"/>
                <w:szCs w:val="18"/>
                <w:color w:val="auto"/>
              </w:rPr>
            </w:pPr>
          </w:p>
        </w:tc>
        <w:tc>
          <w:tcPr>
            <w:tcW w:w="1000" w:type="dxa"/>
            <w:vAlign w:val="bottom"/>
            <w:tcBorders>
              <w:top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rPr>
              <w:t>53.4</w:t>
            </w:r>
          </w:p>
        </w:tc>
        <w:tc>
          <w:tcPr>
            <w:tcW w:w="1380" w:type="dxa"/>
            <w:vAlign w:val="bottom"/>
            <w:tcBorders>
              <w:top w:val="single" w:sz="8" w:color="auto"/>
            </w:tcBorders>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5"/>
              </w:rPr>
              <w:t>62.8</w:t>
            </w:r>
          </w:p>
        </w:tc>
        <w:tc>
          <w:tcPr>
            <w:tcW w:w="100" w:type="dxa"/>
            <w:vAlign w:val="bottom"/>
            <w:tcBorders>
              <w:top w:val="single" w:sz="8" w:color="D5EEEE"/>
            </w:tcBorders>
            <w:shd w:val="clear" w:color="auto" w:fill="D5EEEE"/>
          </w:tcPr>
          <w:p>
            <w:pPr>
              <w:spacing w:after="0"/>
              <w:rPr>
                <w:sz w:val="18"/>
                <w:szCs w:val="18"/>
                <w:color w:val="auto"/>
              </w:rPr>
            </w:pPr>
          </w:p>
        </w:tc>
        <w:tc>
          <w:tcPr>
            <w:tcW w:w="1280" w:type="dxa"/>
            <w:vAlign w:val="bottom"/>
            <w:tcBorders>
              <w:top w:val="single" w:sz="8" w:color="auto"/>
            </w:tcBorders>
            <w:shd w:val="clear" w:color="auto" w:fill="D5EEEE"/>
          </w:tcPr>
          <w:p>
            <w:pPr>
              <w:ind w:left="440"/>
              <w:spacing w:after="0"/>
              <w:rPr>
                <w:sz w:val="20"/>
                <w:szCs w:val="20"/>
                <w:color w:val="auto"/>
              </w:rPr>
            </w:pPr>
            <w:r>
              <w:rPr>
                <w:rFonts w:ascii="Times New Roman" w:cs="Times New Roman" w:eastAsia="Times New Roman" w:hAnsi="Times New Roman"/>
                <w:sz w:val="18"/>
                <w:szCs w:val="18"/>
                <w:color w:val="auto"/>
              </w:rPr>
              <w:t>71.0</w:t>
            </w:r>
          </w:p>
        </w:tc>
        <w:tc>
          <w:tcPr>
            <w:tcW w:w="1360" w:type="dxa"/>
            <w:vAlign w:val="bottom"/>
            <w:tcBorders>
              <w:top w:val="single" w:sz="8" w:color="auto"/>
            </w:tcBorders>
            <w:shd w:val="clear" w:color="auto" w:fill="D5EEEE"/>
          </w:tcPr>
          <w:p>
            <w:pPr>
              <w:jc w:val="right"/>
              <w:ind w:right="430"/>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top w:val="single" w:sz="8" w:color="D5EEEE"/>
            </w:tcBorders>
            <w:shd w:val="clear" w:color="auto" w:fill="D5EEEE"/>
          </w:tcPr>
          <w:p>
            <w:pPr>
              <w:spacing w:after="0"/>
              <w:rPr>
                <w:sz w:val="18"/>
                <w:szCs w:val="18"/>
                <w:color w:val="auto"/>
              </w:rPr>
            </w:pPr>
          </w:p>
        </w:tc>
        <w:tc>
          <w:tcPr>
            <w:tcW w:w="1320" w:type="dxa"/>
            <w:vAlign w:val="bottom"/>
            <w:tcBorders>
              <w:top w:val="single" w:sz="8" w:color="auto"/>
            </w:tcBorders>
            <w:shd w:val="clear" w:color="auto" w:fill="D5EEEE"/>
          </w:tcPr>
          <w:p>
            <w:pPr>
              <w:jc w:val="right"/>
              <w:ind w:right="450"/>
              <w:spacing w:after="0"/>
              <w:rPr>
                <w:sz w:val="20"/>
                <w:szCs w:val="20"/>
                <w:color w:val="auto"/>
              </w:rPr>
            </w:pPr>
            <w:r>
              <w:rPr>
                <w:rFonts w:ascii="Times New Roman" w:cs="Times New Roman" w:eastAsia="Times New Roman" w:hAnsi="Times New Roman"/>
                <w:sz w:val="18"/>
                <w:szCs w:val="18"/>
                <w:color w:val="auto"/>
              </w:rPr>
              <w:t>64.2</w:t>
            </w:r>
          </w:p>
        </w:tc>
        <w:tc>
          <w:tcPr>
            <w:tcW w:w="20" w:type="dxa"/>
            <w:vAlign w:val="bottom"/>
            <w:tcBorders>
              <w:top w:val="single" w:sz="8" w:color="D5EEEE"/>
            </w:tcBorders>
            <w:shd w:val="clear" w:color="auto" w:fill="D5EEEE"/>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Mean E</w:t>
            </w:r>
            <w:r>
              <w:rPr>
                <w:rFonts w:ascii="Times New Roman" w:cs="Times New Roman" w:eastAsia="Times New Roman" w:hAnsi="Times New Roman"/>
                <w:sz w:val="12"/>
                <w:szCs w:val="12"/>
                <w:color w:val="auto"/>
              </w:rPr>
              <w:t>max</w:t>
            </w:r>
            <w:r>
              <w:rPr>
                <w:rFonts w:ascii="Times New Roman" w:cs="Times New Roman" w:eastAsia="Times New Roman" w:hAnsi="Times New Roman"/>
                <w:sz w:val="18"/>
                <w:szCs w:val="18"/>
                <w:color w:val="auto"/>
              </w:rPr>
              <w:t xml:space="preserve"> for "I Feel High"</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77.6</w:t>
            </w:r>
          </w:p>
        </w:tc>
        <w:tc>
          <w:tcPr>
            <w:tcW w:w="13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35.6</w:t>
            </w:r>
          </w:p>
        </w:tc>
        <w:tc>
          <w:tcPr>
            <w:tcW w:w="13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39.3</w:t>
            </w:r>
          </w:p>
        </w:tc>
        <w:tc>
          <w:tcPr>
            <w:tcW w:w="142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59.2</w:t>
            </w:r>
          </w:p>
        </w:tc>
        <w:tc>
          <w:tcPr>
            <w:tcW w:w="2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3180" w:type="dxa"/>
            <w:vAlign w:val="bottom"/>
            <w:shd w:val="clear" w:color="auto" w:fill="D5EEEE"/>
          </w:tcPr>
          <w:p>
            <w:pPr>
              <w:spacing w:after="0"/>
              <w:rPr>
                <w:sz w:val="20"/>
                <w:szCs w:val="20"/>
                <w:color w:val="auto"/>
              </w:rPr>
            </w:pPr>
            <w:r>
              <w:rPr>
                <w:rFonts w:ascii="Times New Roman" w:cs="Times New Roman" w:eastAsia="Times New Roman" w:hAnsi="Times New Roman"/>
                <w:sz w:val="18"/>
                <w:szCs w:val="18"/>
                <w:color w:val="auto"/>
              </w:rPr>
              <w:t>Mean E</w:t>
            </w:r>
            <w:r>
              <w:rPr>
                <w:rFonts w:ascii="Times New Roman" w:cs="Times New Roman" w:eastAsia="Times New Roman" w:hAnsi="Times New Roman"/>
                <w:sz w:val="12"/>
                <w:szCs w:val="12"/>
                <w:color w:val="auto"/>
              </w:rPr>
              <w:t>max</w:t>
            </w:r>
            <w:r>
              <w:rPr>
                <w:rFonts w:ascii="Times New Roman" w:cs="Times New Roman" w:eastAsia="Times New Roman" w:hAnsi="Times New Roman"/>
                <w:sz w:val="18"/>
                <w:szCs w:val="18"/>
                <w:color w:val="auto"/>
              </w:rPr>
              <w:t xml:space="preserve"> for "I Feel Good"</w:t>
            </w:r>
          </w:p>
        </w:tc>
        <w:tc>
          <w:tcPr>
            <w:tcW w:w="1100" w:type="dxa"/>
            <w:vAlign w:val="bottom"/>
            <w:gridSpan w:val="2"/>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1380" w:type="dxa"/>
            <w:vAlign w:val="bottom"/>
            <w:shd w:val="clear" w:color="auto" w:fill="D5EEEE"/>
          </w:tcPr>
          <w:p>
            <w:pPr>
              <w:jc w:val="center"/>
              <w:spacing w:after="0"/>
              <w:rPr>
                <w:sz w:val="20"/>
                <w:szCs w:val="20"/>
                <w:color w:val="auto"/>
              </w:rPr>
            </w:pPr>
            <w:r>
              <w:rPr>
                <w:rFonts w:ascii="Times New Roman" w:cs="Times New Roman" w:eastAsia="Times New Roman" w:hAnsi="Times New Roman"/>
                <w:sz w:val="18"/>
                <w:szCs w:val="18"/>
                <w:color w:val="auto"/>
                <w:w w:val="95"/>
              </w:rPr>
              <w:t>71.9</w:t>
            </w:r>
          </w:p>
        </w:tc>
        <w:tc>
          <w:tcPr>
            <w:tcW w:w="1380" w:type="dxa"/>
            <w:vAlign w:val="bottom"/>
            <w:gridSpan w:val="2"/>
            <w:shd w:val="clear" w:color="auto" w:fill="D5EEEE"/>
          </w:tcPr>
          <w:p>
            <w:pPr>
              <w:ind w:left="540"/>
              <w:spacing w:after="0"/>
              <w:rPr>
                <w:sz w:val="20"/>
                <w:szCs w:val="20"/>
                <w:color w:val="auto"/>
              </w:rPr>
            </w:pPr>
            <w:r>
              <w:rPr>
                <w:rFonts w:ascii="Times New Roman" w:cs="Times New Roman" w:eastAsia="Times New Roman" w:hAnsi="Times New Roman"/>
                <w:sz w:val="18"/>
                <w:szCs w:val="18"/>
                <w:color w:val="auto"/>
              </w:rPr>
              <w:t>40.3</w:t>
            </w:r>
          </w:p>
        </w:tc>
        <w:tc>
          <w:tcPr>
            <w:tcW w:w="1360" w:type="dxa"/>
            <w:vAlign w:val="bottom"/>
            <w:shd w:val="clear" w:color="auto" w:fill="D5EEEE"/>
          </w:tcPr>
          <w:p>
            <w:pPr>
              <w:jc w:val="right"/>
              <w:ind w:right="430"/>
              <w:spacing w:after="0"/>
              <w:rPr>
                <w:sz w:val="20"/>
                <w:szCs w:val="20"/>
                <w:color w:val="auto"/>
              </w:rPr>
            </w:pPr>
            <w:r>
              <w:rPr>
                <w:rFonts w:ascii="Times New Roman" w:cs="Times New Roman" w:eastAsia="Times New Roman" w:hAnsi="Times New Roman"/>
                <w:sz w:val="18"/>
                <w:szCs w:val="18"/>
                <w:color w:val="auto"/>
              </w:rPr>
              <w:t>40.8</w:t>
            </w:r>
          </w:p>
        </w:tc>
        <w:tc>
          <w:tcPr>
            <w:tcW w:w="1420" w:type="dxa"/>
            <w:vAlign w:val="bottom"/>
            <w:gridSpan w:val="2"/>
            <w:shd w:val="clear" w:color="auto" w:fill="D5EEEE"/>
          </w:tcPr>
          <w:p>
            <w:pPr>
              <w:jc w:val="right"/>
              <w:ind w:right="450"/>
              <w:spacing w:after="0"/>
              <w:rPr>
                <w:sz w:val="20"/>
                <w:szCs w:val="20"/>
                <w:color w:val="auto"/>
              </w:rPr>
            </w:pPr>
            <w:r>
              <w:rPr>
                <w:rFonts w:ascii="Times New Roman" w:cs="Times New Roman" w:eastAsia="Times New Roman" w:hAnsi="Times New Roman"/>
                <w:sz w:val="18"/>
                <w:szCs w:val="18"/>
                <w:color w:val="auto"/>
              </w:rPr>
              <w:t>61.0</w:t>
            </w:r>
          </w:p>
        </w:tc>
        <w:tc>
          <w:tcPr>
            <w:tcW w:w="20" w:type="dxa"/>
            <w:vAlign w:val="bottom"/>
            <w:shd w:val="clear" w:color="auto" w:fill="D5EEEE"/>
          </w:tcPr>
          <w:p>
            <w:pPr>
              <w:spacing w:after="0"/>
              <w:rPr>
                <w:sz w:val="18"/>
                <w:szCs w:val="18"/>
                <w:color w:val="auto"/>
              </w:rPr>
            </w:pPr>
          </w:p>
        </w:tc>
      </w:tr>
    </w:tbl>
    <w:p>
      <w:pPr>
        <w:spacing w:after="0" w:line="320" w:lineRule="exact"/>
        <w:rPr>
          <w:sz w:val="20"/>
          <w:szCs w:val="20"/>
          <w:color w:val="auto"/>
        </w:rPr>
      </w:pPr>
    </w:p>
    <w:p>
      <w:pPr>
        <w:ind w:right="680" w:firstLine="490"/>
        <w:spacing w:after="0" w:line="249" w:lineRule="auto"/>
        <w:rPr>
          <w:sz w:val="20"/>
          <w:szCs w:val="20"/>
          <w:color w:val="auto"/>
        </w:rPr>
      </w:pPr>
      <w:r>
        <w:rPr>
          <w:rFonts w:ascii="Times New Roman" w:cs="Times New Roman" w:eastAsia="Times New Roman" w:hAnsi="Times New Roman"/>
          <w:sz w:val="20"/>
          <w:szCs w:val="20"/>
          <w:color w:val="auto"/>
        </w:rPr>
        <w:t>The results of the HAP study will be included in the 8-factor analysis of the abuse potential of nalbuphine for nalbuphine ER that would be submitted as part of any NDA submission to inform scheduling considerations.</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u w:val="single" w:color="auto"/>
          <w:color w:val="auto"/>
        </w:rPr>
        <w:t>Drug-Drug Interaction Study</w:t>
      </w:r>
    </w:p>
    <w:p>
      <w:pPr>
        <w:spacing w:after="0" w:line="97" w:lineRule="exact"/>
        <w:rPr>
          <w:sz w:val="20"/>
          <w:szCs w:val="20"/>
          <w:color w:val="auto"/>
        </w:rPr>
      </w:pPr>
    </w:p>
    <w:p>
      <w:pPr>
        <w:ind w:right="60" w:firstLine="490"/>
        <w:spacing w:after="0" w:line="226" w:lineRule="auto"/>
        <w:rPr>
          <w:sz w:val="20"/>
          <w:szCs w:val="20"/>
          <w:color w:val="auto"/>
        </w:rPr>
      </w:pPr>
      <w:r>
        <w:rPr>
          <w:rFonts w:ascii="Times New Roman" w:cs="Times New Roman" w:eastAsia="Times New Roman" w:hAnsi="Times New Roman"/>
          <w:sz w:val="20"/>
          <w:szCs w:val="20"/>
          <w:color w:val="auto"/>
        </w:rPr>
        <w:t>In October 2025, we completed our Phase 1 drug-drug interaction study to evaluate the co-administration of Haduvio with pirfenidone or nintedanib in healthy adult subjects. Pirfenidone and nintedanib are prescribed as anti-fibrotic therapies in a significant portion of patients with IPF. The results of the study concluded coadministration of Haduvio with pirfenidone and nintedanib showed no clinically meaningful pharmacokinetic findings for nalbuphine ER or either of the antifibrotics when given in combination. No dose adjustments for any of the drugs will be required if Haduvio is administered concomitantly with these agents.</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u w:val="single" w:color="auto"/>
          <w:color w:val="auto"/>
        </w:rPr>
        <w:t>Respiratory Safety</w:t>
      </w:r>
    </w:p>
    <w:p>
      <w:pPr>
        <w:spacing w:after="0" w:line="97" w:lineRule="exact"/>
        <w:rPr>
          <w:sz w:val="20"/>
          <w:szCs w:val="20"/>
          <w:color w:val="auto"/>
        </w:rPr>
      </w:pPr>
    </w:p>
    <w:p>
      <w:pPr>
        <w:ind w:firstLine="490"/>
        <w:spacing w:after="0" w:line="222" w:lineRule="auto"/>
        <w:rPr>
          <w:sz w:val="20"/>
          <w:szCs w:val="20"/>
          <w:color w:val="auto"/>
        </w:rPr>
      </w:pPr>
      <w:r>
        <w:rPr>
          <w:rFonts w:ascii="Times New Roman" w:cs="Times New Roman" w:eastAsia="Times New Roman" w:hAnsi="Times New Roman"/>
          <w:sz w:val="20"/>
          <w:szCs w:val="20"/>
          <w:color w:val="auto"/>
        </w:rPr>
        <w:t>We are also conducting a Phase 1 respiratory function and safety study, which we refer to as TIDAL, in the U.K. and U.S. and we have screened and enrolled patients. TIDAL is a multi-center, open-label, in-clinic, fixed-sequence placebo to nalbuphine ER dose escalation study assessing overnight respiratory function and safety in patients with IPF. We expect to enroll approximately ten patients who will be in-clinic for ten days. The goal of the study is to assess the safety and tolerability of Haduvio as well as the effect on respiratory function and safety in subjects with IPF based on assessment of end tidal partial pressure of carbon dioxide by capnography (PetCO2), oxygen saturation (SpO2), and respiratory rate. The study is intended to better characterize the physiological effects of administering nalbuphine ER at the intended therapeutic doses on parameters of respiration important for patients with IPF. The safety review committee met to review data for the sentinel cohort of patients and concluded there were no safety signals and gave approval to complete enrollment. We expect to complete this study in mid-2026.</w:t>
      </w:r>
    </w:p>
    <w:p>
      <w:pPr>
        <w:spacing w:after="0" w:line="63"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We also anticipate conducting additional standard pharmacokinetic, pharmacodynamic and other studies as needed to support marketing applications for regulatory approval in the U.S. and Europe.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01" w:lineRule="exact"/>
        <w:rPr>
          <w:sz w:val="20"/>
          <w:szCs w:val="20"/>
          <w:color w:val="auto"/>
        </w:rPr>
      </w:pPr>
    </w:p>
    <w:p>
      <w:pPr>
        <w:ind w:right="320" w:firstLine="490"/>
        <w:spacing w:after="0" w:line="279" w:lineRule="auto"/>
        <w:rPr>
          <w:sz w:val="20"/>
          <w:szCs w:val="20"/>
          <w:color w:val="auto"/>
        </w:rPr>
      </w:pPr>
      <w:r>
        <w:rPr>
          <w:rFonts w:ascii="Times New Roman" w:cs="Times New Roman" w:eastAsia="Times New Roman" w:hAnsi="Times New Roman"/>
          <w:sz w:val="19"/>
          <w:szCs w:val="19"/>
          <w:color w:val="auto"/>
        </w:rPr>
        <w:t>The biopharmaceutical industry is intensely competitive and is subject to rapid and significant change. While we believe that our technology, knowledge, experience and scientific resources provide us with competitive advantages, we</w:t>
      </w:r>
    </w:p>
    <w:p>
      <w:pPr>
        <w:sectPr>
          <w:pgSz w:w="12240" w:h="15840" w:orient="portrait"/>
          <w:cols w:equalWidth="0" w:num="1">
            <w:col w:w="9920"/>
          </w:cols>
          <w:pgMar w:left="1160" w:top="1119" w:right="1160" w:bottom="175" w:gutter="0" w:footer="0" w:header="0"/>
        </w:sect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20"/>
          </w:cols>
          <w:pgMar w:left="1160" w:top="1119" w:right="1160" w:bottom="175" w:gutter="0" w:footer="0" w:header="0"/>
          <w:type w:val="continuous"/>
        </w:sectPr>
      </w:pPr>
    </w:p>
    <w:bookmarkStart w:id="13" w:name="page14"/>
    <w:bookmarkEnd w:id="13"/>
    <w:p>
      <w:pPr>
        <w:spacing w:after="0" w:line="236" w:lineRule="auto"/>
        <w:rPr>
          <w:sz w:val="20"/>
          <w:szCs w:val="20"/>
          <w:color w:val="auto"/>
        </w:rPr>
      </w:pPr>
      <w:r>
        <w:rPr>
          <w:rFonts w:ascii="Times New Roman" w:cs="Times New Roman" w:eastAsia="Times New Roman" w:hAnsi="Times New Roman"/>
          <w:sz w:val="20"/>
          <w:szCs w:val="20"/>
          <w:color w:val="auto"/>
        </w:rPr>
        <w:t>face potential competition from many sources, including major pharmaceutical, specialty pharmaceutical and biotechnology companies. If we are able to successfully develop and commercialize Haduvio, it would compete with existing therapies and new therapies that may become available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Chronic Cough in Patients with Idiopathic Pulmonary Fibrosis and Non-IPF Interstitial Lung Diseases</w:t>
      </w:r>
    </w:p>
    <w:p>
      <w:pPr>
        <w:spacing w:after="0" w:line="115" w:lineRule="exact"/>
        <w:rPr>
          <w:sz w:val="20"/>
          <w:szCs w:val="20"/>
          <w:color w:val="auto"/>
        </w:rPr>
      </w:pPr>
    </w:p>
    <w:p>
      <w:pPr>
        <w:ind w:right="180" w:firstLine="490"/>
        <w:spacing w:after="0"/>
        <w:rPr>
          <w:sz w:val="20"/>
          <w:szCs w:val="20"/>
          <w:color w:val="auto"/>
        </w:rPr>
      </w:pPr>
      <w:r>
        <w:rPr>
          <w:rFonts w:ascii="Times New Roman" w:cs="Times New Roman" w:eastAsia="Times New Roman" w:hAnsi="Times New Roman"/>
          <w:sz w:val="20"/>
          <w:szCs w:val="20"/>
          <w:color w:val="auto"/>
        </w:rPr>
        <w:t>If Haduvio is approved for the treatment of chronic cough in patients with IPF and non-IPF ILD, we expect that it may compete with product candidates that may be developed for the treatment of chronic cough in patients with IPF or ILD. Development of BI 1839100, a TRPA1 antagonist by Boehringer Ingelheim for the treatment of IPF-related chronic cough and progressive pulmonary fibrosis, was terminated in September 2025. It is possible that product candidates currently in development for the treatment of fibrosis in patients with IPF and ILD could, if approved, reduce the need for therapies to treat chronic cough in patients with IPF and non-IPF ILD. We expect that Haduvio might also compete with other product candidates currently in development, for the treatment of patients with RCC that might be used off-label to treat IPF-related chronic cough.</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RCC</w:t>
      </w:r>
    </w:p>
    <w:p>
      <w:pPr>
        <w:spacing w:after="0" w:line="115" w:lineRule="exact"/>
        <w:rPr>
          <w:sz w:val="20"/>
          <w:szCs w:val="20"/>
          <w:color w:val="auto"/>
        </w:rPr>
      </w:pPr>
    </w:p>
    <w:p>
      <w:pPr>
        <w:ind w:right="60" w:firstLine="490"/>
        <w:spacing w:after="0" w:line="241" w:lineRule="auto"/>
        <w:rPr>
          <w:sz w:val="20"/>
          <w:szCs w:val="20"/>
          <w:color w:val="auto"/>
        </w:rPr>
      </w:pPr>
      <w:r>
        <w:rPr>
          <w:rFonts w:ascii="Times New Roman" w:cs="Times New Roman" w:eastAsia="Times New Roman" w:hAnsi="Times New Roman"/>
          <w:sz w:val="20"/>
          <w:szCs w:val="20"/>
          <w:color w:val="auto"/>
        </w:rPr>
        <w:t>If Haduvio is approved for the treatment of patients with RCC, we expect that it may compete with product candidates in clinical development for the treatment of patients with RCC such as camlipixant, a P2X3 antagonist, which is being developed by GSK plc. Gefapixant, a P2X3 antagonist, which was developed by Merck &amp; Co., Inc., or Merck, is approved for refractory or unexplained chronic cough in Japan, the United Kingdom, Switzerland, and the E.U. The application filed with the FDA was withdrawn and Merck indicated it does not plan to refile. Other product candidates that are currently in development for the treatment of patients with RCC include taplucainium (formerly NTX-1175), a charged sodium channel blocker, which is being developed by Nocion Therapeutics Inc.</w:t>
      </w:r>
    </w:p>
    <w:p>
      <w:pPr>
        <w:spacing w:after="0" w:line="80" w:lineRule="exact"/>
        <w:rPr>
          <w:sz w:val="20"/>
          <w:szCs w:val="20"/>
          <w:color w:val="auto"/>
        </w:rPr>
      </w:pPr>
    </w:p>
    <w:p>
      <w:pPr>
        <w:ind w:right="80" w:firstLine="490"/>
        <w:spacing w:after="0" w:line="272" w:lineRule="auto"/>
        <w:rPr>
          <w:sz w:val="20"/>
          <w:szCs w:val="20"/>
          <w:color w:val="auto"/>
        </w:rPr>
      </w:pPr>
      <w:r>
        <w:rPr>
          <w:rFonts w:ascii="Times New Roman" w:cs="Times New Roman" w:eastAsia="Times New Roman" w:hAnsi="Times New Roman"/>
          <w:sz w:val="20"/>
          <w:szCs w:val="20"/>
          <w:color w:val="auto"/>
        </w:rPr>
        <w:t>We also expect that Haduvio would compete with a number of therapeutics that are not specifically approved to treat chronic cough including benzonatate, opioids, corticosteroids, proton-pump inhibitors, and neuromodulators.</w:t>
      </w:r>
    </w:p>
    <w:p>
      <w:pPr>
        <w:spacing w:after="0" w:line="49" w:lineRule="exact"/>
        <w:rPr>
          <w:sz w:val="20"/>
          <w:szCs w:val="20"/>
          <w:color w:val="auto"/>
        </w:rPr>
      </w:pPr>
    </w:p>
    <w:p>
      <w:pPr>
        <w:ind w:right="40" w:firstLine="490"/>
        <w:spacing w:after="0"/>
        <w:rPr>
          <w:sz w:val="20"/>
          <w:szCs w:val="20"/>
          <w:color w:val="auto"/>
        </w:rPr>
      </w:pPr>
      <w:r>
        <w:rPr>
          <w:rFonts w:ascii="Times New Roman" w:cs="Times New Roman" w:eastAsia="Times New Roman" w:hAnsi="Times New Roman"/>
          <w:sz w:val="20"/>
          <w:szCs w:val="20"/>
          <w:color w:val="auto"/>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82"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We expect that Haduvio, if approved for marketing, will compete on the basis of, among other things, efficacy, safety, health-economic benefit, convenience of administration and delivery, price, the level of generic competition and the availability of adequate reimbursement from government and other third-party payors.</w:t>
      </w:r>
    </w:p>
    <w:p>
      <w:pPr>
        <w:spacing w:after="0" w:line="6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Our commercial opportunity could be reduced or eliminated if our competitors develop and commercialize products that are safer, more effective, have fewer or less severe side effects, are more convenient or are less expensive than Haduvio. Our competitors also may obtain FDA or other regulatory approval for their products more rapidly than we may obtain approval for Haduvio, which could result in our competitors establishing a strong market position before we are able to enter the market.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Agreement with Keenova Therapeutics plc</w:t>
      </w:r>
    </w:p>
    <w:p>
      <w:pPr>
        <w:spacing w:after="0" w:line="119" w:lineRule="exact"/>
        <w:rPr>
          <w:sz w:val="20"/>
          <w:szCs w:val="20"/>
          <w:color w:val="auto"/>
        </w:rPr>
      </w:pPr>
    </w:p>
    <w:p>
      <w:pPr>
        <w:ind w:right="140" w:firstLine="490"/>
        <w:spacing w:after="0" w:line="252" w:lineRule="auto"/>
        <w:rPr>
          <w:sz w:val="20"/>
          <w:szCs w:val="20"/>
          <w:color w:val="auto"/>
        </w:rPr>
      </w:pPr>
      <w:r>
        <w:rPr>
          <w:rFonts w:ascii="Times New Roman" w:cs="Times New Roman" w:eastAsia="Times New Roman" w:hAnsi="Times New Roman"/>
          <w:sz w:val="20"/>
          <w:szCs w:val="20"/>
          <w:color w:val="auto"/>
        </w:rPr>
        <w:t>In May 2011, we entered into an agreement with Keenova, for an exclusive worldwide sublicensable license under certain patent rights and know-how controlled by Keenova to develop and commercialize products incorporating nalbuphine hydrochloride in any formulation, including an extended-release formulation such as Haduvio, in all fields and for any use.</w:t>
      </w:r>
    </w:p>
    <w:p>
      <w:pPr>
        <w:spacing w:after="0" w:line="70" w:lineRule="exact"/>
        <w:rPr>
          <w:sz w:val="20"/>
          <w:szCs w:val="20"/>
          <w:color w:val="auto"/>
        </w:rPr>
      </w:pPr>
    </w:p>
    <w:p>
      <w:pPr>
        <w:ind w:right="180" w:firstLine="490"/>
        <w:spacing w:after="0" w:line="241" w:lineRule="auto"/>
        <w:rPr>
          <w:sz w:val="20"/>
          <w:szCs w:val="20"/>
          <w:color w:val="auto"/>
        </w:rPr>
      </w:pPr>
      <w:r>
        <w:rPr>
          <w:rFonts w:ascii="Times New Roman" w:cs="Times New Roman" w:eastAsia="Times New Roman" w:hAnsi="Times New Roman"/>
          <w:sz w:val="20"/>
          <w:szCs w:val="20"/>
          <w:color w:val="auto"/>
        </w:rPr>
        <w:t>Under the license agreement, we paid Keenova a non-creditable, non-refundable upfront license fee. We may also become obligated to make milestone payments to Keenova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us, our affiliates and sublicensees. In addition, we are obligated to pay Keenova a low-to-mid double-digit percentage of certain income we receive from sublicensees, based on the date of the definitive agreement under which the sublicense was granted.</w:t>
      </w:r>
    </w:p>
    <w:p>
      <w:pPr>
        <w:spacing w:after="0" w:line="80" w:lineRule="exact"/>
        <w:rPr>
          <w:sz w:val="20"/>
          <w:szCs w:val="20"/>
          <w:color w:val="auto"/>
        </w:rPr>
      </w:pPr>
    </w:p>
    <w:p>
      <w:pPr>
        <w:ind w:right="240" w:firstLine="490"/>
        <w:spacing w:after="0" w:line="272" w:lineRule="auto"/>
        <w:rPr>
          <w:sz w:val="20"/>
          <w:szCs w:val="20"/>
          <w:color w:val="auto"/>
        </w:rPr>
      </w:pPr>
      <w:r>
        <w:rPr>
          <w:rFonts w:ascii="Times New Roman" w:cs="Times New Roman" w:eastAsia="Times New Roman" w:hAnsi="Times New Roman"/>
          <w:sz w:val="20"/>
          <w:szCs w:val="20"/>
          <w:color w:val="auto"/>
        </w:rPr>
        <w:t>Our royalty obligation with respect to each licensed product in each country commences upon the first commercial sale of the product in that country and extends until the later of the expiration, unenforceability or invalidation of the last</w:t>
      </w:r>
    </w:p>
    <w:p>
      <w:pPr>
        <w:sectPr>
          <w:pgSz w:w="12240" w:h="15840" w:orient="portrait"/>
          <w:cols w:equalWidth="0" w:num="1">
            <w:col w:w="9920"/>
          </w:cols>
          <w:pgMar w:left="1160" w:top="1113" w:right="1160" w:bottom="175"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20"/>
          </w:cols>
          <w:pgMar w:left="1160" w:top="1113" w:right="1160" w:bottom="175" w:gutter="0" w:footer="0" w:header="0"/>
          <w:type w:val="continuous"/>
        </w:sectPr>
      </w:pPr>
    </w:p>
    <w:bookmarkStart w:id="14" w:name="page15"/>
    <w:bookmarkEnd w:id="14"/>
    <w:p>
      <w:pPr>
        <w:ind w:right="80"/>
        <w:spacing w:after="0" w:line="247" w:lineRule="auto"/>
        <w:rPr>
          <w:sz w:val="20"/>
          <w:szCs w:val="20"/>
          <w:color w:val="auto"/>
        </w:rPr>
      </w:pPr>
      <w:r>
        <w:rPr>
          <w:rFonts w:ascii="Times New Roman" w:cs="Times New Roman" w:eastAsia="Times New Roman" w:hAnsi="Times New Roman"/>
          <w:sz w:val="20"/>
          <w:szCs w:val="20"/>
          <w:color w:val="auto"/>
        </w:rPr>
        <w:t>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we are thereafter obligated to pay a low single-digit know-how and trademark royalty.</w:t>
      </w:r>
    </w:p>
    <w:p>
      <w:pPr>
        <w:spacing w:after="0" w:line="74"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Under the agreement, we have granted Keenova a non-exclusive, royalty-free (except for pass-through payments to third parties), sublicensable license under our relevant patent rights, to use any improvement we make to Endo’s controlled release technology, for any product other than the products under which we are licensed by Endo.</w:t>
      </w:r>
    </w:p>
    <w:p>
      <w:pPr>
        <w:spacing w:after="0" w:line="68" w:lineRule="exact"/>
        <w:rPr>
          <w:sz w:val="20"/>
          <w:szCs w:val="20"/>
          <w:color w:val="auto"/>
        </w:rPr>
      </w:pPr>
    </w:p>
    <w:p>
      <w:pPr>
        <w:ind w:right="140" w:firstLine="490"/>
        <w:spacing w:after="0" w:line="242" w:lineRule="auto"/>
        <w:rPr>
          <w:sz w:val="20"/>
          <w:szCs w:val="20"/>
          <w:color w:val="auto"/>
        </w:rPr>
      </w:pPr>
      <w:r>
        <w:rPr>
          <w:rFonts w:ascii="Times New Roman" w:cs="Times New Roman" w:eastAsia="Times New Roman" w:hAnsi="Times New Roman"/>
          <w:sz w:val="20"/>
          <w:szCs w:val="20"/>
          <w:color w:val="auto"/>
        </w:rPr>
        <w:t>Both we and Keenova have the right to terminate the agreement if the other party materially breaches the agreement and fails to cure the breach within specified cure periods. Keenova also has the right to terminate in the event we undergo specified bankruptcy, insolvency or liquidation events. We have the right to terminate the agreement at our convenience at any time on 180 days’ notice to Keenova. Additionally, if we or any of our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84"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Upon termination of the agreement, we must transfer to Keenova all regulatory filings and approvals relating to the development, manufacture or commercialization of the licensed products and all trademarks, other than our corporate trademarks, then being used in connection with the licensed products. If the agreement is terminated under certain specified circumstances, we will be deemed to have granted Keenova a perpetual, royalty-free (except for pass-through payments to third parties), worldwide, exclusive, sublicensable license, under any improvements we made to the licensed know-how, and any related patent rights we have, to manufacture and commercialize the licensed products.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2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We currently contract with third parties for the supply of nalbuphine hydrochloride drug substance and the manufacture of Haduvio tablets for clinical trials and intend to do so for clinical and commercial supply in the future. We do not own or operate facilities for the production of clinical or commercial quantities of drug substance or drug product. At present, we have no plans to initiate our own clinical or commercial scale manufacturing capabilities. Although we rely on contract manufacturers, we have personnel with experience to oversee our relationships with contract manufacturers.</w:t>
      </w:r>
    </w:p>
    <w:p>
      <w:pPr>
        <w:spacing w:after="0" w:line="77" w:lineRule="exact"/>
        <w:rPr>
          <w:sz w:val="20"/>
          <w:szCs w:val="20"/>
          <w:color w:val="auto"/>
        </w:rPr>
      </w:pPr>
    </w:p>
    <w:p>
      <w:pPr>
        <w:ind w:right="240" w:firstLine="490"/>
        <w:spacing w:after="0" w:line="244" w:lineRule="auto"/>
        <w:rPr>
          <w:sz w:val="20"/>
          <w:szCs w:val="20"/>
          <w:color w:val="auto"/>
        </w:rPr>
      </w:pPr>
      <w:r>
        <w:rPr>
          <w:rFonts w:ascii="Times New Roman" w:cs="Times New Roman" w:eastAsia="Times New Roman" w:hAnsi="Times New Roman"/>
          <w:sz w:val="20"/>
          <w:szCs w:val="20"/>
          <w:color w:val="auto"/>
        </w:rPr>
        <w:t>We rely, and plan to continue to rely, on a single supplier, Par Health, which was spun off as an independent company after the merger between Mallinckrodt plc and Endo, Inc., for nalbuphine hydrochloride drug substance. We do not have agreements in place with Par Health that guarantee supply quantities or pricing.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86"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Haduvio is manufactured from readily available starting materials using established, scalable processes that do not require any special equipment or technology. Nalbuphine hydrochloride drug substance is commercially available and manufactured at production scale. Haduvio tablets are currently manufactured at a scale adequate to support clinical trials and initial commercial supply. Further scale-up assessment is also being planned.</w:t>
      </w:r>
    </w:p>
    <w:p>
      <w:pPr>
        <w:spacing w:after="0" w:line="7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We believe that our current suppliers and manufacturers have the capacity to support commercial scale production of Haduvio, however we have no formal agreements with them to cover commercial production and we may seek to pursue supply or manufacturing arrangements with additional or alternative parties in the future. While we believe there are alternate sources of supply that can satisfy our clinical requirements and any future commercial requirements, replacing or adding a supplier or manufacturer at the present time could result in additional cost or delay.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 Operations</w:t>
      </w:r>
    </w:p>
    <w:p>
      <w:pPr>
        <w:spacing w:after="0" w:line="122"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We have retained worldwide commercial rights for Haduvio. If Haduvio were to receive marketing approval from the FDA for IPF-related chronic cough or non- IPF ILD-related chronic cough, we would plan to market and commercialize Haduvio in the U.S. with our own focused, specialty sales force and target pulmonologists who specialize in treating IPF and non-IPF ILD patients, as well as ILD centers of excellence, as applicable. If Haduvio were to receive marketing approval from the FDA for RCC, we would plan to market and commercialize Haduvio in the U.S. with our own focused sales force and target pulmonologists and other specialists, such as allergists, who treat RCC patients who have failed other chronic cough therapies. We also expect to utilize a variety of collaboration, distribution and other marketing arrangements with one or more third parties to commercialize Haduvio outside the U.S.</w:t>
      </w:r>
    </w:p>
    <w:p>
      <w:pPr>
        <w:sectPr>
          <w:pgSz w:w="12240" w:h="15840" w:orient="portrait"/>
          <w:cols w:equalWidth="0" w:num="1">
            <w:col w:w="9940"/>
          </w:cols>
          <w:pgMar w:left="1160" w:top="1128" w:right="11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40"/>
          </w:cols>
          <w:pgMar w:left="1160" w:top="1128" w:right="1140" w:bottom="175"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2"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Our commercial success depends in part on our ability to obtain and maintain proprietary protection for Haduvio and our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We also rely on trade secrets, know-how, continuing technological innovation and potential in-licensing opportunities to develop and maintain our proprietary position.</w:t>
      </w:r>
    </w:p>
    <w:p>
      <w:pPr>
        <w:spacing w:after="0" w:line="80"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As of December 31, 2025, we owned six U.S. patents, 22 foreign patents and multiple pending U.S. and foreign patent applications that include claims relating to methods of use of Haduvio, including a U.S. patent covering the use of Haduvio for the treatment of IPF-related chronic cough. The issued patents expire between 2032 and 2041 and the patent applications, if issued as patents, would expire between 2032 and 2045. In February 2025, we received a notice of allowance for a U.S. patent application with claims covering the use of Haduvio for the treatment of chronic cough in IPF in patients with hepatic impairment. The patent issuing from this application will expire in 2042.</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In addition, we are party to an exclusive license agreement with Keenova under which we have licensed patent rights and know-how to develop and commercialize products incorporating nalbuphine hydrochloride in any formulation, including Haduvio. As of December 31, 2025, the intellectual property in-licensed under this agreement included six U.S. patents and four foreign patents, which include granted European patent rights that have been validated in various European Union, or E.U., member states. The licensed patents from Keenova include claims relating to the formulation of Haduvio. These patents expire between 2026 and 2029.</w:t>
      </w:r>
    </w:p>
    <w:p>
      <w:pPr>
        <w:spacing w:after="0" w:line="80" w:lineRule="exact"/>
        <w:rPr>
          <w:sz w:val="20"/>
          <w:szCs w:val="20"/>
          <w:color w:val="auto"/>
        </w:rPr>
      </w:pPr>
    </w:p>
    <w:p>
      <w:pPr>
        <w:ind w:right="280" w:firstLine="490"/>
        <w:spacing w:after="0" w:line="258" w:lineRule="auto"/>
        <w:rPr>
          <w:sz w:val="20"/>
          <w:szCs w:val="20"/>
          <w:color w:val="auto"/>
        </w:rPr>
      </w:pPr>
      <w:r>
        <w:rPr>
          <w:rFonts w:ascii="Times New Roman" w:cs="Times New Roman" w:eastAsia="Times New Roman" w:hAnsi="Times New Roman"/>
          <w:sz w:val="20"/>
          <w:szCs w:val="20"/>
          <w:color w:val="auto"/>
        </w:rPr>
        <w:t>In addition, we have in-licensed three issued U.S. patents, one issued European patent, one issued Japanese patent, and one issued Canadian patent. These patents relate to the use of nalbuphine in various movement disorders. The U.S. patents expire in 2032. The Japanese, European and Canadian patents expire in 2032.</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do not own or exclusively license any composition of matter patents for Haduvio.</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terms of individual patents depend upon the legal term for patents in the countries in which they are granted. In most countries, including the U.S., the patent term is generally 20 years from the earliest claimed filing date of a nonprovisional patent application in the applicable country. In the U.S., a patent’s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w:t>
      </w:r>
    </w:p>
    <w:p>
      <w:pPr>
        <w:spacing w:after="0" w:line="80"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19"/>
          <w:szCs w:val="19"/>
          <w:color w:val="auto"/>
        </w:rPr>
        <w:t>Provisions are available in the E.U. and certain other non-U.S. jurisdictions to extend the term of a patent that covers an approved drug. The expiration dates referred to above are without regard to potential patent term extension or other market exclusivity that may be available to us. However, we cannot provide any assurances that any such patent term extension of a non-U.S. patent will be obtained and, if obtained, the duration of such extension. 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6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Our commercial success will also depend in part on not infringing the proprietary rights of third parties. It is uncertain whether the issuance of any third-party patent would require us to alter our development or commercial strategies, alter our processes, obtain licenses or cease certain activities. Our breach of any license agreements or failure to obtain a license to proprietary rights that we may require to develop or commercialize Haduvio or any future product candidate may have a material adverse impact on us. If third parties prepare and file patent applications in the U.S. that also claim technology to which we have rights, we may have to participate in interference or derivation proceedings in the USPTO to determine priority of invention.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 and Product Approvals</w:t>
      </w:r>
    </w:p>
    <w:p>
      <w:pPr>
        <w:spacing w:after="0" w:line="120" w:lineRule="exact"/>
        <w:rPr>
          <w:sz w:val="20"/>
          <w:szCs w:val="20"/>
          <w:color w:val="auto"/>
        </w:rPr>
      </w:pPr>
    </w:p>
    <w:p>
      <w:pPr>
        <w:ind w:right="60" w:firstLine="490"/>
        <w:spacing w:after="0" w:line="265" w:lineRule="auto"/>
        <w:rPr>
          <w:sz w:val="20"/>
          <w:szCs w:val="20"/>
          <w:color w:val="auto"/>
        </w:rPr>
      </w:pPr>
      <w:r>
        <w:rPr>
          <w:rFonts w:ascii="Times New Roman" w:cs="Times New Roman" w:eastAsia="Times New Roman" w:hAnsi="Times New Roman"/>
          <w:sz w:val="19"/>
          <w:szCs w:val="19"/>
          <w:color w:val="auto"/>
        </w:rPr>
        <w:t>Government authorities in the U.S., at the federal, state and local levels, and in other countries and jurisdictions, including the E.U., extensively regulate, among other things, the research, development, testing, manufacture, sales,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U.S. and in foreign countries and jurisdictions, along with compliance</w:t>
      </w:r>
    </w:p>
    <w:p>
      <w:pPr>
        <w:sectPr>
          <w:pgSz w:w="12240" w:h="15840" w:orient="portrait"/>
          <w:cols w:equalWidth="0" w:num="1">
            <w:col w:w="9920"/>
          </w:cols>
          <w:pgMar w:left="1160" w:top="1119" w:right="1160" w:bottom="175"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920"/>
          </w:cols>
          <w:pgMar w:left="1160" w:top="1119" w:right="1160" w:bottom="175" w:gutter="0" w:footer="0" w:header="0"/>
          <w:type w:val="continuous"/>
        </w:sectPr>
      </w:pPr>
    </w:p>
    <w:bookmarkStart w:id="16" w:name="page17"/>
    <w:bookmarkEnd w:id="16"/>
    <w:p>
      <w:pPr>
        <w:ind w:left="15" w:right="380"/>
        <w:spacing w:after="0" w:line="277" w:lineRule="auto"/>
        <w:rPr>
          <w:sz w:val="20"/>
          <w:szCs w:val="20"/>
          <w:color w:val="auto"/>
        </w:rPr>
      </w:pPr>
      <w:r>
        <w:rPr>
          <w:rFonts w:ascii="Times New Roman" w:cs="Times New Roman" w:eastAsia="Times New Roman" w:hAnsi="Times New Roman"/>
          <w:sz w:val="20"/>
          <w:szCs w:val="20"/>
          <w:color w:val="auto"/>
        </w:rPr>
        <w:t>with applicable statutes and regulations and other regulatory authorities, require the expenditure of substantial time and financial resources and may have a significant impact on our business.</w:t>
      </w:r>
    </w:p>
    <w:p>
      <w:pPr>
        <w:spacing w:after="0" w:line="30"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0"/>
          <w:szCs w:val="20"/>
          <w:b w:val="1"/>
          <w:bCs w:val="1"/>
          <w:i w:val="1"/>
          <w:iCs w:val="1"/>
          <w:color w:val="auto"/>
        </w:rPr>
        <w:t>Approval and Regulation of Drugs in the U.S.</w:t>
      </w:r>
    </w:p>
    <w:p>
      <w:pPr>
        <w:spacing w:after="0" w:line="116" w:lineRule="exact"/>
        <w:rPr>
          <w:sz w:val="20"/>
          <w:szCs w:val="20"/>
          <w:color w:val="auto"/>
        </w:rPr>
      </w:pPr>
    </w:p>
    <w:p>
      <w:pPr>
        <w:ind w:left="15" w:right="20" w:firstLine="490"/>
        <w:spacing w:after="0" w:line="246" w:lineRule="auto"/>
        <w:rPr>
          <w:sz w:val="20"/>
          <w:szCs w:val="20"/>
          <w:color w:val="auto"/>
        </w:rPr>
      </w:pPr>
      <w:r>
        <w:rPr>
          <w:rFonts w:ascii="Times New Roman" w:cs="Times New Roman" w:eastAsia="Times New Roman" w:hAnsi="Times New Roman"/>
          <w:sz w:val="20"/>
          <w:szCs w:val="20"/>
          <w:color w:val="auto"/>
        </w:rPr>
        <w:t>In the U.S., drug products are regulated under the Federal Food, Drug, and Cosmetic Act, or FDCA, and applicable implementing regulations and guidance. A company, institution, or organization which takes responsibility for the initiation and management of a clinical development program for such products, and for their regulatory approval, is typically referred to as a sponsor. The failure of a sponsor to comply with the applicable regulatory requirements at any time during the product development process, including nonclinical testing, clinical testing, the approval process or the post-approval process, may result in delays to the conduct of a study, regulatory review and approval and/or administrative or judicial sanctions.</w:t>
      </w:r>
    </w:p>
    <w:p>
      <w:pPr>
        <w:spacing w:after="0" w:line="80" w:lineRule="exact"/>
        <w:rPr>
          <w:sz w:val="20"/>
          <w:szCs w:val="20"/>
          <w:color w:val="auto"/>
        </w:rPr>
      </w:pPr>
    </w:p>
    <w:p>
      <w:pPr>
        <w:ind w:left="15" w:right="300" w:firstLine="490"/>
        <w:spacing w:after="0" w:line="277" w:lineRule="auto"/>
        <w:rPr>
          <w:sz w:val="20"/>
          <w:szCs w:val="20"/>
          <w:color w:val="auto"/>
        </w:rPr>
      </w:pPr>
      <w:r>
        <w:rPr>
          <w:rFonts w:ascii="Times New Roman" w:cs="Times New Roman" w:eastAsia="Times New Roman" w:hAnsi="Times New Roman"/>
          <w:sz w:val="20"/>
          <w:szCs w:val="20"/>
          <w:color w:val="auto"/>
        </w:rPr>
        <w:t>A sponsor seeking approval to market and distribute a new drug in the U.S. generally must satisfactorily complete each of the following steps before the FDA will consider approving the product candidate:</w:t>
      </w:r>
    </w:p>
    <w:p>
      <w:pPr>
        <w:spacing w:after="0" w:line="43" w:lineRule="exact"/>
        <w:rPr>
          <w:sz w:val="20"/>
          <w:szCs w:val="20"/>
          <w:color w:val="auto"/>
        </w:rPr>
      </w:pPr>
    </w:p>
    <w:p>
      <w:pPr>
        <w:ind w:left="375" w:right="520" w:hanging="368"/>
        <w:spacing w:after="0" w:line="254" w:lineRule="auto"/>
        <w:tabs>
          <w:tab w:leader="none" w:pos="375"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preclinical testing including laboratory tests, animal studies and formulation studies, which must be performed in accordance with the FDA’s good laboratory practice, or GLP, regulations and standards;</w:t>
      </w:r>
    </w:p>
    <w:p>
      <w:pPr>
        <w:spacing w:after="0" w:line="60" w:lineRule="exact"/>
        <w:rPr>
          <w:rFonts w:ascii="Arial" w:cs="Arial" w:eastAsia="Arial" w:hAnsi="Arial"/>
          <w:sz w:val="20"/>
          <w:szCs w:val="20"/>
          <w:color w:val="auto"/>
        </w:rPr>
      </w:pPr>
    </w:p>
    <w:p>
      <w:pPr>
        <w:ind w:left="375" w:right="240" w:hanging="368"/>
        <w:spacing w:after="0" w:line="236" w:lineRule="auto"/>
        <w:tabs>
          <w:tab w:leader="none" w:pos="375"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the manufacture, under current Good Manufacturing Practices, or cGMP, conditions, of the drug substance and drug product that the sponsor intends to use in human clinical trials along with required analytical and stability testing;</w:t>
      </w:r>
    </w:p>
    <w:p>
      <w:pPr>
        <w:spacing w:after="0" w:line="76" w:lineRule="exact"/>
        <w:rPr>
          <w:rFonts w:ascii="Arial" w:cs="Arial" w:eastAsia="Arial" w:hAnsi="Arial"/>
          <w:sz w:val="20"/>
          <w:szCs w:val="20"/>
          <w:color w:val="auto"/>
        </w:rPr>
      </w:pPr>
    </w:p>
    <w:p>
      <w:pPr>
        <w:ind w:left="375" w:right="440" w:hanging="368"/>
        <w:spacing w:after="0" w:line="254" w:lineRule="auto"/>
        <w:tabs>
          <w:tab w:leader="none" w:pos="375"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design of a clinical protocol and submission to the FDA of an IND for human clinical testing, which must become effective before human clinical trials may begin;</w:t>
      </w:r>
    </w:p>
    <w:p>
      <w:pPr>
        <w:spacing w:after="0" w:line="60" w:lineRule="exact"/>
        <w:rPr>
          <w:rFonts w:ascii="Arial" w:cs="Arial" w:eastAsia="Arial" w:hAnsi="Arial"/>
          <w:sz w:val="20"/>
          <w:szCs w:val="20"/>
          <w:color w:val="auto"/>
        </w:rPr>
      </w:pPr>
    </w:p>
    <w:p>
      <w:pPr>
        <w:ind w:left="375" w:right="140" w:hanging="368"/>
        <w:spacing w:after="0" w:line="254" w:lineRule="auto"/>
        <w:tabs>
          <w:tab w:leader="none" w:pos="375"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independent institutional review board, or IRB, representing each clinical site before each clinical trial may be initiated;</w:t>
      </w:r>
    </w:p>
    <w:p>
      <w:pPr>
        <w:spacing w:after="0" w:line="60" w:lineRule="exact"/>
        <w:rPr>
          <w:rFonts w:ascii="Arial" w:cs="Arial" w:eastAsia="Arial" w:hAnsi="Arial"/>
          <w:sz w:val="20"/>
          <w:szCs w:val="20"/>
          <w:color w:val="auto"/>
        </w:rPr>
      </w:pPr>
    </w:p>
    <w:p>
      <w:pPr>
        <w:ind w:left="375" w:right="300" w:hanging="375"/>
        <w:spacing w:after="0" w:line="254" w:lineRule="auto"/>
        <w:tabs>
          <w:tab w:leader="none" w:pos="375"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adequate and well-controlled human clinical trials to establish the safety and efficacy of the product candidate for each proposed indication, in accordance with current good clinical practices, or cGCP;</w:t>
      </w:r>
    </w:p>
    <w:p>
      <w:pPr>
        <w:spacing w:after="0" w:line="60" w:lineRule="exact"/>
        <w:rPr>
          <w:rFonts w:ascii="Arial" w:cs="Arial" w:eastAsia="Arial" w:hAnsi="Arial"/>
          <w:sz w:val="20"/>
          <w:szCs w:val="20"/>
          <w:color w:val="auto"/>
        </w:rPr>
      </w:pPr>
    </w:p>
    <w:p>
      <w:pPr>
        <w:ind w:left="375" w:hanging="375"/>
        <w:spacing w:after="0" w:line="236" w:lineRule="auto"/>
        <w:tabs>
          <w:tab w:leader="none" w:pos="375"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preparation and submission to the FDA of an NDA for a drug product which includes not only the results of the clinical trials, but also, detailed information on the chemistry, manufacturing and controls, or CMC, for the product candidate and proposed labelling for one or more proposed indication(s);</w:t>
      </w:r>
    </w:p>
    <w:p>
      <w:pPr>
        <w:spacing w:after="0" w:line="76" w:lineRule="exact"/>
        <w:rPr>
          <w:rFonts w:ascii="Arial" w:cs="Arial" w:eastAsia="Arial" w:hAnsi="Arial"/>
          <w:sz w:val="20"/>
          <w:szCs w:val="20"/>
          <w:color w:val="auto"/>
        </w:rPr>
      </w:pPr>
    </w:p>
    <w:p>
      <w:pPr>
        <w:ind w:left="375" w:hanging="375"/>
        <w:spacing w:after="0"/>
        <w:tabs>
          <w:tab w:leader="none" w:pos="375"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review of the product candidate by an FDA advisory committee, where appropriate or if applicable;</w:t>
      </w:r>
    </w:p>
    <w:p>
      <w:pPr>
        <w:spacing w:after="0" w:line="110" w:lineRule="exact"/>
        <w:rPr>
          <w:rFonts w:ascii="Arial" w:cs="Arial" w:eastAsia="Arial" w:hAnsi="Arial"/>
          <w:sz w:val="20"/>
          <w:szCs w:val="20"/>
          <w:color w:val="auto"/>
        </w:rPr>
      </w:pPr>
    </w:p>
    <w:p>
      <w:pPr>
        <w:ind w:left="375" w:right="20" w:hanging="375"/>
        <w:spacing w:after="0" w:line="231" w:lineRule="auto"/>
        <w:tabs>
          <w:tab w:leader="none" w:pos="375"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76" w:lineRule="exact"/>
        <w:rPr>
          <w:rFonts w:ascii="Arial" w:cs="Arial" w:eastAsia="Arial" w:hAnsi="Arial"/>
          <w:sz w:val="20"/>
          <w:szCs w:val="20"/>
          <w:color w:val="auto"/>
        </w:rPr>
      </w:pPr>
    </w:p>
    <w:p>
      <w:pPr>
        <w:ind w:left="375" w:right="220" w:hanging="375"/>
        <w:spacing w:after="0" w:line="254" w:lineRule="auto"/>
        <w:tabs>
          <w:tab w:leader="none" w:pos="375"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any FDA audits of the nonclinical and clinical trial sites to assure compliance with cGCPs and the integrity of clinical data in support of the NDA;</w:t>
      </w:r>
    </w:p>
    <w:p>
      <w:pPr>
        <w:spacing w:after="0" w:line="60" w:lineRule="exact"/>
        <w:rPr>
          <w:rFonts w:ascii="Arial" w:cs="Arial" w:eastAsia="Arial" w:hAnsi="Arial"/>
          <w:sz w:val="20"/>
          <w:szCs w:val="20"/>
          <w:color w:val="auto"/>
        </w:rPr>
      </w:pPr>
    </w:p>
    <w:p>
      <w:pPr>
        <w:ind w:left="375" w:hanging="375"/>
        <w:spacing w:after="0"/>
        <w:tabs>
          <w:tab w:leader="none" w:pos="375"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payment of user application and program fees pursuant to the Prescription Drug User Fee Act, or PDUFA;</w:t>
      </w:r>
    </w:p>
    <w:p>
      <w:pPr>
        <w:spacing w:after="0" w:line="110" w:lineRule="exact"/>
        <w:rPr>
          <w:rFonts w:ascii="Arial" w:cs="Arial" w:eastAsia="Arial" w:hAnsi="Arial"/>
          <w:sz w:val="20"/>
          <w:szCs w:val="20"/>
          <w:color w:val="auto"/>
        </w:rPr>
      </w:pPr>
    </w:p>
    <w:p>
      <w:pPr>
        <w:ind w:left="375" w:right="120" w:hanging="375"/>
        <w:spacing w:after="0" w:line="254" w:lineRule="auto"/>
        <w:tabs>
          <w:tab w:leader="none" w:pos="375"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securing FDA approval of the NDA to allow marketing of the new drug product for a particular indication in the U.S.; and</w:t>
      </w:r>
    </w:p>
    <w:p>
      <w:pPr>
        <w:spacing w:after="0" w:line="80" w:lineRule="exact"/>
        <w:rPr>
          <w:rFonts w:ascii="Arial" w:cs="Arial" w:eastAsia="Arial" w:hAnsi="Arial"/>
          <w:sz w:val="20"/>
          <w:szCs w:val="20"/>
          <w:color w:val="auto"/>
        </w:rPr>
      </w:pPr>
    </w:p>
    <w:p>
      <w:pPr>
        <w:jc w:val="both"/>
        <w:ind w:left="375" w:right="160" w:hanging="375"/>
        <w:spacing w:after="0" w:line="258" w:lineRule="auto"/>
        <w:tabs>
          <w:tab w:leader="none" w:pos="375"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any post-approval requirements, including the potential requirement to implement a Risk Evaluation and Mitigation Strategy, or REMS and the potential requirement to conduct any post-approval studies required by the FDA.</w:t>
      </w:r>
    </w:p>
    <w:p>
      <w:pPr>
        <w:spacing w:after="0" w:line="69" w:lineRule="exact"/>
        <w:rPr>
          <w:sz w:val="20"/>
          <w:szCs w:val="20"/>
          <w:color w:val="auto"/>
        </w:rPr>
      </w:pPr>
    </w:p>
    <w:p>
      <w:pPr>
        <w:ind w:left="495"/>
        <w:spacing w:after="0"/>
        <w:rPr>
          <w:sz w:val="20"/>
          <w:szCs w:val="20"/>
          <w:color w:val="auto"/>
        </w:rPr>
      </w:pPr>
      <w:r>
        <w:rPr>
          <w:rFonts w:ascii="Times New Roman" w:cs="Times New Roman" w:eastAsia="Times New Roman" w:hAnsi="Times New Roman"/>
          <w:sz w:val="20"/>
          <w:szCs w:val="20"/>
          <w:i w:val="1"/>
          <w:iCs w:val="1"/>
          <w:color w:val="auto"/>
        </w:rPr>
        <w:t>Preclinical Studies</w:t>
      </w:r>
    </w:p>
    <w:p>
      <w:pPr>
        <w:spacing w:after="0" w:line="118" w:lineRule="exact"/>
        <w:rPr>
          <w:sz w:val="20"/>
          <w:szCs w:val="20"/>
          <w:color w:val="auto"/>
        </w:rPr>
      </w:pPr>
    </w:p>
    <w:p>
      <w:pPr>
        <w:ind w:left="15" w:right="40" w:firstLine="490"/>
        <w:spacing w:after="0" w:line="243" w:lineRule="auto"/>
        <w:rPr>
          <w:sz w:val="20"/>
          <w:szCs w:val="20"/>
          <w:color w:val="auto"/>
        </w:rPr>
      </w:pPr>
      <w:r>
        <w:rPr>
          <w:rFonts w:ascii="Times New Roman" w:cs="Times New Roman" w:eastAsia="Times New Roman" w:hAnsi="Times New Roman"/>
          <w:sz w:val="20"/>
          <w:szCs w:val="20"/>
          <w:color w:val="auto"/>
        </w:rPr>
        <w:t>Before a sponsor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These studies are generally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continue after the IND is submitted. With passage of the FDA’s Modernization Act 2.0 in December 2022, Congress eliminated provisions in both the FDCA and the Public Health Service Act that required animal testing in support of an NDA. While animal testing may still be conducted, the FDA was authorized to rely on alternative nonclinical tests,</w:t>
      </w:r>
    </w:p>
    <w:p>
      <w:pPr>
        <w:sectPr>
          <w:pgSz w:w="12240" w:h="15840" w:orient="portrait"/>
          <w:cols w:equalWidth="0" w:num="1">
            <w:col w:w="9935"/>
          </w:cols>
          <w:pgMar w:left="1145" w:top="1132" w:right="1160" w:bottom="175" w:gutter="0" w:footer="0" w:header="0"/>
        </w:sectPr>
      </w:pPr>
    </w:p>
    <w:p>
      <w:pPr>
        <w:spacing w:after="0" w:line="33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935"/>
          </w:cols>
          <w:pgMar w:left="1145" w:top="1132" w:right="1160" w:bottom="175" w:gutter="0" w:footer="0" w:header="0"/>
          <w:type w:val="continuous"/>
        </w:sectPr>
      </w:pPr>
    </w:p>
    <w:bookmarkStart w:id="17" w:name="page18"/>
    <w:bookmarkEnd w:id="17"/>
    <w:p>
      <w:pPr>
        <w:jc w:val="both"/>
        <w:ind w:right="660"/>
        <w:spacing w:after="0" w:line="258" w:lineRule="auto"/>
        <w:rPr>
          <w:sz w:val="20"/>
          <w:szCs w:val="20"/>
          <w:color w:val="auto"/>
        </w:rPr>
      </w:pPr>
      <w:r>
        <w:rPr>
          <w:rFonts w:ascii="Times New Roman" w:cs="Times New Roman" w:eastAsia="Times New Roman" w:hAnsi="Times New Roman"/>
          <w:sz w:val="20"/>
          <w:szCs w:val="20"/>
          <w:color w:val="auto"/>
        </w:rPr>
        <w:t>including cell-based assays, microphysiological systems, or bioprinted or computer models. In April 2025, the FDA released a roadmap to replace animal testing in preclinical safety studies with scientifically validated new approach methodologies.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The IND and IRB Processes</w:t>
      </w:r>
    </w:p>
    <w:p>
      <w:pPr>
        <w:spacing w:after="0" w:line="11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sponsors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whether human research patients will be exposed to unreasonable health risks. At any time during this 30-day period, or thereafter, the FDA may raise concerns or questions about the conduct of the trials as outlined in the IND and impose a clinical hold or partial clinical hold. The FDA may also place a hold or partial hold on a clinical study based on CMC issues involving the investigational product. In either case, the IND sponsor and the FDA must resolve any outstanding concerns before clinical trials can begin.</w:t>
      </w:r>
    </w:p>
    <w:p>
      <w:pPr>
        <w:spacing w:after="0" w:line="81" w:lineRule="exact"/>
        <w:rPr>
          <w:sz w:val="20"/>
          <w:szCs w:val="20"/>
          <w:color w:val="auto"/>
        </w:rPr>
      </w:pPr>
    </w:p>
    <w:p>
      <w:pPr>
        <w:ind w:right="40" w:firstLine="490"/>
        <w:spacing w:after="0" w:line="234" w:lineRule="auto"/>
        <w:rPr>
          <w:sz w:val="20"/>
          <w:szCs w:val="20"/>
          <w:color w:val="auto"/>
        </w:rPr>
      </w:pPr>
      <w:r>
        <w:rPr>
          <w:rFonts w:ascii="Times New Roman" w:cs="Times New Roman" w:eastAsia="Times New Roman" w:hAnsi="Times New Roman"/>
          <w:sz w:val="20"/>
          <w:szCs w:val="20"/>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w:t>
      </w:r>
    </w:p>
    <w:p>
      <w:pPr>
        <w:spacing w:after="0" w:line="82"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auto"/>
        </w:rPr>
        <w:t>Once an IND application takes effect, the sponsor of the IND may amend the application as needed to ensure that the clinical investigations are conducted according to protocols included in the IND. The FDA has indicated that sponsors are expected to submit amendments for new protocols or changes to existing protocols before implementation of the respective changes. New studies may begin, however, when the sponsor has submitted the change to the FDA for its review and the new protocol or changes to the existing protocol have been approved by the IRB with the responsibility for review and approval of the studies. 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which must operate in compliance with FDA regulations, must review and approve, among other things, the study protocol and informed consent information to be provided to study patients.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86" w:lineRule="exact"/>
        <w:rPr>
          <w:sz w:val="20"/>
          <w:szCs w:val="20"/>
          <w:color w:val="auto"/>
        </w:rPr>
      </w:pPr>
    </w:p>
    <w:p>
      <w:pPr>
        <w:ind w:right="60" w:firstLine="490"/>
        <w:spacing w:after="0" w:line="237" w:lineRule="auto"/>
        <w:rPr>
          <w:sz w:val="20"/>
          <w:szCs w:val="20"/>
          <w:color w:val="auto"/>
        </w:rPr>
      </w:pPr>
      <w:r>
        <w:rPr>
          <w:rFonts w:ascii="Times New Roman" w:cs="Times New Roman" w:eastAsia="Times New Roman" w:hAnsi="Times New Roman"/>
          <w:sz w:val="20"/>
          <w:szCs w:val="20"/>
          <w:color w:val="auto"/>
        </w:rPr>
        <w:t>Additionally, some trials are overseen by an independent group of qualified experts organized by the trial sponsor, known as a data monitoring committee, or DMC. This group provides authorization as to whether or not a trial may move forward at designated checkpoints based on review of available data from the study, to which only the DMC maintains access. Suspension or termination of development during any phase of a clinical trial can occur if the DMC determines that the participants or patients are being exposed to an unacceptable health risk. Other reasons for suspension or termination may be made by us based on evolving business objectives and/or competitive climate.</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Expanded Access to an Investigational Drug for Treatment Use</w:t>
      </w:r>
    </w:p>
    <w:p>
      <w:pPr>
        <w:spacing w:after="0" w:line="106" w:lineRule="exact"/>
        <w:rPr>
          <w:sz w:val="20"/>
          <w:szCs w:val="20"/>
          <w:color w:val="auto"/>
        </w:rPr>
      </w:pPr>
    </w:p>
    <w:p>
      <w:pPr>
        <w:ind w:right="120" w:firstLine="490"/>
        <w:spacing w:after="0" w:line="235" w:lineRule="auto"/>
        <w:rPr>
          <w:sz w:val="20"/>
          <w:szCs w:val="20"/>
          <w:color w:val="auto"/>
        </w:rPr>
      </w:pPr>
      <w:r>
        <w:rPr>
          <w:rFonts w:ascii="Times New Roman" w:cs="Times New Roman" w:eastAsia="Times New Roman" w:hAnsi="Times New Roman"/>
          <w:sz w:val="20"/>
          <w:szCs w:val="20"/>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8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w:t>
      </w:r>
    </w:p>
    <w:p>
      <w:pPr>
        <w:sectPr>
          <w:pgSz w:w="12240" w:h="15840" w:orient="portrait"/>
          <w:cols w:equalWidth="0" w:num="1">
            <w:col w:w="9920"/>
          </w:cols>
          <w:pgMar w:left="1160" w:top="1132" w:right="1160" w:bottom="175"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920"/>
          </w:cols>
          <w:pgMar w:left="1160" w:top="1132" w:right="1160" w:bottom="175" w:gutter="0" w:footer="0" w:header="0"/>
          <w:type w:val="continuous"/>
        </w:sectPr>
      </w:pPr>
    </w:p>
    <w:bookmarkStart w:id="18" w:name="page19"/>
    <w:bookmarkEnd w:id="18"/>
    <w:p>
      <w:pPr>
        <w:ind w:right="20"/>
        <w:spacing w:after="0" w:line="242" w:lineRule="auto"/>
        <w:rPr>
          <w:sz w:val="20"/>
          <w:szCs w:val="20"/>
          <w:color w:val="auto"/>
        </w:rPr>
      </w:pPr>
      <w:r>
        <w:rPr>
          <w:rFonts w:ascii="Times New Roman" w:cs="Times New Roman" w:eastAsia="Times New Roman" w:hAnsi="Times New Roman"/>
          <w:sz w:val="20"/>
          <w:szCs w:val="20"/>
          <w:color w:val="auto"/>
        </w:rPr>
        <w:t>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74" w:lineRule="exact"/>
        <w:rPr>
          <w:sz w:val="20"/>
          <w:szCs w:val="20"/>
          <w:color w:val="auto"/>
        </w:rPr>
      </w:pPr>
    </w:p>
    <w:p>
      <w:pPr>
        <w:ind w:right="40" w:firstLine="490"/>
        <w:spacing w:after="0" w:line="239" w:lineRule="auto"/>
        <w:rPr>
          <w:sz w:val="20"/>
          <w:szCs w:val="20"/>
          <w:color w:val="auto"/>
        </w:rPr>
      </w:pPr>
      <w:r>
        <w:rPr>
          <w:rFonts w:ascii="Times New Roman" w:cs="Times New Roman" w:eastAsia="Times New Roman" w:hAnsi="Times New Roman"/>
          <w:sz w:val="20"/>
          <w:szCs w:val="20"/>
          <w:color w:val="auto"/>
        </w:rPr>
        <w:t>There is no obligation for a sponsor to make its drug products available for expanded access; however, as required by the 21st Century Cures Act, or Cures Act, passed in 2016, if a sponsor has a policy regarding how it responds to expanded access requests, it must make that policy publicly available. Sponsors are required to make such policies publicly available upon the earlier of initiation of a Phase 2 or Phase 3 study; or 15 days after the investigational drug receives designation as a breakthrough therapy, fast-track product, or regenerative medicine advanced therapy.</w:t>
      </w:r>
    </w:p>
    <w:p>
      <w:pPr>
        <w:spacing w:after="0" w:line="77" w:lineRule="exact"/>
        <w:rPr>
          <w:sz w:val="20"/>
          <w:szCs w:val="20"/>
          <w:color w:val="auto"/>
        </w:rPr>
      </w:pPr>
    </w:p>
    <w:p>
      <w:pPr>
        <w:ind w:right="180" w:firstLine="490"/>
        <w:spacing w:after="0" w:line="236" w:lineRule="auto"/>
        <w:rPr>
          <w:sz w:val="20"/>
          <w:szCs w:val="20"/>
          <w:color w:val="auto"/>
        </w:rPr>
      </w:pPr>
      <w:r>
        <w:rPr>
          <w:rFonts w:ascii="Times New Roman" w:cs="Times New Roman" w:eastAsia="Times New Roman" w:hAnsi="Times New Roman"/>
          <w:sz w:val="20"/>
          <w:szCs w:val="20"/>
          <w:color w:val="auto"/>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Human Clinical Trials in Support of an NDA</w:t>
      </w:r>
    </w:p>
    <w:p>
      <w:pPr>
        <w:spacing w:after="0" w:line="106" w:lineRule="exact"/>
        <w:rPr>
          <w:sz w:val="20"/>
          <w:szCs w:val="20"/>
          <w:color w:val="auto"/>
        </w:rPr>
      </w:pPr>
    </w:p>
    <w:p>
      <w:pPr>
        <w:ind w:right="100" w:firstLine="490"/>
        <w:spacing w:after="0" w:line="237"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candidate to human patients under the supervision of a qualified investigator in accordance with cGCP requirements which include, among other things, the requirement that all research patients provide their informed consent in writing before they participate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Human clinical trials are typically conducted in three sequential phases, but the phases may overlap or be combined.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studies may also be required after approval.</w:t>
      </w:r>
    </w:p>
    <w:p>
      <w:pPr>
        <w:spacing w:after="0" w:line="90" w:lineRule="exact"/>
        <w:rPr>
          <w:sz w:val="20"/>
          <w:szCs w:val="20"/>
          <w:color w:val="auto"/>
        </w:rPr>
      </w:pPr>
    </w:p>
    <w:p>
      <w:pPr>
        <w:ind w:firstLine="490"/>
        <w:spacing w:after="0" w:line="252" w:lineRule="auto"/>
        <w:rPr>
          <w:sz w:val="20"/>
          <w:szCs w:val="20"/>
          <w:color w:val="auto"/>
        </w:rPr>
      </w:pPr>
      <w:r>
        <w:rPr>
          <w:rFonts w:ascii="Times New Roman" w:cs="Times New Roman" w:eastAsia="Times New Roman" w:hAnsi="Times New Roman"/>
          <w:sz w:val="20"/>
          <w:szCs w:val="20"/>
          <w:i w:val="1"/>
          <w:iCs w:val="1"/>
          <w:color w:val="auto"/>
        </w:rPr>
        <w:t xml:space="preserve">Phase 1 </w:t>
      </w:r>
      <w:r>
        <w:rPr>
          <w:rFonts w:ascii="Times New Roman" w:cs="Times New Roman" w:eastAsia="Times New Roman" w:hAnsi="Times New Roman"/>
          <w:sz w:val="20"/>
          <w:szCs w:val="20"/>
          <w:color w:val="auto"/>
        </w:rPr>
        <w:t>clinical trials are initially conducted in a limited population to test the product candidate for safety, including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adverse effects, dose tolerance, absorption, metabolism, distribution, excretion and pharmacodynamics in healthy humans or in patients. During Phase 1 clinical trials, information about the product candidate’s PK and pharmacological effects may be obtained to permit the design of well-controlled and scientifically valid Phase 2 clinical trials.</w:t>
      </w:r>
    </w:p>
    <w:p>
      <w:pPr>
        <w:spacing w:after="0" w:line="74" w:lineRule="exact"/>
        <w:rPr>
          <w:sz w:val="20"/>
          <w:szCs w:val="20"/>
          <w:color w:val="auto"/>
        </w:rPr>
      </w:pPr>
    </w:p>
    <w:p>
      <w:pPr>
        <w:ind w:right="120" w:firstLine="49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Phase 2 </w:t>
      </w:r>
      <w:r>
        <w:rPr>
          <w:rFonts w:ascii="Times New Roman" w:cs="Times New Roman" w:eastAsia="Times New Roman" w:hAnsi="Times New Roman"/>
          <w:sz w:val="19"/>
          <w:szCs w:val="19"/>
          <w:color w:val="auto"/>
        </w:rPr>
        <w:t>clinical trials are generally conducted in a limited patient population to identify possible adverse effects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well-controlled and closely monitored.</w:t>
      </w:r>
    </w:p>
    <w:p>
      <w:pPr>
        <w:spacing w:after="0" w:line="57"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Phase 3 </w:t>
      </w:r>
      <w:r>
        <w:rPr>
          <w:rFonts w:ascii="Times New Roman" w:cs="Times New Roman" w:eastAsia="Times New Roman" w:hAnsi="Times New Roman"/>
          <w:sz w:val="20"/>
          <w:szCs w:val="20"/>
          <w:color w:val="auto"/>
        </w:rPr>
        <w:t>clinical trials proceed if the Phase 2 clinical trials demonstrate that a dose range of the product candidate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clinical trials are referred to as “pivotal” trials.</w:t>
      </w:r>
    </w:p>
    <w:p>
      <w:pPr>
        <w:spacing w:after="0" w:line="72" w:lineRule="exact"/>
        <w:rPr>
          <w:sz w:val="20"/>
          <w:szCs w:val="20"/>
          <w:color w:val="auto"/>
        </w:rPr>
      </w:pPr>
    </w:p>
    <w:p>
      <w:pPr>
        <w:ind w:right="80" w:firstLine="490"/>
        <w:spacing w:after="0" w:line="237" w:lineRule="auto"/>
        <w:rPr>
          <w:sz w:val="20"/>
          <w:szCs w:val="20"/>
          <w:color w:val="auto"/>
        </w:rPr>
      </w:pPr>
      <w:r>
        <w:rPr>
          <w:rFonts w:ascii="Times New Roman" w:cs="Times New Roman" w:eastAsia="Times New Roman" w:hAnsi="Times New Roman"/>
          <w:sz w:val="20"/>
          <w:szCs w:val="20"/>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Generally, pivotal trials are Phase 3 trials, but they may be Phase 2 trials if the design provides a well-controlled and reliable assessment of clinical benefit, particularly in an area of unmet medical need.</w:t>
      </w:r>
    </w:p>
    <w:p>
      <w:pPr>
        <w:spacing w:after="0" w:line="80" w:lineRule="exact"/>
        <w:rPr>
          <w:sz w:val="20"/>
          <w:szCs w:val="20"/>
          <w:color w:val="auto"/>
        </w:rPr>
      </w:pPr>
    </w:p>
    <w:p>
      <w:pPr>
        <w:ind w:right="60" w:firstLine="490"/>
        <w:spacing w:after="0" w:line="237" w:lineRule="auto"/>
        <w:rPr>
          <w:sz w:val="20"/>
          <w:szCs w:val="20"/>
          <w:color w:val="auto"/>
        </w:rPr>
      </w:pPr>
      <w:r>
        <w:rPr>
          <w:rFonts w:ascii="Times New Roman" w:cs="Times New Roman" w:eastAsia="Times New Roman" w:hAnsi="Times New Roman"/>
          <w:sz w:val="20"/>
          <w:szCs w:val="20"/>
          <w:color w:val="auto"/>
        </w:rPr>
        <w:t>In September 2025, the FDA issued final guidance with updated recommendations for cGCPs aimed at modernizing the design and conduct of clinical trials. The updates are intended to help pave the way for more efficient clinical trials to facilitate the development of medical products. The final guidance is adopted from the International Council for Harmonisation’s recently updated E6(R3) final guideline that was developed to enable the incorporation of rapidly developing technological and methodological innovations into the clinical trial enterprise. In addition, the FDA issued final guidance outlining recommendations for the implementation of decentralized clinical trials.</w:t>
      </w:r>
    </w:p>
    <w:p>
      <w:pPr>
        <w:spacing w:after="0" w:line="78" w:lineRule="exact"/>
        <w:rPr>
          <w:sz w:val="20"/>
          <w:szCs w:val="20"/>
          <w:color w:val="auto"/>
        </w:rPr>
      </w:pPr>
    </w:p>
    <w:p>
      <w:pPr>
        <w:ind w:right="380" w:firstLine="490"/>
        <w:spacing w:after="0" w:line="292" w:lineRule="auto"/>
        <w:rPr>
          <w:sz w:val="20"/>
          <w:szCs w:val="20"/>
          <w:color w:val="auto"/>
        </w:rPr>
      </w:pPr>
      <w:r>
        <w:rPr>
          <w:rFonts w:ascii="Times New Roman" w:cs="Times New Roman" w:eastAsia="Times New Roman" w:hAnsi="Times New Roman"/>
          <w:sz w:val="19"/>
          <w:szCs w:val="19"/>
          <w:color w:val="auto"/>
        </w:rPr>
        <w:t>In October 2025, the FDA issued final guidance that focuses on patient-focused drug development. The guidance outlines how stakeholders, such as patients, caregivers, researchers and medical product developers, can submit patient</w:t>
      </w:r>
    </w:p>
    <w:p>
      <w:pPr>
        <w:sectPr>
          <w:pgSz w:w="12240" w:h="15840" w:orient="portrait"/>
          <w:cols w:equalWidth="0" w:num="1">
            <w:col w:w="9920"/>
          </w:cols>
          <w:pgMar w:left="1160" w:top="1124" w:right="1160" w:bottom="175"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20"/>
          </w:cols>
          <w:pgMar w:left="1160" w:top="1124" w:right="1160" w:bottom="175" w:gutter="0" w:footer="0" w:header="0"/>
          <w:type w:val="continuous"/>
        </w:sectPr>
      </w:pPr>
    </w:p>
    <w:bookmarkStart w:id="19" w:name="page20"/>
    <w:bookmarkEnd w:id="19"/>
    <w:p>
      <w:pPr>
        <w:ind w:right="80"/>
        <w:spacing w:after="0" w:line="246" w:lineRule="auto"/>
        <w:rPr>
          <w:sz w:val="20"/>
          <w:szCs w:val="20"/>
          <w:color w:val="auto"/>
        </w:rPr>
      </w:pPr>
      <w:r>
        <w:rPr>
          <w:rFonts w:ascii="Times New Roman" w:cs="Times New Roman" w:eastAsia="Times New Roman" w:hAnsi="Times New Roman"/>
          <w:sz w:val="20"/>
          <w:szCs w:val="20"/>
          <w:color w:val="auto"/>
        </w:rPr>
        <w:t>experience data in support of the development and approval of drug products. To that end, the guidance provides an overview of clinical outcome assessments, or COAs, in clinical trials, and the role that COAs may play in in evaluating the clinical benefit of a medical product.</w:t>
      </w:r>
    </w:p>
    <w:p>
      <w:pPr>
        <w:spacing w:after="0" w:line="68" w:lineRule="exact"/>
        <w:rPr>
          <w:sz w:val="20"/>
          <w:szCs w:val="20"/>
          <w:color w:val="auto"/>
        </w:rPr>
      </w:pPr>
    </w:p>
    <w:p>
      <w:pPr>
        <w:ind w:right="40" w:firstLine="490"/>
        <w:spacing w:after="0" w:line="232" w:lineRule="auto"/>
        <w:rPr>
          <w:sz w:val="20"/>
          <w:szCs w:val="20"/>
          <w:color w:val="auto"/>
        </w:rPr>
      </w:pPr>
      <w:r>
        <w:rPr>
          <w:rFonts w:ascii="Times New Roman" w:cs="Times New Roman" w:eastAsia="Times New Roman" w:hAnsi="Times New Roman"/>
          <w:sz w:val="20"/>
          <w:szCs w:val="20"/>
          <w:color w:val="auto"/>
        </w:rPr>
        <w:t>In February 2026, the Commissioner of the FDA and the Director of Center for Biologics Evaluation and Research published an editorial in the New England Journal of Medicine in which they declared that, in most cases, the new default requirement for FDA approval of a new product will be one adequate and well-controlled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At this point, it is unclear how this new policy will be implemented by the FDA. Based on the guidance from the FDA at our End-of-Phase 2 meeting, we plan to conduct two pivotal Phase 3 clinical trials for IPF-related chronic cough but it is not clear how the FDA’s new policy will apply to any other indication for which we develop Haduvio and how, if at all, it will affect our clinical development programs.</w:t>
      </w:r>
    </w:p>
    <w:p>
      <w:pPr>
        <w:spacing w:after="0" w:line="83" w:lineRule="exact"/>
        <w:rPr>
          <w:sz w:val="20"/>
          <w:szCs w:val="20"/>
          <w:color w:val="auto"/>
        </w:rPr>
      </w:pPr>
    </w:p>
    <w:p>
      <w:pPr>
        <w:ind w:right="200" w:firstLine="490"/>
        <w:spacing w:after="0" w:line="237" w:lineRule="auto"/>
        <w:rPr>
          <w:sz w:val="20"/>
          <w:szCs w:val="20"/>
          <w:color w:val="auto"/>
        </w:rPr>
      </w:pPr>
      <w:r>
        <w:rPr>
          <w:rFonts w:ascii="Times New Roman" w:cs="Times New Roman" w:eastAsia="Times New Roman" w:hAnsi="Times New Roman"/>
          <w:sz w:val="20"/>
          <w:szCs w:val="20"/>
          <w:color w:val="auto"/>
        </w:rPr>
        <w:t>In some cases, the FDA may approve an NDA for a product candidate but require the sponsor to conduct additional clinical trials to further assess the product candidate’s safety and effectiveness after approval. Such trials are typically referred to as post-approval or post-marketing clinical trials. These trials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FDA approval for products.</w:t>
      </w:r>
    </w:p>
    <w:p>
      <w:pPr>
        <w:spacing w:after="0" w:line="80" w:lineRule="exact"/>
        <w:rPr>
          <w:sz w:val="20"/>
          <w:szCs w:val="20"/>
          <w:color w:val="auto"/>
        </w:rPr>
      </w:pPr>
    </w:p>
    <w:p>
      <w:pPr>
        <w:ind w:right="220" w:firstLine="490"/>
        <w:spacing w:after="0" w:line="236" w:lineRule="auto"/>
        <w:rPr>
          <w:sz w:val="20"/>
          <w:szCs w:val="20"/>
          <w:color w:val="auto"/>
        </w:rPr>
      </w:pPr>
      <w:r>
        <w:rPr>
          <w:rFonts w:ascii="Times New Roman" w:cs="Times New Roman" w:eastAsia="Times New Roman" w:hAnsi="Times New Roman"/>
          <w:sz w:val="20"/>
          <w:szCs w:val="20"/>
          <w:color w:val="auto"/>
        </w:rPr>
        <w:t xml:space="preserve">A development and safety update report, or DSUR, detailing the results of clinical trials must be submitted at least annually to the FDA.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cGCP and the integrity of the clinical data submitted.</w:t>
      </w:r>
    </w:p>
    <w:p>
      <w:pPr>
        <w:spacing w:after="0" w:line="80" w:lineRule="exact"/>
        <w:rPr>
          <w:sz w:val="20"/>
          <w:szCs w:val="20"/>
          <w:color w:val="auto"/>
        </w:rPr>
      </w:pPr>
    </w:p>
    <w:p>
      <w:pPr>
        <w:ind w:firstLine="490"/>
        <w:spacing w:after="0" w:line="234" w:lineRule="auto"/>
        <w:rPr>
          <w:sz w:val="20"/>
          <w:szCs w:val="20"/>
          <w:color w:val="auto"/>
        </w:rPr>
      </w:pPr>
      <w:r>
        <w:rPr>
          <w:rFonts w:ascii="Times New Roman" w:cs="Times New Roman" w:eastAsia="Times New Roman" w:hAnsi="Times New Roman"/>
          <w:sz w:val="20"/>
          <w:szCs w:val="20"/>
          <w:color w:val="auto"/>
        </w:rPr>
        <w:t>Finally, 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The FDA has historically not enforced these reporting requirements due to the long delay of the Department of Health and Human Services, or HHS, in issuing final implementing regulations. With those regulations now in place, the FDA has issued, as of January 31, 2026, eight notices of non-compliance, thereby signaling the government’s willingness to begin enforcing these requirements against non-compliant clinical trial sponsors. While these notices of non-compliance did not result in civil monetary penalties, the failure to submit clinical trial information to clinicaltrials.gov is a prohibited act under the FDCA with violations subject to potential civil monetary penalties of up to $10,000 for each day the violation continues. Violations may also result in injunctions and/or criminal prosecution or disqualification from federal grants.</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Clinical Studies Outside the United States in Support of FDA Approval</w:t>
      </w:r>
    </w:p>
    <w:p>
      <w:pPr>
        <w:spacing w:after="0" w:line="11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connection with our clinical development program, we may conduct trials at sites outside the United States.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cGCP, including undergoing review and receiving approval by an independent ethics committee and seeking and receiving informed consent from subjects. cGCP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82"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cGCP regulations; and (iii) the data may be considered valid without the need for an on-site inspection by the FDA, or, if the FDA considers such inspection to be necessary, the FDA is able to validate the data through an on-site inspection or other appropriate means.</w:t>
      </w:r>
    </w:p>
    <w:p>
      <w:pPr>
        <w:sectPr>
          <w:pgSz w:w="12240" w:h="15840" w:orient="portrait"/>
          <w:cols w:equalWidth="0" w:num="1">
            <w:col w:w="9920"/>
          </w:cols>
          <w:pgMar w:left="1160" w:top="1123" w:right="1160" w:bottom="175"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20"/>
          </w:cols>
          <w:pgMar w:left="1160" w:top="1123" w:right="1160" w:bottom="175" w:gutter="0" w:footer="0" w:header="0"/>
          <w:type w:val="continuous"/>
        </w:sectPr>
      </w:pPr>
    </w:p>
    <w:bookmarkStart w:id="20" w:name="page21"/>
    <w:bookmarkEnd w:id="20"/>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cGCP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Interactions with the FDA During the Clinical Development Program</w:t>
      </w:r>
    </w:p>
    <w:p>
      <w:pPr>
        <w:spacing w:after="0" w:line="11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Following the clearance of an IND and the commencement of clinical trials, a sponsor is given the opportunity to meet with the FDA at certain points in the clinical development program.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an End-of-Phase 2 meeting, or EOP2 meeting. A Type C meeting is any meeting other than a Type A or Type B meeting regarding the development and review of a product. A Type D meeting is focused on a narrow set of issues and should not require input from more than three disciplines or divisions. Finally, INTERACT meetings are intended for novel products and development programs that present unique challenges in the early development of an investigational product.</w:t>
      </w:r>
    </w:p>
    <w:p>
      <w:pPr>
        <w:spacing w:after="0" w:line="8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At the conclusion of these meetings, the FDA will typically provide its responses to questions posed by the sponsor regarding the clinical development program. The FDA will not indicate whether an NDA will be approved, but it will provide guidance to the sponsor on various questions, including whether an application should be submitted in the first place on the basis of the studies and data proposed by the sponsor. The FDA may also generally express support for the sponsor’s approach in the clinical development program but indicate that questions concerning whether the data support approval will be subject to review by the agency following its acceptance for filing of the NDA.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Pediatric Studies</w:t>
      </w:r>
    </w:p>
    <w:p>
      <w:pPr>
        <w:spacing w:after="0" w:line="11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Under the Pediatric Research Equity Act of 2003,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agreed plan, which may include a request for deferral or waiver of PREA requirements, is a requirement for submission of an NDA. The FDA or the sponsor may request an amendment to the plan at any time.</w:t>
      </w:r>
    </w:p>
    <w:p>
      <w:pPr>
        <w:spacing w:after="0" w:line="86"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days after the FDA’s receipt of the study plan.</w:t>
      </w:r>
    </w:p>
    <w:p>
      <w:pPr>
        <w:spacing w:after="0" w:line="77"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The FDA is required to send a PREA Non-Compliance letter to sponsors who have failed to submit their pediatric assessments required under PREA, and have failed to seek or obtain a deferral or deferral extension. Unless otherwise required by regulation, the pediatric data requirements generally do not apply to products with orphan designation, although FDA has taken steps to limit what it considers abuse of this statutory exemption in PREA. The FDA also maintains a list of diseases that are exempt from PREA requirements due to low prevalence of disease in the pediatric population. In May 2023, the FDA issued new draft guidance that further describes the pediatric study requirements under PREA.</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Submission and Review of an NDA</w:t>
      </w:r>
    </w:p>
    <w:p>
      <w:pPr>
        <w:spacing w:after="0" w:line="118" w:lineRule="exact"/>
        <w:rPr>
          <w:sz w:val="20"/>
          <w:szCs w:val="20"/>
          <w:color w:val="auto"/>
        </w:rPr>
      </w:pPr>
    </w:p>
    <w:p>
      <w:pPr>
        <w:ind w:right="300" w:firstLine="490"/>
        <w:spacing w:after="0" w:line="305" w:lineRule="auto"/>
        <w:rPr>
          <w:sz w:val="20"/>
          <w:szCs w:val="20"/>
          <w:color w:val="auto"/>
        </w:rPr>
      </w:pPr>
      <w:r>
        <w:rPr>
          <w:rFonts w:ascii="Times New Roman" w:cs="Times New Roman" w:eastAsia="Times New Roman" w:hAnsi="Times New Roman"/>
          <w:sz w:val="19"/>
          <w:szCs w:val="19"/>
          <w:color w:val="auto"/>
        </w:rPr>
        <w:t>In order to obtain approval to market a drug product in the U.S., a marketing application must be submitted to the FDA that provides sufficient data establishing the safety and efficacy of the drug product for its intended indication. The</w:t>
      </w:r>
    </w:p>
    <w:p>
      <w:pPr>
        <w:sectPr>
          <w:pgSz w:w="12240" w:h="15840" w:orient="portrait"/>
          <w:cols w:equalWidth="0" w:num="1">
            <w:col w:w="9940"/>
          </w:cols>
          <w:pgMar w:left="1160" w:top="1132" w:right="1140" w:bottom="175" w:gutter="0" w:footer="0" w:header="0"/>
        </w:sect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940"/>
          </w:cols>
          <w:pgMar w:left="1160" w:top="1132" w:right="1140" w:bottom="175" w:gutter="0" w:footer="0" w:header="0"/>
          <w:type w:val="continuous"/>
        </w:sectPr>
      </w:pPr>
    </w:p>
    <w:bookmarkStart w:id="21" w:name="page22"/>
    <w:bookmarkEnd w:id="21"/>
    <w:p>
      <w:pPr>
        <w:ind w:right="80"/>
        <w:spacing w:after="0" w:line="246" w:lineRule="auto"/>
        <w:rPr>
          <w:sz w:val="20"/>
          <w:szCs w:val="20"/>
          <w:color w:val="auto"/>
        </w:rPr>
      </w:pPr>
      <w:r>
        <w:rPr>
          <w:rFonts w:ascii="Times New Roman" w:cs="Times New Roman" w:eastAsia="Times New Roman" w:hAnsi="Times New Roman"/>
          <w:sz w:val="20"/>
          <w:szCs w:val="20"/>
          <w:color w:val="auto"/>
        </w:rPr>
        <w:t>application must include all relevant data available from pertinent preclinical and clinical trials, including negative or ambiguous results as well as positive findings, together with detailed information relating to the product candidate’s chemistry, manufacturing, controls and proposed labeling, among other things. Data can come from company-sponsored clinical trials intended to test the safety and effectiveness of the use of a product candidate,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80"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NDA is a vehicle through which sponsors formally propose that the FDA approve a new product for marketing and sale in the U.S. for one or more indications. Every new drug product candidate must be the subject of an approved NDA before it may be commercialized in the U.S. Under federal law, the submission of most NDAs is subject to an application user fee, which for federal fiscal year 2026 is $4,682,003 for an application requiring clinical data. The sponsor of an approved NDA is also subject to an annual program fee, which for federal fiscal year 2026 is $442,213. Certain exceptions and waivers are available for some of these fees, such as a waiver for certain small businesses.</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Following submission of an NDA, the FDA conducts a preliminary review of the application within 60 days of receipt and must inform the sponsor at that time or before whether an application is sufficiently complete to permit substantive review. In the event that FDA determines that an application does not satisfy this standard, it will issue a Refuse to File, or RTF, determination to the sponsor. The FDA may request additional information rather than accept the application for filing. In this event, the application must be resubmitted with the requested additional information. The resubmitted application is also subject to review before the FDA accepts it for filing.</w:t>
      </w:r>
    </w:p>
    <w:p>
      <w:pPr>
        <w:spacing w:after="0" w:line="80"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Once the submission is accepted for filing, the FDA begins an in-depth substantive review. The FDA reviews the application to determine, among other things, whether the proposed product is safe and effective for its intended use, whether it has an acceptable purity profile and whether the product is being manufactured in accordance with cGMP. The FDA has agreed to specified performance goals in the review process of NDAs. Under that agreement, 90% of applications seeking approval of New Molecular Entities, or NMEs, are meant to be reviewed within 10 months from the date on which the FDA accepts the application for filing, and 90% of applications for NMEs that have been designated for “priority review” are meant to be reviewed within six months of the filing date.</w:t>
      </w:r>
    </w:p>
    <w:p>
      <w:pPr>
        <w:spacing w:after="0" w:line="80" w:lineRule="exact"/>
        <w:rPr>
          <w:sz w:val="20"/>
          <w:szCs w:val="20"/>
          <w:color w:val="auto"/>
        </w:rPr>
      </w:pPr>
    </w:p>
    <w:p>
      <w:pPr>
        <w:ind w:right="40" w:firstLine="720"/>
        <w:spacing w:after="0" w:line="249" w:lineRule="auto"/>
        <w:rPr>
          <w:sz w:val="20"/>
          <w:szCs w:val="20"/>
          <w:color w:val="auto"/>
        </w:rPr>
      </w:pPr>
      <w:r>
        <w:rPr>
          <w:rFonts w:ascii="Times New Roman" w:cs="Times New Roman" w:eastAsia="Times New Roman" w:hAnsi="Times New Roman"/>
          <w:sz w:val="20"/>
          <w:szCs w:val="20"/>
          <w:color w:val="auto"/>
        </w:rPr>
        <w:t>The FDA seeks to meet these timelines for review of an application but its ability to do so may be affected by a variety of factors, including government budget and funding levels, the ability to hire and retain key personnel and statutory, regulatory and policy changes. Average review times at the agency have fluctuated in recent years as a result. For example, during the past decade, the U.S. government has shut down several times and certain regulatory agencies, including the FDA, have had to furlough critical employees and stop critical activities, including the review of NDAs.</w:t>
      </w:r>
    </w:p>
    <w:p>
      <w:pPr>
        <w:spacing w:after="0" w:line="7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In connection with its review of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7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Moreover, the FDA will review a sponsor’s financial relationship with the principal investigators who conducted the clinical trials in support of the NDA. That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and efficacy of the investigational product.</w:t>
      </w:r>
    </w:p>
    <w:p>
      <w:pPr>
        <w:spacing w:after="0" w:line="8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Additionally, before approving an NDA, the FDA will typically inspect one or more clinical sites to assure compliance with cGCP and the integrity of the data submitted in support of the application. In 2022,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77"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In addition, as a condition of approval, the FDA may require a sponsor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an NME.</w:t>
      </w:r>
    </w:p>
    <w:p>
      <w:pPr>
        <w:sectPr>
          <w:pgSz w:w="12240" w:h="15840" w:orient="portrait"/>
          <w:cols w:equalWidth="0" w:num="1">
            <w:col w:w="9920"/>
          </w:cols>
          <w:pgMar w:left="1160" w:top="1132" w:right="1160" w:bottom="175" w:gutter="0" w:footer="0" w:header="0"/>
        </w:sect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920"/>
          </w:cols>
          <w:pgMar w:left="1160" w:top="1132" w:right="1160" w:bottom="175" w:gutter="0" w:footer="0" w:header="0"/>
          <w:type w:val="continuous"/>
        </w:sectPr>
      </w:pPr>
    </w:p>
    <w:bookmarkStart w:id="22" w:name="page23"/>
    <w:bookmarkEnd w:id="22"/>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The FDA may also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Expedited Review Programs</w:t>
      </w:r>
    </w:p>
    <w:p>
      <w:pPr>
        <w:spacing w:after="0" w:line="118" w:lineRule="exact"/>
        <w:rPr>
          <w:sz w:val="20"/>
          <w:szCs w:val="20"/>
          <w:color w:val="auto"/>
        </w:rPr>
      </w:pPr>
    </w:p>
    <w:p>
      <w:pPr>
        <w:jc w:val="both"/>
        <w:ind w:right="340" w:firstLine="490"/>
        <w:spacing w:after="0" w:line="258" w:lineRule="auto"/>
        <w:rPr>
          <w:sz w:val="20"/>
          <w:szCs w:val="20"/>
          <w:color w:val="auto"/>
        </w:rPr>
      </w:pPr>
      <w:r>
        <w:rPr>
          <w:rFonts w:ascii="Times New Roman" w:cs="Times New Roman" w:eastAsia="Times New Roman" w:hAnsi="Times New Roman"/>
          <w:sz w:val="20"/>
          <w:szCs w:val="20"/>
          <w:color w:val="auto"/>
        </w:rPr>
        <w:t>The FDA is authorized to expedite the review of applications in several ways. None of these expedited programs, however, change the standards for approval but each may help expedite the development or approval process governing product candidates.</w:t>
      </w:r>
    </w:p>
    <w:p>
      <w:pPr>
        <w:spacing w:after="0" w:line="6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Fast Track Designation. </w:t>
      </w:r>
      <w:r>
        <w:rPr>
          <w:rFonts w:ascii="Times New Roman" w:cs="Times New Roman" w:eastAsia="Times New Roman" w:hAnsi="Times New Roman"/>
          <w:sz w:val="20"/>
          <w:szCs w:val="20"/>
          <w:color w:val="auto"/>
        </w:rPr>
        <w:t>Candidate products are eligible for Fast Track designation if they are intended to treat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this designation enables a company to petition the FDA to initiate review of sections of an NDA before the application is complete, a process known as rolling review.</w:t>
      </w:r>
    </w:p>
    <w:p>
      <w:pPr>
        <w:spacing w:after="0" w:line="80"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Breakthrough Therapy designation. </w:t>
      </w:r>
      <w:r>
        <w:rPr>
          <w:rFonts w:ascii="Times New Roman" w:cs="Times New Roman" w:eastAsia="Times New Roman" w:hAnsi="Times New Roman"/>
          <w:sz w:val="20"/>
          <w:szCs w:val="20"/>
          <w:color w:val="auto"/>
        </w:rPr>
        <w:t>To qualify for the Breakthrough Therapy program, product candidates must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development program, involvement of senior managers and experienced staff on a proactive, collaborative and cross-disciplinary review and rolling review.</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Priority Review. </w:t>
      </w:r>
      <w:r>
        <w:rPr>
          <w:rFonts w:ascii="Times New Roman" w:cs="Times New Roman" w:eastAsia="Times New Roman" w:hAnsi="Times New Roman"/>
          <w:sz w:val="20"/>
          <w:szCs w:val="20"/>
          <w:color w:val="auto"/>
        </w:rPr>
        <w:t>A product candidate is eligible for Priority Review if it treats a serious condition and, if approved, it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would be a significant improvement in the safety or effectiveness of the treatment, diagnosis or prevention compared to marketed products.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The FDA aims to complete its review of Priority Review applications within six months as opposed to 10 months for standard review.</w:t>
      </w:r>
    </w:p>
    <w:p>
      <w:pPr>
        <w:spacing w:after="0" w:line="8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Regenerative Medicine Advanced Therapy designation. </w:t>
      </w:r>
      <w:r>
        <w:rPr>
          <w:rFonts w:ascii="Times New Roman" w:cs="Times New Roman" w:eastAsia="Times New Roman" w:hAnsi="Times New Roman"/>
          <w:sz w:val="20"/>
          <w:szCs w:val="20"/>
          <w:color w:val="auto"/>
        </w:rPr>
        <w:t>With the passage of the Cures Act in December 2016,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82"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Commissioner’s National Priority Voucher Program. </w:t>
      </w:r>
      <w:r>
        <w:rPr>
          <w:rFonts w:ascii="Times New Roman" w:cs="Times New Roman" w:eastAsia="Times New Roman" w:hAnsi="Times New Roman"/>
          <w:sz w:val="20"/>
          <w:szCs w:val="20"/>
          <w:color w:val="auto"/>
        </w:rPr>
        <w:t>In June 2025, the FDA announced the creation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“Commissioner’s National Priority Voucher, or CNPV, Program. Vouchers issued under this program can reportedly be redeemed by sponsors to shorten the review time of an NDA from approximately 10-12 months to 1-2 months. The FDA has indicated that the new CNPV process will convene experts from the FDA’s offices for a team-based review rather than using the standard review system. Clinical information will be reviewed by a multidisciplinary team of physicians and scientists who will pre-review the submitted information and convene for a 1-day meeting. Vouchers under this program will reportedly be given to companies aligned with U.S. national priorities.</w:t>
      </w:r>
    </w:p>
    <w:p>
      <w:pPr>
        <w:spacing w:after="0" w:line="80"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Rare Disease Evidence Principles. </w:t>
      </w:r>
      <w:r>
        <w:rPr>
          <w:rFonts w:ascii="Times New Roman" w:cs="Times New Roman" w:eastAsia="Times New Roman" w:hAnsi="Times New Roman"/>
          <w:sz w:val="20"/>
          <w:szCs w:val="20"/>
          <w:color w:val="auto"/>
        </w:rPr>
        <w:t>In September 2025, the FDA introduced a framework intended to streamline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approval of new therapies for ultrarare diseases. The Rare Disease Evidence Principles, or RDEP, is intended to allow sponsors to rely on a single-arm trial in support of approval of biologics that treat rare diseases with very small patient populations and where the disease is linked to a known genetic defect and characterized by progressive functional deterioration leading to disability or death in a short period of time. The targeted diseases should also lack adequate alternative therapies.</w:t>
      </w:r>
    </w:p>
    <w:p>
      <w:pPr>
        <w:spacing w:after="0" w:line="80" w:lineRule="exact"/>
        <w:rPr>
          <w:sz w:val="20"/>
          <w:szCs w:val="20"/>
          <w:color w:val="auto"/>
        </w:rPr>
      </w:pPr>
    </w:p>
    <w:p>
      <w:pPr>
        <w:ind w:right="80" w:firstLine="490"/>
        <w:spacing w:after="0" w:line="270" w:lineRule="auto"/>
        <w:rPr>
          <w:sz w:val="20"/>
          <w:szCs w:val="20"/>
          <w:color w:val="auto"/>
        </w:rPr>
      </w:pPr>
      <w:r>
        <w:rPr>
          <w:rFonts w:ascii="Times New Roman" w:cs="Times New Roman" w:eastAsia="Times New Roman" w:hAnsi="Times New Roman"/>
          <w:sz w:val="19"/>
          <w:szCs w:val="19"/>
          <w:i w:val="1"/>
          <w:iCs w:val="1"/>
          <w:color w:val="auto"/>
        </w:rPr>
        <w:t xml:space="preserve">Accelerated approval. </w:t>
      </w:r>
      <w:r>
        <w:rPr>
          <w:rFonts w:ascii="Times New Roman" w:cs="Times New Roman" w:eastAsia="Times New Roman" w:hAnsi="Times New Roman"/>
          <w:sz w:val="19"/>
          <w:szCs w:val="19"/>
          <w:color w:val="auto"/>
        </w:rPr>
        <w:t>In addition to programs that allow for expedited review of applications, the FDA is authorized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approve new products through an accelerated approval pathway. Under this pathway,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w:t>
      </w:r>
    </w:p>
    <w:p>
      <w:pPr>
        <w:sectPr>
          <w:pgSz w:w="12240" w:h="15840" w:orient="portrait"/>
          <w:cols w:equalWidth="0" w:num="1">
            <w:col w:w="9920"/>
          </w:cols>
          <w:pgMar w:left="1160" w:top="1132" w:right="1160" w:bottom="175"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920"/>
          </w:cols>
          <w:pgMar w:left="1160" w:top="1132" w:right="1160" w:bottom="175" w:gutter="0" w:footer="0" w:header="0"/>
          <w:type w:val="continuous"/>
        </w:sectPr>
      </w:pPr>
    </w:p>
    <w:bookmarkStart w:id="23" w:name="page24"/>
    <w:bookmarkEnd w:id="23"/>
    <w:p>
      <w:pPr>
        <w:spacing w:after="0" w:line="249" w:lineRule="auto"/>
        <w:rPr>
          <w:sz w:val="20"/>
          <w:szCs w:val="20"/>
          <w:color w:val="auto"/>
        </w:rPr>
      </w:pPr>
      <w:r>
        <w:rPr>
          <w:rFonts w:ascii="Times New Roman" w:cs="Times New Roman" w:eastAsia="Times New Roman" w:hAnsi="Times New Roman"/>
          <w:sz w:val="20"/>
          <w:szCs w:val="20"/>
          <w:color w:val="auto"/>
        </w:rPr>
        <w:t>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studies or clinical trials. In addition, the FDA currently requires as a condition for accelerated approval pre-approval of all promotional materials.</w:t>
      </w:r>
    </w:p>
    <w:p>
      <w:pPr>
        <w:spacing w:after="0" w:line="77"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In 2022, Congress directed the FDA to require a sponsor to have its confirmatory clinical trial underway before accelerated approval is awarded and to submit progress reports on its post-approval studies to FDA every six months until the study is completed. Moreover, the FDA was authorized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of Food and Drugs, or the Commissioner, or the Commissioner’s designee and a written appeal, among other things.</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The FDA’s Decision on an NDA</w:t>
      </w:r>
    </w:p>
    <w:p>
      <w:pPr>
        <w:spacing w:after="0" w:line="11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On the basis of the FDA’s evaluation of an NDA and accompanying information, including the results of the inspection of the manufacturing facilities, the FDA may issue an approval letter or a complete response letter, or CRL. To reach this determination, the FDA reviews an application to determine, among other things, whether the product is safe and effective for its intended use. The FDA must determine that the investigational product is effective and that its expected benefits outweigh its potential risks to patients. This assessment is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w:t>
      </w:r>
    </w:p>
    <w:p>
      <w:pPr>
        <w:spacing w:after="0" w:line="8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A CRL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If a CRL is issued, the sponsor will have one year to respond to the deficiencies identified by the FDA, at which time the FDA can deem the application withdrawn or, in its discretion, grant the sponsor an additional six month extension to respond. For those seeking to challenge FDA’s CRL decision, the agency has indicated that sponsors may request a formal hearing on the CRL or they may file a request for reconsideration or a request for a formal dispute resolution. While CRLs were previously treated by the FDA as confidential and were only disclosed in action packages for approved products, the agency announced in September 2025 that it will now release CRLs promptly after they are issued to sponsors. Since that announcement, the FDA has posted a number of CRLs on its website.</w:t>
      </w:r>
    </w:p>
    <w:p>
      <w:pPr>
        <w:spacing w:after="0" w:line="86" w:lineRule="exact"/>
        <w:rPr>
          <w:sz w:val="20"/>
          <w:szCs w:val="20"/>
          <w:color w:val="auto"/>
        </w:rPr>
      </w:pPr>
    </w:p>
    <w:p>
      <w:pPr>
        <w:ind w:right="220" w:firstLine="490"/>
        <w:spacing w:after="0" w:line="243" w:lineRule="auto"/>
        <w:rPr>
          <w:sz w:val="20"/>
          <w:szCs w:val="20"/>
          <w:color w:val="auto"/>
        </w:rPr>
      </w:pPr>
      <w:r>
        <w:rPr>
          <w:rFonts w:ascii="Times New Roman" w:cs="Times New Roman" w:eastAsia="Times New Roman" w:hAnsi="Times New Roman"/>
          <w:sz w:val="20"/>
          <w:szCs w:val="20"/>
          <w:color w:val="auto"/>
        </w:rPr>
        <w:t>An approval letter, on the other hand, authorizes commercial marketing of the product with specific prescribing information for specific conditions. The FDA may limit the approved indications for use of the product. The agency may also require testing and surveillance programs to monitor the product after the initiation of commercialization, or impose other conditions, including distribution restrictions or other risk management mechanisms, such as REMS, to help ensure that the benefits of the product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patient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89" w:lineRule="exact"/>
        <w:rPr>
          <w:sz w:val="20"/>
          <w:szCs w:val="20"/>
          <w:color w:val="auto"/>
        </w:rPr>
      </w:pPr>
    </w:p>
    <w:p>
      <w:pPr>
        <w:jc w:val="both"/>
        <w:ind w:right="100" w:firstLine="490"/>
        <w:spacing w:after="0" w:line="249" w:lineRule="auto"/>
        <w:rPr>
          <w:sz w:val="20"/>
          <w:szCs w:val="20"/>
          <w:color w:val="auto"/>
        </w:rPr>
      </w:pPr>
      <w:r>
        <w:rPr>
          <w:rFonts w:ascii="Times New Roman" w:cs="Times New Roman" w:eastAsia="Times New Roman" w:hAnsi="Times New Roman"/>
          <w:sz w:val="20"/>
          <w:szCs w:val="20"/>
          <w:color w:val="auto"/>
        </w:rPr>
        <w:t>In the event that a sponsor wishes to make a change to a product that has been approved under an NDA, the sponsor must submit a supplemental application to the FDA. Such changes may include a revision of the labeling for the approved product, the addition of a new indication, a change in the dosage, strength or formulation of the product, or a modification of the manner in which the drug is manufactured. Under the timelines established pursuant to PDUFA, the standard review time for a non-NME original NDA is generally 10 months from receipt of the application by the FDA.</w:t>
      </w:r>
    </w:p>
    <w:p>
      <w:pPr>
        <w:sectPr>
          <w:pgSz w:w="12240" w:h="15840" w:orient="portrait"/>
          <w:cols w:equalWidth="0" w:num="1">
            <w:col w:w="9920"/>
          </w:cols>
          <w:pgMar w:left="1160" w:top="1132"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20"/>
          </w:cols>
          <w:pgMar w:left="1160" w:top="1132" w:right="1160" w:bottom="175" w:gutter="0" w:footer="0" w:header="0"/>
          <w:type w:val="continuous"/>
        </w:sectPr>
      </w:pPr>
    </w:p>
    <w:bookmarkStart w:id="24" w:name="page25"/>
    <w:bookmarkEnd w:id="24"/>
    <w:p>
      <w:pPr>
        <w:ind w:left="480"/>
        <w:spacing w:after="0"/>
        <w:rPr>
          <w:sz w:val="20"/>
          <w:szCs w:val="20"/>
          <w:color w:val="auto"/>
        </w:rPr>
      </w:pPr>
      <w:r>
        <w:rPr>
          <w:rFonts w:ascii="Times New Roman" w:cs="Times New Roman" w:eastAsia="Times New Roman" w:hAnsi="Times New Roman"/>
          <w:sz w:val="20"/>
          <w:szCs w:val="20"/>
          <w:i w:val="1"/>
          <w:iCs w:val="1"/>
          <w:color w:val="auto"/>
        </w:rPr>
        <w:t>Post-Approval Regulation</w:t>
      </w:r>
    </w:p>
    <w:p>
      <w:pPr>
        <w:spacing w:after="0" w:line="118"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If regulatory approval for marketing of a product or a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spacing w:after="0" w:line="89"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 Finally, the FDA will conduct laboratory research related to the safety, purity, potency and effectiveness of pharmaceutical products.</w:t>
      </w:r>
    </w:p>
    <w:p>
      <w:pPr>
        <w:spacing w:after="0" w:line="8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94" w:lineRule="exact"/>
        <w:rPr>
          <w:sz w:val="20"/>
          <w:szCs w:val="20"/>
          <w:color w:val="auto"/>
        </w:rPr>
      </w:pPr>
    </w:p>
    <w:p>
      <w:pPr>
        <w:ind w:left="840" w:right="480" w:hanging="358"/>
        <w:spacing w:after="0" w:line="276" w:lineRule="auto"/>
        <w:tabs>
          <w:tab w:leader="none" w:pos="8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the product, complete withdrawal of the product from the market or product recalls;</w:t>
      </w:r>
    </w:p>
    <w:p>
      <w:pPr>
        <w:spacing w:after="0" w:line="64" w:lineRule="exact"/>
        <w:rPr>
          <w:rFonts w:ascii="Arial" w:cs="Arial" w:eastAsia="Arial" w:hAnsi="Arial"/>
          <w:sz w:val="20"/>
          <w:szCs w:val="20"/>
          <w:color w:val="auto"/>
        </w:rPr>
      </w:pPr>
    </w:p>
    <w:p>
      <w:pPr>
        <w:ind w:left="840" w:hanging="358"/>
        <w:spacing w:after="0"/>
        <w:tabs>
          <w:tab w:leader="none" w:pos="8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133" w:lineRule="exact"/>
        <w:rPr>
          <w:rFonts w:ascii="Arial" w:cs="Arial" w:eastAsia="Arial" w:hAnsi="Arial"/>
          <w:sz w:val="20"/>
          <w:szCs w:val="20"/>
          <w:color w:val="auto"/>
        </w:rPr>
      </w:pPr>
    </w:p>
    <w:p>
      <w:pPr>
        <w:ind w:left="840" w:right="260" w:hanging="358"/>
        <w:spacing w:after="0" w:line="276" w:lineRule="auto"/>
        <w:tabs>
          <w:tab w:leader="none" w:pos="8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license approvals;</w:t>
      </w:r>
    </w:p>
    <w:p>
      <w:pPr>
        <w:spacing w:after="0" w:line="64" w:lineRule="exact"/>
        <w:rPr>
          <w:rFonts w:ascii="Arial" w:cs="Arial" w:eastAsia="Arial" w:hAnsi="Arial"/>
          <w:sz w:val="20"/>
          <w:szCs w:val="20"/>
          <w:color w:val="auto"/>
        </w:rPr>
      </w:pPr>
    </w:p>
    <w:p>
      <w:pPr>
        <w:ind w:left="840" w:hanging="358"/>
        <w:spacing w:after="0"/>
        <w:tabs>
          <w:tab w:leader="none" w:pos="8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 or</w:t>
      </w:r>
    </w:p>
    <w:p>
      <w:pPr>
        <w:spacing w:after="0" w:line="133" w:lineRule="exact"/>
        <w:rPr>
          <w:rFonts w:ascii="Arial" w:cs="Arial" w:eastAsia="Arial" w:hAnsi="Arial"/>
          <w:sz w:val="20"/>
          <w:szCs w:val="20"/>
          <w:color w:val="auto"/>
        </w:rPr>
      </w:pPr>
    </w:p>
    <w:p>
      <w:pPr>
        <w:ind w:left="840" w:hanging="358"/>
        <w:spacing w:after="0"/>
        <w:tabs>
          <w:tab w:leader="none" w:pos="8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19" w:lineRule="exact"/>
        <w:rPr>
          <w:sz w:val="20"/>
          <w:szCs w:val="20"/>
          <w:color w:val="auto"/>
        </w:rPr>
      </w:pPr>
    </w:p>
    <w:p>
      <w:pPr>
        <w:ind w:right="120" w:firstLine="490"/>
        <w:spacing w:after="0" w:line="261" w:lineRule="auto"/>
        <w:rPr>
          <w:sz w:val="20"/>
          <w:szCs w:val="20"/>
          <w:color w:val="auto"/>
        </w:rPr>
      </w:pPr>
      <w:r>
        <w:rPr>
          <w:rFonts w:ascii="Times New Roman" w:cs="Times New Roman" w:eastAsia="Times New Roman" w:hAnsi="Times New Roman"/>
          <w:sz w:val="19"/>
          <w:szCs w:val="19"/>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September 2021, the FDA published final regulations which describe the types of evidence that the agency will consider in determining the intended use of a drug product.</w:t>
      </w:r>
    </w:p>
    <w:p>
      <w:pPr>
        <w:spacing w:after="0" w:line="6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or PIE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PIE Act explicitly provides protection to sponsors who convey certain information about products in development to payors, including unapproved uses of approved products.</w:t>
      </w:r>
    </w:p>
    <w:p>
      <w:pPr>
        <w:spacing w:after="0" w:line="80" w:lineRule="exact"/>
        <w:rPr>
          <w:sz w:val="20"/>
          <w:szCs w:val="20"/>
          <w:color w:val="auto"/>
        </w:rPr>
      </w:pPr>
    </w:p>
    <w:p>
      <w:pPr>
        <w:ind w:right="260" w:firstLine="490"/>
        <w:spacing w:after="0" w:line="246" w:lineRule="auto"/>
        <w:rPr>
          <w:sz w:val="20"/>
          <w:szCs w:val="20"/>
          <w:color w:val="auto"/>
        </w:rPr>
      </w:pPr>
      <w:r>
        <w:rPr>
          <w:rFonts w:ascii="Times New Roman" w:cs="Times New Roman" w:eastAsia="Times New Roman" w:hAnsi="Times New Roman"/>
          <w:sz w:val="20"/>
          <w:szCs w:val="20"/>
          <w:color w:val="auto"/>
        </w:rPr>
        <w:t>In addition,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ectPr>
          <w:pgSz w:w="12240" w:h="15840" w:orient="portrait"/>
          <w:cols w:equalWidth="0" w:num="1">
            <w:col w:w="9920"/>
          </w:cols>
          <w:pgMar w:left="1160" w:top="1134" w:right="1160" w:bottom="175" w:gutter="0" w:footer="0" w:header="0"/>
        </w:sect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920"/>
          </w:cols>
          <w:pgMar w:left="1160" w:top="1134" w:right="1160" w:bottom="175" w:gutter="0" w:footer="0" w:header="0"/>
          <w:type w:val="continuous"/>
        </w:sectPr>
      </w:pPr>
    </w:p>
    <w:bookmarkStart w:id="25" w:name="page26"/>
    <w:bookmarkEnd w:id="25"/>
    <w:p>
      <w:pPr>
        <w:ind w:right="160" w:firstLine="490"/>
        <w:spacing w:after="0" w:line="246" w:lineRule="auto"/>
        <w:rPr>
          <w:sz w:val="20"/>
          <w:szCs w:val="20"/>
          <w:color w:val="auto"/>
        </w:rPr>
      </w:pPr>
      <w:r>
        <w:rPr>
          <w:rFonts w:ascii="Times New Roman" w:cs="Times New Roman" w:eastAsia="Times New Roman" w:hAnsi="Times New Roman"/>
          <w:sz w:val="20"/>
          <w:szCs w:val="20"/>
          <w:color w:val="auto"/>
        </w:rPr>
        <w:t>If a company is found to have promoted off-label uses, it may become subject to adverse public relations and administrative and judicial enforcement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addition, the distribution of prescription pharmaceutical products is subject to a variety of federal and state laws. The Prescription Drug Marketing Act, or the PDMA, was the first federal law to set minimum standards for the registration and regulation of drug distributors by the states and to regulate the distribution of drug samples. Both the PDMA and state laws limit the distribution of prescription pharmaceutical product samples and impose requirements to ensure accountability in distribution. In November 2013, the federal Drug Supply Chain Security Act, or DSCSA, became effective in the U.S., mandating an industry-wide, electronic, interoperable system to trace prescription drugs through the pharmaceutical distribution supply chain with a ten-year phase-in process. Manufacturers were required by November 2023 to have such systems and processes. So as not to disrupt supply chains, the FDA has granted certain exemptions from enhanced drug distribution security requirements for eligible trading partners for particular periods of time. For wholesale drug distributors, the final DSCSA deadline was August 27, 2025, marking the date for mandatory transition to a fully electronic, interoperable system for tracking prescription drugs at the package level throughout the United States.</w:t>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Section 505(b)(2) NDAs</w:t>
      </w:r>
    </w:p>
    <w:p>
      <w:pPr>
        <w:spacing w:after="0" w:line="116" w:lineRule="exact"/>
        <w:rPr>
          <w:sz w:val="20"/>
          <w:szCs w:val="20"/>
          <w:color w:val="auto"/>
        </w:rPr>
      </w:pPr>
    </w:p>
    <w:p>
      <w:pPr>
        <w:ind w:right="160" w:firstLine="490"/>
        <w:spacing w:after="0" w:line="260" w:lineRule="auto"/>
        <w:rPr>
          <w:sz w:val="20"/>
          <w:szCs w:val="20"/>
          <w:color w:val="auto"/>
        </w:rPr>
      </w:pPr>
      <w:r>
        <w:rPr>
          <w:rFonts w:ascii="Times New Roman" w:cs="Times New Roman" w:eastAsia="Times New Roman" w:hAnsi="Times New Roman"/>
          <w:sz w:val="19"/>
          <w:szCs w:val="19"/>
          <w:color w:val="auto"/>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that were previously conducted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spacing w:after="0" w:line="67"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Thus, Section 505(b)(2) authorizes the FDA to approve an NDA based on safety and effectiveness data that were not developed by or for the sponsor. NDAs filed under Section 505(b)(2) may provide an alternate and potentially more expeditious pathway to FDA approval for new or improved formulations or new uses of previously approved products. If the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sponsor.</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Abbreviated New Drug Applications for Generic Drugs</w:t>
      </w:r>
    </w:p>
    <w:p>
      <w:pPr>
        <w:spacing w:after="0" w:line="118" w:lineRule="exact"/>
        <w:rPr>
          <w:sz w:val="20"/>
          <w:szCs w:val="20"/>
          <w:color w:val="auto"/>
        </w:rPr>
      </w:pPr>
    </w:p>
    <w:p>
      <w:pPr>
        <w:ind w:right="40" w:firstLine="490"/>
        <w:spacing w:after="0" w:line="258" w:lineRule="auto"/>
        <w:rPr>
          <w:sz w:val="20"/>
          <w:szCs w:val="20"/>
          <w:color w:val="auto"/>
        </w:rPr>
      </w:pPr>
      <w:r>
        <w:rPr>
          <w:rFonts w:ascii="Times New Roman" w:cs="Times New Roman" w:eastAsia="Times New Roman" w:hAnsi="Times New Roman"/>
          <w:sz w:val="20"/>
          <w:szCs w:val="20"/>
          <w:color w:val="auto"/>
        </w:rPr>
        <w:t>In 1984, with passage of the Hatch-Waxman Act, Congress established an abbreviated regulatory scheme authorizing the FDA to approve generic drugs that are shown to contain the same active ingredients as, and to be bioequivalent to, drugs previously approved by the FDA pursuant to NDAs.</w:t>
      </w:r>
    </w:p>
    <w:p>
      <w:pPr>
        <w:spacing w:after="0" w:line="68"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In order for an abbreviated new drug application, or ANDA, to be approved, the FDA must find that the generic version is identical to the reference listed drug, or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w:t>
      </w:r>
    </w:p>
    <w:p>
      <w:pPr>
        <w:spacing w:after="0" w:line="8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Under the Hatch-Waxman Act, the FDA may not approve an ANDA until any applicable period of regulatory exclusivity for the RLD has expired. The FDCA provides a period of five years of non-patent data exclusivity for a new drug containing a new chemical entity, or NCE. For the purposes of this provision, an NCE is a drug that contains no active moiety that has previously been approved by the FDA in any other NDA. This interpretation of the FDCA by the FDA was confirmed with enactment of the Ensuring Innovation Act in April 2021. An active moiety is the molecule or ion responsible for the physiological or pharmacological action of the drug substance. In cases where such NCE exclusivity has</w:t>
      </w:r>
    </w:p>
    <w:p>
      <w:pPr>
        <w:sectPr>
          <w:pgSz w:w="12240" w:h="15840" w:orient="portrait"/>
          <w:cols w:equalWidth="0" w:num="1">
            <w:col w:w="9920"/>
          </w:cols>
          <w:pgMar w:left="1160" w:top="1132" w:right="1160" w:bottom="175" w:gutter="0" w:footer="0" w:header="0"/>
        </w:sect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920"/>
          </w:cols>
          <w:pgMar w:left="1160" w:top="1132" w:right="1160" w:bottom="175" w:gutter="0" w:footer="0" w:header="0"/>
          <w:type w:val="continuous"/>
        </w:sectPr>
      </w:pPr>
    </w:p>
    <w:bookmarkStart w:id="26" w:name="page27"/>
    <w:bookmarkEnd w:id="26"/>
    <w:p>
      <w:pPr>
        <w:ind w:left="8" w:right="40"/>
        <w:spacing w:after="0" w:line="258" w:lineRule="auto"/>
        <w:rPr>
          <w:sz w:val="20"/>
          <w:szCs w:val="20"/>
          <w:color w:val="auto"/>
        </w:rPr>
      </w:pPr>
      <w:r>
        <w:rPr>
          <w:rFonts w:ascii="Times New Roman" w:cs="Times New Roman" w:eastAsia="Times New Roman" w:hAnsi="Times New Roman"/>
          <w:sz w:val="20"/>
          <w:szCs w:val="20"/>
          <w:color w:val="auto"/>
        </w:rPr>
        <w:t>been granted, an ANDA may not be filed with the FDA until the expiration of five years unless the submission is accompanied by a Paragraph IV certification, in which case the sponsor may submit its application four years following the original product approval.</w:t>
      </w:r>
    </w:p>
    <w:p>
      <w:pPr>
        <w:spacing w:after="0" w:line="68" w:lineRule="exact"/>
        <w:rPr>
          <w:sz w:val="20"/>
          <w:szCs w:val="20"/>
          <w:color w:val="auto"/>
        </w:rPr>
      </w:pPr>
    </w:p>
    <w:p>
      <w:pPr>
        <w:ind w:left="8" w:right="260" w:firstLine="490"/>
        <w:spacing w:after="0" w:line="258" w:lineRule="auto"/>
        <w:rPr>
          <w:sz w:val="20"/>
          <w:szCs w:val="20"/>
          <w:color w:val="auto"/>
        </w:rPr>
      </w:pPr>
      <w:r>
        <w:rPr>
          <w:rFonts w:ascii="Times New Roman" w:cs="Times New Roman" w:eastAsia="Times New Roman" w:hAnsi="Times New Roman"/>
          <w:sz w:val="20"/>
          <w:szCs w:val="20"/>
          <w:color w:val="auto"/>
        </w:rPr>
        <w:t>The FDCA also provides for a period of three years of regulatory exclusivity if the NDA includes reports of one or more new clinical investigations, other than bioavailability or bioequivalence studies, that were conducted by or for the sponsor and are essential to the approval of the application.</w:t>
      </w:r>
    </w:p>
    <w:p>
      <w:pPr>
        <w:spacing w:after="0" w:line="59"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i w:val="1"/>
          <w:iCs w:val="1"/>
          <w:color w:val="auto"/>
        </w:rPr>
        <w:t>Hatch-Waxman Act Patent Certification and the 30-Month Stay</w:t>
      </w:r>
    </w:p>
    <w:p>
      <w:pPr>
        <w:spacing w:after="0" w:line="116" w:lineRule="exact"/>
        <w:rPr>
          <w:sz w:val="20"/>
          <w:szCs w:val="20"/>
          <w:color w:val="auto"/>
        </w:rPr>
      </w:pPr>
    </w:p>
    <w:p>
      <w:pPr>
        <w:ind w:left="8" w:right="40" w:firstLine="490"/>
        <w:spacing w:after="0" w:line="244" w:lineRule="auto"/>
        <w:rPr>
          <w:sz w:val="20"/>
          <w:szCs w:val="20"/>
          <w:color w:val="auto"/>
        </w:rPr>
      </w:pPr>
      <w:r>
        <w:rPr>
          <w:rFonts w:ascii="Times New Roman" w:cs="Times New Roman" w:eastAsia="Times New Roman" w:hAnsi="Times New Roman"/>
          <w:sz w:val="20"/>
          <w:szCs w:val="20"/>
          <w:color w:val="auto"/>
        </w:rPr>
        <w:t>Upon approval of an NDA or a supplement thereto, NDA sponsors are required to list with the FDA each patent with claims that cover the sponsor’s product or an approved method of using the product. Each of the patents listed by the NDA sponsor is published in the Orange Book. The FDA’s regulations governing patient listings were largely codified into law with enactment of the Orange Book Modernization Act in January 2021. When an ANDA sponsor files its application with the FDA, the sponsor is required to certify to the FDA concerning any patents listed for the reference product in the Orange Book, except for patents covering methods of use for which the ANDA sponsor is not seeking approval. To the extent that the Section 505(b)(2) sponsor is relying on studies conducted for an already approved product, the sponsor is required to certify to the FDA concerning any patents listed for the approved product in the Orange Book to the same extent that an ANDA sponsor would.</w:t>
      </w:r>
    </w:p>
    <w:p>
      <w:pPr>
        <w:spacing w:after="0" w:line="86"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color w:val="auto"/>
        </w:rPr>
        <w:t>Specifically, the sponsor must certify with respect to each patent that:</w:t>
      </w:r>
    </w:p>
    <w:p>
      <w:pPr>
        <w:spacing w:after="0" w:line="134" w:lineRule="exact"/>
        <w:rPr>
          <w:sz w:val="20"/>
          <w:szCs w:val="20"/>
          <w:color w:val="auto"/>
        </w:rPr>
      </w:pPr>
    </w:p>
    <w:p>
      <w:pPr>
        <w:ind w:left="368" w:hanging="368"/>
        <w:spacing w:after="0"/>
        <w:tabs>
          <w:tab w:leader="none" w:pos="368"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required patent information has not been filed;</w:t>
      </w:r>
    </w:p>
    <w:p>
      <w:pPr>
        <w:spacing w:after="0" w:line="133" w:lineRule="exact"/>
        <w:rPr>
          <w:rFonts w:ascii="Arial" w:cs="Arial" w:eastAsia="Arial" w:hAnsi="Arial"/>
          <w:sz w:val="20"/>
          <w:szCs w:val="20"/>
          <w:color w:val="auto"/>
        </w:rPr>
      </w:pPr>
    </w:p>
    <w:p>
      <w:pPr>
        <w:ind w:left="368" w:hanging="368"/>
        <w:spacing w:after="0"/>
        <w:tabs>
          <w:tab w:leader="none" w:pos="368"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listed patent has expired;</w:t>
      </w:r>
    </w:p>
    <w:p>
      <w:pPr>
        <w:spacing w:after="0" w:line="133" w:lineRule="exact"/>
        <w:rPr>
          <w:rFonts w:ascii="Arial" w:cs="Arial" w:eastAsia="Arial" w:hAnsi="Arial"/>
          <w:sz w:val="20"/>
          <w:szCs w:val="20"/>
          <w:color w:val="auto"/>
        </w:rPr>
      </w:pPr>
    </w:p>
    <w:p>
      <w:pPr>
        <w:ind w:left="368" w:hanging="368"/>
        <w:spacing w:after="0"/>
        <w:tabs>
          <w:tab w:leader="none" w:pos="368"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listed patent has not expired, but will expire on a particular date and approval is sought after patent expiration; or</w:t>
      </w:r>
    </w:p>
    <w:p>
      <w:pPr>
        <w:spacing w:after="0" w:line="133" w:lineRule="exact"/>
        <w:rPr>
          <w:rFonts w:ascii="Arial" w:cs="Arial" w:eastAsia="Arial" w:hAnsi="Arial"/>
          <w:sz w:val="20"/>
          <w:szCs w:val="20"/>
          <w:color w:val="auto"/>
        </w:rPr>
      </w:pPr>
    </w:p>
    <w:p>
      <w:pPr>
        <w:ind w:left="368" w:hanging="368"/>
        <w:spacing w:after="0"/>
        <w:tabs>
          <w:tab w:leader="none" w:pos="368"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listed patent is invalid, is unenforceable or will not be infringed by the new product.</w:t>
      </w:r>
    </w:p>
    <w:p>
      <w:pPr>
        <w:spacing w:after="0" w:line="119" w:lineRule="exact"/>
        <w:rPr>
          <w:sz w:val="20"/>
          <w:szCs w:val="20"/>
          <w:color w:val="auto"/>
        </w:rPr>
      </w:pPr>
    </w:p>
    <w:p>
      <w:pPr>
        <w:ind w:left="8" w:firstLine="490"/>
        <w:spacing w:after="0" w:line="249" w:lineRule="auto"/>
        <w:rPr>
          <w:sz w:val="20"/>
          <w:szCs w:val="20"/>
          <w:color w:val="auto"/>
        </w:rPr>
      </w:pPr>
      <w:r>
        <w:rPr>
          <w:rFonts w:ascii="Times New Roman" w:cs="Times New Roman" w:eastAsia="Times New Roman" w:hAnsi="Times New Roman"/>
          <w:sz w:val="20"/>
          <w:szCs w:val="20"/>
          <w:color w:val="auto"/>
        </w:rPr>
        <w:t>A certification that the new product will not infringe the already approved product’s listed patents or that such patents are invalid or unenforceable is called a Paragraph IV certification. If the sponsor does not challenge the listed patents or indicates that it is not seeking approval of a patented method of use, the application will not be approved until all of the listed patents claiming the referenced product have expired (other than method of use patents involving indications for which the sponsor is not seeking approval).</w:t>
      </w:r>
    </w:p>
    <w:p>
      <w:pPr>
        <w:spacing w:after="0" w:line="77" w:lineRule="exact"/>
        <w:rPr>
          <w:sz w:val="20"/>
          <w:szCs w:val="20"/>
          <w:color w:val="auto"/>
        </w:rPr>
      </w:pPr>
    </w:p>
    <w:p>
      <w:pPr>
        <w:ind w:left="8" w:right="20" w:firstLine="490"/>
        <w:spacing w:after="0" w:line="263" w:lineRule="auto"/>
        <w:rPr>
          <w:sz w:val="20"/>
          <w:szCs w:val="20"/>
          <w:color w:val="auto"/>
        </w:rPr>
      </w:pPr>
      <w:r>
        <w:rPr>
          <w:rFonts w:ascii="Times New Roman" w:cs="Times New Roman" w:eastAsia="Times New Roman" w:hAnsi="Times New Roman"/>
          <w:sz w:val="19"/>
          <w:szCs w:val="19"/>
          <w:color w:val="auto"/>
        </w:rPr>
        <w:t>If the ANDA sponsor has provided a Paragraph IV certification to the FDA, the sponsor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earliest of 30 months after the receipt of the Paragraph IV notice, expiration of the patent and a decision in the infringement case that is favorable to the ANDA sponsor.</w:t>
      </w:r>
    </w:p>
    <w:p>
      <w:pPr>
        <w:spacing w:after="0" w:line="64" w:lineRule="exact"/>
        <w:rPr>
          <w:sz w:val="20"/>
          <w:szCs w:val="20"/>
          <w:color w:val="auto"/>
        </w:rPr>
      </w:pPr>
    </w:p>
    <w:p>
      <w:pPr>
        <w:ind w:left="8" w:right="40" w:firstLine="490"/>
        <w:spacing w:after="0" w:line="246" w:lineRule="auto"/>
        <w:rPr>
          <w:sz w:val="20"/>
          <w:szCs w:val="20"/>
          <w:color w:val="auto"/>
        </w:rPr>
      </w:pPr>
      <w:r>
        <w:rPr>
          <w:rFonts w:ascii="Times New Roman" w:cs="Times New Roman" w:eastAsia="Times New Roman" w:hAnsi="Times New Roman"/>
          <w:sz w:val="20"/>
          <w:szCs w:val="20"/>
          <w:color w:val="auto"/>
        </w:rPr>
        <w:t>To the extent that the Section 505(b)(2) sponsor is relying on studies conducted for an already approved product, the sponsor is required to certify to the FDA concerning any patents listed for the approved product in the Orange Book to the same extent that an ANDA sponsor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earliest of 30 months, settlement of the lawsuit and a decision in the infringement case that is favorable to the Section 505(b)(2) sponsor.</w:t>
      </w:r>
    </w:p>
    <w:p>
      <w:pPr>
        <w:spacing w:after="0" w:line="63"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i w:val="1"/>
          <w:iCs w:val="1"/>
          <w:color w:val="auto"/>
        </w:rPr>
        <w:t>Pediatric Exclusivity</w:t>
      </w:r>
    </w:p>
    <w:p>
      <w:pPr>
        <w:spacing w:after="0" w:line="114" w:lineRule="exact"/>
        <w:rPr>
          <w:sz w:val="20"/>
          <w:szCs w:val="20"/>
          <w:color w:val="auto"/>
        </w:rPr>
      </w:pPr>
    </w:p>
    <w:p>
      <w:pPr>
        <w:ind w:left="8" w:right="100" w:firstLine="490"/>
        <w:spacing w:after="0" w:line="244" w:lineRule="auto"/>
        <w:rPr>
          <w:sz w:val="20"/>
          <w:szCs w:val="20"/>
          <w:color w:val="auto"/>
        </w:rPr>
      </w:pPr>
      <w:r>
        <w:rPr>
          <w:rFonts w:ascii="Times New Roman" w:cs="Times New Roman" w:eastAsia="Times New Roman" w:hAnsi="Times New Roman"/>
          <w:sz w:val="20"/>
          <w:szCs w:val="20"/>
          <w:color w:val="auto"/>
        </w:rPr>
        <w:t>Pediatric exclusivity is a type of non-patent marketing exclusivity in the U.S. and, if granted, provides for the attachment of an additional six months of regulatory exclusivity to the term of any existing patent or regulatory exclusivity for drug products. This six 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for a similar product.</w:t>
      </w:r>
    </w:p>
    <w:p>
      <w:pPr>
        <w:sectPr>
          <w:pgSz w:w="12240" w:h="15840" w:orient="portrait"/>
          <w:cols w:equalWidth="0" w:num="1">
            <w:col w:w="9928"/>
          </w:cols>
          <w:pgMar w:left="1152" w:top="1132"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28"/>
          </w:cols>
          <w:pgMar w:left="1152" w:top="1132" w:right="1160" w:bottom="175" w:gutter="0" w:footer="0" w:header="0"/>
          <w:type w:val="continuous"/>
        </w:sectPr>
      </w:pPr>
    </w:p>
    <w:bookmarkStart w:id="27" w:name="page28"/>
    <w:bookmarkEnd w:id="27"/>
    <w:p>
      <w:pPr>
        <w:ind w:left="480"/>
        <w:spacing w:after="0"/>
        <w:rPr>
          <w:sz w:val="20"/>
          <w:szCs w:val="20"/>
          <w:color w:val="auto"/>
        </w:rPr>
      </w:pPr>
      <w:r>
        <w:rPr>
          <w:rFonts w:ascii="Times New Roman" w:cs="Times New Roman" w:eastAsia="Times New Roman" w:hAnsi="Times New Roman"/>
          <w:sz w:val="20"/>
          <w:szCs w:val="20"/>
          <w:i w:val="1"/>
          <w:iCs w:val="1"/>
          <w:color w:val="auto"/>
        </w:rPr>
        <w:t>Patent Term Restoration and Extension</w:t>
      </w:r>
    </w:p>
    <w:p>
      <w:pPr>
        <w:spacing w:after="0" w:line="11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A patent claiming a new drug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of the time between the effective date of the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Care Law and Regulation</w:t>
      </w:r>
    </w:p>
    <w:p>
      <w:pPr>
        <w:spacing w:after="0" w:line="97" w:lineRule="exact"/>
        <w:rPr>
          <w:sz w:val="20"/>
          <w:szCs w:val="20"/>
          <w:color w:val="auto"/>
        </w:rPr>
      </w:pPr>
    </w:p>
    <w:p>
      <w:pPr>
        <w:ind w:firstLine="490"/>
        <w:spacing w:after="0" w:line="231" w:lineRule="auto"/>
        <w:rPr>
          <w:sz w:val="20"/>
          <w:szCs w:val="20"/>
          <w:color w:val="auto"/>
        </w:rPr>
      </w:pPr>
      <w:r>
        <w:rPr>
          <w:rFonts w:ascii="Times New Roman" w:cs="Times New Roman" w:eastAsia="Times New Roman" w:hAnsi="Times New Roman"/>
          <w:sz w:val="20"/>
          <w:szCs w:val="20"/>
          <w:color w:val="auto"/>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w:t>
      </w:r>
    </w:p>
    <w:p>
      <w:pPr>
        <w:spacing w:after="0" w:line="63" w:lineRule="exact"/>
        <w:rPr>
          <w:sz w:val="20"/>
          <w:szCs w:val="20"/>
          <w:color w:val="auto"/>
        </w:rPr>
      </w:pPr>
    </w:p>
    <w:p>
      <w:pPr>
        <w:ind w:right="20" w:firstLine="490"/>
        <w:spacing w:after="0" w:line="219" w:lineRule="auto"/>
        <w:rPr>
          <w:sz w:val="20"/>
          <w:szCs w:val="20"/>
          <w:color w:val="auto"/>
        </w:rPr>
      </w:pPr>
      <w:r>
        <w:rPr>
          <w:rFonts w:ascii="Times New Roman" w:cs="Times New Roman" w:eastAsia="Times New Roman" w:hAnsi="Times New Roman"/>
          <w:sz w:val="20"/>
          <w:szCs w:val="20"/>
          <w:color w:val="auto"/>
        </w:rPr>
        <w:t>Restrictions under applicable federal and state health care laws and regulations, include 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the Foreign Corrupt Practices Act, or FCPA, which prohibits companies and their intermediaries from making, or offering or promising to make, improper payments to non-U.S. officials for the purpose of obtaining or retaining business or otherwise seeking favorable treatment; and the federal transparency requirements known as the federal Physician Payments Sunshine Act, which requires certain manufacturers of drugs, devices, biologics and medical supplies to report annually to the Centers for Medicare &amp; Medicaid Services, or CMS, within the HHS, information related to payments and other transfers of value made by that entity to physicians, other healthcare providers and teaching hospitals, as well as ownership and investment interests held by physicians, and their immediate family members.</w:t>
      </w:r>
    </w:p>
    <w:p>
      <w:pPr>
        <w:spacing w:after="0" w:line="74" w:lineRule="exact"/>
        <w:rPr>
          <w:sz w:val="20"/>
          <w:szCs w:val="20"/>
          <w:color w:val="auto"/>
        </w:rPr>
      </w:pPr>
    </w:p>
    <w:p>
      <w:pPr>
        <w:ind w:firstLine="490"/>
        <w:spacing w:after="0" w:line="224" w:lineRule="auto"/>
        <w:rPr>
          <w:sz w:val="20"/>
          <w:szCs w:val="20"/>
          <w:color w:val="auto"/>
        </w:rPr>
      </w:pPr>
      <w:r>
        <w:rPr>
          <w:rFonts w:ascii="Times New Roman" w:cs="Times New Roman" w:eastAsia="Times New Roman" w:hAnsi="Times New Roman"/>
          <w:sz w:val="20"/>
          <w:szCs w:val="20"/>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the federal Health Insurance Portability and Accountability Act of 1996, or HIPAA, thus complicating compliance efforts.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Pharmaceutical Insurance Coverage and Health Care Reform</w:t>
      </w:r>
    </w:p>
    <w:p>
      <w:pPr>
        <w:spacing w:after="0" w:line="100" w:lineRule="exact"/>
        <w:rPr>
          <w:sz w:val="20"/>
          <w:szCs w:val="20"/>
          <w:color w:val="auto"/>
        </w:rPr>
      </w:pPr>
    </w:p>
    <w:p>
      <w:pPr>
        <w:ind w:firstLine="490"/>
        <w:spacing w:after="0" w:line="221" w:lineRule="auto"/>
        <w:rPr>
          <w:sz w:val="20"/>
          <w:szCs w:val="20"/>
          <w:color w:val="auto"/>
        </w:rPr>
      </w:pPr>
      <w:r>
        <w:rPr>
          <w:rFonts w:ascii="Times New Roman" w:cs="Times New Roman" w:eastAsia="Times New Roman" w:hAnsi="Times New Roman"/>
          <w:sz w:val="20"/>
          <w:szCs w:val="20"/>
          <w:color w:val="auto"/>
        </w:rPr>
        <w:t>In the U.S.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63" w:lineRule="exact"/>
        <w:rPr>
          <w:sz w:val="20"/>
          <w:szCs w:val="20"/>
          <w:color w:val="auto"/>
        </w:rPr>
      </w:pPr>
    </w:p>
    <w:p>
      <w:pPr>
        <w:ind w:firstLine="490"/>
        <w:spacing w:after="0" w:line="226" w:lineRule="auto"/>
        <w:rPr>
          <w:sz w:val="20"/>
          <w:szCs w:val="20"/>
          <w:color w:val="auto"/>
        </w:rPr>
      </w:pPr>
      <w:r>
        <w:rPr>
          <w:rFonts w:ascii="Times New Roman" w:cs="Times New Roman" w:eastAsia="Times New Roman" w:hAnsi="Times New Roman"/>
          <w:sz w:val="20"/>
          <w:szCs w:val="20"/>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Additionally, a payor’s decision to provide coverage for a product does not imply that an adequate reimbursement rate will be approved. Further, one payor’s</w:t>
      </w:r>
    </w:p>
    <w:p>
      <w:pPr>
        <w:sectPr>
          <w:pgSz w:w="12240" w:h="15840" w:orient="portrait"/>
          <w:cols w:equalWidth="0" w:num="1">
            <w:col w:w="9900"/>
          </w:cols>
          <w:pgMar w:left="1160" w:top="1115" w:right="1180" w:bottom="175"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00"/>
          </w:cols>
          <w:pgMar w:left="1160" w:top="1115" w:right="1180" w:bottom="175" w:gutter="0" w:footer="0" w:header="0"/>
          <w:type w:val="continuous"/>
        </w:sectPr>
      </w:pPr>
    </w:p>
    <w:bookmarkStart w:id="28" w:name="page29"/>
    <w:bookmarkEnd w:id="28"/>
    <w:p>
      <w:pPr>
        <w:ind w:right="220"/>
        <w:spacing w:after="0" w:line="279" w:lineRule="auto"/>
        <w:rPr>
          <w:sz w:val="20"/>
          <w:szCs w:val="20"/>
          <w:color w:val="auto"/>
        </w:rPr>
      </w:pPr>
      <w:r>
        <w:rPr>
          <w:rFonts w:ascii="Times New Roman" w:cs="Times New Roman" w:eastAsia="Times New Roman" w:hAnsi="Times New Roman"/>
          <w:sz w:val="19"/>
          <w:szCs w:val="19"/>
          <w:color w:val="auto"/>
        </w:rPr>
        <w:t>determination to provide coverage for a product does not assure that other payors will also provide coverage and reimbursement for the product, and the level of coverage and reimbursement can differ significantly from payor to payor.</w:t>
      </w:r>
    </w:p>
    <w:p>
      <w:pPr>
        <w:spacing w:after="0" w:line="26" w:lineRule="exact"/>
        <w:rPr>
          <w:sz w:val="20"/>
          <w:szCs w:val="20"/>
          <w:color w:val="auto"/>
        </w:rPr>
      </w:pPr>
    </w:p>
    <w:p>
      <w:pPr>
        <w:ind w:right="80" w:firstLine="490"/>
        <w:spacing w:after="0" w:line="223" w:lineRule="auto"/>
        <w:rPr>
          <w:sz w:val="20"/>
          <w:szCs w:val="20"/>
          <w:color w:val="auto"/>
        </w:rPr>
      </w:pPr>
      <w:r>
        <w:rPr>
          <w:rFonts w:ascii="Times New Roman" w:cs="Times New Roman" w:eastAsia="Times New Roman" w:hAnsi="Times New Roman"/>
          <w:sz w:val="20"/>
          <w:szCs w:val="20"/>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66" w:lineRule="exact"/>
        <w:rPr>
          <w:sz w:val="20"/>
          <w:szCs w:val="20"/>
          <w:color w:val="auto"/>
        </w:rPr>
      </w:pPr>
    </w:p>
    <w:p>
      <w:pPr>
        <w:ind w:right="300" w:firstLine="490"/>
        <w:spacing w:after="0" w:line="236" w:lineRule="auto"/>
        <w:rPr>
          <w:sz w:val="20"/>
          <w:szCs w:val="20"/>
          <w:color w:val="auto"/>
        </w:rPr>
      </w:pPr>
      <w:r>
        <w:rPr>
          <w:rFonts w:ascii="Times New Roman" w:cs="Times New Roman" w:eastAsia="Times New Roman" w:hAnsi="Times New Roman"/>
          <w:sz w:val="20"/>
          <w:szCs w:val="20"/>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U.S.</w:t>
      </w:r>
    </w:p>
    <w:p>
      <w:pPr>
        <w:spacing w:after="0" w:line="63" w:lineRule="exact"/>
        <w:rPr>
          <w:sz w:val="20"/>
          <w:szCs w:val="20"/>
          <w:color w:val="auto"/>
        </w:rPr>
      </w:pPr>
    </w:p>
    <w:p>
      <w:pPr>
        <w:ind w:right="40" w:firstLine="490"/>
        <w:spacing w:after="0" w:line="236" w:lineRule="auto"/>
        <w:rPr>
          <w:sz w:val="20"/>
          <w:szCs w:val="20"/>
          <w:color w:val="auto"/>
        </w:rPr>
      </w:pPr>
      <w:r>
        <w:rPr>
          <w:rFonts w:ascii="Times New Roman" w:cs="Times New Roman" w:eastAsia="Times New Roman" w:hAnsi="Times New Roman"/>
          <w:sz w:val="19"/>
          <w:szCs w:val="19"/>
          <w:color w:val="auto"/>
        </w:rPr>
        <w:t>In March 2010, the U.S. Congress enacted the ACA, which, among other things, includes changes to the coverage and payment for drug products under government health care programs.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w:t>
      </w:r>
    </w:p>
    <w:p>
      <w:pPr>
        <w:spacing w:after="0" w:line="65" w:lineRule="exact"/>
        <w:rPr>
          <w:sz w:val="20"/>
          <w:szCs w:val="20"/>
          <w:color w:val="auto"/>
        </w:rPr>
      </w:pPr>
    </w:p>
    <w:p>
      <w:pPr>
        <w:ind w:right="40" w:firstLine="490"/>
        <w:spacing w:after="0" w:line="226" w:lineRule="auto"/>
        <w:rPr>
          <w:sz w:val="20"/>
          <w:szCs w:val="20"/>
          <w:color w:val="auto"/>
        </w:rPr>
      </w:pPr>
      <w:r>
        <w:rPr>
          <w:rFonts w:ascii="Times New Roman" w:cs="Times New Roman" w:eastAsia="Times New Roman" w:hAnsi="Times New Roman"/>
          <w:sz w:val="20"/>
          <w:szCs w:val="20"/>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four percent.</w:t>
      </w:r>
    </w:p>
    <w:p>
      <w:pPr>
        <w:spacing w:after="0" w:line="63" w:lineRule="exact"/>
        <w:rPr>
          <w:sz w:val="20"/>
          <w:szCs w:val="20"/>
          <w:color w:val="auto"/>
        </w:rPr>
      </w:pPr>
    </w:p>
    <w:p>
      <w:pPr>
        <w:ind w:right="80" w:firstLine="490"/>
        <w:spacing w:after="0" w:line="224" w:lineRule="auto"/>
        <w:rPr>
          <w:sz w:val="20"/>
          <w:szCs w:val="20"/>
          <w:color w:val="auto"/>
        </w:rPr>
      </w:pPr>
      <w:r>
        <w:rPr>
          <w:rFonts w:ascii="Times New Roman" w:cs="Times New Roman" w:eastAsia="Times New Roman" w:hAnsi="Times New Roman"/>
          <w:sz w:val="20"/>
          <w:szCs w:val="20"/>
          <w:color w:val="auto"/>
        </w:rPr>
        <w:t>Since enactment of the ACA, there have been, and continue to be, numerous legal challenges and Congressional actions to repeal and replace provisions of the law. For example, with enactment of the Tax Cuts and Jobs Act of 2017, or the Tax Act, which was signed by President Trump on December 22, 2017, Congress repealed the “individual mandate.” The repeal of this provision, which requires most Americans to carry a minimal level of health insurance, became effective in 2019. On June 17, 2021, the U.S. Supreme Court dismissed an action challenging the constitutionality of the ACA after finding that the plaintiffs do not have standing to bring the action. Litigation and legislation over the ACA are likely to continue, with unpredictable and uncertain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Pharmaceutical Price Reforms</w:t>
      </w:r>
    </w:p>
    <w:p>
      <w:pPr>
        <w:spacing w:after="0" w:line="110"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The prices of prescription pharmaceuticals have also been the subject of considerable discussion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63" w:lineRule="exact"/>
        <w:rPr>
          <w:sz w:val="20"/>
          <w:szCs w:val="20"/>
          <w:color w:val="auto"/>
        </w:rPr>
      </w:pPr>
    </w:p>
    <w:p>
      <w:pPr>
        <w:ind w:firstLine="490"/>
        <w:spacing w:after="0" w:line="222" w:lineRule="auto"/>
        <w:rPr>
          <w:sz w:val="20"/>
          <w:szCs w:val="20"/>
          <w:color w:val="auto"/>
        </w:rPr>
      </w:pPr>
      <w:r>
        <w:rPr>
          <w:rFonts w:ascii="Times New Roman" w:cs="Times New Roman" w:eastAsia="Times New Roman" w:hAnsi="Times New Roman"/>
          <w:sz w:val="20"/>
          <w:szCs w:val="20"/>
          <w:color w:val="auto"/>
        </w:rPr>
        <w:t>In addition, the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the HHS. Several states have passed laws allowing for the importation of products from Canada. On January 5, 2023, the FDA approved Florida’s plan for Canadian product importation. That state now has authority to import certain products from Canada for a period of two years once certain conditions are met. Florida will first need to submit a pre-import request for each product selected for importation, which must be approved by the FDA. The state will also need to relabel the products and perform quality testing of the products to meet FDA standards.</w:t>
      </w:r>
    </w:p>
    <w:p>
      <w:pPr>
        <w:spacing w:after="0" w:line="68" w:lineRule="exact"/>
        <w:rPr>
          <w:sz w:val="20"/>
          <w:szCs w:val="20"/>
          <w:color w:val="auto"/>
        </w:rPr>
      </w:pPr>
    </w:p>
    <w:p>
      <w:pPr>
        <w:ind w:right="20" w:firstLine="540"/>
        <w:spacing w:after="0" w:line="222" w:lineRule="auto"/>
        <w:rPr>
          <w:sz w:val="20"/>
          <w:szCs w:val="20"/>
          <w:color w:val="auto"/>
        </w:rPr>
      </w:pPr>
      <w:r>
        <w:rPr>
          <w:rFonts w:ascii="Times New Roman" w:cs="Times New Roman" w:eastAsia="Times New Roman" w:hAnsi="Times New Roman"/>
          <w:sz w:val="20"/>
          <w:szCs w:val="20"/>
          <w:color w:val="auto"/>
        </w:rPr>
        <w:t>On May 21, 2025, the FDA announced that it would offer individual states the opportunity to submit a draft proposal for pre-review and meet with the agency to obtain initial feedback from FDA prior to formally submitting their Section 804 importation program (SIP) proposal. The intent of these meetings is to assist states in developing their proposals by further clarifying requirements, enhancing the quality of proposals submitted to the agency and ultimately shortening the review timeline. Further, the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with passage of the Inflation Reduction Act of 2022, or the IRA, has been delayed by Congress to January 1, 2032.</w:t>
      </w:r>
    </w:p>
    <w:p>
      <w:pPr>
        <w:spacing w:after="0" w:line="63" w:lineRule="exact"/>
        <w:rPr>
          <w:sz w:val="20"/>
          <w:szCs w:val="20"/>
          <w:color w:val="auto"/>
        </w:rPr>
      </w:pPr>
    </w:p>
    <w:p>
      <w:pPr>
        <w:ind w:right="600" w:firstLine="490"/>
        <w:spacing w:after="0" w:line="279" w:lineRule="auto"/>
        <w:rPr>
          <w:sz w:val="20"/>
          <w:szCs w:val="20"/>
          <w:color w:val="auto"/>
        </w:rPr>
      </w:pPr>
      <w:r>
        <w:rPr>
          <w:rFonts w:ascii="Times New Roman" w:cs="Times New Roman" w:eastAsia="Times New Roman" w:hAnsi="Times New Roman"/>
          <w:sz w:val="19"/>
          <w:szCs w:val="19"/>
          <w:color w:val="auto"/>
        </w:rPr>
        <w:t>For example, on August 16, 2022, the IRA was signed into law by President Biden. The new legislation has implications for Medicare Part D, which is a program available to individuals who are entitled to Medicare Part A or</w:t>
      </w:r>
    </w:p>
    <w:p>
      <w:pPr>
        <w:sectPr>
          <w:pgSz w:w="12240" w:h="15840" w:orient="portrait"/>
          <w:cols w:equalWidth="0" w:num="1">
            <w:col w:w="9920"/>
          </w:cols>
          <w:pgMar w:left="1160" w:top="1113" w:right="1160" w:bottom="175"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920"/>
          </w:cols>
          <w:pgMar w:left="1160" w:top="1113" w:right="1160" w:bottom="175" w:gutter="0" w:footer="0" w:header="0"/>
          <w:type w:val="continuous"/>
        </w:sectPr>
      </w:pPr>
    </w:p>
    <w:bookmarkStart w:id="29" w:name="page30"/>
    <w:bookmarkEnd w:id="29"/>
    <w:p>
      <w:pPr>
        <w:ind w:right="40"/>
        <w:spacing w:after="0" w:line="226" w:lineRule="auto"/>
        <w:rPr>
          <w:sz w:val="20"/>
          <w:szCs w:val="20"/>
          <w:color w:val="auto"/>
        </w:rPr>
      </w:pPr>
      <w:r>
        <w:rPr>
          <w:rFonts w:ascii="Times New Roman" w:cs="Times New Roman" w:eastAsia="Times New Roman" w:hAnsi="Times New Roman"/>
          <w:sz w:val="20"/>
          <w:szCs w:val="20"/>
          <w:color w:val="auto"/>
        </w:rPr>
        <w:t>enrolled in Medicare Part B to give them the option of paying a monthly premium for outpatient prescription drug coverage.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spacing w:after="0" w:line="63" w:lineRule="exact"/>
        <w:rPr>
          <w:sz w:val="20"/>
          <w:szCs w:val="20"/>
          <w:color w:val="auto"/>
        </w:rPr>
      </w:pPr>
    </w:p>
    <w:p>
      <w:pPr>
        <w:ind w:right="20" w:firstLine="490"/>
        <w:spacing w:after="0" w:line="223" w:lineRule="auto"/>
        <w:rPr>
          <w:sz w:val="20"/>
          <w:szCs w:val="20"/>
          <w:color w:val="auto"/>
        </w:rPr>
      </w:pPr>
      <w:r>
        <w:rPr>
          <w:rFonts w:ascii="Times New Roman" w:cs="Times New Roman" w:eastAsia="Times New Roman" w:hAnsi="Times New Roman"/>
          <w:sz w:val="20"/>
          <w:szCs w:val="20"/>
          <w:color w:val="auto"/>
        </w:rPr>
        <w:t>Specifically, with respect to price negotiations, Congress authorized Medicare to negotiate lower prices for certain single-source drug products that do not have competing generics or biosimilars and are reimbursed under Medicare Part B and Part D. CMS was directed to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Drugs that have been approved for a single rare disease or condition were originally categorically excluded from price negotiation but, with the passage of the One Big Beautiful Bill Act, or OBBBA, on July 3, 2025, Congress extended this exemption to drugs with multiple orphan drug designations.</w:t>
      </w:r>
    </w:p>
    <w:p>
      <w:pPr>
        <w:spacing w:after="0" w:line="66" w:lineRule="exact"/>
        <w:rPr>
          <w:sz w:val="20"/>
          <w:szCs w:val="20"/>
          <w:color w:val="auto"/>
        </w:rPr>
      </w:pPr>
    </w:p>
    <w:p>
      <w:pPr>
        <w:ind w:right="60" w:firstLine="490"/>
        <w:spacing w:after="0" w:line="224" w:lineRule="auto"/>
        <w:rPr>
          <w:sz w:val="20"/>
          <w:szCs w:val="20"/>
          <w:color w:val="auto"/>
        </w:rPr>
      </w:pPr>
      <w:r>
        <w:rPr>
          <w:rFonts w:ascii="Times New Roman" w:cs="Times New Roman" w:eastAsia="Times New Roman" w:hAnsi="Times New Roman"/>
          <w:sz w:val="20"/>
          <w:szCs w:val="20"/>
          <w:color w:val="auto"/>
        </w:rPr>
        <w:t>The IRA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In addition, the IRA established inflation rebate programs under Medicare Part B and Part D. These programs require manufacturers to pay rebates to Medicare if they raise their prices for certain Part B and Part D drugs faster than the rate of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spacing w:after="0" w:line="66" w:lineRule="exact"/>
        <w:rPr>
          <w:sz w:val="20"/>
          <w:szCs w:val="20"/>
          <w:color w:val="auto"/>
        </w:rPr>
      </w:pPr>
    </w:p>
    <w:p>
      <w:pPr>
        <w:ind w:right="80" w:firstLine="490"/>
        <w:spacing w:after="0" w:line="228" w:lineRule="auto"/>
        <w:rPr>
          <w:sz w:val="20"/>
          <w:szCs w:val="20"/>
          <w:color w:val="auto"/>
        </w:rPr>
      </w:pPr>
      <w:r>
        <w:rPr>
          <w:rFonts w:ascii="Times New Roman" w:cs="Times New Roman" w:eastAsia="Times New Roman" w:hAnsi="Times New Roman"/>
          <w:sz w:val="20"/>
          <w:szCs w:val="20"/>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will occurred during 2025, and the negotiated prices for this second set of fifteen drugs will become effective on January 1, 2027. On January 27, 2026, CMS published the list of fifteen drugs selected for the third cycle of negotiations. These negotiated prices will become effective on January 1, 2028.</w:t>
      </w:r>
    </w:p>
    <w:p>
      <w:pPr>
        <w:spacing w:after="0" w:line="63" w:lineRule="exact"/>
        <w:rPr>
          <w:sz w:val="20"/>
          <w:szCs w:val="20"/>
          <w:color w:val="auto"/>
        </w:rPr>
      </w:pPr>
    </w:p>
    <w:p>
      <w:pPr>
        <w:ind w:firstLine="490"/>
        <w:spacing w:after="0" w:line="223" w:lineRule="auto"/>
        <w:rPr>
          <w:sz w:val="20"/>
          <w:szCs w:val="20"/>
          <w:color w:val="auto"/>
        </w:rPr>
      </w:pPr>
      <w:r>
        <w:rPr>
          <w:rFonts w:ascii="Times New Roman" w:cs="Times New Roman" w:eastAsia="Times New Roman" w:hAnsi="Times New Roman"/>
          <w:sz w:val="20"/>
          <w:szCs w:val="20"/>
          <w:color w:val="auto"/>
        </w:rPr>
        <w:t>On June 6, 2023, Merck filed a lawsuit against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HHS has generally won the substantive disputes in these cases or succeeded in getting claims dismissed for lack of standing or on the merits. For example, on May 8, 2025, the U.S. Court of Appeals for the Third Circuit rejected AstraZeneca L.P.’s challenge to the Medicare price negotiation program, finding that the program did not violate the company’s due process rights under the Constitution. Litigation involving these and other provisions of the IRA will continue with unpredictable and uncertain results.</w:t>
      </w:r>
    </w:p>
    <w:p>
      <w:pPr>
        <w:spacing w:after="0" w:line="66" w:lineRule="exact"/>
        <w:rPr>
          <w:sz w:val="20"/>
          <w:szCs w:val="20"/>
          <w:color w:val="auto"/>
        </w:rPr>
      </w:pPr>
    </w:p>
    <w:p>
      <w:pPr>
        <w:ind w:right="140" w:firstLine="490"/>
        <w:spacing w:after="0" w:line="222" w:lineRule="auto"/>
        <w:rPr>
          <w:sz w:val="20"/>
          <w:szCs w:val="20"/>
          <w:color w:val="auto"/>
        </w:rPr>
      </w:pPr>
      <w:r>
        <w:rPr>
          <w:rFonts w:ascii="Times New Roman" w:cs="Times New Roman" w:eastAsia="Times New Roman" w:hAnsi="Times New Roman"/>
          <w:sz w:val="20"/>
          <w:szCs w:val="20"/>
          <w:color w:val="auto"/>
        </w:rPr>
        <w:t>Since adoption of the IRA, the Trump Administration has taken a number of actions to reduce the costs of pharmaceutical products. For example, on April 15, 2025, President Trump issued an Executive Order which directs HHS to take steps to reduce the prices of pharmaceutical products. Further, on May 12, 2025, President Trump issued an additional Executive Order calling on pharmaceutical manufacturers to voluntarily reduce the prices of medicines in the United States. The Order provides that if such actions do not lower the costs of pharmaceuticals, the Secretary of HHS would pursue other actions, including proposing a rulemaking that imposes most favored nation, or MFN, pricing in the United States. Thereafter, on July 31, 2025, the President issued letters to 17 pharmaceutical companies reiterating the requirements of the May 12, 2025, Executive Order and demanding that such companies extend MFN pricing to Medicaid patients. Virtually all of these pharmaceutical companies have entered into agreements with the administration to provide for lower prices on certain pharmaceuticals.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and State Data Privacy and Security laws</w:t>
      </w:r>
    </w:p>
    <w:p>
      <w:pPr>
        <w:spacing w:after="0" w:line="12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healthcare industry generally, 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w:t>
      </w:r>
    </w:p>
    <w:p>
      <w:pPr>
        <w:spacing w:after="0" w:line="86" w:lineRule="exact"/>
        <w:rPr>
          <w:sz w:val="20"/>
          <w:szCs w:val="20"/>
          <w:color w:val="auto"/>
        </w:rPr>
      </w:pPr>
    </w:p>
    <w:p>
      <w:pPr>
        <w:ind w:right="420" w:firstLine="490"/>
        <w:spacing w:after="0" w:line="270" w:lineRule="auto"/>
        <w:rPr>
          <w:sz w:val="20"/>
          <w:szCs w:val="20"/>
          <w:color w:val="auto"/>
        </w:rPr>
      </w:pPr>
      <w:r>
        <w:rPr>
          <w:rFonts w:ascii="Times New Roman" w:cs="Times New Roman" w:eastAsia="Times New Roman" w:hAnsi="Times New Roman"/>
          <w:sz w:val="19"/>
          <w:szCs w:val="19"/>
          <w:color w:val="auto"/>
        </w:rPr>
        <w:t>Our clinical trials will be regulated by HIPAA’s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w:t>
      </w:r>
    </w:p>
    <w:p>
      <w:pPr>
        <w:sectPr>
          <w:pgSz w:w="12240" w:h="15840" w:orient="portrait"/>
          <w:cols w:equalWidth="0" w:num="1">
            <w:col w:w="9920"/>
          </w:cols>
          <w:pgMar w:left="1160" w:top="1113" w:right="1160" w:bottom="175"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20"/>
          </w:cols>
          <w:pgMar w:left="1160" w:top="1113" w:right="1160" w:bottom="175" w:gutter="0" w:footer="0" w:header="0"/>
          <w:type w:val="continuous"/>
        </w:sectPr>
      </w:pPr>
    </w:p>
    <w:bookmarkStart w:id="30" w:name="page31"/>
    <w:bookmarkEnd w:id="30"/>
    <w:p>
      <w:pPr>
        <w:ind w:right="140"/>
        <w:spacing w:after="0" w:line="249" w:lineRule="auto"/>
        <w:rPr>
          <w:sz w:val="20"/>
          <w:szCs w:val="20"/>
          <w:color w:val="auto"/>
        </w:rPr>
      </w:pPr>
      <w:r>
        <w:rPr>
          <w:rFonts w:ascii="Times New Roman" w:cs="Times New Roman" w:eastAsia="Times New Roman" w:hAnsi="Times New Roman"/>
          <w:sz w:val="20"/>
          <w:szCs w:val="20"/>
          <w:color w:val="auto"/>
        </w:rPr>
        <w:t>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spacing w:after="0" w:line="77"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w:t>
      </w:r>
    </w:p>
    <w:p>
      <w:pPr>
        <w:spacing w:after="0" w:line="9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addition to California, a number of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2024 legislative sessions that will go into effect in 2025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in 2024. These laws may impact our business activities, including our identification of research subjects, relationships with business partners and ultimately the marketing and distribution of our products.</w:t>
      </w:r>
    </w:p>
    <w:p>
      <w:pPr>
        <w:spacing w:after="0" w:line="83"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Review and Approval of Medicinal Products in the E.U.</w:t>
      </w:r>
    </w:p>
    <w:p>
      <w:pPr>
        <w:spacing w:after="0" w:line="12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non-U.S. regulatory authorities before it can commence clinical trials or marketing of the product in those countries or jurisdictions. Specifically, the process governing approval of medicinal products in the E.U. generally follows the same lines as in the U.S.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or MA, by these authorities before the product can be marketed and sold in the E.U.</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Nonclinical Studies</w:t>
      </w:r>
    </w:p>
    <w:p>
      <w:pPr>
        <w:spacing w:after="0" w:line="118"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Nonclinical studies are performed to demonstrate the health or environmental safety of new chemical substances. Nonclinical (pharmaco-toxicological) studies must be conducted in compliance with the principles of good laboratory practice, or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w:t>
      </w:r>
    </w:p>
    <w:p>
      <w:pPr>
        <w:sectPr>
          <w:pgSz w:w="12240" w:h="15840" w:orient="portrait"/>
          <w:cols w:equalWidth="0" w:num="1">
            <w:col w:w="9900"/>
          </w:cols>
          <w:pgMar w:left="1160" w:top="1132" w:right="1180" w:bottom="175"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900"/>
          </w:cols>
          <w:pgMar w:left="1160" w:top="1132" w:right="1180" w:bottom="175" w:gutter="0" w:footer="0" w:header="0"/>
          <w:type w:val="continuous"/>
        </w:sectPr>
      </w:pPr>
    </w:p>
    <w:bookmarkStart w:id="31" w:name="page32"/>
    <w:bookmarkEnd w:id="31"/>
    <w:p>
      <w:pPr>
        <w:ind w:right="960"/>
        <w:spacing w:after="0" w:line="277" w:lineRule="auto"/>
        <w:rPr>
          <w:sz w:val="20"/>
          <w:szCs w:val="20"/>
          <w:color w:val="auto"/>
        </w:rPr>
      </w:pPr>
      <w:r>
        <w:rPr>
          <w:rFonts w:ascii="Times New Roman" w:cs="Times New Roman" w:eastAsia="Times New Roman" w:hAnsi="Times New Roman"/>
          <w:sz w:val="20"/>
          <w:szCs w:val="20"/>
          <w:color w:val="auto"/>
        </w:rPr>
        <w:t>nonclinical studies. These GLP standards reflect the Organization for Economic Co-operation and Development requirements.</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Clinical Trial Approval</w:t>
      </w:r>
    </w:p>
    <w:p>
      <w:pPr>
        <w:spacing w:after="0" w:line="118"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On January 31, 2022, the new Clinical Trials Regulation (EU) No 536/2014, or CTR, became effective in the E.U. and replaced the prior Clinical Trials Directive 2001/20/EC. The new regulation aims at simplifying and streamlining the authorization, conduct and transparency of clinical trials in the E.U. Under the new coordinated procedure for the approval of clinical trials, the sponsor of a clinical trial to be conducted in more than one Member State of the E.U.,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8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Beyond streamlining the process, the new regulation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which we refer to as the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Member State concerned. However, overall related timelines will be defined by the CTR.</w:t>
      </w:r>
    </w:p>
    <w:p>
      <w:pPr>
        <w:spacing w:after="0" w:line="82"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 new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 As of January 31, 2025, all clinical trials in the E.U. (including those which are ongoing) are subject to the CTR.</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in the U.S., clinical trial information must be posted in the E.U. at the EudraCT website: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https://eudract.ema.europa.eu.</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PRIME Designation in the E.U.</w:t>
      </w:r>
    </w:p>
    <w:p>
      <w:pPr>
        <w:spacing w:after="0" w:line="11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Committee for Human Medicinal Products, or CHMP, or the Committee for Advanced Therapies, or CAT, is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Marketing Authorization</w:t>
      </w:r>
    </w:p>
    <w:p>
      <w:pPr>
        <w:spacing w:after="0" w:line="95" w:lineRule="exact"/>
        <w:rPr>
          <w:sz w:val="20"/>
          <w:szCs w:val="20"/>
          <w:color w:val="auto"/>
        </w:rPr>
      </w:pPr>
    </w:p>
    <w:p>
      <w:pPr>
        <w:ind w:right="40" w:firstLine="490"/>
        <w:spacing w:after="0" w:line="224" w:lineRule="auto"/>
        <w:rPr>
          <w:sz w:val="20"/>
          <w:szCs w:val="20"/>
          <w:color w:val="auto"/>
        </w:rPr>
      </w:pPr>
      <w:r>
        <w:rPr>
          <w:rFonts w:ascii="Times New Roman" w:cs="Times New Roman" w:eastAsia="Times New Roman" w:hAnsi="Times New Roman"/>
          <w:sz w:val="20"/>
          <w:szCs w:val="20"/>
          <w:color w:val="auto"/>
        </w:rPr>
        <w:t>To obtain an MA for a product under E.U. regulatory systems, a sponsor must submit an MAA either under a centralized procedure administered by the EMA or one of the procedures administered by competent authorities in the E.U. Member States (either a decentralized procedure, national procedure or mutual recognition procedure). An MA may be granted only to a sponsor established in the E.U. Regulation (EC) No 1901/2006 provides that prior to obtaining an MA in the E.U., sponsors have to demonstrate compliance with all measures included in an EMA-approved Pediatric Investigation Plan, or PIP, covering all subsets of the pediatric population, unless the EMA has granted (i) a product-specific waiver, (ii) a class waiver or (iii) a deferral for one or more of the measures included in the PIP.</w:t>
      </w:r>
    </w:p>
    <w:p>
      <w:pPr>
        <w:spacing w:after="0" w:line="66" w:lineRule="exact"/>
        <w:rPr>
          <w:sz w:val="20"/>
          <w:szCs w:val="20"/>
          <w:color w:val="auto"/>
        </w:rPr>
      </w:pPr>
    </w:p>
    <w:p>
      <w:pPr>
        <w:ind w:firstLine="490"/>
        <w:spacing w:after="0" w:line="224" w:lineRule="auto"/>
        <w:rPr>
          <w:sz w:val="20"/>
          <w:szCs w:val="20"/>
          <w:color w:val="auto"/>
        </w:rPr>
      </w:pPr>
      <w:r>
        <w:rPr>
          <w:rFonts w:ascii="Times New Roman" w:cs="Times New Roman" w:eastAsia="Times New Roman" w:hAnsi="Times New Roman"/>
          <w:sz w:val="20"/>
          <w:szCs w:val="20"/>
          <w:color w:val="auto"/>
        </w:rPr>
        <w:t>The centralized procedure provides for the grant of a single MA by the European Commission that is valid across the European Economic Area, or the EEA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w:t>
      </w:r>
    </w:p>
    <w:p>
      <w:pPr>
        <w:sectPr>
          <w:pgSz w:w="12240" w:h="15840" w:orient="portrait"/>
          <w:cols w:equalWidth="0" w:num="1">
            <w:col w:w="9920"/>
          </w:cols>
          <w:pgMar w:left="1160" w:top="1132" w:right="1160" w:bottom="175"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920"/>
          </w:cols>
          <w:pgMar w:left="1160" w:top="1132" w:right="1160" w:bottom="175" w:gutter="0" w:footer="0" w:header="0"/>
          <w:type w:val="continuous"/>
        </w:sectPr>
      </w:pPr>
    </w:p>
    <w:bookmarkStart w:id="32" w:name="page33"/>
    <w:bookmarkEnd w:id="32"/>
    <w:p>
      <w:pPr>
        <w:ind w:left="8" w:right="80"/>
        <w:spacing w:after="0" w:line="253" w:lineRule="auto"/>
        <w:rPr>
          <w:sz w:val="20"/>
          <w:szCs w:val="20"/>
          <w:color w:val="auto"/>
        </w:rPr>
      </w:pPr>
      <w:r>
        <w:rPr>
          <w:rFonts w:ascii="Times New Roman" w:cs="Times New Roman" w:eastAsia="Times New Roman" w:hAnsi="Times New Roman"/>
          <w:sz w:val="20"/>
          <w:szCs w:val="20"/>
          <w:color w:val="auto"/>
        </w:rPr>
        <w:t>optional. The centralized procedure may also be used in certain other cases at the request of the sponsor. We anticipate that the centralized procedure will be mandatory for the product candidates we are developing.</w:t>
      </w:r>
    </w:p>
    <w:p>
      <w:pPr>
        <w:spacing w:after="0" w:line="49" w:lineRule="exact"/>
        <w:rPr>
          <w:sz w:val="20"/>
          <w:szCs w:val="20"/>
          <w:color w:val="auto"/>
        </w:rPr>
      </w:pPr>
    </w:p>
    <w:p>
      <w:pPr>
        <w:ind w:left="8" w:right="40" w:firstLine="490"/>
        <w:spacing w:after="0" w:line="219" w:lineRule="auto"/>
        <w:rPr>
          <w:sz w:val="20"/>
          <w:szCs w:val="20"/>
          <w:color w:val="auto"/>
        </w:rPr>
      </w:pPr>
      <w:r>
        <w:rPr>
          <w:rFonts w:ascii="Times New Roman" w:cs="Times New Roman" w:eastAsia="Times New Roman" w:hAnsi="Times New Roman"/>
          <w:sz w:val="20"/>
          <w:szCs w:val="20"/>
          <w:color w:val="auto"/>
        </w:rPr>
        <w:t>Under the centralized procedure, the CHMP is also responsible for several post-authorization and maintenance activities, such as the assessment of modifications or extensions to an existing MA. Under the centralized procedure in the E.U., the maximum timeframe for the evaluation of an MAA is 210 days, excluding clock stops, when additional information or written or oral explanation is to be provided by the sponsor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an MA should be granted in relation to a medicinal product. Within 15 calendar days of receipt of a final opinion from the CHMP, the European Commission must prepare a draft decision concerning an application for an MA.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or the Standing Committee.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an MA.</w:t>
      </w:r>
    </w:p>
    <w:p>
      <w:pPr>
        <w:spacing w:after="0" w:line="73"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i w:val="1"/>
          <w:iCs w:val="1"/>
          <w:color w:val="auto"/>
        </w:rPr>
        <w:t>Exceptional Circumstances</w:t>
      </w:r>
    </w:p>
    <w:p>
      <w:pPr>
        <w:spacing w:after="0" w:line="95" w:lineRule="exact"/>
        <w:rPr>
          <w:sz w:val="20"/>
          <w:szCs w:val="20"/>
          <w:color w:val="auto"/>
        </w:rPr>
      </w:pPr>
    </w:p>
    <w:p>
      <w:pPr>
        <w:ind w:left="8" w:firstLine="490"/>
        <w:spacing w:after="0" w:line="224" w:lineRule="auto"/>
        <w:rPr>
          <w:sz w:val="20"/>
          <w:szCs w:val="20"/>
          <w:color w:val="auto"/>
        </w:rPr>
      </w:pPr>
      <w:r>
        <w:rPr>
          <w:rFonts w:ascii="Times New Roman" w:cs="Times New Roman" w:eastAsia="Times New Roman" w:hAnsi="Times New Roman"/>
          <w:sz w:val="20"/>
          <w:szCs w:val="20"/>
          <w:color w:val="auto"/>
        </w:rPr>
        <w:t>The European Commission may grant a so-called “marketing authorization under exceptional circumstances”. Such authorization is intended for products for which the sponsor can demonstrate that it is unable to provide comprehensive data on efficacy and safety under normal conditions of use, because the indications for which the product in question is intended are encountered so rarely that the sponsor cannot reasonably be expected to provide comprehensive evidence, or in the present state of scientific knowledge, comprehensive information cannot be provided, or it would be contrary to generally accepted principles of medical ethics to collect such information. Consequently, an MA under exceptional circumstances may be granted subject to certain specific obligations, which may include the following:</w:t>
      </w:r>
    </w:p>
    <w:p>
      <w:pPr>
        <w:spacing w:after="0" w:line="79" w:lineRule="exact"/>
        <w:rPr>
          <w:sz w:val="20"/>
          <w:szCs w:val="20"/>
          <w:color w:val="auto"/>
        </w:rPr>
      </w:pPr>
    </w:p>
    <w:p>
      <w:pPr>
        <w:ind w:left="368" w:right="140" w:hanging="368"/>
        <w:spacing w:after="0" w:line="254" w:lineRule="auto"/>
        <w:tabs>
          <w:tab w:leader="none" w:pos="368"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sponsor must complete an identified program of studies within a time period specified by the competent authority, the results of which form the basis of a reassessment of the benefit/risk profile;</w:t>
      </w:r>
    </w:p>
    <w:p>
      <w:pPr>
        <w:spacing w:after="0" w:line="60" w:lineRule="exact"/>
        <w:rPr>
          <w:rFonts w:ascii="Arial" w:cs="Arial" w:eastAsia="Arial" w:hAnsi="Arial"/>
          <w:sz w:val="20"/>
          <w:szCs w:val="20"/>
          <w:color w:val="auto"/>
        </w:rPr>
      </w:pPr>
    </w:p>
    <w:p>
      <w:pPr>
        <w:ind w:left="368" w:right="160" w:hanging="368"/>
        <w:spacing w:after="0" w:line="236" w:lineRule="auto"/>
        <w:tabs>
          <w:tab w:leader="none" w:pos="368"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96" w:lineRule="exact"/>
        <w:rPr>
          <w:rFonts w:ascii="Arial" w:cs="Arial" w:eastAsia="Arial" w:hAnsi="Arial"/>
          <w:sz w:val="20"/>
          <w:szCs w:val="20"/>
          <w:color w:val="auto"/>
        </w:rPr>
      </w:pPr>
    </w:p>
    <w:p>
      <w:pPr>
        <w:ind w:left="368" w:right="120" w:hanging="368"/>
        <w:spacing w:after="0" w:line="304" w:lineRule="auto"/>
        <w:tabs>
          <w:tab w:leader="none" w:pos="368"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7" w:lineRule="exact"/>
        <w:rPr>
          <w:sz w:val="20"/>
          <w:szCs w:val="20"/>
          <w:color w:val="auto"/>
        </w:rPr>
      </w:pPr>
    </w:p>
    <w:p>
      <w:pPr>
        <w:ind w:left="8" w:right="120" w:firstLine="490"/>
        <w:spacing w:after="0" w:line="226" w:lineRule="auto"/>
        <w:rPr>
          <w:sz w:val="20"/>
          <w:szCs w:val="20"/>
          <w:color w:val="auto"/>
        </w:rPr>
      </w:pPr>
      <w:r>
        <w:rPr>
          <w:rFonts w:ascii="Times New Roman" w:cs="Times New Roman" w:eastAsia="Times New Roman" w:hAnsi="Times New Roman"/>
          <w:sz w:val="20"/>
          <w:szCs w:val="20"/>
          <w:color w:val="auto"/>
        </w:rPr>
        <w:t>An MA under exceptional circumstances is subject to annual review to reassess the risk-benefit balance in an annual reassessment procedure. Continuation of the authorization is linked to the annual reassessment and a negative assessment could potentially result in the MA being suspended or revoked. The renewal of an MA of a medicinal product under exceptional circumstances, however, follows the same rules as a “normal” MA. Thus, an MA under exceptional circumstances is granted for an initial five years, after which the authorization will become valid indefinitely, unless the EMA decides that safety grounds merit one additional five-year renewal.</w:t>
      </w:r>
    </w:p>
    <w:p>
      <w:pPr>
        <w:spacing w:after="0" w:line="65"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i w:val="1"/>
          <w:iCs w:val="1"/>
          <w:color w:val="auto"/>
        </w:rPr>
        <w:t>Conditional Marketing Authorization</w:t>
      </w:r>
    </w:p>
    <w:p>
      <w:pPr>
        <w:spacing w:after="0" w:line="95" w:lineRule="exact"/>
        <w:rPr>
          <w:sz w:val="20"/>
          <w:szCs w:val="20"/>
          <w:color w:val="auto"/>
        </w:rPr>
      </w:pPr>
    </w:p>
    <w:p>
      <w:pPr>
        <w:ind w:left="8" w:firstLine="490"/>
        <w:spacing w:after="0" w:line="221" w:lineRule="auto"/>
        <w:rPr>
          <w:sz w:val="20"/>
          <w:szCs w:val="20"/>
          <w:color w:val="auto"/>
        </w:rPr>
      </w:pPr>
      <w:r>
        <w:rPr>
          <w:rFonts w:ascii="Times New Roman" w:cs="Times New Roman" w:eastAsia="Times New Roman" w:hAnsi="Times New Roman"/>
          <w:sz w:val="20"/>
          <w:szCs w:val="20"/>
          <w:color w:val="auto"/>
        </w:rPr>
        <w:t>The European Commission may also grant a so-called “conditional marketing authorization” prior to obtaining the comprehensive clinical data required for an application for a full MA. Such conditional marketing authorizations may be granted for product candidates (including medicines designated as orphan medicinal products), if (i) the risk-benefit balance of the product candidate is positive, (ii) it is likely that the sponsor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63" w:lineRule="exact"/>
        <w:rPr>
          <w:sz w:val="20"/>
          <w:szCs w:val="20"/>
          <w:color w:val="auto"/>
        </w:rPr>
      </w:pPr>
    </w:p>
    <w:p>
      <w:pPr>
        <w:ind w:left="8" w:right="40" w:firstLine="490"/>
        <w:spacing w:after="0"/>
        <w:rPr>
          <w:sz w:val="20"/>
          <w:szCs w:val="20"/>
          <w:color w:val="auto"/>
        </w:rPr>
      </w:pPr>
      <w:r>
        <w:rPr>
          <w:rFonts w:ascii="Times New Roman" w:cs="Times New Roman" w:eastAsia="Times New Roman" w:hAnsi="Times New Roman"/>
          <w:sz w:val="19"/>
          <w:szCs w:val="19"/>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w:t>
      </w:r>
    </w:p>
    <w:p>
      <w:pPr>
        <w:sectPr>
          <w:pgSz w:w="12240" w:h="15840" w:orient="portrait"/>
          <w:cols w:equalWidth="0" w:num="1">
            <w:col w:w="9928"/>
          </w:cols>
          <w:pgMar w:left="1152" w:top="1113" w:right="1160" w:bottom="175"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928"/>
          </w:cols>
          <w:pgMar w:left="1152" w:top="1113" w:right="1160" w:bottom="175" w:gutter="0" w:footer="0" w:header="0"/>
          <w:type w:val="continuous"/>
        </w:sectPr>
      </w:pPr>
    </w:p>
    <w:bookmarkStart w:id="33" w:name="page34"/>
    <w:bookmarkEnd w:id="33"/>
    <w:p>
      <w:pPr>
        <w:ind w:right="200"/>
        <w:spacing w:after="0" w:line="231" w:lineRule="auto"/>
        <w:rPr>
          <w:sz w:val="20"/>
          <w:szCs w:val="20"/>
          <w:color w:val="auto"/>
        </w:rPr>
      </w:pPr>
      <w:r>
        <w:rPr>
          <w:rFonts w:ascii="Times New Roman" w:cs="Times New Roman" w:eastAsia="Times New Roman" w:hAnsi="Times New Roman"/>
          <w:sz w:val="20"/>
          <w:szCs w:val="20"/>
          <w:color w:val="auto"/>
        </w:rPr>
        <w:t>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63" w:lineRule="exact"/>
        <w:rPr>
          <w:sz w:val="20"/>
          <w:szCs w:val="20"/>
          <w:color w:val="auto"/>
        </w:rPr>
      </w:pPr>
    </w:p>
    <w:p>
      <w:pPr>
        <w:ind w:right="60" w:firstLine="490"/>
        <w:spacing w:after="0" w:line="231" w:lineRule="auto"/>
        <w:rPr>
          <w:sz w:val="20"/>
          <w:szCs w:val="20"/>
          <w:color w:val="auto"/>
        </w:rPr>
      </w:pPr>
      <w:r>
        <w:rPr>
          <w:rFonts w:ascii="Times New Roman" w:cs="Times New Roman" w:eastAsia="Times New Roman" w:hAnsi="Times New Roman"/>
          <w:sz w:val="20"/>
          <w:szCs w:val="20"/>
          <w:color w:val="auto"/>
        </w:rPr>
        <w:t>The mutual recognition procedure similarly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Regulatory Data Protection in the E.U.</w:t>
      </w:r>
    </w:p>
    <w:p>
      <w:pPr>
        <w:spacing w:after="0" w:line="95" w:lineRule="exact"/>
        <w:rPr>
          <w:sz w:val="20"/>
          <w:szCs w:val="20"/>
          <w:color w:val="auto"/>
        </w:rPr>
      </w:pPr>
    </w:p>
    <w:p>
      <w:pPr>
        <w:ind w:right="100" w:firstLine="490"/>
        <w:spacing w:after="0" w:line="220" w:lineRule="auto"/>
        <w:rPr>
          <w:sz w:val="20"/>
          <w:szCs w:val="20"/>
          <w:color w:val="auto"/>
        </w:rPr>
      </w:pPr>
      <w:r>
        <w:rPr>
          <w:rFonts w:ascii="Times New Roman" w:cs="Times New Roman" w:eastAsia="Times New Roman" w:hAnsi="Times New Roman"/>
          <w:sz w:val="20"/>
          <w:szCs w:val="20"/>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sponsors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10-year period will be extended to a maximum of 11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67"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19"/>
          <w:szCs w:val="19"/>
          <w:color w:val="auto"/>
        </w:rPr>
        <w:t>In November 2020, the European Commission launched a review of the E.U.’s pharmaceutical legislation, including its provisions governing regulatory exclusivity. The EC’s proposal for revision of several legislative measures was published in April 2023 and includes, among other things, provisions that would potentially reduce the duration of regulatory exclusivity protection. On December 11. 2025, the European Parliament and Council reached a provisional political agreement on the legislation, which is expected to be adopted by mid-2026. Key changes include updating regulatory exclusivity to a new system with eight years of data exclusivity and a reduced market exclusivity period to one year, which can be extended if specific conditions are fulfilled up to a maximum of eleven years. This measure, and others, are expected to be adopted by mid-2026 and, following a transition period of 24 months, will likely take effect in mid-2028.</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Patent Term Extensions in the E.U. and Other Jurisdictions</w:t>
      </w:r>
    </w:p>
    <w:p>
      <w:pPr>
        <w:spacing w:after="0" w:line="95" w:lineRule="exact"/>
        <w:rPr>
          <w:sz w:val="20"/>
          <w:szCs w:val="20"/>
          <w:color w:val="auto"/>
        </w:rPr>
      </w:pPr>
    </w:p>
    <w:p>
      <w:pPr>
        <w:ind w:right="40" w:firstLine="490"/>
        <w:spacing w:after="0" w:line="226" w:lineRule="auto"/>
        <w:rPr>
          <w:sz w:val="20"/>
          <w:szCs w:val="20"/>
          <w:color w:val="auto"/>
        </w:rPr>
      </w:pPr>
      <w:r>
        <w:rPr>
          <w:rFonts w:ascii="Times New Roman" w:cs="Times New Roman" w:eastAsia="Times New Roman" w:hAnsi="Times New Roman"/>
          <w:sz w:val="20"/>
          <w:szCs w:val="20"/>
          <w:color w:val="auto"/>
        </w:rPr>
        <w:t>The E.U. also provides for patent term extension through Supplementary Protection Certificates, or SPCs. The rules and requirements for obtaining a SPC are similar to those in the U.S.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 sponsors must apply on a country-by-country basis. Similar patent term extension rights exist in certain other foreign jurisdictions outside the E.U.</w:t>
      </w:r>
    </w:p>
    <w:p>
      <w:pPr>
        <w:spacing w:after="0" w:line="6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Periods of Authorization and Renewals</w:t>
      </w:r>
    </w:p>
    <w:p>
      <w:pPr>
        <w:spacing w:after="0" w:line="95" w:lineRule="exact"/>
        <w:rPr>
          <w:sz w:val="20"/>
          <w:szCs w:val="20"/>
          <w:color w:val="auto"/>
        </w:rPr>
      </w:pPr>
    </w:p>
    <w:p>
      <w:pPr>
        <w:ind w:right="120" w:firstLine="490"/>
        <w:spacing w:after="0" w:line="234" w:lineRule="auto"/>
        <w:rPr>
          <w:sz w:val="20"/>
          <w:szCs w:val="20"/>
          <w:color w:val="auto"/>
        </w:rPr>
      </w:pPr>
      <w:r>
        <w:rPr>
          <w:rFonts w:ascii="Times New Roman" w:cs="Times New Roman" w:eastAsia="Times New Roman" w:hAnsi="Times New Roman"/>
          <w:sz w:val="19"/>
          <w:szCs w:val="19"/>
          <w:color w:val="auto"/>
        </w:rPr>
        <w:t>An MA has an initial validity for five years in principle. The MA may be renewed after five years on the basis of a re-evaluation of the risk-benefit balance by the EMA or by the competent authority of the E.U. Member State. To this end, the MA holder must provide the EMA or the competent authority with a consolidated version of the file in respect of quality, safety and efficacy, including all variations introduced since the MA was granted, at least six months before the MA ceases to be valid. The European Commission or the competent authorities of the E.U. Member States may decide, on justified grounds relating to pharmacovigilance, to proceed with one further five-year period of MA. Once subsequently definitively renewed, the MA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Pediatric Studies and Exclusivity</w:t>
      </w:r>
    </w:p>
    <w:p>
      <w:pPr>
        <w:spacing w:after="0" w:line="95" w:lineRule="exact"/>
        <w:rPr>
          <w:sz w:val="20"/>
          <w:szCs w:val="20"/>
          <w:color w:val="auto"/>
        </w:rPr>
      </w:pPr>
    </w:p>
    <w:p>
      <w:pPr>
        <w:ind w:right="60" w:firstLine="490"/>
        <w:spacing w:after="0" w:line="222" w:lineRule="auto"/>
        <w:rPr>
          <w:sz w:val="20"/>
          <w:szCs w:val="20"/>
          <w:color w:val="auto"/>
        </w:rPr>
      </w:pPr>
      <w:r>
        <w:rPr>
          <w:rFonts w:ascii="Times New Roman" w:cs="Times New Roman" w:eastAsia="Times New Roman" w:hAnsi="Times New Roman"/>
          <w:sz w:val="20"/>
          <w:szCs w:val="20"/>
          <w:color w:val="auto"/>
        </w:rPr>
        <w:t>Prior to obtaining an MA in the E.U.,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 can be amended, the EMA must determine that a company actually complied with the agreed studies and</w:t>
      </w:r>
    </w:p>
    <w:p>
      <w:pPr>
        <w:sectPr>
          <w:pgSz w:w="12240" w:h="15840" w:orient="portrait"/>
          <w:cols w:equalWidth="0" w:num="1">
            <w:col w:w="9920"/>
          </w:cols>
          <w:pgMar w:left="1160" w:top="1113" w:right="1160" w:bottom="175"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920"/>
          </w:cols>
          <w:pgMar w:left="1160" w:top="1113" w:right="1160" w:bottom="175" w:gutter="0" w:footer="0" w:header="0"/>
          <w:type w:val="continuous"/>
        </w:sectPr>
      </w:pPr>
    </w:p>
    <w:bookmarkStart w:id="34" w:name="page35"/>
    <w:bookmarkEnd w:id="34"/>
    <w:p>
      <w:pPr>
        <w:ind w:left="8" w:right="200"/>
        <w:spacing w:after="0" w:line="231" w:lineRule="auto"/>
        <w:rPr>
          <w:sz w:val="20"/>
          <w:szCs w:val="20"/>
          <w:color w:val="auto"/>
        </w:rPr>
      </w:pPr>
      <w:r>
        <w:rPr>
          <w:rFonts w:ascii="Times New Roman" w:cs="Times New Roman" w:eastAsia="Times New Roman" w:hAnsi="Times New Roman"/>
          <w:sz w:val="20"/>
          <w:szCs w:val="20"/>
          <w:color w:val="auto"/>
        </w:rPr>
        <w:t>measures listed in each relevant PIP. If a sponsor obtains an MA in all E.U. Member States, or an MA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83"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i w:val="1"/>
          <w:iCs w:val="1"/>
          <w:color w:val="auto"/>
        </w:rPr>
        <w:t>Regulatory Requirements after a Marketing Authorization has been Obtained</w:t>
      </w:r>
    </w:p>
    <w:p>
      <w:pPr>
        <w:spacing w:after="0" w:line="99" w:lineRule="exact"/>
        <w:rPr>
          <w:sz w:val="20"/>
          <w:szCs w:val="20"/>
          <w:color w:val="auto"/>
        </w:rPr>
      </w:pPr>
    </w:p>
    <w:p>
      <w:pPr>
        <w:jc w:val="both"/>
        <w:ind w:left="8" w:right="100" w:firstLine="490"/>
        <w:spacing w:after="0" w:line="236" w:lineRule="auto"/>
        <w:rPr>
          <w:sz w:val="20"/>
          <w:szCs w:val="20"/>
          <w:color w:val="auto"/>
        </w:rPr>
      </w:pPr>
      <w:r>
        <w:rPr>
          <w:rFonts w:ascii="Times New Roman" w:cs="Times New Roman" w:eastAsia="Times New Roman" w:hAnsi="Times New Roman"/>
          <w:sz w:val="20"/>
          <w:szCs w:val="20"/>
          <w:color w:val="auto"/>
        </w:rPr>
        <w:t>In case an authorization for a medicinal product in the E.U. is obtained, the holder of the MA is required to comply with a range of requirements applicable to the manufacturing, marketing, promotion and sale of medicinal products. These include:</w:t>
      </w:r>
    </w:p>
    <w:p>
      <w:pPr>
        <w:spacing w:after="0" w:line="76" w:lineRule="exact"/>
        <w:rPr>
          <w:sz w:val="20"/>
          <w:szCs w:val="20"/>
          <w:color w:val="auto"/>
        </w:rPr>
      </w:pPr>
    </w:p>
    <w:p>
      <w:pPr>
        <w:ind w:left="368" w:right="340" w:hanging="368"/>
        <w:spacing w:after="0" w:line="254" w:lineRule="auto"/>
        <w:tabs>
          <w:tab w:leader="none" w:pos="368"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the E.U.’s stringent pharmacovigilance or safety reporting rules must be ensured. These rules can impose post-authorization studies and additional monitoring obligations.</w:t>
      </w:r>
    </w:p>
    <w:p>
      <w:pPr>
        <w:spacing w:after="0" w:line="60" w:lineRule="exact"/>
        <w:rPr>
          <w:rFonts w:ascii="Arial" w:cs="Arial" w:eastAsia="Arial" w:hAnsi="Arial"/>
          <w:sz w:val="20"/>
          <w:szCs w:val="20"/>
          <w:color w:val="auto"/>
        </w:rPr>
      </w:pPr>
    </w:p>
    <w:p>
      <w:pPr>
        <w:ind w:left="368" w:hanging="368"/>
        <w:spacing w:after="0" w:line="224" w:lineRule="auto"/>
        <w:tabs>
          <w:tab w:leader="none" w:pos="368"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80" w:lineRule="exact"/>
        <w:rPr>
          <w:rFonts w:ascii="Arial" w:cs="Arial" w:eastAsia="Arial" w:hAnsi="Arial"/>
          <w:sz w:val="20"/>
          <w:szCs w:val="20"/>
          <w:color w:val="auto"/>
        </w:rPr>
      </w:pPr>
    </w:p>
    <w:p>
      <w:pPr>
        <w:ind w:left="368" w:right="60" w:hanging="368"/>
        <w:spacing w:after="0" w:line="231" w:lineRule="auto"/>
        <w:tabs>
          <w:tab w:leader="none" w:pos="368"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 Direct-to-consumer advertising of prescription medicines is prohibited across the E.U.</w:t>
      </w:r>
    </w:p>
    <w:p>
      <w:pPr>
        <w:spacing w:after="0" w:line="65"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i w:val="1"/>
          <w:iCs w:val="1"/>
          <w:color w:val="auto"/>
        </w:rPr>
        <w:t>Review and Approval of Medical Products in the U.K.</w:t>
      </w:r>
    </w:p>
    <w:p>
      <w:pPr>
        <w:spacing w:after="0" w:line="95" w:lineRule="exact"/>
        <w:rPr>
          <w:sz w:val="20"/>
          <w:szCs w:val="20"/>
          <w:color w:val="auto"/>
        </w:rPr>
      </w:pPr>
    </w:p>
    <w:p>
      <w:pPr>
        <w:ind w:left="8" w:firstLine="490"/>
        <w:spacing w:after="0" w:line="220" w:lineRule="auto"/>
        <w:rPr>
          <w:sz w:val="20"/>
          <w:szCs w:val="20"/>
          <w:color w:val="auto"/>
        </w:rPr>
      </w:pPr>
      <w:r>
        <w:rPr>
          <w:rFonts w:ascii="Times New Roman" w:cs="Times New Roman" w:eastAsia="Times New Roman" w:hAnsi="Times New Roman"/>
          <w:sz w:val="20"/>
          <w:szCs w:val="20"/>
          <w:color w:val="auto"/>
        </w:rPr>
        <w:t>The U.K.’s withdrawal from the E.U., commonly referred to as Brexit, took place on January 31, 2020. The E.U. and the U.K. reached an agreement on their new partnership in the Trade and Cooperation Agreement, which entered into force on May 1, 2021. As of January 1, 2025, the Medicines and Healthcare Products Regulatory Agency, or the MHRA, is responsible for approving all medicinal products destined for the United Kingdom market (Great Britain and Northern Ireland), and the EMA will no longer have any role in approving medicinal products destined for Northern Ireland. The MHRA relies on the Human Medicines Regulations 2012 (SI 2012/1916) (as amended), or the HMR, as the basis for regulating medicines. The HMR has incorporated into the domestic law the body of E.U. law instruments governing medicinal products that pre-existed prior to the U.K.’s withdrawal from the E.U. On April 28, 2025, the Parliament adopted amendments to improve and strengthen the clinical trials regulatory regime in the United Kingdom. These revisions will take effect on April 28, 2026, and were needed since the then existing requirements in the United Kingdom were based upon the now-repealed Clinical Trials Directive, which has been replaced by the CTR. Since the U.K. left the E.U. prior to the date on which the E.U. CTR took effect, the legal framework in the U.K. did not benefit from the same revisions as occurred at the E.U. level.</w:t>
      </w:r>
    </w:p>
    <w:p>
      <w:pPr>
        <w:spacing w:after="0" w:line="70" w:lineRule="exact"/>
        <w:rPr>
          <w:sz w:val="20"/>
          <w:szCs w:val="20"/>
          <w:color w:val="auto"/>
        </w:rPr>
      </w:pPr>
    </w:p>
    <w:p>
      <w:pPr>
        <w:ind w:left="8" w:firstLine="540"/>
        <w:spacing w:after="0" w:line="224" w:lineRule="auto"/>
        <w:rPr>
          <w:sz w:val="20"/>
          <w:szCs w:val="20"/>
          <w:color w:val="auto"/>
        </w:rPr>
      </w:pPr>
      <w:r>
        <w:rPr>
          <w:rFonts w:ascii="Times New Roman" w:cs="Times New Roman" w:eastAsia="Times New Roman" w:hAnsi="Times New Roman"/>
          <w:sz w:val="20"/>
          <w:szCs w:val="20"/>
          <w:color w:val="auto"/>
        </w:rPr>
        <w:t>As of January 1, 2024, a new international recognition procedure, or IRP, applies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EEA member states for approvals in the EU centralized procedure and mutual recognition procedure as well as the FDA (for product approvals granted in the U.S.). The RR assessment must have undergone a full and standalone review. RR assessments based on reliance or recognition cannot be used to support an IRP application. A CHMP positive opinion or an MRDC positive end of procedure outcome is an RR authorization for the purposes of IRP.</w:t>
      </w:r>
    </w:p>
    <w:p>
      <w:pPr>
        <w:spacing w:after="0" w:line="68"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i w:val="1"/>
          <w:iCs w:val="1"/>
          <w:color w:val="auto"/>
        </w:rPr>
        <w:t>General Data Protection Regulation</w:t>
      </w:r>
    </w:p>
    <w:p>
      <w:pPr>
        <w:spacing w:after="0" w:line="95" w:lineRule="exact"/>
        <w:rPr>
          <w:sz w:val="20"/>
          <w:szCs w:val="20"/>
          <w:color w:val="auto"/>
        </w:rPr>
      </w:pPr>
    </w:p>
    <w:p>
      <w:pPr>
        <w:ind w:left="8" w:firstLine="490"/>
        <w:spacing w:after="0" w:line="220" w:lineRule="auto"/>
        <w:rPr>
          <w:sz w:val="20"/>
          <w:szCs w:val="20"/>
          <w:color w:val="auto"/>
        </w:rPr>
      </w:pPr>
      <w:r>
        <w:rPr>
          <w:rFonts w:ascii="Times New Roman" w:cs="Times New Roman" w:eastAsia="Times New Roman" w:hAnsi="Times New Roman"/>
          <w:sz w:val="20"/>
          <w:szCs w:val="20"/>
          <w:color w:val="auto"/>
        </w:rPr>
        <w:t>The collection, use, disclosure, transfer or other processing of personal data regarding individuals in the E.U., including personal health data, is subject to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four percent of annual global revenues, whichever is greater. The GDPR also confers a private right of action on data patients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w:t>
      </w:r>
    </w:p>
    <w:p>
      <w:pPr>
        <w:spacing w:after="0" w:line="70" w:lineRule="exact"/>
        <w:rPr>
          <w:sz w:val="20"/>
          <w:szCs w:val="20"/>
          <w:color w:val="auto"/>
        </w:rPr>
      </w:pPr>
    </w:p>
    <w:p>
      <w:pPr>
        <w:jc w:val="both"/>
        <w:ind w:left="8" w:right="440" w:firstLine="490"/>
        <w:spacing w:after="0" w:line="279" w:lineRule="auto"/>
        <w:rPr>
          <w:sz w:val="20"/>
          <w:szCs w:val="20"/>
          <w:color w:val="auto"/>
        </w:rPr>
      </w:pPr>
      <w:r>
        <w:rPr>
          <w:rFonts w:ascii="Times New Roman" w:cs="Times New Roman" w:eastAsia="Times New Roman" w:hAnsi="Times New Roman"/>
          <w:sz w:val="19"/>
          <w:szCs w:val="19"/>
          <w:color w:val="auto"/>
        </w:rPr>
        <w:t>In July 2020, the Court of Justice of the European Union, or the CJEU, invalidated the E.U.-U.S. Privacy Shield framework, one of the mechanisms used to legitimize the transfer of personal data from the EEA to the United States.</w:t>
      </w:r>
    </w:p>
    <w:p>
      <w:pPr>
        <w:sectPr>
          <w:pgSz w:w="12240" w:h="15840" w:orient="portrait"/>
          <w:cols w:equalWidth="0" w:num="1">
            <w:col w:w="9908"/>
          </w:cols>
          <w:pgMar w:left="1152" w:top="1113" w:right="1180" w:bottom="175" w:gutter="0" w:footer="0" w:header="0"/>
        </w:sectPr>
      </w:pPr>
    </w:p>
    <w:p>
      <w:pPr>
        <w:spacing w:after="0" w:line="27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908"/>
          </w:cols>
          <w:pgMar w:left="1152" w:top="1113" w:right="1180" w:bottom="175" w:gutter="0" w:footer="0" w:header="0"/>
          <w:type w:val="continuous"/>
        </w:sectPr>
      </w:pPr>
    </w:p>
    <w:bookmarkStart w:id="35" w:name="page36"/>
    <w:bookmarkEnd w:id="35"/>
    <w:p>
      <w:pPr>
        <w:ind w:right="40"/>
        <w:spacing w:after="0" w:line="223" w:lineRule="auto"/>
        <w:rPr>
          <w:sz w:val="20"/>
          <w:szCs w:val="20"/>
          <w:color w:val="auto"/>
        </w:rPr>
      </w:pPr>
      <w:r>
        <w:rPr>
          <w:rFonts w:ascii="Times New Roman" w:cs="Times New Roman" w:eastAsia="Times New Roman" w:hAnsi="Times New Roman"/>
          <w:sz w:val="20"/>
          <w:szCs w:val="20"/>
          <w:color w:val="auto"/>
        </w:rPr>
        <w:t>Following this decision, the European Commission adopted an adequacy decision for the E.U.-U.S. Data Privacy Framework in July 2023. This adequacy decision permits U.S. companies who self-certify under the E.U.-U.S. Data Privacy Framework to rely on it as a valid data transfer mechanism for data transfers from the European Union to the United States. However, some privacy advocacy groups have already suggested that they will be challenging the E.U.-U.S. Data Privacy Framework, and there is currently one pending litigation against the EU-U.S. Data Privacy Framework before the Court of Justice of the European Union (CJEU), C-703/25 P – Latombe v Commission. If these challenges are successful, they may not only impact the E.U.-U.S. Data Privacy Framework, but also further limit the viability of the so-called standard contractual clauses and other data transfer mechanisms.</w:t>
      </w:r>
    </w:p>
    <w:p>
      <w:pPr>
        <w:spacing w:after="0" w:line="66" w:lineRule="exact"/>
        <w:rPr>
          <w:sz w:val="20"/>
          <w:szCs w:val="20"/>
          <w:color w:val="auto"/>
        </w:rPr>
      </w:pPr>
    </w:p>
    <w:p>
      <w:pPr>
        <w:ind w:firstLine="490"/>
        <w:spacing w:after="0" w:line="222" w:lineRule="auto"/>
        <w:rPr>
          <w:sz w:val="20"/>
          <w:szCs w:val="20"/>
          <w:color w:val="auto"/>
        </w:rPr>
      </w:pPr>
      <w:r>
        <w:rPr>
          <w:rFonts w:ascii="Times New Roman" w:cs="Times New Roman" w:eastAsia="Times New Roman" w:hAnsi="Times New Roman"/>
          <w:sz w:val="20"/>
          <w:szCs w:val="20"/>
          <w:color w:val="auto"/>
        </w:rPr>
        <w:t>In October 2022, President Biden signed an executive order to implement the E.U.-U.S. Data Privacy Framework, which would serve as a replacement to the E.U.-U.S. Privacy Shield. The European Commission initiated the process to adopt an adequacy decision for the E.U.-U.S. Data Privacy Framework in December 2022, and has now adopted an adequacy decision to permit data transfers from the E.U. to the U.S. going forward. This development permits data transfers under the E.U.-U.S. Data Privacy Framework and more broadly has made international data transfers more straightforward, but these provisions are being challenged in court. The continuing uncertainty around this issue may further impact our business operations in the E.U. We may, however, incur liabilities, expenses, costs, and other operational losses under the GDPR and the laws of applicable E.U. Member States and the U.K. privacy laws in connection with any measures we take to comply with them.</w:t>
      </w:r>
    </w:p>
    <w:p>
      <w:pPr>
        <w:spacing w:after="0" w:line="68" w:lineRule="exact"/>
        <w:rPr>
          <w:sz w:val="20"/>
          <w:szCs w:val="20"/>
          <w:color w:val="auto"/>
        </w:rPr>
      </w:pPr>
    </w:p>
    <w:p>
      <w:pPr>
        <w:ind w:right="160" w:firstLine="490"/>
        <w:spacing w:after="0" w:line="222" w:lineRule="auto"/>
        <w:rPr>
          <w:sz w:val="20"/>
          <w:szCs w:val="20"/>
          <w:color w:val="auto"/>
        </w:rPr>
      </w:pPr>
      <w:r>
        <w:rPr>
          <w:rFonts w:ascii="Times New Roman" w:cs="Times New Roman" w:eastAsia="Times New Roman" w:hAnsi="Times New Roman"/>
          <w:sz w:val="20"/>
          <w:szCs w:val="20"/>
          <w:color w:val="auto"/>
        </w:rPr>
        <w:t>Following the withdrawal of the United Kingdom from the E.U., the U.K. Data Protection Act applies to the processing of personal data that takes place in the United Kingdom and includes parallel obligations to those set forth by GDPR. The United Kingdom government has determined that it considers all EU member states and European Economic Area, or EEA, member states to be adequate for the purposes of data protection, ensuring that data flows from the United Kingdom to the E.U./EEA remain unaffected. Further, the European Commission decided in June 2021 that the level of data protection in the United Kingdom is “essentially adequate” for purposes of data transfer from the EU to the United Kingdom. On December 19, 2025, the European Commission renewed this decision until December 27, 2031. The United Kingdom and the U.S. have also agreed to a U.S.- U.K. “Data Bridge,” which functions similarly to the E.U.-U.S. Data Privacy Framework and provides an additional legal mechanism for companies to transfer personal data from the United Kingdom to the United States.</w:t>
      </w:r>
    </w:p>
    <w:p>
      <w:pPr>
        <w:spacing w:after="0" w:line="63" w:lineRule="exact"/>
        <w:rPr>
          <w:sz w:val="20"/>
          <w:szCs w:val="20"/>
          <w:color w:val="auto"/>
        </w:rPr>
      </w:pPr>
    </w:p>
    <w:p>
      <w:pPr>
        <w:ind w:right="60" w:firstLine="490"/>
        <w:spacing w:after="0" w:line="231" w:lineRule="auto"/>
        <w:rPr>
          <w:sz w:val="20"/>
          <w:szCs w:val="20"/>
          <w:color w:val="auto"/>
        </w:rPr>
      </w:pPr>
      <w:r>
        <w:rPr>
          <w:rFonts w:ascii="Times New Roman" w:cs="Times New Roman" w:eastAsia="Times New Roman" w:hAnsi="Times New Roman"/>
          <w:sz w:val="20"/>
          <w:szCs w:val="20"/>
          <w:color w:val="auto"/>
        </w:rPr>
        <w:t>Beyond the GDPR, there are privacy and data security laws in a growing number of countries around the world. While many loosely follow the GDPR as a model, other laws contain different or conflicting provisions. These laws may impact our ability to conduct our business activities, including both our clinical trials and any eventual sale and distribution of commercial products.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Pricing Decisions for Approved Products</w:t>
      </w:r>
    </w:p>
    <w:p>
      <w:pPr>
        <w:spacing w:after="0" w:line="105" w:lineRule="exact"/>
        <w:rPr>
          <w:sz w:val="20"/>
          <w:szCs w:val="20"/>
          <w:color w:val="auto"/>
        </w:rPr>
      </w:pPr>
    </w:p>
    <w:p>
      <w:pPr>
        <w:ind w:right="20" w:firstLine="490"/>
        <w:spacing w:after="0" w:line="228" w:lineRule="auto"/>
        <w:rPr>
          <w:sz w:val="20"/>
          <w:szCs w:val="20"/>
          <w:color w:val="auto"/>
        </w:rPr>
      </w:pPr>
      <w:r>
        <w:rPr>
          <w:rFonts w:ascii="Times New Roman" w:cs="Times New Roman" w:eastAsia="Times New Roman" w:hAnsi="Times New Roman"/>
          <w:sz w:val="20"/>
          <w:szCs w:val="20"/>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111" w:lineRule="exact"/>
        <w:rPr>
          <w:sz w:val="20"/>
          <w:szCs w:val="20"/>
          <w:color w:val="auto"/>
        </w:rPr>
      </w:pPr>
    </w:p>
    <w:p>
      <w:pPr>
        <w:ind w:right="240" w:firstLine="490"/>
        <w:spacing w:after="0" w:line="238" w:lineRule="auto"/>
        <w:rPr>
          <w:sz w:val="20"/>
          <w:szCs w:val="20"/>
          <w:color w:val="auto"/>
        </w:rPr>
      </w:pPr>
      <w:r>
        <w:rPr>
          <w:rFonts w:ascii="Times New Roman" w:cs="Times New Roman" w:eastAsia="Times New Roman" w:hAnsi="Times New Roman"/>
          <w:sz w:val="20"/>
          <w:szCs w:val="20"/>
          <w:color w:val="auto"/>
        </w:rPr>
        <w:t>As of December 31, 2025, we had 34 employees, with 21 employees engaged in research and development and the remaining 13 engaged in general management and administration, including finance and commercial. None of our employees are represented by labor unions or covered by collective bargaining agreements. We believe that we maintain good relations with our employees.</w:t>
      </w:r>
    </w:p>
    <w:p>
      <w:pPr>
        <w:spacing w:after="0" w:line="74" w:lineRule="exact"/>
        <w:rPr>
          <w:sz w:val="20"/>
          <w:szCs w:val="20"/>
          <w:color w:val="auto"/>
        </w:rPr>
      </w:pPr>
    </w:p>
    <w:p>
      <w:pPr>
        <w:ind w:right="80" w:firstLine="490"/>
        <w:spacing w:after="0" w:line="255" w:lineRule="auto"/>
        <w:rPr>
          <w:sz w:val="20"/>
          <w:szCs w:val="20"/>
          <w:color w:val="auto"/>
        </w:rPr>
      </w:pPr>
      <w:r>
        <w:rPr>
          <w:rFonts w:ascii="Times New Roman" w:cs="Times New Roman" w:eastAsia="Times New Roman" w:hAnsi="Times New Roman"/>
          <w:sz w:val="19"/>
          <w:szCs w:val="19"/>
          <w:color w:val="auto"/>
        </w:rPr>
        <w:t>Our human capital resources objectives include, as applicable, identifying, recruiting, retaining, incentivizing and integrating our existing and future employees. The principal purposes of our equity incentive plans are to attract, retain and motivate employees, selected consultants and directors through the granting of stock-based compensation awards in ways that are aligned with the interests of our stockholders. We value our employees and regularly benchmark total rewards we</w:t>
      </w:r>
    </w:p>
    <w:p>
      <w:pPr>
        <w:sectPr>
          <w:pgSz w:w="12240" w:h="15840" w:orient="portrait"/>
          <w:cols w:equalWidth="0" w:num="1">
            <w:col w:w="9920"/>
          </w:cols>
          <w:pgMar w:left="1160" w:top="1113" w:right="1160" w:bottom="175" w:gutter="0" w:footer="0" w:header="0"/>
        </w:sect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920"/>
          </w:cols>
          <w:pgMar w:left="1160" w:top="1113" w:right="1160" w:bottom="175" w:gutter="0" w:footer="0" w:header="0"/>
          <w:type w:val="continuous"/>
        </w:sectPr>
      </w:pPr>
    </w:p>
    <w:bookmarkStart w:id="36" w:name="page37"/>
    <w:bookmarkEnd w:id="36"/>
    <w:p>
      <w:pPr>
        <w:ind w:left="8" w:right="140"/>
        <w:spacing w:after="0" w:line="244" w:lineRule="auto"/>
        <w:rPr>
          <w:sz w:val="20"/>
          <w:szCs w:val="20"/>
          <w:color w:val="auto"/>
        </w:rPr>
      </w:pPr>
      <w:r>
        <w:rPr>
          <w:rFonts w:ascii="Times New Roman" w:cs="Times New Roman" w:eastAsia="Times New Roman" w:hAnsi="Times New Roman"/>
          <w:sz w:val="20"/>
          <w:szCs w:val="20"/>
          <w:color w:val="auto"/>
        </w:rPr>
        <w:t>provide, such as short- and long-term compensation, 401(k) contributions, health, welfare and quality of life benefits, paid time off and personal leave, against our industry peers to ensure we remain competitive and attractive to potential new hires.</w:t>
      </w:r>
    </w:p>
    <w:p>
      <w:pPr>
        <w:spacing w:after="0" w:line="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Our Corporate Information</w:t>
      </w:r>
    </w:p>
    <w:p>
      <w:pPr>
        <w:spacing w:after="0" w:line="111" w:lineRule="exact"/>
        <w:rPr>
          <w:sz w:val="20"/>
          <w:szCs w:val="20"/>
          <w:color w:val="auto"/>
        </w:rPr>
      </w:pPr>
    </w:p>
    <w:p>
      <w:pPr>
        <w:ind w:left="8" w:right="180" w:firstLine="490"/>
        <w:spacing w:after="0" w:line="223" w:lineRule="auto"/>
        <w:rPr>
          <w:sz w:val="20"/>
          <w:szCs w:val="20"/>
          <w:color w:val="auto"/>
        </w:rPr>
      </w:pPr>
      <w:r>
        <w:rPr>
          <w:rFonts w:ascii="Times New Roman" w:cs="Times New Roman" w:eastAsia="Times New Roman" w:hAnsi="Times New Roman"/>
          <w:sz w:val="20"/>
          <w:szCs w:val="20"/>
          <w:color w:val="auto"/>
        </w:rPr>
        <w:t>We were incorporated under the laws of the State of Delaware on March 17, 2011 under the name Trevi Therapeutics, Inc. Our principal executive offices are located at 195 Church Street,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Floor, New Haven, Connecticut 06510, and our telephone number is (203) 304-2499. Our website address is www.trevitherapeutics.com. The information contained on, or that can be accessed through, our website is not a part of this Annual Report on Form 10-K. We have included our website address in this Annual Report on Form 10-K solely as an inactive textual reference.</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6" w:lineRule="exact"/>
        <w:rPr>
          <w:sz w:val="20"/>
          <w:szCs w:val="20"/>
          <w:color w:val="auto"/>
        </w:rPr>
      </w:pPr>
    </w:p>
    <w:p>
      <w:pPr>
        <w:ind w:left="8" w:right="40"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Additional Capital</w:t>
      </w:r>
    </w:p>
    <w:p>
      <w:pPr>
        <w:spacing w:after="0" w:line="109" w:lineRule="exact"/>
        <w:rPr>
          <w:sz w:val="20"/>
          <w:szCs w:val="20"/>
          <w:color w:val="auto"/>
        </w:rPr>
      </w:pPr>
    </w:p>
    <w:p>
      <w:pPr>
        <w:ind w:left="8"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losses since inception, expect to incur significant and increasing losses for the foreseeable future and may never achieve or maintain profitability.</w:t>
      </w:r>
    </w:p>
    <w:p>
      <w:pPr>
        <w:spacing w:after="0" w:line="64" w:lineRule="exact"/>
        <w:rPr>
          <w:sz w:val="20"/>
          <w:szCs w:val="20"/>
          <w:color w:val="auto"/>
        </w:rPr>
      </w:pPr>
    </w:p>
    <w:p>
      <w:pPr>
        <w:ind w:left="8" w:right="20" w:firstLine="490"/>
        <w:spacing w:after="0" w:line="243" w:lineRule="auto"/>
        <w:rPr>
          <w:sz w:val="20"/>
          <w:szCs w:val="20"/>
          <w:color w:val="auto"/>
        </w:rPr>
      </w:pPr>
      <w:r>
        <w:rPr>
          <w:rFonts w:ascii="Times New Roman" w:cs="Times New Roman" w:eastAsia="Times New Roman" w:hAnsi="Times New Roman"/>
          <w:sz w:val="20"/>
          <w:szCs w:val="20"/>
          <w:color w:val="auto"/>
        </w:rPr>
        <w:t>We have incurred significant annual net losses every year since our inception. We expect to continue to incur significant and increasing net losses for at least the next several years. Our net losses were $42.8 million and $47.9 million for the years ended December 31, 2025 and 2024, respectively. As of December 31, 2025, we had an accumulated deficit of $329.8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proceeds from our IPO, sales of our common stock and warrants to purchase our common stock, and borrowings from term loans.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spacing w:after="0" w:line="89" w:lineRule="exact"/>
        <w:rPr>
          <w:sz w:val="20"/>
          <w:szCs w:val="20"/>
          <w:color w:val="auto"/>
        </w:rPr>
      </w:pPr>
    </w:p>
    <w:p>
      <w:pPr>
        <w:ind w:left="8" w:right="320" w:firstLine="490"/>
        <w:spacing w:after="0" w:line="277" w:lineRule="auto"/>
        <w:rPr>
          <w:sz w:val="20"/>
          <w:szCs w:val="20"/>
          <w:color w:val="auto"/>
        </w:rPr>
      </w:pPr>
      <w:r>
        <w:rPr>
          <w:rFonts w:ascii="Times New Roman" w:cs="Times New Roman" w:eastAsia="Times New Roman" w:hAnsi="Times New Roman"/>
          <w:sz w:val="20"/>
          <w:szCs w:val="20"/>
          <w:color w:val="auto"/>
        </w:rPr>
        <w:t>We expect to continue to incur significant expenses and increasing operating losses for the foreseeable future. We anticipate that our expenses will increase substantially if and as we:</w:t>
      </w:r>
    </w:p>
    <w:p>
      <w:pPr>
        <w:spacing w:after="0" w:line="64" w:lineRule="exact"/>
        <w:rPr>
          <w:sz w:val="20"/>
          <w:szCs w:val="20"/>
          <w:color w:val="auto"/>
        </w:rPr>
      </w:pPr>
    </w:p>
    <w:p>
      <w:pPr>
        <w:ind w:left="488" w:right="100" w:hanging="488"/>
        <w:spacing w:after="0" w:line="249" w:lineRule="auto"/>
        <w:tabs>
          <w:tab w:leader="none" w:pos="48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develop and conduct clinical trials of Haduvio, including our planned Phase 3 trials of Haduvio for the treatment of chronic cough in patients with idiopathic pulmonary fibrosis, or IPF, our planned adaptive design Phase 2b clinical trial of Haduvio for the treatment of chronic cough in patients with non-IPF interstitial lung disease, or non-IPF ILD, our planned Phase 2b clinical trial of Haduvio for the treatment of patients with refractory chronic cough, or RCC, and our planned Phase 1 NDA supportive studies;</w:t>
      </w:r>
    </w:p>
    <w:p>
      <w:pPr>
        <w:spacing w:after="0" w:line="90" w:lineRule="exact"/>
        <w:rPr>
          <w:rFonts w:ascii="Arial" w:cs="Arial" w:eastAsia="Arial" w:hAnsi="Arial"/>
          <w:sz w:val="20"/>
          <w:szCs w:val="20"/>
          <w:color w:val="auto"/>
        </w:rPr>
      </w:pPr>
    </w:p>
    <w:p>
      <w:pPr>
        <w:ind w:left="488" w:right="80" w:hanging="488"/>
        <w:spacing w:after="0" w:line="252" w:lineRule="auto"/>
        <w:tabs>
          <w:tab w:leader="none" w:pos="48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w:t>
      </w:r>
    </w:p>
    <w:p>
      <w:pPr>
        <w:spacing w:after="0" w:line="87" w:lineRule="exact"/>
        <w:rPr>
          <w:rFonts w:ascii="Arial" w:cs="Arial" w:eastAsia="Arial" w:hAnsi="Arial"/>
          <w:sz w:val="20"/>
          <w:szCs w:val="20"/>
          <w:color w:val="auto"/>
        </w:rPr>
      </w:pPr>
    </w:p>
    <w:p>
      <w:pPr>
        <w:ind w:left="488" w:hanging="488"/>
        <w:spacing w:after="0" w:line="276" w:lineRule="auto"/>
        <w:tabs>
          <w:tab w:leader="none" w:pos="48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seek regulatory and marketing approvals for Haduvio for the treatment of chronic cough in patients with IPF, non-IPF ILD or RCC or for any future product candidate that successfully completes clinical trials, if any;</w:t>
      </w:r>
    </w:p>
    <w:p>
      <w:pPr>
        <w:spacing w:after="0" w:line="64" w:lineRule="exact"/>
        <w:rPr>
          <w:rFonts w:ascii="Arial" w:cs="Arial" w:eastAsia="Arial" w:hAnsi="Arial"/>
          <w:sz w:val="20"/>
          <w:szCs w:val="20"/>
          <w:color w:val="auto"/>
        </w:rPr>
      </w:pPr>
    </w:p>
    <w:p>
      <w:pPr>
        <w:ind w:left="488" w:hanging="488"/>
        <w:spacing w:after="0"/>
        <w:tabs>
          <w:tab w:leader="none" w:pos="48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negotiate and execute pediatric development plans and complete any post-approval commitments;</w:t>
      </w:r>
    </w:p>
    <w:p>
      <w:pPr>
        <w:spacing w:after="0" w:line="133" w:lineRule="exact"/>
        <w:rPr>
          <w:rFonts w:ascii="Arial" w:cs="Arial" w:eastAsia="Arial" w:hAnsi="Arial"/>
          <w:sz w:val="20"/>
          <w:szCs w:val="20"/>
          <w:color w:val="auto"/>
        </w:rPr>
      </w:pPr>
    </w:p>
    <w:p>
      <w:pPr>
        <w:ind w:left="488" w:right="120" w:hanging="488"/>
        <w:spacing w:after="0" w:line="276" w:lineRule="auto"/>
        <w:tabs>
          <w:tab w:leader="none" w:pos="48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sales, marketing, distribution and other commercial infrastructure to commercialize any products for which we may obtain marketing approval;</w:t>
      </w:r>
    </w:p>
    <w:p>
      <w:pPr>
        <w:spacing w:after="0" w:line="64" w:lineRule="exact"/>
        <w:rPr>
          <w:rFonts w:ascii="Arial" w:cs="Arial" w:eastAsia="Arial" w:hAnsi="Arial"/>
          <w:sz w:val="20"/>
          <w:szCs w:val="20"/>
          <w:color w:val="auto"/>
        </w:rPr>
      </w:pPr>
    </w:p>
    <w:p>
      <w:pPr>
        <w:ind w:left="488" w:right="60" w:hanging="488"/>
        <w:spacing w:after="0" w:line="276" w:lineRule="auto"/>
        <w:tabs>
          <w:tab w:leader="none" w:pos="48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the manufacture of larger quantities of Haduvio or any future product candidate for clinical development and, potentially, commercialization;</w:t>
      </w:r>
    </w:p>
    <w:p>
      <w:pPr>
        <w:spacing w:after="0" w:line="64" w:lineRule="exact"/>
        <w:rPr>
          <w:rFonts w:ascii="Arial" w:cs="Arial" w:eastAsia="Arial" w:hAnsi="Arial"/>
          <w:sz w:val="20"/>
          <w:szCs w:val="20"/>
          <w:color w:val="auto"/>
        </w:rPr>
      </w:pPr>
    </w:p>
    <w:p>
      <w:pPr>
        <w:ind w:left="488" w:hanging="488"/>
        <w:spacing w:after="0"/>
        <w:tabs>
          <w:tab w:leader="none" w:pos="48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acquire or in-license rights to other potential product candidates or technologies;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initiate and conduct research, preclinical and clinical development efforts for any future product candidates;</w:t>
      </w:r>
    </w:p>
    <w:p>
      <w:pPr>
        <w:sectPr>
          <w:pgSz w:w="12240" w:h="15840" w:orient="portrait"/>
          <w:cols w:equalWidth="0" w:num="1">
            <w:col w:w="9928"/>
          </w:cols>
          <w:pgMar w:left="1152" w:top="1121" w:right="1160" w:bottom="175" w:gutter="0" w:footer="0" w:header="0"/>
        </w:sectPr>
      </w:pPr>
    </w:p>
    <w:p>
      <w:pPr>
        <w:spacing w:after="0" w:line="3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928"/>
          </w:cols>
          <w:pgMar w:left="1152" w:top="1121" w:right="1160" w:bottom="175" w:gutter="0" w:footer="0" w:header="0"/>
          <w:type w:val="continuous"/>
        </w:sectPr>
      </w:pPr>
    </w:p>
    <w:bookmarkStart w:id="37" w:name="page38"/>
    <w:bookmarkEnd w:id="37"/>
    <w:p>
      <w:pPr>
        <w:ind w:left="488" w:hanging="488"/>
        <w:spacing w:after="0"/>
        <w:tabs>
          <w:tab w:leader="none" w:pos="48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hire and retain additional personnel, such as clinical, regulatory and scientific personnel;</w:t>
      </w:r>
    </w:p>
    <w:p>
      <w:pPr>
        <w:spacing w:after="0" w:line="133" w:lineRule="exact"/>
        <w:rPr>
          <w:rFonts w:ascii="Arial" w:cs="Arial" w:eastAsia="Arial" w:hAnsi="Arial"/>
          <w:sz w:val="20"/>
          <w:szCs w:val="20"/>
          <w:color w:val="auto"/>
        </w:rPr>
      </w:pPr>
    </w:p>
    <w:p>
      <w:pPr>
        <w:ind w:left="488" w:right="260" w:hanging="488"/>
        <w:spacing w:after="0" w:line="276" w:lineRule="auto"/>
        <w:tabs>
          <w:tab w:leader="none" w:pos="48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add operational, financial and management information systems and personnel, including personnel to support our commercialization efforts and to help us comply with our obligations as a public company; and</w:t>
      </w:r>
    </w:p>
    <w:p>
      <w:pPr>
        <w:spacing w:after="0" w:line="64" w:lineRule="exact"/>
        <w:rPr>
          <w:rFonts w:ascii="Arial" w:cs="Arial" w:eastAsia="Arial" w:hAnsi="Arial"/>
          <w:sz w:val="20"/>
          <w:szCs w:val="20"/>
          <w:color w:val="auto"/>
        </w:rPr>
      </w:pPr>
    </w:p>
    <w:p>
      <w:pPr>
        <w:ind w:left="488" w:right="560" w:hanging="488"/>
        <w:spacing w:after="0" w:line="276" w:lineRule="auto"/>
        <w:tabs>
          <w:tab w:leader="none" w:pos="48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color w:val="auto"/>
        </w:rPr>
        <w:t>add equipment and physical infrastructure to support our development program for Haduvio and for any future product candidates.</w:t>
      </w:r>
    </w:p>
    <w:p>
      <w:pPr>
        <w:spacing w:after="0" w:line="50" w:lineRule="exact"/>
        <w:rPr>
          <w:sz w:val="20"/>
          <w:szCs w:val="20"/>
          <w:color w:val="auto"/>
        </w:rPr>
      </w:pPr>
    </w:p>
    <w:p>
      <w:pPr>
        <w:ind w:left="8" w:firstLine="490"/>
        <w:spacing w:after="0" w:line="242" w:lineRule="auto"/>
        <w:rPr>
          <w:sz w:val="20"/>
          <w:szCs w:val="20"/>
          <w:color w:val="auto"/>
        </w:rPr>
      </w:pPr>
      <w:r>
        <w:rPr>
          <w:rFonts w:ascii="Times New Roman" w:cs="Times New Roman" w:eastAsia="Times New Roman" w:hAnsi="Times New Roman"/>
          <w:sz w:val="20"/>
          <w:szCs w:val="20"/>
          <w:color w:val="auto"/>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based on guidance from the FDA at an End-of-Phase 2 meeting in order to successfully commercialize Haduvio for the treatment of IPF-related chronic cough, we plan to complete two Phase 3 clinical trials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spacing w:after="0" w:line="77" w:lineRule="exact"/>
        <w:rPr>
          <w:sz w:val="20"/>
          <w:szCs w:val="20"/>
          <w:color w:val="auto"/>
        </w:rPr>
      </w:pPr>
    </w:p>
    <w:p>
      <w:pPr>
        <w:ind w:left="8"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have no products approved for commercial sale, which may make it difficult to evaluate the prospects for our future success and viability.</w:t>
      </w:r>
    </w:p>
    <w:p>
      <w:pPr>
        <w:spacing w:after="0" w:line="64" w:lineRule="exact"/>
        <w:rPr>
          <w:sz w:val="20"/>
          <w:szCs w:val="20"/>
          <w:color w:val="auto"/>
        </w:rPr>
      </w:pPr>
    </w:p>
    <w:p>
      <w:pPr>
        <w:ind w:left="8" w:right="20" w:firstLine="490"/>
        <w:spacing w:after="0" w:line="245" w:lineRule="auto"/>
        <w:rPr>
          <w:sz w:val="20"/>
          <w:szCs w:val="20"/>
          <w:color w:val="auto"/>
        </w:rPr>
      </w:pPr>
      <w:r>
        <w:rPr>
          <w:rFonts w:ascii="Times New Roman" w:cs="Times New Roman" w:eastAsia="Times New Roman" w:hAnsi="Times New Roman"/>
          <w:sz w:val="20"/>
          <w:szCs w:val="20"/>
          <w:color w:val="auto"/>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history of successfully developing and commercializing pharmaceutical products.</w:t>
      </w:r>
    </w:p>
    <w:p>
      <w:pPr>
        <w:spacing w:after="0" w:line="82" w:lineRule="exact"/>
        <w:rPr>
          <w:sz w:val="20"/>
          <w:szCs w:val="20"/>
          <w:color w:val="auto"/>
        </w:rPr>
      </w:pPr>
    </w:p>
    <w:p>
      <w:pPr>
        <w:ind w:left="8" w:right="200" w:firstLine="490"/>
        <w:spacing w:after="0" w:line="252" w:lineRule="auto"/>
        <w:rPr>
          <w:sz w:val="20"/>
          <w:szCs w:val="20"/>
          <w:color w:val="auto"/>
        </w:rPr>
      </w:pPr>
      <w:r>
        <w:rPr>
          <w:rFonts w:ascii="Times New Roman" w:cs="Times New Roman" w:eastAsia="Times New Roman" w:hAnsi="Times New Roman"/>
          <w:sz w:val="20"/>
          <w:szCs w:val="20"/>
          <w:color w:val="auto"/>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spacing w:after="0" w:line="74" w:lineRule="exact"/>
        <w:rPr>
          <w:sz w:val="20"/>
          <w:szCs w:val="20"/>
          <w:color w:val="auto"/>
        </w:rPr>
      </w:pPr>
    </w:p>
    <w:p>
      <w:pPr>
        <w:ind w:left="8" w:firstLine="490"/>
        <w:spacing w:after="0" w:line="258" w:lineRule="auto"/>
        <w:rPr>
          <w:sz w:val="20"/>
          <w:szCs w:val="20"/>
          <w:color w:val="auto"/>
        </w:rPr>
      </w:pPr>
      <w:r>
        <w:rPr>
          <w:rFonts w:ascii="Times New Roman" w:cs="Times New Roman" w:eastAsia="Times New Roman" w:hAnsi="Times New Roman"/>
          <w:sz w:val="20"/>
          <w:szCs w:val="20"/>
          <w:color w:val="auto"/>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54" w:lineRule="exact"/>
        <w:rPr>
          <w:sz w:val="20"/>
          <w:szCs w:val="20"/>
          <w:color w:val="auto"/>
        </w:rPr>
      </w:pPr>
    </w:p>
    <w:p>
      <w:pPr>
        <w:ind w:left="8" w:right="2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will need substantial additional funding and if we are unable to raise sufficient capital when needed on acceptable terms or at all, we could be forced to delay, reduce or abandon our product development programs or commercialization efforts.</w:t>
      </w:r>
    </w:p>
    <w:p>
      <w:pPr>
        <w:spacing w:after="0" w:line="83" w:lineRule="exact"/>
        <w:rPr>
          <w:sz w:val="20"/>
          <w:szCs w:val="20"/>
          <w:color w:val="auto"/>
        </w:rPr>
      </w:pPr>
    </w:p>
    <w:p>
      <w:pPr>
        <w:ind w:left="8" w:right="20" w:firstLine="490"/>
        <w:spacing w:after="0" w:line="246" w:lineRule="auto"/>
        <w:rPr>
          <w:sz w:val="20"/>
          <w:szCs w:val="20"/>
          <w:color w:val="auto"/>
        </w:rPr>
      </w:pPr>
      <w:r>
        <w:rPr>
          <w:rFonts w:ascii="Times New Roman" w:cs="Times New Roman" w:eastAsia="Times New Roman" w:hAnsi="Times New Roman"/>
          <w:sz w:val="20"/>
          <w:szCs w:val="20"/>
          <w:color w:val="auto"/>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years ended December 31, 2025 and 2024, we used net cash of $42.1 million and $38.3 million, respectively, in our operating activities, substantially all of which related to development activities for Haduvio. As of December 31, 2025, our cash, cash equivalents and marketable securities were $188.3 million. We expect our expenses to increase substantially in connection with our ongoing activities, particularly as we continue to develop Haduvio, including as and if we:</w:t>
      </w:r>
    </w:p>
    <w:p>
      <w:pPr>
        <w:spacing w:after="0" w:line="94" w:lineRule="exact"/>
        <w:rPr>
          <w:sz w:val="20"/>
          <w:szCs w:val="20"/>
          <w:color w:val="auto"/>
        </w:rPr>
      </w:pPr>
    </w:p>
    <w:p>
      <w:pPr>
        <w:ind w:left="488" w:right="540" w:hanging="488"/>
        <w:spacing w:after="0" w:line="276" w:lineRule="auto"/>
        <w:tabs>
          <w:tab w:leader="none" w:pos="488"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conduct our planned Phase 3 trials and any additional trials of Haduvio for the treatment of IPF-related chronic cough;</w:t>
      </w:r>
    </w:p>
    <w:p>
      <w:pPr>
        <w:spacing w:after="0" w:line="64" w:lineRule="exact"/>
        <w:rPr>
          <w:rFonts w:ascii="Arial" w:cs="Arial" w:eastAsia="Arial" w:hAnsi="Arial"/>
          <w:sz w:val="20"/>
          <w:szCs w:val="20"/>
          <w:color w:val="auto"/>
        </w:rPr>
      </w:pPr>
    </w:p>
    <w:p>
      <w:pPr>
        <w:ind w:left="488" w:right="180" w:hanging="488"/>
        <w:spacing w:after="0" w:line="276" w:lineRule="auto"/>
        <w:tabs>
          <w:tab w:leader="none" w:pos="488"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conduct our planned adaptive design Phase 2b clinical trial and any additional trials of Haduvio for the treatment of non-IPF ILD-related chronic cough; and</w:t>
      </w:r>
    </w:p>
    <w:p>
      <w:pPr>
        <w:sectPr>
          <w:pgSz w:w="12240" w:h="15840" w:orient="portrait"/>
          <w:cols w:equalWidth="0" w:num="1">
            <w:col w:w="9908"/>
          </w:cols>
          <w:pgMar w:left="1152" w:top="1146" w:right="1180" w:bottom="175" w:gutter="0" w:footer="0" w:header="0"/>
        </w:sectPr>
      </w:pPr>
    </w:p>
    <w:p>
      <w:pPr>
        <w:spacing w:after="0" w:line="273"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908"/>
          </w:cols>
          <w:pgMar w:left="1152" w:top="1146" w:right="1180" w:bottom="175" w:gutter="0" w:footer="0" w:header="0"/>
          <w:type w:val="continuous"/>
        </w:sectPr>
      </w:pPr>
    </w:p>
    <w:bookmarkStart w:id="38" w:name="page39"/>
    <w:bookmarkEnd w:id="38"/>
    <w:p>
      <w:pPr>
        <w:ind w:left="495" w:right="420" w:hanging="488"/>
        <w:spacing w:after="0" w:line="276" w:lineRule="auto"/>
        <w:tabs>
          <w:tab w:leader="none" w:pos="495"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conduct our planned Phase 2b clinical trial and any additional trials of Haduvio for the treatment of patients with RCC.</w:t>
      </w:r>
    </w:p>
    <w:p>
      <w:pPr>
        <w:spacing w:after="0" w:line="50" w:lineRule="exact"/>
        <w:rPr>
          <w:sz w:val="20"/>
          <w:szCs w:val="20"/>
          <w:color w:val="auto"/>
        </w:rPr>
      </w:pPr>
    </w:p>
    <w:p>
      <w:pPr>
        <w:ind w:left="15"/>
        <w:spacing w:after="0"/>
        <w:rPr>
          <w:sz w:val="20"/>
          <w:szCs w:val="20"/>
          <w:color w:val="auto"/>
        </w:rPr>
      </w:pPr>
      <w:r>
        <w:rPr>
          <w:rFonts w:ascii="Times New Roman" w:cs="Times New Roman" w:eastAsia="Times New Roman" w:hAnsi="Times New Roman"/>
          <w:sz w:val="20"/>
          <w:szCs w:val="20"/>
          <w:color w:val="auto"/>
        </w:rPr>
        <w:t>In addition, we may incur additional expenses:</w:t>
      </w:r>
    </w:p>
    <w:p>
      <w:pPr>
        <w:spacing w:after="0" w:line="134" w:lineRule="exact"/>
        <w:rPr>
          <w:sz w:val="20"/>
          <w:szCs w:val="20"/>
          <w:color w:val="auto"/>
        </w:rPr>
      </w:pPr>
    </w:p>
    <w:p>
      <w:pPr>
        <w:ind w:left="375" w:hanging="368"/>
        <w:spacing w:after="0"/>
        <w:tabs>
          <w:tab w:leader="none" w:pos="375"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if we determine to conduct additional clinical trials of Haduvio for other indications; and</w:t>
      </w:r>
    </w:p>
    <w:p>
      <w:pPr>
        <w:spacing w:after="0" w:line="133" w:lineRule="exact"/>
        <w:rPr>
          <w:rFonts w:ascii="Arial" w:cs="Arial" w:eastAsia="Arial" w:hAnsi="Arial"/>
          <w:sz w:val="20"/>
          <w:szCs w:val="20"/>
          <w:color w:val="auto"/>
        </w:rPr>
      </w:pPr>
    </w:p>
    <w:p>
      <w:pPr>
        <w:ind w:left="375" w:right="200" w:hanging="368"/>
        <w:spacing w:after="0" w:line="276" w:lineRule="auto"/>
        <w:tabs>
          <w:tab w:leader="none" w:pos="375"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if we acquire or in-license rights to or develop other potential product candidates or technologies and seek regulatory and marketing approvals for Haduvio or any future product candidate that successfully completes clinical trials.</w:t>
      </w:r>
    </w:p>
    <w:p>
      <w:pPr>
        <w:spacing w:after="0" w:line="50" w:lineRule="exact"/>
        <w:rPr>
          <w:sz w:val="20"/>
          <w:szCs w:val="20"/>
          <w:color w:val="auto"/>
        </w:rPr>
      </w:pPr>
    </w:p>
    <w:p>
      <w:pPr>
        <w:ind w:left="15" w:firstLine="490"/>
        <w:spacing w:after="0" w:line="246" w:lineRule="auto"/>
        <w:rPr>
          <w:sz w:val="20"/>
          <w:szCs w:val="20"/>
          <w:color w:val="auto"/>
        </w:rPr>
      </w:pPr>
      <w:r>
        <w:rPr>
          <w:rFonts w:ascii="Times New Roman" w:cs="Times New Roman" w:eastAsia="Times New Roman" w:hAnsi="Times New Roman"/>
          <w:sz w:val="20"/>
          <w:szCs w:val="20"/>
          <w:color w:val="auto"/>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United States,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spacing w:after="0" w:line="80" w:lineRule="exact"/>
        <w:rPr>
          <w:sz w:val="20"/>
          <w:szCs w:val="20"/>
          <w:color w:val="auto"/>
        </w:rPr>
      </w:pPr>
    </w:p>
    <w:p>
      <w:pPr>
        <w:ind w:left="15" w:right="40" w:firstLine="490"/>
        <w:spacing w:after="0" w:line="244" w:lineRule="auto"/>
        <w:rPr>
          <w:sz w:val="20"/>
          <w:szCs w:val="20"/>
          <w:color w:val="auto"/>
        </w:rPr>
      </w:pPr>
      <w:r>
        <w:rPr>
          <w:rFonts w:ascii="Times New Roman" w:cs="Times New Roman" w:eastAsia="Times New Roman" w:hAnsi="Times New Roman"/>
          <w:sz w:val="20"/>
          <w:szCs w:val="20"/>
          <w:color w:val="auto"/>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patients with IPF, non-IPF ILD, in RCC,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spacing w:after="0" w:line="82" w:lineRule="exact"/>
        <w:rPr>
          <w:sz w:val="20"/>
          <w:szCs w:val="20"/>
          <w:color w:val="auto"/>
        </w:rPr>
      </w:pPr>
    </w:p>
    <w:p>
      <w:pPr>
        <w:ind w:left="15" w:right="40" w:firstLine="490"/>
        <w:spacing w:after="0" w:line="245" w:lineRule="auto"/>
        <w:rPr>
          <w:sz w:val="20"/>
          <w:szCs w:val="20"/>
          <w:color w:val="auto"/>
        </w:rPr>
      </w:pPr>
      <w:r>
        <w:rPr>
          <w:rFonts w:ascii="Times New Roman" w:cs="Times New Roman" w:eastAsia="Times New Roman" w:hAnsi="Times New Roman"/>
          <w:sz w:val="20"/>
          <w:szCs w:val="20"/>
          <w:color w:val="auto"/>
        </w:rPr>
        <w:t>We believe that our existing cash, cash equivalents and marketable securities will enable us to fund our operating expenses and capital expenditure requirements into 2028. We expect these resources will enable us to fund our planned Phase 3 trials of Haduvio for the treatment of IPF-related chronic cough, our planned adaptive design Phase 2b clinical trial of Haduvio for the treatment of non-IPF ILD-related chronic cough, our planned Phase 2b clinical trial of Haduvio for the treatment of RCC, and our planned Phase 1 NDA supportive studies. However, these resources will not be sufficient for us to fund Haduvio for any indication or any future product candidates through regulatory approval, and we will need to raise substantial additional capital to complete the development and commercialization of Haduvio and any future product candidates.</w:t>
      </w:r>
    </w:p>
    <w:p>
      <w:pPr>
        <w:spacing w:after="0" w:line="82" w:lineRule="exact"/>
        <w:rPr>
          <w:sz w:val="20"/>
          <w:szCs w:val="20"/>
          <w:color w:val="auto"/>
        </w:rPr>
      </w:pPr>
    </w:p>
    <w:p>
      <w:pPr>
        <w:ind w:left="15" w:right="80" w:firstLine="490"/>
        <w:spacing w:after="0" w:line="249" w:lineRule="auto"/>
        <w:rPr>
          <w:sz w:val="20"/>
          <w:szCs w:val="20"/>
          <w:color w:val="auto"/>
        </w:rPr>
      </w:pPr>
      <w:r>
        <w:rPr>
          <w:rFonts w:ascii="Times New Roman" w:cs="Times New Roman" w:eastAsia="Times New Roman" w:hAnsi="Times New Roman"/>
          <w:sz w:val="20"/>
          <w:szCs w:val="20"/>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spacing w:after="0" w:line="77" w:lineRule="exact"/>
        <w:rPr>
          <w:sz w:val="20"/>
          <w:szCs w:val="20"/>
          <w:color w:val="auto"/>
        </w:rPr>
      </w:pPr>
    </w:p>
    <w:p>
      <w:pPr>
        <w:ind w:left="15" w:right="160" w:firstLine="490"/>
        <w:spacing w:after="0" w:line="258" w:lineRule="auto"/>
        <w:rPr>
          <w:sz w:val="20"/>
          <w:szCs w:val="20"/>
          <w:color w:val="auto"/>
        </w:rPr>
      </w:pPr>
      <w:r>
        <w:rPr>
          <w:rFonts w:ascii="Times New Roman" w:cs="Times New Roman" w:eastAsia="Times New Roman" w:hAnsi="Times New Roman"/>
          <w:sz w:val="20"/>
          <w:szCs w:val="20"/>
          <w:color w:val="auto"/>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71" w:lineRule="exact"/>
        <w:rPr>
          <w:sz w:val="20"/>
          <w:szCs w:val="20"/>
          <w:color w:val="auto"/>
        </w:rPr>
      </w:pPr>
    </w:p>
    <w:p>
      <w:pPr>
        <w:ind w:left="375" w:right="120" w:hanging="368"/>
        <w:spacing w:after="0" w:line="236" w:lineRule="auto"/>
        <w:tabs>
          <w:tab w:leader="none" w:pos="375"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progress, timing, costs and results of clinical trials of Haduvio, including our planned Phase 3 trials of Haduvio for the treatment of chronic cough in patients with IPF, our planned adaptive design Phase 2b clinical trial of Haduvio for the treatment of chronic cough in patients with non-IPF ILD, our planned Phase 2b clinical trial for the treatment of patients with RCC, and our planned Phase 1 NDA supportive studies as well as trials for any future product candidates;</w:t>
      </w:r>
    </w:p>
    <w:p>
      <w:pPr>
        <w:spacing w:after="0" w:line="97" w:lineRule="exact"/>
        <w:rPr>
          <w:rFonts w:ascii="Arial" w:cs="Arial" w:eastAsia="Arial" w:hAnsi="Arial"/>
          <w:sz w:val="20"/>
          <w:szCs w:val="20"/>
          <w:color w:val="auto"/>
        </w:rPr>
      </w:pPr>
    </w:p>
    <w:p>
      <w:pPr>
        <w:ind w:left="375" w:right="200" w:hanging="375"/>
        <w:spacing w:after="0" w:line="276" w:lineRule="auto"/>
        <w:tabs>
          <w:tab w:leader="none" w:pos="375"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characteristics of indications for which we seek to develop Haduvio or any future product candidates and their respective development requirements;</w:t>
      </w:r>
    </w:p>
    <w:p>
      <w:pPr>
        <w:spacing w:after="0" w:line="64" w:lineRule="exact"/>
        <w:rPr>
          <w:rFonts w:ascii="Arial" w:cs="Arial" w:eastAsia="Arial" w:hAnsi="Arial"/>
          <w:sz w:val="20"/>
          <w:szCs w:val="20"/>
          <w:color w:val="auto"/>
        </w:rPr>
      </w:pPr>
    </w:p>
    <w:p>
      <w:pPr>
        <w:ind w:left="375" w:right="80" w:hanging="375"/>
        <w:spacing w:after="0" w:line="276" w:lineRule="auto"/>
        <w:tabs>
          <w:tab w:leader="none" w:pos="375"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outcome, timing and costs of clinical and nonclinical trials and of seeking regulatory approvals, including the costs of supportive clinical studies;</w:t>
      </w:r>
    </w:p>
    <w:p>
      <w:pPr>
        <w:spacing w:after="0" w:line="64" w:lineRule="exact"/>
        <w:rPr>
          <w:rFonts w:ascii="Arial" w:cs="Arial" w:eastAsia="Arial" w:hAnsi="Arial"/>
          <w:sz w:val="20"/>
          <w:szCs w:val="20"/>
          <w:color w:val="auto"/>
        </w:rPr>
      </w:pPr>
    </w:p>
    <w:p>
      <w:pPr>
        <w:ind w:left="375" w:right="240" w:hanging="375"/>
        <w:spacing w:after="0" w:line="276" w:lineRule="auto"/>
        <w:tabs>
          <w:tab w:leader="none" w:pos="375"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to manufacture necessary quantities of Haduvio or any future product candidate for clinical development in connection with regulatory submissions;</w:t>
      </w:r>
    </w:p>
    <w:p>
      <w:pPr>
        <w:sectPr>
          <w:pgSz w:w="12240" w:h="15840" w:orient="portrait"/>
          <w:cols w:equalWidth="0" w:num="1">
            <w:col w:w="9935"/>
          </w:cols>
          <w:pgMar w:left="1145" w:top="1146"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935"/>
          </w:cols>
          <w:pgMar w:left="1145" w:top="1146" w:right="1160" w:bottom="175" w:gutter="0" w:footer="0" w:header="0"/>
          <w:type w:val="continuous"/>
        </w:sectPr>
      </w:pPr>
    </w:p>
    <w:bookmarkStart w:id="39" w:name="page40"/>
    <w:bookmarkEnd w:id="39"/>
    <w:p>
      <w:pPr>
        <w:ind w:left="375" w:right="140" w:hanging="375"/>
        <w:spacing w:after="0" w:line="258" w:lineRule="auto"/>
        <w:tabs>
          <w:tab w:leader="none" w:pos="375"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commercialization activities for Haduvio for the treatment of chronic cough in patients with IPF, non-IPF ILD, and RCC or for any future product candidates that receive marketing approval, if any, including the costs and timing of establishing product sales, marketing, distribution and manufacturing capabilities;</w:t>
      </w:r>
    </w:p>
    <w:p>
      <w:pPr>
        <w:spacing w:after="0" w:line="81" w:lineRule="exact"/>
        <w:rPr>
          <w:rFonts w:ascii="Arial" w:cs="Arial" w:eastAsia="Arial" w:hAnsi="Arial"/>
          <w:sz w:val="20"/>
          <w:szCs w:val="20"/>
          <w:color w:val="auto"/>
        </w:rPr>
      </w:pPr>
    </w:p>
    <w:p>
      <w:pPr>
        <w:ind w:left="375" w:hanging="375"/>
        <w:spacing w:after="0" w:line="276" w:lineRule="auto"/>
        <w:tabs>
          <w:tab w:leader="none" w:pos="375"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subject to receipt of marketing approvals, revenue, if any, received from commercial sales of Haduvio for the treatment of chronic cough in patients with IPF, non-IPF ILD, or RCC, or from any future product candidates;</w:t>
      </w:r>
    </w:p>
    <w:p>
      <w:pPr>
        <w:spacing w:after="0" w:line="64" w:lineRule="exact"/>
        <w:rPr>
          <w:rFonts w:ascii="Arial" w:cs="Arial" w:eastAsia="Arial" w:hAnsi="Arial"/>
          <w:sz w:val="20"/>
          <w:szCs w:val="20"/>
          <w:color w:val="auto"/>
        </w:rPr>
      </w:pPr>
    </w:p>
    <w:p>
      <w:pPr>
        <w:ind w:left="375" w:right="100" w:hanging="375"/>
        <w:spacing w:after="0" w:line="258" w:lineRule="auto"/>
        <w:tabs>
          <w:tab w:leader="none" w:pos="375"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identify potential collaborators for Haduvio for the treatment of chronic cough in patients with IPF, non-IPF ILD, or RCC, or for any future product candidates, and the terms and timing of any collaboration agreement that we may establish for the development and any commercialization of such product candidates;</w:t>
      </w:r>
    </w:p>
    <w:p>
      <w:pPr>
        <w:spacing w:after="0" w:line="81" w:lineRule="exact"/>
        <w:rPr>
          <w:rFonts w:ascii="Arial" w:cs="Arial" w:eastAsia="Arial" w:hAnsi="Arial"/>
          <w:sz w:val="20"/>
          <w:szCs w:val="20"/>
          <w:color w:val="auto"/>
        </w:rPr>
      </w:pPr>
    </w:p>
    <w:p>
      <w:pPr>
        <w:ind w:left="375" w:right="160" w:hanging="375"/>
        <w:spacing w:after="0" w:line="276" w:lineRule="auto"/>
        <w:tabs>
          <w:tab w:leader="none" w:pos="375"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acquire or in-license rights to other potential product candidates or technologies and the terms and timing of any such acquisition or licensing arrangements;</w:t>
      </w:r>
    </w:p>
    <w:p>
      <w:pPr>
        <w:spacing w:after="0" w:line="64" w:lineRule="exact"/>
        <w:rPr>
          <w:rFonts w:ascii="Arial" w:cs="Arial" w:eastAsia="Arial" w:hAnsi="Arial"/>
          <w:sz w:val="20"/>
          <w:szCs w:val="20"/>
          <w:color w:val="auto"/>
        </w:rPr>
      </w:pPr>
    </w:p>
    <w:p>
      <w:pPr>
        <w:ind w:left="375" w:right="20" w:hanging="375"/>
        <w:spacing w:after="0" w:line="252" w:lineRule="auto"/>
        <w:tabs>
          <w:tab w:leader="none" w:pos="375"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potential obligation to make milestone payments to Keenova Therapeutics plc, or Keenova, which would become due upon the successful completion of the first Phase 3 clinical trial of a licensed product candidate and the marketing approval of a licensed product in the U.S., as well as our potential obligations to pay Keenova royalties on the net sales of the product;</w:t>
      </w:r>
    </w:p>
    <w:p>
      <w:pPr>
        <w:spacing w:after="0" w:line="87" w:lineRule="exact"/>
        <w:rPr>
          <w:rFonts w:ascii="Arial" w:cs="Arial" w:eastAsia="Arial" w:hAnsi="Arial"/>
          <w:sz w:val="20"/>
          <w:szCs w:val="20"/>
          <w:color w:val="auto"/>
        </w:rPr>
      </w:pPr>
    </w:p>
    <w:p>
      <w:pPr>
        <w:ind w:left="375" w:right="200" w:hanging="375"/>
        <w:spacing w:after="0" w:line="276" w:lineRule="auto"/>
        <w:tabs>
          <w:tab w:leader="none" w:pos="375"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headcount growth and associated costs as we expand our research and development activities and medical affairs activities and establish a commercial infrastructure;</w:t>
      </w:r>
    </w:p>
    <w:p>
      <w:pPr>
        <w:spacing w:after="0" w:line="64" w:lineRule="exact"/>
        <w:rPr>
          <w:rFonts w:ascii="Arial" w:cs="Arial" w:eastAsia="Arial" w:hAnsi="Arial"/>
          <w:sz w:val="20"/>
          <w:szCs w:val="20"/>
          <w:color w:val="auto"/>
        </w:rPr>
      </w:pPr>
    </w:p>
    <w:p>
      <w:pPr>
        <w:ind w:left="375" w:right="900" w:hanging="375"/>
        <w:spacing w:after="0" w:line="276" w:lineRule="auto"/>
        <w:tabs>
          <w:tab w:leader="none" w:pos="375"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expanding and protecting our intellectual property rights and defending against intellectual property-related claims;</w:t>
      </w:r>
    </w:p>
    <w:p>
      <w:pPr>
        <w:spacing w:after="0" w:line="64" w:lineRule="exact"/>
        <w:rPr>
          <w:rFonts w:ascii="Arial" w:cs="Arial" w:eastAsia="Arial" w:hAnsi="Arial"/>
          <w:sz w:val="20"/>
          <w:szCs w:val="20"/>
          <w:color w:val="auto"/>
        </w:rPr>
      </w:pPr>
    </w:p>
    <w:p>
      <w:pPr>
        <w:ind w:left="375" w:hanging="375"/>
        <w:spacing w:after="0"/>
        <w:tabs>
          <w:tab w:leader="none" w:pos="375"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competing technologies and market developments;</w:t>
      </w:r>
    </w:p>
    <w:p>
      <w:pPr>
        <w:spacing w:after="0" w:line="133" w:lineRule="exact"/>
        <w:rPr>
          <w:rFonts w:ascii="Arial" w:cs="Arial" w:eastAsia="Arial" w:hAnsi="Arial"/>
          <w:sz w:val="20"/>
          <w:szCs w:val="20"/>
          <w:color w:val="auto"/>
        </w:rPr>
      </w:pPr>
    </w:p>
    <w:p>
      <w:pPr>
        <w:ind w:left="375" w:hanging="368"/>
        <w:spacing w:after="0"/>
        <w:tabs>
          <w:tab w:leader="none" w:pos="375"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healthcare coverage and adequate reimbursement for our products; and</w:t>
      </w:r>
    </w:p>
    <w:p>
      <w:pPr>
        <w:spacing w:after="0" w:line="133" w:lineRule="exact"/>
        <w:rPr>
          <w:rFonts w:ascii="Arial" w:cs="Arial" w:eastAsia="Arial" w:hAnsi="Arial"/>
          <w:sz w:val="20"/>
          <w:szCs w:val="20"/>
          <w:color w:val="auto"/>
        </w:rPr>
      </w:pPr>
    </w:p>
    <w:p>
      <w:pPr>
        <w:ind w:left="375" w:hanging="375"/>
        <w:spacing w:after="0"/>
        <w:tabs>
          <w:tab w:leader="none" w:pos="375"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operating as a public company.</w:t>
      </w:r>
    </w:p>
    <w:p>
      <w:pPr>
        <w:spacing w:after="0" w:line="104" w:lineRule="exact"/>
        <w:rPr>
          <w:sz w:val="20"/>
          <w:szCs w:val="20"/>
          <w:color w:val="auto"/>
        </w:rPr>
      </w:pPr>
    </w:p>
    <w:p>
      <w:pPr>
        <w:ind w:left="15" w:right="4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our product candidates.</w:t>
      </w:r>
    </w:p>
    <w:p>
      <w:pPr>
        <w:spacing w:after="0" w:line="64" w:lineRule="exact"/>
        <w:rPr>
          <w:sz w:val="20"/>
          <w:szCs w:val="20"/>
          <w:color w:val="auto"/>
        </w:rPr>
      </w:pPr>
    </w:p>
    <w:p>
      <w:pPr>
        <w:ind w:left="495"/>
        <w:spacing w:after="0"/>
        <w:rPr>
          <w:sz w:val="20"/>
          <w:szCs w:val="20"/>
          <w:color w:val="auto"/>
        </w:rPr>
      </w:pPr>
      <w:r>
        <w:rPr>
          <w:rFonts w:ascii="Times New Roman" w:cs="Times New Roman" w:eastAsia="Times New Roman" w:hAnsi="Times New Roman"/>
          <w:sz w:val="19"/>
          <w:szCs w:val="19"/>
          <w:color w:val="auto"/>
        </w:rPr>
        <w:t>We expect our expenses to increase substantially in connection with our planned operations, particularly if and as we:</w:t>
      </w:r>
    </w:p>
    <w:p>
      <w:pPr>
        <w:spacing w:after="0" w:line="146" w:lineRule="exact"/>
        <w:rPr>
          <w:sz w:val="20"/>
          <w:szCs w:val="20"/>
          <w:color w:val="auto"/>
        </w:rPr>
      </w:pPr>
    </w:p>
    <w:p>
      <w:pPr>
        <w:ind w:left="375" w:hanging="368"/>
        <w:spacing w:after="0"/>
        <w:tabs>
          <w:tab w:leader="none" w:pos="375"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conduct our planned Phase 3 trials of Haduvio for the treatment of IPF-related chronic cough;</w:t>
      </w:r>
    </w:p>
    <w:p>
      <w:pPr>
        <w:spacing w:after="0" w:line="133" w:lineRule="exact"/>
        <w:rPr>
          <w:rFonts w:ascii="Arial" w:cs="Arial" w:eastAsia="Arial" w:hAnsi="Arial"/>
          <w:sz w:val="20"/>
          <w:szCs w:val="20"/>
          <w:color w:val="auto"/>
        </w:rPr>
      </w:pPr>
    </w:p>
    <w:p>
      <w:pPr>
        <w:ind w:left="375" w:right="300" w:hanging="368"/>
        <w:spacing w:after="0" w:line="276" w:lineRule="auto"/>
        <w:tabs>
          <w:tab w:leader="none" w:pos="375"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conduct our planned adaptive design Phase 2b clinical trial and any additional trials of Haduvio for the treatment of non-IPF ILD-related chronic cough;</w:t>
      </w:r>
    </w:p>
    <w:p>
      <w:pPr>
        <w:spacing w:after="0" w:line="64" w:lineRule="exact"/>
        <w:rPr>
          <w:rFonts w:ascii="Arial" w:cs="Arial" w:eastAsia="Arial" w:hAnsi="Arial"/>
          <w:sz w:val="20"/>
          <w:szCs w:val="20"/>
          <w:color w:val="auto"/>
        </w:rPr>
      </w:pPr>
    </w:p>
    <w:p>
      <w:pPr>
        <w:ind w:left="375" w:hanging="368"/>
        <w:spacing w:after="0"/>
        <w:tabs>
          <w:tab w:leader="none" w:pos="375"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conduct our planned Phase 2b clinical trial and any additional trials of Haduvio for the treatment of patients with RCC;</w:t>
      </w:r>
    </w:p>
    <w:p>
      <w:pPr>
        <w:spacing w:after="0" w:line="121" w:lineRule="exact"/>
        <w:rPr>
          <w:rFonts w:ascii="Arial" w:cs="Arial" w:eastAsia="Arial" w:hAnsi="Arial"/>
          <w:sz w:val="20"/>
          <w:szCs w:val="20"/>
          <w:color w:val="auto"/>
        </w:rPr>
      </w:pPr>
    </w:p>
    <w:p>
      <w:pPr>
        <w:ind w:left="375" w:hanging="368"/>
        <w:spacing w:after="0"/>
        <w:tabs>
          <w:tab w:leader="none" w:pos="375"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conduct our planned Phase 1 NDA supportive studies; and</w:t>
      </w:r>
    </w:p>
    <w:p>
      <w:pPr>
        <w:spacing w:after="0" w:line="131" w:lineRule="exact"/>
        <w:rPr>
          <w:rFonts w:ascii="Arial" w:cs="Arial" w:eastAsia="Arial" w:hAnsi="Arial"/>
          <w:sz w:val="20"/>
          <w:szCs w:val="20"/>
          <w:color w:val="auto"/>
        </w:rPr>
      </w:pPr>
    </w:p>
    <w:p>
      <w:pPr>
        <w:ind w:left="375" w:hanging="368"/>
        <w:spacing w:after="0"/>
        <w:tabs>
          <w:tab w:leader="none" w:pos="375"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seek regulatory and marketing approvals for Haduvio.</w:t>
      </w:r>
    </w:p>
    <w:p>
      <w:pPr>
        <w:spacing w:after="0" w:line="119" w:lineRule="exact"/>
        <w:rPr>
          <w:sz w:val="20"/>
          <w:szCs w:val="20"/>
          <w:color w:val="auto"/>
        </w:rPr>
      </w:pPr>
    </w:p>
    <w:p>
      <w:pPr>
        <w:ind w:left="15" w:firstLine="490"/>
        <w:spacing w:after="0" w:line="249" w:lineRule="auto"/>
        <w:rPr>
          <w:sz w:val="20"/>
          <w:szCs w:val="20"/>
          <w:color w:val="auto"/>
        </w:rPr>
      </w:pPr>
      <w:r>
        <w:rPr>
          <w:rFonts w:ascii="Times New Roman" w:cs="Times New Roman" w:eastAsia="Times New Roman" w:hAnsi="Times New Roman"/>
          <w:sz w:val="20"/>
          <w:szCs w:val="20"/>
          <w:color w:val="auto"/>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spacing w:after="0" w:line="77" w:lineRule="exact"/>
        <w:rPr>
          <w:sz w:val="20"/>
          <w:szCs w:val="20"/>
          <w:color w:val="auto"/>
        </w:rPr>
      </w:pPr>
    </w:p>
    <w:p>
      <w:pPr>
        <w:ind w:left="15" w:right="460" w:firstLine="490"/>
        <w:spacing w:after="0" w:line="252" w:lineRule="auto"/>
        <w:rPr>
          <w:sz w:val="20"/>
          <w:szCs w:val="20"/>
          <w:color w:val="auto"/>
        </w:rPr>
      </w:pPr>
      <w:r>
        <w:rPr>
          <w:rFonts w:ascii="Times New Roman" w:cs="Times New Roman" w:eastAsia="Times New Roman" w:hAnsi="Times New Roman"/>
          <w:sz w:val="20"/>
          <w:szCs w:val="20"/>
          <w:color w:val="auto"/>
        </w:rPr>
        <w:t>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w:t>
      </w:r>
    </w:p>
    <w:p>
      <w:pPr>
        <w:spacing w:after="0" w:line="74" w:lineRule="exact"/>
        <w:rPr>
          <w:sz w:val="20"/>
          <w:szCs w:val="20"/>
          <w:color w:val="auto"/>
        </w:rPr>
      </w:pPr>
    </w:p>
    <w:p>
      <w:pPr>
        <w:ind w:left="15" w:right="40" w:firstLine="490"/>
        <w:spacing w:after="0" w:line="249" w:lineRule="auto"/>
        <w:rPr>
          <w:sz w:val="20"/>
          <w:szCs w:val="20"/>
          <w:color w:val="auto"/>
        </w:rPr>
      </w:pPr>
      <w:r>
        <w:rPr>
          <w:rFonts w:ascii="Times New Roman" w:cs="Times New Roman" w:eastAsia="Times New Roman" w:hAnsi="Times New Roman"/>
          <w:sz w:val="20"/>
          <w:szCs w:val="20"/>
          <w:color w:val="auto"/>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ectPr>
          <w:pgSz w:w="12240" w:h="15840" w:orient="portrait"/>
          <w:cols w:equalWidth="0" w:num="1">
            <w:col w:w="9915"/>
          </w:cols>
          <w:pgMar w:left="1145" w:top="1146" w:right="11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915"/>
          </w:cols>
          <w:pgMar w:left="1145" w:top="1146" w:right="1180" w:bottom="175" w:gutter="0" w:footer="0" w:header="0"/>
          <w:type w:val="continuous"/>
        </w:sectPr>
      </w:pPr>
    </w:p>
    <w:bookmarkStart w:id="40" w:name="page41"/>
    <w:bookmarkEnd w:id="40"/>
    <w:p>
      <w:pPr>
        <w:ind w:left="8"/>
        <w:spacing w:after="0"/>
        <w:rPr>
          <w:sz w:val="20"/>
          <w:szCs w:val="20"/>
          <w:color w:val="auto"/>
        </w:rPr>
      </w:pPr>
      <w:r>
        <w:rPr>
          <w:rFonts w:ascii="Times New Roman" w:cs="Times New Roman" w:eastAsia="Times New Roman" w:hAnsi="Times New Roman"/>
          <w:sz w:val="20"/>
          <w:szCs w:val="20"/>
          <w:b w:val="1"/>
          <w:bCs w:val="1"/>
          <w:color w:val="auto"/>
        </w:rPr>
        <w:t>Risks Related to the Development and Commercialization of Haduvio and Any Future Product Candidates</w:t>
      </w:r>
    </w:p>
    <w:p>
      <w:pPr>
        <w:spacing w:after="0" w:line="109" w:lineRule="exact"/>
        <w:rPr>
          <w:sz w:val="20"/>
          <w:szCs w:val="20"/>
          <w:color w:val="auto"/>
        </w:rPr>
      </w:pPr>
    </w:p>
    <w:p>
      <w:pPr>
        <w:ind w:left="8" w:right="18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spacing w:after="0" w:line="83" w:lineRule="exact"/>
        <w:rPr>
          <w:sz w:val="20"/>
          <w:szCs w:val="20"/>
          <w:color w:val="auto"/>
        </w:rPr>
      </w:pPr>
    </w:p>
    <w:p>
      <w:pPr>
        <w:ind w:left="8" w:right="20" w:firstLine="490"/>
        <w:spacing w:after="0" w:line="247" w:lineRule="auto"/>
        <w:rPr>
          <w:sz w:val="20"/>
          <w:szCs w:val="20"/>
          <w:color w:val="auto"/>
        </w:rPr>
      </w:pPr>
      <w:r>
        <w:rPr>
          <w:rFonts w:ascii="Times New Roman" w:cs="Times New Roman" w:eastAsia="Times New Roman" w:hAnsi="Times New Roman"/>
          <w:sz w:val="20"/>
          <w:szCs w:val="20"/>
          <w:color w:val="auto"/>
        </w:rPr>
        <w:t>We currently have no products approved for sale and are investing substantially all our efforts and financial resources to fund the development and commercialization of Haduvio for the treatment of chronic cough in patients with IPF, non-IPF ILD, and RCC.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spacing w:after="0" w:line="80" w:lineRule="exact"/>
        <w:rPr>
          <w:sz w:val="20"/>
          <w:szCs w:val="20"/>
          <w:color w:val="auto"/>
        </w:rPr>
      </w:pPr>
    </w:p>
    <w:p>
      <w:pPr>
        <w:ind w:left="8" w:right="20" w:firstLine="490"/>
        <w:spacing w:after="0" w:line="252" w:lineRule="auto"/>
        <w:rPr>
          <w:sz w:val="20"/>
          <w:szCs w:val="20"/>
          <w:color w:val="auto"/>
        </w:rPr>
      </w:pPr>
      <w:r>
        <w:rPr>
          <w:rFonts w:ascii="Times New Roman" w:cs="Times New Roman" w:eastAsia="Times New Roman" w:hAnsi="Times New Roman"/>
          <w:sz w:val="20"/>
          <w:szCs w:val="20"/>
          <w:color w:val="auto"/>
        </w:rPr>
        <w:t>Our most advanced program is for the development of Haduvio for the treatment of IPF-related chronic cough. As a result, if our efforts to develop and commercialize Haduvio for the treatment of chronic cough in patients with IPF, non-IPF ILD, and RCC are unsuccessful or we experience significant delays in doing so, our business could also be substantially harmed.</w:t>
      </w:r>
    </w:p>
    <w:p>
      <w:pPr>
        <w:spacing w:after="0" w:line="74" w:lineRule="exact"/>
        <w:rPr>
          <w:sz w:val="20"/>
          <w:szCs w:val="20"/>
          <w:color w:val="auto"/>
        </w:rPr>
      </w:pPr>
    </w:p>
    <w:p>
      <w:pPr>
        <w:ind w:left="8" w:right="140" w:firstLine="490"/>
        <w:spacing w:after="0" w:line="277" w:lineRule="auto"/>
        <w:rPr>
          <w:sz w:val="20"/>
          <w:szCs w:val="20"/>
          <w:color w:val="auto"/>
        </w:rPr>
      </w:pPr>
      <w:r>
        <w:rPr>
          <w:rFonts w:ascii="Times New Roman" w:cs="Times New Roman" w:eastAsia="Times New Roman" w:hAnsi="Times New Roman"/>
          <w:sz w:val="20"/>
          <w:szCs w:val="20"/>
          <w:color w:val="auto"/>
        </w:rPr>
        <w:t>The success of Haduvio for the treatment of chronic cough in patients with IPF, non-IPF ILD, and RCC will depend on several factors, including the following:</w:t>
      </w:r>
    </w:p>
    <w:p>
      <w:pPr>
        <w:spacing w:after="0" w:line="64" w:lineRule="exact"/>
        <w:rPr>
          <w:sz w:val="20"/>
          <w:szCs w:val="20"/>
          <w:color w:val="auto"/>
        </w:rPr>
      </w:pPr>
    </w:p>
    <w:p>
      <w:pPr>
        <w:ind w:left="368" w:right="360" w:hanging="368"/>
        <w:spacing w:after="0" w:line="258" w:lineRule="auto"/>
        <w:tabs>
          <w:tab w:leader="none" w:pos="368"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initiating and successfully recruiting, enrolling and retaining patients in and completing additional clinical and nonclinical trials of Haduvio, including the additional clinical trials we plan to conduct for the treatment of chronic cough in patients with IPF, non-IPF ILD and RCC;</w:t>
      </w:r>
    </w:p>
    <w:p>
      <w:pPr>
        <w:spacing w:after="0" w:line="81" w:lineRule="exact"/>
        <w:rPr>
          <w:rFonts w:ascii="Arial" w:cs="Arial" w:eastAsia="Arial" w:hAnsi="Arial"/>
          <w:sz w:val="20"/>
          <w:szCs w:val="20"/>
          <w:color w:val="auto"/>
        </w:rPr>
      </w:pPr>
    </w:p>
    <w:p>
      <w:pPr>
        <w:ind w:left="368" w:hanging="368"/>
        <w:spacing w:after="0"/>
        <w:tabs>
          <w:tab w:leader="none" w:pos="368"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completing other Phase 1 NDA supportive clinical studies to support NDA submission;</w:t>
      </w:r>
    </w:p>
    <w:p>
      <w:pPr>
        <w:spacing w:after="0" w:line="133" w:lineRule="exact"/>
        <w:rPr>
          <w:rFonts w:ascii="Arial" w:cs="Arial" w:eastAsia="Arial" w:hAnsi="Arial"/>
          <w:sz w:val="20"/>
          <w:szCs w:val="20"/>
          <w:color w:val="auto"/>
        </w:rPr>
      </w:pPr>
    </w:p>
    <w:p>
      <w:pPr>
        <w:ind w:left="368" w:right="620" w:hanging="368"/>
        <w:spacing w:after="0" w:line="276" w:lineRule="auto"/>
        <w:tabs>
          <w:tab w:leader="none" w:pos="368"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demonstrating safety, tolerability and efficacy profiles that are satisfactory to the FDA, EMA, MHRA and other comparable regulatory authorities for marketing approval;</w:t>
      </w:r>
    </w:p>
    <w:p>
      <w:pPr>
        <w:spacing w:after="0" w:line="64" w:lineRule="exact"/>
        <w:rPr>
          <w:rFonts w:ascii="Arial" w:cs="Arial" w:eastAsia="Arial" w:hAnsi="Arial"/>
          <w:sz w:val="20"/>
          <w:szCs w:val="20"/>
          <w:color w:val="auto"/>
        </w:rPr>
      </w:pPr>
    </w:p>
    <w:p>
      <w:pPr>
        <w:ind w:left="368" w:hanging="368"/>
        <w:spacing w:after="0"/>
        <w:tabs>
          <w:tab w:leader="none" w:pos="368"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receiving timely marketing approvals from applicable regulatory authorities;</w:t>
      </w:r>
    </w:p>
    <w:p>
      <w:pPr>
        <w:spacing w:after="0" w:line="133" w:lineRule="exact"/>
        <w:rPr>
          <w:rFonts w:ascii="Arial" w:cs="Arial" w:eastAsia="Arial" w:hAnsi="Arial"/>
          <w:sz w:val="20"/>
          <w:szCs w:val="20"/>
          <w:color w:val="auto"/>
        </w:rPr>
      </w:pPr>
    </w:p>
    <w:p>
      <w:pPr>
        <w:ind w:left="368" w:hanging="368"/>
        <w:spacing w:after="0"/>
        <w:tabs>
          <w:tab w:leader="none" w:pos="368"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managing any required post-marketing approval commitments to applicable regulatory authorities;</w:t>
      </w:r>
    </w:p>
    <w:p>
      <w:pPr>
        <w:spacing w:after="0" w:line="133" w:lineRule="exact"/>
        <w:rPr>
          <w:rFonts w:ascii="Arial" w:cs="Arial" w:eastAsia="Arial" w:hAnsi="Arial"/>
          <w:sz w:val="20"/>
          <w:szCs w:val="20"/>
          <w:color w:val="auto"/>
        </w:rPr>
      </w:pPr>
    </w:p>
    <w:p>
      <w:pPr>
        <w:ind w:left="368" w:hanging="368"/>
        <w:spacing w:after="0"/>
        <w:tabs>
          <w:tab w:leader="none" w:pos="368"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and maintaining arrangements with our third-party supplier of drug substance for Haduvio;</w:t>
      </w:r>
    </w:p>
    <w:p>
      <w:pPr>
        <w:spacing w:after="0" w:line="133" w:lineRule="exact"/>
        <w:rPr>
          <w:rFonts w:ascii="Arial" w:cs="Arial" w:eastAsia="Arial" w:hAnsi="Arial"/>
          <w:sz w:val="20"/>
          <w:szCs w:val="20"/>
          <w:color w:val="auto"/>
        </w:rPr>
      </w:pPr>
    </w:p>
    <w:p>
      <w:pPr>
        <w:jc w:val="both"/>
        <w:ind w:left="368" w:right="840" w:hanging="368"/>
        <w:spacing w:after="0" w:line="258" w:lineRule="auto"/>
        <w:tabs>
          <w:tab w:leader="none" w:pos="368"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and maintaining arrangements with third-party manufacturers of Haduvio, including developing, validating and maintaining a commercially viable manufacturing process that is compliant with current good manufacturing practices, or cGMPs;</w:t>
      </w:r>
    </w:p>
    <w:p>
      <w:pPr>
        <w:spacing w:after="0" w:line="81" w:lineRule="exact"/>
        <w:rPr>
          <w:rFonts w:ascii="Arial" w:cs="Arial" w:eastAsia="Arial" w:hAnsi="Arial"/>
          <w:sz w:val="20"/>
          <w:szCs w:val="20"/>
          <w:color w:val="auto"/>
        </w:rPr>
      </w:pPr>
    </w:p>
    <w:p>
      <w:pPr>
        <w:ind w:left="368" w:right="680" w:hanging="368"/>
        <w:spacing w:after="0" w:line="276" w:lineRule="auto"/>
        <w:tabs>
          <w:tab w:leader="none" w:pos="368"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maintaining and protecting our patents, trade secrets and regulatory exclusivity in the U.S. and other countries;</w:t>
      </w:r>
    </w:p>
    <w:p>
      <w:pPr>
        <w:spacing w:after="0" w:line="64" w:lineRule="exact"/>
        <w:rPr>
          <w:rFonts w:ascii="Arial" w:cs="Arial" w:eastAsia="Arial" w:hAnsi="Arial"/>
          <w:sz w:val="20"/>
          <w:szCs w:val="20"/>
          <w:color w:val="auto"/>
        </w:rPr>
      </w:pPr>
    </w:p>
    <w:p>
      <w:pPr>
        <w:ind w:left="368" w:right="120" w:hanging="368"/>
        <w:spacing w:after="0" w:line="276" w:lineRule="auto"/>
        <w:tabs>
          <w:tab w:leader="none" w:pos="368"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 focused, specialty sales organization in the U.S. and successfully launching commercial sales following any marketing approval;</w:t>
      </w:r>
    </w:p>
    <w:p>
      <w:pPr>
        <w:spacing w:after="0" w:line="64" w:lineRule="exact"/>
        <w:rPr>
          <w:rFonts w:ascii="Arial" w:cs="Arial" w:eastAsia="Arial" w:hAnsi="Arial"/>
          <w:sz w:val="20"/>
          <w:szCs w:val="20"/>
          <w:color w:val="auto"/>
        </w:rPr>
      </w:pPr>
    </w:p>
    <w:p>
      <w:pPr>
        <w:ind w:left="368" w:right="400" w:hanging="368"/>
        <w:spacing w:after="0" w:line="276" w:lineRule="auto"/>
        <w:tabs>
          <w:tab w:leader="none" w:pos="368"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commercial acceptance of our products, if approved, by patients, the medical community and third-party payors and obtaining and maintaining healthcare coverage and adequate reimbursement;</w:t>
      </w:r>
    </w:p>
    <w:p>
      <w:pPr>
        <w:spacing w:after="0" w:line="64" w:lineRule="exact"/>
        <w:rPr>
          <w:rFonts w:ascii="Arial" w:cs="Arial" w:eastAsia="Arial" w:hAnsi="Arial"/>
          <w:sz w:val="20"/>
          <w:szCs w:val="20"/>
          <w:color w:val="auto"/>
        </w:rPr>
      </w:pPr>
    </w:p>
    <w:p>
      <w:pPr>
        <w:ind w:left="368" w:hanging="368"/>
        <w:spacing w:after="0"/>
        <w:tabs>
          <w:tab w:leader="none" w:pos="368"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an acceptable safety profile following any marketing approval; and</w:t>
      </w:r>
    </w:p>
    <w:p>
      <w:pPr>
        <w:spacing w:after="0" w:line="133" w:lineRule="exact"/>
        <w:rPr>
          <w:rFonts w:ascii="Arial" w:cs="Arial" w:eastAsia="Arial" w:hAnsi="Arial"/>
          <w:sz w:val="20"/>
          <w:szCs w:val="20"/>
          <w:color w:val="auto"/>
        </w:rPr>
      </w:pPr>
    </w:p>
    <w:p>
      <w:pPr>
        <w:ind w:left="368" w:hanging="368"/>
        <w:spacing w:after="0"/>
        <w:tabs>
          <w:tab w:leader="none" w:pos="368"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compete with other therapies.</w:t>
      </w:r>
    </w:p>
    <w:p>
      <w:pPr>
        <w:spacing w:after="0" w:line="119" w:lineRule="exact"/>
        <w:rPr>
          <w:sz w:val="20"/>
          <w:szCs w:val="20"/>
          <w:color w:val="auto"/>
        </w:rPr>
      </w:pPr>
    </w:p>
    <w:p>
      <w:pPr>
        <w:ind w:left="8" w:right="120" w:firstLine="490"/>
        <w:spacing w:after="0" w:line="249" w:lineRule="auto"/>
        <w:rPr>
          <w:sz w:val="20"/>
          <w:szCs w:val="20"/>
          <w:color w:val="auto"/>
        </w:rPr>
      </w:pPr>
      <w:r>
        <w:rPr>
          <w:rFonts w:ascii="Times New Roman" w:cs="Times New Roman" w:eastAsia="Times New Roman" w:hAnsi="Times New Roman"/>
          <w:sz w:val="20"/>
          <w:szCs w:val="20"/>
          <w:color w:val="auto"/>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spacing w:after="0" w:line="6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Our approach to the development and commercialization of Haduvio to treat chronic cough is unproven.</w:t>
      </w:r>
    </w:p>
    <w:p>
      <w:pPr>
        <w:spacing w:after="0" w:line="117" w:lineRule="exact"/>
        <w:rPr>
          <w:sz w:val="20"/>
          <w:szCs w:val="20"/>
          <w:color w:val="auto"/>
        </w:rPr>
      </w:pPr>
    </w:p>
    <w:p>
      <w:pPr>
        <w:ind w:left="8" w:firstLine="490"/>
        <w:spacing w:after="0" w:line="263" w:lineRule="auto"/>
        <w:rPr>
          <w:sz w:val="20"/>
          <w:szCs w:val="20"/>
          <w:color w:val="auto"/>
        </w:rPr>
      </w:pPr>
      <w:r>
        <w:rPr>
          <w:rFonts w:ascii="Times New Roman" w:cs="Times New Roman" w:eastAsia="Times New Roman" w:hAnsi="Times New Roman"/>
          <w:sz w:val="19"/>
          <w:szCs w:val="19"/>
          <w:color w:val="auto"/>
        </w:rPr>
        <w:t xml:space="preserve">We are currently focused on the development and commercialization of Haduvio for the treatment of chronic cough in patients with IPF, non-IPF ILD, and RCC. Haduvio is an oral extended-release formulation of nalbuphine, the active drug ingredient in Haduvio. Haduvio acts on the cough reflex arc both centrally and peripherally as a </w:t>
      </w:r>
      <w:r>
        <w:rPr>
          <w:rFonts w:ascii="Times New Roman" w:cs="Times New Roman" w:eastAsia="Times New Roman" w:hAnsi="Times New Roman"/>
          <w:sz w:val="19"/>
          <w:szCs w:val="19"/>
          <w:u w:val="single" w:color="auto"/>
          <w:color w:val="auto"/>
        </w:rPr>
        <w:t>k</w:t>
      </w:r>
      <w:r>
        <w:rPr>
          <w:rFonts w:ascii="Times New Roman" w:cs="Times New Roman" w:eastAsia="Times New Roman" w:hAnsi="Times New Roman"/>
          <w:sz w:val="19"/>
          <w:szCs w:val="19"/>
          <w:color w:val="auto"/>
        </w:rPr>
        <w:t xml:space="preserve">appa receptor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xml:space="preserve">gonist and a </w:t>
      </w:r>
      <w:r>
        <w:rPr>
          <w:rFonts w:ascii="Times New Roman" w:cs="Times New Roman" w:eastAsia="Times New Roman" w:hAnsi="Times New Roman"/>
          <w:sz w:val="19"/>
          <w:szCs w:val="19"/>
          <w:u w:val="single" w:color="auto"/>
          <w:color w:val="auto"/>
        </w:rPr>
        <w:t>m</w:t>
      </w:r>
      <w:r>
        <w:rPr>
          <w:rFonts w:ascii="Times New Roman" w:cs="Times New Roman" w:eastAsia="Times New Roman" w:hAnsi="Times New Roman"/>
          <w:sz w:val="19"/>
          <w:szCs w:val="19"/>
          <w:color w:val="auto"/>
        </w:rPr>
        <w:t xml:space="preserve">u receptor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ntagonist, or KAMA, targeting opioid receptors that play a key role in controlling chronic cough. Nalbuphine has been approved and marketed as an injectable for pain indications for decades in the U.S. and Europe and is currently not commercially available in an oral dosage form. While we believe that nalbuphine’s dual mechanism of</w:t>
      </w:r>
    </w:p>
    <w:p>
      <w:pPr>
        <w:sectPr>
          <w:pgSz w:w="12240" w:h="15840" w:orient="portrait"/>
          <w:cols w:equalWidth="0" w:num="1">
            <w:col w:w="9928"/>
          </w:cols>
          <w:pgMar w:left="1152" w:top="1128" w:right="1160" w:bottom="175" w:gutter="0" w:footer="0" w:header="0"/>
        </w:sectPr>
      </w:pPr>
    </w:p>
    <w:p>
      <w:pPr>
        <w:spacing w:after="0" w:line="2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928"/>
          </w:cols>
          <w:pgMar w:left="1152" w:top="1128" w:right="1160" w:bottom="175" w:gutter="0" w:footer="0" w:header="0"/>
          <w:type w:val="continuous"/>
        </w:sectPr>
      </w:pPr>
    </w:p>
    <w:bookmarkStart w:id="41" w:name="page42"/>
    <w:bookmarkEnd w:id="41"/>
    <w:p>
      <w:pPr>
        <w:ind w:left="8" w:right="60"/>
        <w:spacing w:after="0" w:line="245" w:lineRule="auto"/>
        <w:rPr>
          <w:sz w:val="20"/>
          <w:szCs w:val="20"/>
          <w:color w:val="auto"/>
        </w:rPr>
      </w:pPr>
      <w:r>
        <w:rPr>
          <w:rFonts w:ascii="Times New Roman" w:cs="Times New Roman" w:eastAsia="Times New Roman" w:hAnsi="Times New Roman"/>
          <w:sz w:val="20"/>
          <w:szCs w:val="20"/>
          <w:color w:val="auto"/>
        </w:rPr>
        <w:t>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and balanced anesthesia. No therapies have been approved for the treatment of chronic cough in patients with IPF or non-IPF ILD, and no therapies have been approved in the U.S. for the treatment of patients with RCC. Gefapixant has been approved in Japan, the United Kingdom, Switzerland, and the E.U. for the treatment of patients with RCC. We can provide no assurance that Haduvio or any other future product candidate that we may seek to develop for chronic cough indications will be effective or safe, obtain regulatory approval or be commercially successful.</w:t>
      </w:r>
    </w:p>
    <w:p>
      <w:pPr>
        <w:spacing w:after="0" w:line="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Clinical drug development involves a lengthy and expensive process with an uncertain outcome.</w:t>
      </w:r>
    </w:p>
    <w:p>
      <w:pPr>
        <w:spacing w:after="0" w:line="117" w:lineRule="exact"/>
        <w:rPr>
          <w:sz w:val="20"/>
          <w:szCs w:val="20"/>
          <w:color w:val="auto"/>
        </w:rPr>
      </w:pPr>
    </w:p>
    <w:p>
      <w:pPr>
        <w:ind w:left="8" w:right="120" w:firstLine="490"/>
        <w:spacing w:after="0" w:line="249" w:lineRule="auto"/>
        <w:rPr>
          <w:sz w:val="20"/>
          <w:szCs w:val="20"/>
          <w:color w:val="auto"/>
        </w:rPr>
      </w:pPr>
      <w:r>
        <w:rPr>
          <w:rFonts w:ascii="Times New Roman" w:cs="Times New Roman" w:eastAsia="Times New Roman" w:hAnsi="Times New Roman"/>
          <w:sz w:val="20"/>
          <w:szCs w:val="20"/>
          <w:color w:val="auto"/>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spacing w:after="0" w:line="77" w:lineRule="exact"/>
        <w:rPr>
          <w:sz w:val="20"/>
          <w:szCs w:val="20"/>
          <w:color w:val="auto"/>
        </w:rPr>
      </w:pPr>
    </w:p>
    <w:p>
      <w:pPr>
        <w:ind w:left="8" w:right="20" w:firstLine="490"/>
        <w:spacing w:after="0" w:line="249" w:lineRule="auto"/>
        <w:rPr>
          <w:sz w:val="20"/>
          <w:szCs w:val="20"/>
          <w:color w:val="auto"/>
        </w:rPr>
      </w:pPr>
      <w:r>
        <w:rPr>
          <w:rFonts w:ascii="Times New Roman" w:cs="Times New Roman" w:eastAsia="Times New Roman" w:hAnsi="Times New Roman"/>
          <w:sz w:val="20"/>
          <w:szCs w:val="20"/>
          <w:color w:val="auto"/>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spacing w:after="0" w:line="91" w:lineRule="exact"/>
        <w:rPr>
          <w:sz w:val="20"/>
          <w:szCs w:val="20"/>
          <w:color w:val="auto"/>
        </w:rPr>
      </w:pPr>
    </w:p>
    <w:p>
      <w:pPr>
        <w:ind w:left="488" w:hanging="488"/>
        <w:spacing w:after="0"/>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trials may produce unfavorable or inconclusive results;</w:t>
      </w:r>
    </w:p>
    <w:p>
      <w:pPr>
        <w:spacing w:after="0" w:line="133" w:lineRule="exact"/>
        <w:rPr>
          <w:rFonts w:ascii="Arial" w:cs="Arial" w:eastAsia="Arial" w:hAnsi="Arial"/>
          <w:sz w:val="20"/>
          <w:szCs w:val="20"/>
          <w:color w:val="auto"/>
        </w:rPr>
      </w:pPr>
    </w:p>
    <w:p>
      <w:pPr>
        <w:ind w:left="488" w:right="120" w:hanging="488"/>
        <w:spacing w:after="0" w:line="276" w:lineRule="auto"/>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we may decide, or regulators may require us, to restructure clinical trials, conduct additional clinical and nonclinical trials or abandon product development programs;</w:t>
      </w:r>
    </w:p>
    <w:p>
      <w:pPr>
        <w:spacing w:after="0" w:line="64" w:lineRule="exact"/>
        <w:rPr>
          <w:rFonts w:ascii="Arial" w:cs="Arial" w:eastAsia="Arial" w:hAnsi="Arial"/>
          <w:sz w:val="20"/>
          <w:szCs w:val="20"/>
          <w:color w:val="auto"/>
        </w:rPr>
      </w:pPr>
    </w:p>
    <w:p>
      <w:pPr>
        <w:ind w:left="488" w:right="200" w:hanging="488"/>
        <w:spacing w:after="0" w:line="276" w:lineRule="auto"/>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delays in obtaining authorization to commence a clinical trial from regulators, clinical sites and institutional review boards;</w:t>
      </w:r>
    </w:p>
    <w:p>
      <w:pPr>
        <w:spacing w:after="0" w:line="64" w:lineRule="exact"/>
        <w:rPr>
          <w:rFonts w:ascii="Arial" w:cs="Arial" w:eastAsia="Arial" w:hAnsi="Arial"/>
          <w:sz w:val="20"/>
          <w:szCs w:val="20"/>
          <w:color w:val="auto"/>
        </w:rPr>
      </w:pPr>
    </w:p>
    <w:p>
      <w:pPr>
        <w:ind w:left="488" w:hanging="488"/>
        <w:spacing w:after="0"/>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patients required for clinical trials may be larger than we anticipate;</w:t>
      </w:r>
    </w:p>
    <w:p>
      <w:pPr>
        <w:spacing w:after="0" w:line="133" w:lineRule="exact"/>
        <w:rPr>
          <w:rFonts w:ascii="Arial" w:cs="Arial" w:eastAsia="Arial" w:hAnsi="Arial"/>
          <w:sz w:val="20"/>
          <w:szCs w:val="20"/>
          <w:color w:val="auto"/>
        </w:rPr>
      </w:pPr>
    </w:p>
    <w:p>
      <w:pPr>
        <w:ind w:left="488" w:right="960" w:hanging="488"/>
        <w:spacing w:after="0" w:line="276" w:lineRule="auto"/>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patient enrollment in clinical trials may be slower than we anticipate or participants may discontinue their participation in these clinical trials at a higher rate than we anticipate;</w:t>
      </w:r>
    </w:p>
    <w:p>
      <w:pPr>
        <w:spacing w:after="0" w:line="64" w:lineRule="exact"/>
        <w:rPr>
          <w:rFonts w:ascii="Arial" w:cs="Arial" w:eastAsia="Arial" w:hAnsi="Arial"/>
          <w:sz w:val="20"/>
          <w:szCs w:val="20"/>
          <w:color w:val="auto"/>
        </w:rPr>
      </w:pPr>
    </w:p>
    <w:p>
      <w:pPr>
        <w:ind w:left="488" w:right="60" w:hanging="488"/>
        <w:spacing w:after="0" w:line="258" w:lineRule="auto"/>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planned clinical trials may be greater than we anticipate, such as if we are required to add additional sites, increase the target number of enrolled patients or use additional incentive strategies to address site activation and enrollment;</w:t>
      </w:r>
    </w:p>
    <w:p>
      <w:pPr>
        <w:spacing w:after="0" w:line="81" w:lineRule="exact"/>
        <w:rPr>
          <w:rFonts w:ascii="Arial" w:cs="Arial" w:eastAsia="Arial" w:hAnsi="Arial"/>
          <w:sz w:val="20"/>
          <w:szCs w:val="20"/>
          <w:color w:val="auto"/>
        </w:rPr>
      </w:pPr>
    </w:p>
    <w:p>
      <w:pPr>
        <w:ind w:left="488" w:hanging="488"/>
        <w:spacing w:after="0"/>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clinical trial sites may not have adequate staff and resources to support our trials on a timely basis;</w:t>
      </w:r>
    </w:p>
    <w:p>
      <w:pPr>
        <w:spacing w:after="0" w:line="133" w:lineRule="exact"/>
        <w:rPr>
          <w:rFonts w:ascii="Arial" w:cs="Arial" w:eastAsia="Arial" w:hAnsi="Arial"/>
          <w:sz w:val="20"/>
          <w:szCs w:val="20"/>
          <w:color w:val="auto"/>
        </w:rPr>
      </w:pPr>
    </w:p>
    <w:p>
      <w:pPr>
        <w:ind w:left="488" w:right="280" w:hanging="488"/>
        <w:spacing w:after="0" w:line="258" w:lineRule="auto"/>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spacing w:after="0" w:line="81" w:lineRule="exact"/>
        <w:rPr>
          <w:rFonts w:ascii="Arial" w:cs="Arial" w:eastAsia="Arial" w:hAnsi="Arial"/>
          <w:sz w:val="20"/>
          <w:szCs w:val="20"/>
          <w:color w:val="auto"/>
        </w:rPr>
      </w:pPr>
    </w:p>
    <w:p>
      <w:pPr>
        <w:ind w:left="488" w:right="400" w:hanging="488"/>
        <w:spacing w:after="0" w:line="276" w:lineRule="auto"/>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or institutional review boards may not authorize us or our investigators to commence a clinical trial or conduct a clinical trial at a prospective trial site;</w:t>
      </w:r>
    </w:p>
    <w:p>
      <w:pPr>
        <w:spacing w:after="0" w:line="64" w:lineRule="exact"/>
        <w:rPr>
          <w:rFonts w:ascii="Arial" w:cs="Arial" w:eastAsia="Arial" w:hAnsi="Arial"/>
          <w:sz w:val="20"/>
          <w:szCs w:val="20"/>
          <w:color w:val="auto"/>
        </w:rPr>
      </w:pPr>
    </w:p>
    <w:p>
      <w:pPr>
        <w:ind w:left="488" w:right="100" w:hanging="488"/>
        <w:spacing w:after="0" w:line="276" w:lineRule="auto"/>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delays in reaching or fail to reach agreement on acceptable clinical trial contracts or clinical trial protocols with prospective trial sites;</w:t>
      </w:r>
    </w:p>
    <w:p>
      <w:pPr>
        <w:spacing w:after="0" w:line="64" w:lineRule="exact"/>
        <w:rPr>
          <w:rFonts w:ascii="Arial" w:cs="Arial" w:eastAsia="Arial" w:hAnsi="Arial"/>
          <w:sz w:val="20"/>
          <w:szCs w:val="20"/>
          <w:color w:val="auto"/>
        </w:rPr>
      </w:pPr>
    </w:p>
    <w:p>
      <w:pPr>
        <w:ind w:left="488" w:right="60" w:hanging="488"/>
        <w:spacing w:after="0" w:line="258" w:lineRule="auto"/>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spacing w:after="0" w:line="81" w:lineRule="exact"/>
        <w:rPr>
          <w:rFonts w:ascii="Arial" w:cs="Arial" w:eastAsia="Arial" w:hAnsi="Arial"/>
          <w:sz w:val="20"/>
          <w:szCs w:val="20"/>
          <w:color w:val="auto"/>
        </w:rPr>
      </w:pPr>
    </w:p>
    <w:p>
      <w:pPr>
        <w:ind w:left="488" w:hanging="488"/>
        <w:spacing w:after="0" w:line="258" w:lineRule="auto"/>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we may have to delay, suspend or terminate clinical trials for various reasons, including a finding that the participants are being exposed to unacceptable health risks, undesirable side effects or other unexpected characteristics of a product candidate;</w:t>
      </w:r>
    </w:p>
    <w:p>
      <w:pPr>
        <w:spacing w:after="0" w:line="81" w:lineRule="exact"/>
        <w:rPr>
          <w:rFonts w:ascii="Arial" w:cs="Arial" w:eastAsia="Arial" w:hAnsi="Arial"/>
          <w:sz w:val="20"/>
          <w:szCs w:val="20"/>
          <w:color w:val="auto"/>
        </w:rPr>
      </w:pPr>
    </w:p>
    <w:p>
      <w:pPr>
        <w:ind w:left="488" w:right="160" w:hanging="488"/>
        <w:spacing w:after="0" w:line="249" w:lineRule="auto"/>
        <w:tabs>
          <w:tab w:leader="none" w:pos="488"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sectPr>
          <w:pgSz w:w="12240" w:h="15840" w:orient="portrait"/>
          <w:cols w:equalWidth="0" w:num="1">
            <w:col w:w="9908"/>
          </w:cols>
          <w:pgMar w:left="1152" w:top="1132" w:right="1180" w:bottom="175" w:gutter="0" w:footer="0" w:header="0"/>
        </w:sectPr>
      </w:pPr>
    </w:p>
    <w:p>
      <w:pPr>
        <w:spacing w:after="0" w:line="335"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908"/>
          </w:cols>
          <w:pgMar w:left="1152" w:top="1132" w:right="1180" w:bottom="175" w:gutter="0" w:footer="0" w:header="0"/>
          <w:type w:val="continuous"/>
        </w:sectPr>
      </w:pPr>
    </w:p>
    <w:bookmarkStart w:id="42" w:name="page43"/>
    <w:bookmarkEnd w:id="42"/>
    <w:p>
      <w:pPr>
        <w:ind w:left="488" w:hanging="488"/>
        <w:spacing w:after="0" w:line="276" w:lineRule="auto"/>
        <w:tabs>
          <w:tab w:leader="none" w:pos="48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disagree with our clinical trial designs or our interpretation of data from preclinical studies and clinical trials;</w:t>
      </w:r>
    </w:p>
    <w:p>
      <w:pPr>
        <w:spacing w:after="0" w:line="64" w:lineRule="exact"/>
        <w:rPr>
          <w:rFonts w:ascii="Arial" w:cs="Arial" w:eastAsia="Arial" w:hAnsi="Arial"/>
          <w:sz w:val="20"/>
          <w:szCs w:val="20"/>
          <w:color w:val="auto"/>
        </w:rPr>
      </w:pPr>
    </w:p>
    <w:p>
      <w:pPr>
        <w:ind w:left="488" w:right="260" w:hanging="488"/>
        <w:spacing w:after="0" w:line="258" w:lineRule="auto"/>
        <w:tabs>
          <w:tab w:leader="none" w:pos="48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fail to approve or subsequently find fault with the manufacturing processes or facilities of third-party manufacturers with which we enter into agreements for clinical and commercial supplies;</w:t>
      </w:r>
    </w:p>
    <w:p>
      <w:pPr>
        <w:spacing w:after="0" w:line="81" w:lineRule="exact"/>
        <w:rPr>
          <w:rFonts w:ascii="Arial" w:cs="Arial" w:eastAsia="Arial" w:hAnsi="Arial"/>
          <w:sz w:val="20"/>
          <w:szCs w:val="20"/>
          <w:color w:val="auto"/>
        </w:rPr>
      </w:pPr>
    </w:p>
    <w:p>
      <w:pPr>
        <w:ind w:left="488" w:right="360" w:hanging="488"/>
        <w:spacing w:after="0" w:line="258" w:lineRule="auto"/>
        <w:tabs>
          <w:tab w:leader="none" w:pos="48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supply or quality of drug substance for our product candidates or the manufactured product candidate or other materials or drug substances necessary to conduct clinical trials of the product candidate may be insufficient, inadequate or not available at an acceptable cost or we may experience interruptions in supply;</w:t>
      </w:r>
    </w:p>
    <w:p>
      <w:pPr>
        <w:spacing w:after="0" w:line="81" w:lineRule="exact"/>
        <w:rPr>
          <w:rFonts w:ascii="Arial" w:cs="Arial" w:eastAsia="Arial" w:hAnsi="Arial"/>
          <w:sz w:val="20"/>
          <w:szCs w:val="20"/>
          <w:color w:val="auto"/>
        </w:rPr>
      </w:pPr>
    </w:p>
    <w:p>
      <w:pPr>
        <w:ind w:left="488" w:right="180" w:hanging="488"/>
        <w:spacing w:after="0" w:line="258" w:lineRule="auto"/>
        <w:tabs>
          <w:tab w:leader="none" w:pos="48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regulation of the importation or handling of drug substance and study equipment necessary to conduct clinical trials of the product candidate may significantly differ between jurisdictions, which could cause delays or prohibit us in delivering drug substance or study equipment to clinical trial sites;</w:t>
      </w:r>
    </w:p>
    <w:p>
      <w:pPr>
        <w:spacing w:after="0" w:line="81" w:lineRule="exact"/>
        <w:rPr>
          <w:rFonts w:ascii="Arial" w:cs="Arial" w:eastAsia="Arial" w:hAnsi="Arial"/>
          <w:sz w:val="20"/>
          <w:szCs w:val="20"/>
          <w:color w:val="auto"/>
        </w:rPr>
      </w:pPr>
    </w:p>
    <w:p>
      <w:pPr>
        <w:ind w:left="488" w:hanging="488"/>
        <w:spacing w:after="0" w:line="258" w:lineRule="auto"/>
        <w:tabs>
          <w:tab w:leader="none" w:pos="48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spacing w:after="0" w:line="81" w:lineRule="exact"/>
        <w:rPr>
          <w:rFonts w:ascii="Arial" w:cs="Arial" w:eastAsia="Arial" w:hAnsi="Arial"/>
          <w:sz w:val="20"/>
          <w:szCs w:val="20"/>
          <w:color w:val="auto"/>
        </w:rPr>
      </w:pPr>
    </w:p>
    <w:p>
      <w:pPr>
        <w:ind w:left="488" w:right="20" w:hanging="488"/>
        <w:spacing w:after="0" w:line="258" w:lineRule="auto"/>
        <w:tabs>
          <w:tab w:leader="none" w:pos="488"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comparable foreign regulatory authorities may refuse to accept for review any NDA, MAA or other comparable foreign regulatory application that we submit for a product candidate or may conclude after review of our data that our application is insufficient to obtain marketing approval of a product candidate.</w:t>
      </w:r>
    </w:p>
    <w:p>
      <w:pPr>
        <w:spacing w:after="0" w:line="60" w:lineRule="exact"/>
        <w:rPr>
          <w:sz w:val="20"/>
          <w:szCs w:val="20"/>
          <w:color w:val="auto"/>
        </w:rPr>
      </w:pPr>
    </w:p>
    <w:p>
      <w:pPr>
        <w:ind w:left="8" w:right="20" w:firstLine="490"/>
        <w:spacing w:after="0" w:line="237" w:lineRule="auto"/>
        <w:rPr>
          <w:sz w:val="20"/>
          <w:szCs w:val="20"/>
          <w:color w:val="auto"/>
        </w:rPr>
      </w:pPr>
      <w:r>
        <w:rPr>
          <w:rFonts w:ascii="Times New Roman" w:cs="Times New Roman" w:eastAsia="Times New Roman" w:hAnsi="Times New Roman"/>
          <w:sz w:val="20"/>
          <w:szCs w:val="20"/>
          <w:color w:val="auto"/>
        </w:rPr>
        <w:t>In addition to the above, the COVID-19 pandemic previously adversely affected our clinical trial operations worldwide, and other outbreaks of infectious disease could in the future adversely affect our clinical trial operations worldwide, including our ability to recruit and retain principal investigators and site staff who, as healthcare providers, may have heightened exposure to infectious diseases. In the future, we may experience adverse impacts on our clinical trial activities, business operations, financial condition, and prospects as a result of outbreaks of infectious disease, among other factors.</w:t>
      </w:r>
    </w:p>
    <w:p>
      <w:pPr>
        <w:spacing w:after="0" w:line="77" w:lineRule="exact"/>
        <w:rPr>
          <w:sz w:val="20"/>
          <w:szCs w:val="20"/>
          <w:color w:val="auto"/>
        </w:rPr>
      </w:pPr>
    </w:p>
    <w:p>
      <w:pPr>
        <w:ind w:left="8" w:right="120" w:firstLine="490"/>
        <w:spacing w:after="0" w:line="238" w:lineRule="auto"/>
        <w:rPr>
          <w:sz w:val="20"/>
          <w:szCs w:val="20"/>
          <w:color w:val="auto"/>
        </w:rPr>
      </w:pPr>
      <w:r>
        <w:rPr>
          <w:rFonts w:ascii="Times New Roman" w:cs="Times New Roman" w:eastAsia="Times New Roman" w:hAnsi="Times New Roman"/>
          <w:sz w:val="20"/>
          <w:szCs w:val="20"/>
          <w:color w:val="auto"/>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spacing w:after="0" w:line="99" w:lineRule="exact"/>
        <w:rPr>
          <w:sz w:val="20"/>
          <w:szCs w:val="20"/>
          <w:color w:val="auto"/>
        </w:rPr>
      </w:pPr>
    </w:p>
    <w:p>
      <w:pPr>
        <w:ind w:left="488" w:right="420" w:hanging="488"/>
        <w:spacing w:after="0" w:line="276" w:lineRule="auto"/>
        <w:tabs>
          <w:tab w:leader="none" w:pos="48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incur additional unplanned costs, which may exceed the resources that we have available or are able to obtain on reasonable terms;</w:t>
      </w:r>
    </w:p>
    <w:p>
      <w:pPr>
        <w:spacing w:after="0" w:line="64" w:lineRule="exact"/>
        <w:rPr>
          <w:rFonts w:ascii="Arial" w:cs="Arial" w:eastAsia="Arial" w:hAnsi="Arial"/>
          <w:sz w:val="20"/>
          <w:szCs w:val="20"/>
          <w:color w:val="auto"/>
        </w:rPr>
      </w:pPr>
    </w:p>
    <w:p>
      <w:pPr>
        <w:ind w:left="488" w:right="360" w:hanging="488"/>
        <w:spacing w:after="0" w:line="258" w:lineRule="auto"/>
        <w:tabs>
          <w:tab w:leader="none" w:pos="48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spacing w:after="0" w:line="81" w:lineRule="exact"/>
        <w:rPr>
          <w:rFonts w:ascii="Arial" w:cs="Arial" w:eastAsia="Arial" w:hAnsi="Arial"/>
          <w:sz w:val="20"/>
          <w:szCs w:val="20"/>
          <w:color w:val="auto"/>
        </w:rPr>
      </w:pPr>
    </w:p>
    <w:p>
      <w:pPr>
        <w:ind w:left="488" w:hanging="488"/>
        <w:spacing w:after="0"/>
        <w:tabs>
          <w:tab w:leader="none" w:pos="48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fail to obtain marketing approval at all;</w:t>
      </w:r>
    </w:p>
    <w:p>
      <w:pPr>
        <w:spacing w:after="0" w:line="133" w:lineRule="exact"/>
        <w:rPr>
          <w:rFonts w:ascii="Arial" w:cs="Arial" w:eastAsia="Arial" w:hAnsi="Arial"/>
          <w:sz w:val="20"/>
          <w:szCs w:val="20"/>
          <w:color w:val="auto"/>
        </w:rPr>
      </w:pPr>
    </w:p>
    <w:p>
      <w:pPr>
        <w:ind w:left="488" w:right="360" w:hanging="488"/>
        <w:spacing w:after="0" w:line="276" w:lineRule="auto"/>
        <w:tabs>
          <w:tab w:leader="none" w:pos="48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obtain marketing approval for indications or patient populations that are not as broad as we originally intended or desired;</w:t>
      </w:r>
    </w:p>
    <w:p>
      <w:pPr>
        <w:spacing w:after="0" w:line="64" w:lineRule="exact"/>
        <w:rPr>
          <w:rFonts w:ascii="Arial" w:cs="Arial" w:eastAsia="Arial" w:hAnsi="Arial"/>
          <w:sz w:val="20"/>
          <w:szCs w:val="20"/>
          <w:color w:val="auto"/>
        </w:rPr>
      </w:pPr>
    </w:p>
    <w:p>
      <w:pPr>
        <w:ind w:left="488" w:right="180" w:hanging="488"/>
        <w:spacing w:after="0" w:line="276" w:lineRule="auto"/>
        <w:tabs>
          <w:tab w:leader="none" w:pos="48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obtain marketing approval with labeling that includes significant use or distribution restrictions or significant safety warnings, including boxed warnings;</w:t>
      </w:r>
    </w:p>
    <w:p>
      <w:pPr>
        <w:spacing w:after="0" w:line="64" w:lineRule="exact"/>
        <w:rPr>
          <w:rFonts w:ascii="Arial" w:cs="Arial" w:eastAsia="Arial" w:hAnsi="Arial"/>
          <w:sz w:val="20"/>
          <w:szCs w:val="20"/>
          <w:color w:val="auto"/>
        </w:rPr>
      </w:pPr>
    </w:p>
    <w:p>
      <w:pPr>
        <w:ind w:left="488" w:hanging="488"/>
        <w:spacing w:after="0"/>
        <w:tabs>
          <w:tab w:leader="none" w:pos="48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be subject to additional post-marketing testing or other requirements; or</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be required to remove the product from the market after obtaining marketing approval.</w:t>
      </w:r>
    </w:p>
    <w:p>
      <w:pPr>
        <w:spacing w:after="0" w:line="104" w:lineRule="exact"/>
        <w:rPr>
          <w:sz w:val="20"/>
          <w:szCs w:val="20"/>
          <w:color w:val="auto"/>
        </w:rPr>
      </w:pPr>
    </w:p>
    <w:p>
      <w:pPr>
        <w:ind w:left="8" w:right="60" w:firstLine="490"/>
        <w:spacing w:after="0" w:line="239" w:lineRule="auto"/>
        <w:rPr>
          <w:sz w:val="20"/>
          <w:szCs w:val="20"/>
          <w:color w:val="auto"/>
        </w:rPr>
      </w:pPr>
      <w:r>
        <w:rPr>
          <w:rFonts w:ascii="Times New Roman" w:cs="Times New Roman" w:eastAsia="Times New Roman" w:hAnsi="Times New Roman"/>
          <w:sz w:val="20"/>
          <w:szCs w:val="20"/>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w:t>
      </w:r>
    </w:p>
    <w:p>
      <w:pPr>
        <w:spacing w:after="0" w:line="68" w:lineRule="exact"/>
        <w:rPr>
          <w:sz w:val="20"/>
          <w:szCs w:val="20"/>
          <w:color w:val="auto"/>
        </w:rPr>
      </w:pPr>
    </w:p>
    <w:p>
      <w:pPr>
        <w:ind w:left="8" w:right="120" w:firstLine="490"/>
        <w:spacing w:after="0"/>
        <w:rPr>
          <w:sz w:val="20"/>
          <w:szCs w:val="20"/>
          <w:color w:val="auto"/>
        </w:rPr>
      </w:pPr>
      <w:r>
        <w:rPr>
          <w:rFonts w:ascii="Times New Roman" w:cs="Times New Roman" w:eastAsia="Times New Roman" w:hAnsi="Times New Roman"/>
          <w:sz w:val="19"/>
          <w:szCs w:val="19"/>
          <w:color w:val="auto"/>
        </w:rPr>
        <w:t>Similarly, the regulatory landscape related to clinical trials in the European Union, or E.U., has been evolving.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of the E.U., or E.U.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w:t>
      </w:r>
    </w:p>
    <w:p>
      <w:pPr>
        <w:sectPr>
          <w:pgSz w:w="12240" w:h="15840" w:orient="portrait"/>
          <w:cols w:equalWidth="0" w:num="1">
            <w:col w:w="9928"/>
          </w:cols>
          <w:pgMar w:left="1152" w:top="1146" w:right="1160" w:bottom="175"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928"/>
          </w:cols>
          <w:pgMar w:left="1152" w:top="1146" w:right="1160" w:bottom="175" w:gutter="0" w:footer="0" w:header="0"/>
          <w:type w:val="continuous"/>
        </w:sectPr>
      </w:pPr>
    </w:p>
    <w:bookmarkStart w:id="43" w:name="page44"/>
    <w:bookmarkEnd w:id="43"/>
    <w:p>
      <w:pPr>
        <w:ind w:right="120"/>
        <w:spacing w:after="0" w:line="232" w:lineRule="auto"/>
        <w:rPr>
          <w:sz w:val="20"/>
          <w:szCs w:val="20"/>
          <w:color w:val="auto"/>
        </w:rPr>
      </w:pPr>
      <w:r>
        <w:rPr>
          <w:rFonts w:ascii="Times New Roman" w:cs="Times New Roman" w:eastAsia="Times New Roman" w:hAnsi="Times New Roman"/>
          <w:sz w:val="20"/>
          <w:szCs w:val="20"/>
          <w:color w:val="auto"/>
        </w:rPr>
        <w:t>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or there are difficulties with the implementation of the CTR process, our development plans may be impacted.</w:t>
      </w:r>
    </w:p>
    <w:p>
      <w:pPr>
        <w:spacing w:after="0" w:line="71" w:lineRule="exact"/>
        <w:rPr>
          <w:sz w:val="20"/>
          <w:szCs w:val="20"/>
          <w:color w:val="auto"/>
        </w:rPr>
      </w:pPr>
    </w:p>
    <w:p>
      <w:pPr>
        <w:ind w:right="200" w:firstLine="490"/>
        <w:spacing w:after="0" w:line="238" w:lineRule="auto"/>
        <w:rPr>
          <w:sz w:val="20"/>
          <w:szCs w:val="20"/>
          <w:color w:val="auto"/>
        </w:rPr>
      </w:pPr>
      <w:r>
        <w:rPr>
          <w:rFonts w:ascii="Times New Roman" w:cs="Times New Roman" w:eastAsia="Times New Roman" w:hAnsi="Times New Roman"/>
          <w:sz w:val="20"/>
          <w:szCs w:val="20"/>
          <w:color w:val="auto"/>
        </w:rPr>
        <w:t>Our failure to successfully and timely complete clinical trials of Haduvio for the treatment of chronic cough in patients with IPF, non-IPF ILD, and RCC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spacing w:after="0" w:line="70" w:lineRule="exact"/>
        <w:rPr>
          <w:sz w:val="20"/>
          <w:szCs w:val="20"/>
          <w:color w:val="auto"/>
        </w:rPr>
      </w:pPr>
    </w:p>
    <w:p>
      <w:pPr>
        <w:ind w:right="8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clinical trials may fail to demonstrate adequately the safety and efficacy of Haduvio or any future product candidates, which would likely prevent or delay regulatory approval and commercialization.</w:t>
      </w:r>
    </w:p>
    <w:p>
      <w:pPr>
        <w:spacing w:after="0" w:line="53" w:lineRule="exact"/>
        <w:rPr>
          <w:sz w:val="20"/>
          <w:szCs w:val="20"/>
          <w:color w:val="auto"/>
        </w:rPr>
      </w:pPr>
    </w:p>
    <w:p>
      <w:pPr>
        <w:ind w:right="20" w:firstLine="490"/>
        <w:spacing w:after="0" w:line="229" w:lineRule="auto"/>
        <w:rPr>
          <w:sz w:val="20"/>
          <w:szCs w:val="20"/>
          <w:color w:val="auto"/>
        </w:rPr>
      </w:pPr>
      <w:r>
        <w:rPr>
          <w:rFonts w:ascii="Times New Roman" w:cs="Times New Roman" w:eastAsia="Times New Roman" w:hAnsi="Times New Roman"/>
          <w:sz w:val="20"/>
          <w:szCs w:val="20"/>
          <w:color w:val="auto"/>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spacing w:after="0" w:line="80" w:lineRule="exact"/>
        <w:rPr>
          <w:sz w:val="20"/>
          <w:szCs w:val="20"/>
          <w:color w:val="auto"/>
        </w:rPr>
      </w:pPr>
    </w:p>
    <w:p>
      <w:pPr>
        <w:ind w:right="20" w:firstLine="490"/>
        <w:spacing w:after="0" w:line="238" w:lineRule="auto"/>
        <w:rPr>
          <w:sz w:val="20"/>
          <w:szCs w:val="20"/>
          <w:color w:val="auto"/>
        </w:rPr>
      </w:pPr>
      <w:r>
        <w:rPr>
          <w:rFonts w:ascii="Times New Roman" w:cs="Times New Roman" w:eastAsia="Times New Roman" w:hAnsi="Times New Roman"/>
          <w:sz w:val="20"/>
          <w:szCs w:val="20"/>
          <w:color w:val="auto"/>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w:t>
      </w:r>
    </w:p>
    <w:p>
      <w:pPr>
        <w:spacing w:after="0" w:line="7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Use of patient-reported outcome assessments, or PROs, in our clinical trials and high placebo response rates may delay or impair the development of Haduvio or adversely impact our clinical trials.</w:t>
      </w:r>
    </w:p>
    <w:p>
      <w:pPr>
        <w:spacing w:after="0" w:line="53" w:lineRule="exact"/>
        <w:rPr>
          <w:sz w:val="20"/>
          <w:szCs w:val="20"/>
          <w:color w:val="auto"/>
        </w:rPr>
      </w:pPr>
    </w:p>
    <w:p>
      <w:pPr>
        <w:ind w:right="80" w:firstLine="490"/>
        <w:spacing w:after="0" w:line="238" w:lineRule="auto"/>
        <w:rPr>
          <w:sz w:val="20"/>
          <w:szCs w:val="20"/>
          <w:color w:val="auto"/>
        </w:rPr>
      </w:pPr>
      <w:r>
        <w:rPr>
          <w:rFonts w:ascii="Times New Roman" w:cs="Times New Roman" w:eastAsia="Times New Roman" w:hAnsi="Times New Roman"/>
          <w:sz w:val="20"/>
          <w:szCs w:val="20"/>
          <w:color w:val="auto"/>
        </w:rPr>
        <w:t>Although the primary endpoint in our current and planned clinical trials of Haduvio for the treatment of chronic cough in patients with IPF, non-IPF ILD, and RCC will be measured using an objective cough monitor, we have PRO instruments as secondary endpoints, including the key secondary endpoint. There is currently no validated PRO instrument that has been accepted for chronic cough indications.</w:t>
      </w:r>
    </w:p>
    <w:p>
      <w:pPr>
        <w:spacing w:after="0" w:line="74" w:lineRule="exact"/>
        <w:rPr>
          <w:sz w:val="20"/>
          <w:szCs w:val="20"/>
          <w:color w:val="auto"/>
        </w:rPr>
      </w:pPr>
    </w:p>
    <w:p>
      <w:pPr>
        <w:ind w:firstLine="490"/>
        <w:spacing w:after="0" w:line="236" w:lineRule="auto"/>
        <w:rPr>
          <w:sz w:val="20"/>
          <w:szCs w:val="20"/>
          <w:color w:val="auto"/>
        </w:rPr>
      </w:pPr>
      <w:r>
        <w:rPr>
          <w:rFonts w:ascii="Times New Roman" w:cs="Times New Roman" w:eastAsia="Times New Roman" w:hAnsi="Times New Roman"/>
          <w:sz w:val="20"/>
          <w:szCs w:val="20"/>
          <w:color w:val="auto"/>
        </w:rPr>
        <w:t>PROs have an important role in the development and regulatory approval of treatments for cough. However, PROs involve patients’ subjective assessments of efficacy, and this subjectivity can increase the uncertainty of clinical trial outcomes assessing cough. Such assessments can be influenced by a number of factors and can vary widely from day to day for any particular patient and from patient to patient and site to site within a clinical trial, leading to high variability in PRO measurements.</w:t>
      </w:r>
    </w:p>
    <w:p>
      <w:pPr>
        <w:spacing w:after="0" w:line="72" w:lineRule="exact"/>
        <w:rPr>
          <w:sz w:val="20"/>
          <w:szCs w:val="20"/>
          <w:color w:val="auto"/>
        </w:rPr>
      </w:pPr>
    </w:p>
    <w:p>
      <w:pPr>
        <w:ind w:right="40" w:firstLine="490"/>
        <w:spacing w:after="0" w:line="236" w:lineRule="auto"/>
        <w:rPr>
          <w:sz w:val="20"/>
          <w:szCs w:val="20"/>
          <w:color w:val="auto"/>
        </w:rPr>
      </w:pPr>
      <w:r>
        <w:rPr>
          <w:rFonts w:ascii="Times New Roman" w:cs="Times New Roman" w:eastAsia="Times New Roman" w:hAnsi="Times New Roman"/>
          <w:sz w:val="20"/>
          <w:szCs w:val="20"/>
          <w:color w:val="auto"/>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spacing w:after="0" w:line="72" w:lineRule="exact"/>
        <w:rPr>
          <w:sz w:val="20"/>
          <w:szCs w:val="20"/>
          <w:color w:val="auto"/>
        </w:rPr>
      </w:pPr>
    </w:p>
    <w:p>
      <w:pPr>
        <w:ind w:right="140" w:firstLine="490"/>
        <w:spacing w:after="0" w:line="236" w:lineRule="auto"/>
        <w:rPr>
          <w:sz w:val="20"/>
          <w:szCs w:val="20"/>
          <w:color w:val="auto"/>
        </w:rPr>
      </w:pPr>
      <w:r>
        <w:rPr>
          <w:rFonts w:ascii="Times New Roman" w:cs="Times New Roman" w:eastAsia="Times New Roman" w:hAnsi="Times New Roman"/>
          <w:sz w:val="20"/>
          <w:szCs w:val="20"/>
          <w:color w:val="auto"/>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of patients in clinical trials, our receipt of necessary regulatory approvals could be delayed or prevented.</w:t>
      </w:r>
    </w:p>
    <w:p>
      <w:pPr>
        <w:spacing w:after="0" w:line="53" w:lineRule="exact"/>
        <w:rPr>
          <w:sz w:val="20"/>
          <w:szCs w:val="20"/>
          <w:color w:val="auto"/>
        </w:rPr>
      </w:pPr>
    </w:p>
    <w:p>
      <w:pPr>
        <w:ind w:right="60" w:firstLine="490"/>
        <w:spacing w:after="0" w:line="238" w:lineRule="auto"/>
        <w:rPr>
          <w:sz w:val="20"/>
          <w:szCs w:val="20"/>
          <w:color w:val="auto"/>
        </w:rPr>
      </w:pPr>
      <w:r>
        <w:rPr>
          <w:rFonts w:ascii="Times New Roman" w:cs="Times New Roman" w:eastAsia="Times New Roman" w:hAnsi="Times New Roman"/>
          <w:sz w:val="20"/>
          <w:szCs w:val="20"/>
          <w:color w:val="auto"/>
        </w:rPr>
        <w:t>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sectPr>
          <w:pgSz w:w="12240" w:h="15840" w:orient="portrait"/>
          <w:cols w:equalWidth="0" w:num="1">
            <w:col w:w="9920"/>
          </w:cols>
          <w:pgMar w:left="1160" w:top="1117" w:right="1160" w:bottom="175"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920"/>
          </w:cols>
          <w:pgMar w:left="1160" w:top="1117" w:right="1160" w:bottom="175" w:gutter="0" w:footer="0" w:header="0"/>
          <w:type w:val="continuous"/>
        </w:sectPr>
      </w:pPr>
    </w:p>
    <w:bookmarkStart w:id="44" w:name="page45"/>
    <w:bookmarkEnd w:id="44"/>
    <w:p>
      <w:pPr>
        <w:ind w:left="488" w:hanging="488"/>
        <w:spacing w:after="0"/>
        <w:tabs>
          <w:tab w:leader="none" w:pos="488"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size and nature of the eligible patient population;</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severity of the disease under investigation;</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proximity of eligible patients to clinical sites;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patient referral practices of physicians;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eligibility criteria for the clinical trial;</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the design of the clinical trial;</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efforts to facilitate timely enrollment;</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competing clinical trials; and</w:t>
      </w:r>
    </w:p>
    <w:p>
      <w:pPr>
        <w:spacing w:after="0" w:line="133" w:lineRule="exact"/>
        <w:rPr>
          <w:rFonts w:ascii="Arial" w:cs="Arial" w:eastAsia="Arial" w:hAnsi="Arial"/>
          <w:sz w:val="20"/>
          <w:szCs w:val="20"/>
          <w:color w:val="auto"/>
        </w:rPr>
      </w:pPr>
    </w:p>
    <w:p>
      <w:pPr>
        <w:ind w:left="488" w:right="60" w:hanging="488"/>
        <w:spacing w:after="0" w:line="258" w:lineRule="auto"/>
        <w:tabs>
          <w:tab w:leader="none" w:pos="488"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clinicians’ and patients’ perceptions as to the potential advantages and risks of the product candidate being studied in relation to other available therapies, including any new drugs that may be approved for the indications under investigation.</w:t>
      </w:r>
    </w:p>
    <w:p>
      <w:pPr>
        <w:spacing w:after="0" w:line="56" w:lineRule="exact"/>
        <w:rPr>
          <w:sz w:val="20"/>
          <w:szCs w:val="20"/>
          <w:color w:val="auto"/>
        </w:rPr>
      </w:pPr>
    </w:p>
    <w:p>
      <w:pPr>
        <w:ind w:left="8" w:right="40" w:firstLine="490"/>
        <w:spacing w:after="0" w:line="238" w:lineRule="auto"/>
        <w:rPr>
          <w:sz w:val="20"/>
          <w:szCs w:val="20"/>
          <w:color w:val="auto"/>
        </w:rPr>
      </w:pPr>
      <w:r>
        <w:rPr>
          <w:rFonts w:ascii="Times New Roman" w:cs="Times New Roman" w:eastAsia="Times New Roman" w:hAnsi="Times New Roman"/>
          <w:sz w:val="20"/>
          <w:szCs w:val="20"/>
          <w:color w:val="auto"/>
        </w:rPr>
        <w:t>In particular, the successful completion of our clinical development program for Haduvio for the treatment of chronic cough in patients with IPF, non-IPF ILD, and RCC is dependent upon our ability to enroll a sufficient number of patients with these severe conditions. We have experienced delays and difficulties in the enrollment of patients in certain of our clinical trials, including our Phase 2 CANAL trial, which delayed the completion of these trials.</w:t>
      </w:r>
    </w:p>
    <w:p>
      <w:pPr>
        <w:spacing w:after="0" w:line="74" w:lineRule="exact"/>
        <w:rPr>
          <w:sz w:val="20"/>
          <w:szCs w:val="20"/>
          <w:color w:val="auto"/>
        </w:rPr>
      </w:pPr>
    </w:p>
    <w:p>
      <w:pPr>
        <w:ind w:left="8" w:firstLine="490"/>
        <w:spacing w:after="0" w:line="234" w:lineRule="auto"/>
        <w:rPr>
          <w:sz w:val="20"/>
          <w:szCs w:val="20"/>
          <w:color w:val="auto"/>
        </w:rPr>
      </w:pPr>
      <w:r>
        <w:rPr>
          <w:rFonts w:ascii="Times New Roman" w:cs="Times New Roman" w:eastAsia="Times New Roman" w:hAnsi="Times New Roman"/>
          <w:sz w:val="20"/>
          <w:szCs w:val="20"/>
          <w:color w:val="auto"/>
        </w:rPr>
        <w:t>Other companies are conducting clinical trials or have announced plans for future clinical trials that are seeking or are likely to seek to enroll patients with IPF, non-IPF ILD and patients with RCC, and patients are often only able to enroll in a single trial at a time. No therapies have been approved for the treatment of chronic cough in patients with IPF or non-IPF ILD and no therapies have been approved in the U.S. for the treatment of patients with RCC. However, patients with these conditions, as well as their physicians, may be reluctant to forgo, discontinue or otherwise alter their use of the therapeutic approaches they currently use in order to participate in our clinical trials.</w:t>
      </w:r>
    </w:p>
    <w:p>
      <w:pPr>
        <w:spacing w:after="0" w:line="74" w:lineRule="exact"/>
        <w:rPr>
          <w:sz w:val="20"/>
          <w:szCs w:val="20"/>
          <w:color w:val="auto"/>
        </w:rPr>
      </w:pPr>
    </w:p>
    <w:p>
      <w:pPr>
        <w:ind w:left="8" w:firstLine="490"/>
        <w:spacing w:after="0" w:line="234" w:lineRule="auto"/>
        <w:rPr>
          <w:sz w:val="20"/>
          <w:szCs w:val="20"/>
          <w:color w:val="auto"/>
        </w:rPr>
      </w:pPr>
      <w:r>
        <w:rPr>
          <w:rFonts w:ascii="Times New Roman" w:cs="Times New Roman" w:eastAsia="Times New Roman" w:hAnsi="Times New Roman"/>
          <w:sz w:val="20"/>
          <w:szCs w:val="20"/>
          <w:color w:val="auto"/>
        </w:rPr>
        <w:t>Any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spacing w:after="0" w:line="70" w:lineRule="exact"/>
        <w:rPr>
          <w:sz w:val="20"/>
          <w:szCs w:val="20"/>
          <w:color w:val="auto"/>
        </w:rPr>
      </w:pPr>
    </w:p>
    <w:p>
      <w:pPr>
        <w:jc w:val="both"/>
        <w:ind w:left="8" w:right="18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spacing w:after="0" w:line="72" w:lineRule="exact"/>
        <w:rPr>
          <w:sz w:val="20"/>
          <w:szCs w:val="20"/>
          <w:color w:val="auto"/>
        </w:rPr>
      </w:pPr>
    </w:p>
    <w:p>
      <w:pPr>
        <w:ind w:left="8" w:right="160" w:firstLine="490"/>
        <w:spacing w:after="0" w:line="233" w:lineRule="auto"/>
        <w:rPr>
          <w:sz w:val="20"/>
          <w:szCs w:val="20"/>
          <w:color w:val="auto"/>
        </w:rPr>
      </w:pPr>
      <w:r>
        <w:rPr>
          <w:rFonts w:ascii="Times New Roman" w:cs="Times New Roman" w:eastAsia="Times New Roman" w:hAnsi="Times New Roman"/>
          <w:sz w:val="20"/>
          <w:szCs w:val="20"/>
          <w:color w:val="auto"/>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spacing w:after="0" w:line="84" w:lineRule="exact"/>
        <w:rPr>
          <w:sz w:val="20"/>
          <w:szCs w:val="20"/>
          <w:color w:val="auto"/>
        </w:rPr>
      </w:pPr>
    </w:p>
    <w:p>
      <w:pPr>
        <w:ind w:left="8" w:firstLine="490"/>
        <w:spacing w:after="0" w:line="243" w:lineRule="auto"/>
        <w:rPr>
          <w:sz w:val="20"/>
          <w:szCs w:val="20"/>
          <w:color w:val="auto"/>
        </w:rPr>
      </w:pPr>
      <w:r>
        <w:rPr>
          <w:rFonts w:ascii="Times New Roman" w:cs="Times New Roman" w:eastAsia="Times New Roman" w:hAnsi="Times New Roman"/>
          <w:sz w:val="20"/>
          <w:szCs w:val="20"/>
          <w:color w:val="auto"/>
        </w:rPr>
        <w:t>In addition, Haduvio, as a mixed agonist antagonist, may be susceptible to side effects associated with drugs having either of those mechanisms of action. Kappa-opioid receptor agonists have been associated with poorly tolerated psychiatric side effects, such as feelings of emotional and mental discomfort or dysphoria and hallucinations, at high doses. While we believe that the mixed kappa-opioid receptor agonist and mu-opioid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Mu-opioid receptor antagonists have the potential to precipitate withdrawal effects in patients who are currently on chronic doses of mu-agonist opiates.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spacing w:after="0" w:line="75" w:lineRule="exact"/>
        <w:rPr>
          <w:sz w:val="20"/>
          <w:szCs w:val="20"/>
          <w:color w:val="auto"/>
        </w:rPr>
      </w:pPr>
    </w:p>
    <w:p>
      <w:pPr>
        <w:ind w:left="8" w:right="20" w:firstLine="490"/>
        <w:spacing w:after="0" w:line="264" w:lineRule="auto"/>
        <w:rPr>
          <w:sz w:val="20"/>
          <w:szCs w:val="20"/>
          <w:color w:val="auto"/>
        </w:rPr>
      </w:pPr>
      <w:r>
        <w:rPr>
          <w:rFonts w:ascii="Times New Roman" w:cs="Times New Roman" w:eastAsia="Times New Roman" w:hAnsi="Times New Roman"/>
          <w:sz w:val="19"/>
          <w:szCs w:val="19"/>
          <w:color w:val="auto"/>
        </w:rPr>
        <w:t>In our Phase 2b CORAL trial of Haduvio for the treatment of IPF-related chronic cough, the most frequently reported treatment emergent adverse events associated with Haduvio were nausea, vomiting, constipation, dizziness, headache, fatigue, somnolence, and dry mouth. In our Phase 2a RIVER trial of Haduvio for the treatment of RCC, the most frequently</w:t>
      </w:r>
    </w:p>
    <w:p>
      <w:pPr>
        <w:sectPr>
          <w:pgSz w:w="12240" w:h="15840" w:orient="portrait"/>
          <w:cols w:equalWidth="0" w:num="1">
            <w:col w:w="9928"/>
          </w:cols>
          <w:pgMar w:left="1152" w:top="1146" w:right="1160" w:bottom="175" w:gutter="0" w:footer="0" w:header="0"/>
        </w:sectPr>
      </w:pPr>
    </w:p>
    <w:p>
      <w:pPr>
        <w:spacing w:after="0" w:line="1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928"/>
          </w:cols>
          <w:pgMar w:left="1152" w:top="1146" w:right="1160" w:bottom="175" w:gutter="0" w:footer="0" w:header="0"/>
          <w:type w:val="continuous"/>
        </w:sectPr>
      </w:pPr>
    </w:p>
    <w:bookmarkStart w:id="45" w:name="page46"/>
    <w:bookmarkEnd w:id="45"/>
    <w:p>
      <w:pPr>
        <w:ind w:right="360"/>
        <w:spacing w:after="0" w:line="263" w:lineRule="auto"/>
        <w:rPr>
          <w:sz w:val="20"/>
          <w:szCs w:val="20"/>
          <w:color w:val="auto"/>
        </w:rPr>
      </w:pPr>
      <w:r>
        <w:rPr>
          <w:rFonts w:ascii="Times New Roman" w:cs="Times New Roman" w:eastAsia="Times New Roman" w:hAnsi="Times New Roman"/>
          <w:sz w:val="20"/>
          <w:szCs w:val="20"/>
          <w:color w:val="auto"/>
        </w:rPr>
        <w:t>reported treatment emergent adverse events associated with Haduvio were constipation, nausea, somnolence, headache, dizziness, and fatigue.</w:t>
      </w:r>
    </w:p>
    <w:p>
      <w:pPr>
        <w:spacing w:after="0" w:line="49" w:lineRule="exact"/>
        <w:rPr>
          <w:sz w:val="20"/>
          <w:szCs w:val="20"/>
          <w:color w:val="auto"/>
        </w:rPr>
      </w:pPr>
    </w:p>
    <w:p>
      <w:pPr>
        <w:ind w:right="20" w:firstLine="490"/>
        <w:spacing w:after="0" w:line="234" w:lineRule="auto"/>
        <w:rPr>
          <w:sz w:val="20"/>
          <w:szCs w:val="20"/>
          <w:color w:val="auto"/>
        </w:rPr>
      </w:pPr>
      <w:r>
        <w:rPr>
          <w:rFonts w:ascii="Times New Roman" w:cs="Times New Roman" w:eastAsia="Times New Roman" w:hAnsi="Times New Roman"/>
          <w:sz w:val="20"/>
          <w:szCs w:val="20"/>
          <w:color w:val="auto"/>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spacing w:after="0" w:line="70"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The drug label for nalbuphine, the active ingredient in Haduvio, carries an opioid class label warning for serious, life-threatening or fatal respiratory depression and Haduvio, if approved for marketing in any indication, will likely carry a similar opioid class label.</w:t>
      </w:r>
    </w:p>
    <w:p>
      <w:pPr>
        <w:spacing w:after="0" w:line="64" w:lineRule="exact"/>
        <w:rPr>
          <w:sz w:val="20"/>
          <w:szCs w:val="20"/>
          <w:color w:val="auto"/>
        </w:rPr>
      </w:pPr>
    </w:p>
    <w:p>
      <w:pPr>
        <w:ind w:right="20" w:firstLine="495"/>
        <w:spacing w:after="0" w:line="223" w:lineRule="auto"/>
        <w:rPr>
          <w:sz w:val="20"/>
          <w:szCs w:val="20"/>
          <w:color w:val="auto"/>
        </w:rPr>
      </w:pPr>
      <w:r>
        <w:rPr>
          <w:rFonts w:ascii="Times New Roman" w:cs="Times New Roman" w:eastAsia="Times New Roman" w:hAnsi="Times New Roman"/>
          <w:sz w:val="20"/>
          <w:szCs w:val="20"/>
          <w:color w:val="auto"/>
        </w:rPr>
        <w:t>Mu-opioid receptor agonists as a class are associated with respiratory depression. The drug label for the currently marketed parenterally administered formulation of nalbuphine, the active ingredient in Haduvio, carries an opioid class label warning for serious, life-threatening or fatal respiratory depression and Haduvio, if approved for marketing in any indication, will likely carry a similar opioid class label. We are conducting our Phase 1 TIDAL study to evaluate the effect of Haduvio on respiratory function and safety in patients with IPF of varying disease severity. We cannot be certain that respiratory depression will not be observed or that the FDA will not require additional trials or impose more severe labeling restrictions related to respiratory depression. If there is a safety signal in the Phase 1 study, it could affect our ability to conduct a trial in this patient population.</w:t>
      </w:r>
    </w:p>
    <w:p>
      <w:pPr>
        <w:spacing w:after="0" w:line="70" w:lineRule="exact"/>
        <w:rPr>
          <w:sz w:val="20"/>
          <w:szCs w:val="20"/>
          <w:color w:val="auto"/>
        </w:rPr>
      </w:pPr>
    </w:p>
    <w:p>
      <w:pPr>
        <w:jc w:val="both"/>
        <w:ind w:right="540"/>
        <w:spacing w:after="0" w:line="285" w:lineRule="auto"/>
        <w:rPr>
          <w:sz w:val="20"/>
          <w:szCs w:val="20"/>
          <w:color w:val="auto"/>
        </w:rPr>
      </w:pPr>
      <w:r>
        <w:rPr>
          <w:rFonts w:ascii="Times New Roman" w:cs="Times New Roman" w:eastAsia="Times New Roman" w:hAnsi="Times New Roman"/>
          <w:sz w:val="19"/>
          <w:szCs w:val="19"/>
          <w:b w:val="1"/>
          <w:bCs w:val="1"/>
          <w:i w:val="1"/>
          <w:iCs w:val="1"/>
          <w:color w:val="auto"/>
        </w:rPr>
        <w:t>Many currently approved mu-opioid receptor agonist products are subject to restrictive marketing and distribution regulations which, if applied to Haduvio, could potentially restrict its use and harm our ability to generate profits.</w:t>
      </w:r>
    </w:p>
    <w:p>
      <w:pPr>
        <w:spacing w:after="0" w:line="29" w:lineRule="exact"/>
        <w:rPr>
          <w:sz w:val="20"/>
          <w:szCs w:val="20"/>
          <w:color w:val="auto"/>
        </w:rPr>
      </w:pPr>
    </w:p>
    <w:p>
      <w:pPr>
        <w:ind w:firstLine="490"/>
        <w:spacing w:after="0" w:line="231" w:lineRule="auto"/>
        <w:rPr>
          <w:sz w:val="20"/>
          <w:szCs w:val="20"/>
          <w:color w:val="auto"/>
        </w:rPr>
      </w:pPr>
      <w:r>
        <w:rPr>
          <w:rFonts w:ascii="Times New Roman" w:cs="Times New Roman" w:eastAsia="Times New Roman" w:hAnsi="Times New Roman"/>
          <w:sz w:val="20"/>
          <w:szCs w:val="20"/>
          <w:color w:val="auto"/>
        </w:rPr>
        <w:t>Many currently approved mu-opioid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spacing w:after="0" w:line="8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In addition, the parenteral formulation of nalbuphine is currently not scheduled as a controlled substance under the federal Controlled Substances Act of 1970 or the regulations of the U.S. Drug Enforcement Agency, or the DEA, in the U.S.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 In our HAP trial, we compared Haduvio with butorphanol, which is currently classified as a Schedule IV substance. Nalbuphine has been available for decades and was regularly kept unscheduled by the DEA. In addition, Haduvio was less likable than butorphanol in the HAP study and the DEA will evaluate the HAP results together with other elements of the 8-factor plan required to determine scheduling. However, it is possible that the DEA could determine that Haduvio, which is an oral, extended-release formulation, should be classified as a Schedule V or Schedule IV substance.</w:t>
      </w:r>
    </w:p>
    <w:p>
      <w:pPr>
        <w:spacing w:after="0" w:line="90"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If Haduvio is classified as a controlled substance, there is a risk that it could limit our ability to produce and distribute Haduvio in the volume needed to meet potential commercial demand.</w:t>
      </w:r>
    </w:p>
    <w:p>
      <w:pPr>
        <w:spacing w:after="0" w:line="69" w:lineRule="exact"/>
        <w:rPr>
          <w:sz w:val="20"/>
          <w:szCs w:val="20"/>
          <w:color w:val="auto"/>
        </w:rPr>
      </w:pPr>
    </w:p>
    <w:p>
      <w:pPr>
        <w:ind w:right="60" w:firstLine="490"/>
        <w:spacing w:after="0" w:line="255" w:lineRule="auto"/>
        <w:rPr>
          <w:sz w:val="20"/>
          <w:szCs w:val="20"/>
          <w:color w:val="auto"/>
        </w:rPr>
      </w:pPr>
      <w:r>
        <w:rPr>
          <w:rFonts w:ascii="Times New Roman" w:cs="Times New Roman" w:eastAsia="Times New Roman" w:hAnsi="Times New Roman"/>
          <w:sz w:val="19"/>
          <w:szCs w:val="19"/>
          <w:color w:val="auto"/>
        </w:rPr>
        <w:t>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w:t>
      </w:r>
    </w:p>
    <w:p>
      <w:pPr>
        <w:sectPr>
          <w:pgSz w:w="12240" w:h="15840" w:orient="portrait"/>
          <w:cols w:equalWidth="0" w:num="1">
            <w:col w:w="9920"/>
          </w:cols>
          <w:pgMar w:left="1160" w:top="1121" w:right="1160" w:bottom="175"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920"/>
          </w:cols>
          <w:pgMar w:left="1160" w:top="1121" w:right="1160" w:bottom="175" w:gutter="0" w:footer="0" w:header="0"/>
          <w:type w:val="continuous"/>
        </w:sectPr>
      </w:pPr>
    </w:p>
    <w:bookmarkStart w:id="46" w:name="page47"/>
    <w:bookmarkEnd w:id="46"/>
    <w:p>
      <w:pPr>
        <w:ind w:left="8"/>
        <w:spacing w:after="0" w:line="234" w:lineRule="auto"/>
        <w:rPr>
          <w:sz w:val="20"/>
          <w:szCs w:val="20"/>
          <w:color w:val="auto"/>
        </w:rPr>
      </w:pPr>
      <w:r>
        <w:rPr>
          <w:rFonts w:ascii="Times New Roman" w:cs="Times New Roman" w:eastAsia="Times New Roman" w:hAnsi="Times New Roman"/>
          <w:sz w:val="20"/>
          <w:szCs w:val="20"/>
          <w:color w:val="auto"/>
        </w:rPr>
        <w:t>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Results of preclinical studies and clinical trials may not be predictive of results of later clinical trials.</w:t>
      </w:r>
    </w:p>
    <w:p>
      <w:pPr>
        <w:spacing w:after="0" w:line="120" w:lineRule="exact"/>
        <w:rPr>
          <w:sz w:val="20"/>
          <w:szCs w:val="20"/>
          <w:color w:val="auto"/>
        </w:rPr>
      </w:pPr>
    </w:p>
    <w:p>
      <w:pPr>
        <w:ind w:left="8" w:right="60" w:firstLine="490"/>
        <w:spacing w:after="0" w:line="244" w:lineRule="auto"/>
        <w:rPr>
          <w:sz w:val="20"/>
          <w:szCs w:val="20"/>
          <w:color w:val="auto"/>
        </w:rPr>
      </w:pPr>
      <w:r>
        <w:rPr>
          <w:rFonts w:ascii="Times New Roman" w:cs="Times New Roman" w:eastAsia="Times New Roman" w:hAnsi="Times New Roman"/>
          <w:sz w:val="20"/>
          <w:szCs w:val="20"/>
          <w:color w:val="auto"/>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patients with chronic cough with IPF, non-IPF ILD, and RCC in future clinical trials despite demonstrating positive results in earlier clinical trials. The results of our Phase 2b CORAL trial for the treatment of IPF-related chronic cough or our Phase 2a RIVER trial for the treatment of RCC may not be predictive of the results of future trials of Haduvio for the treatment of chronic cough in patients with IPF, non-IPF ILD, or RCC.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spacing w:after="0" w:line="71" w:lineRule="exact"/>
        <w:rPr>
          <w:sz w:val="20"/>
          <w:szCs w:val="20"/>
          <w:color w:val="auto"/>
        </w:rPr>
      </w:pPr>
    </w:p>
    <w:p>
      <w:pPr>
        <w:ind w:left="8" w:right="60" w:firstLine="490"/>
        <w:spacing w:after="0" w:line="232" w:lineRule="auto"/>
        <w:rPr>
          <w:sz w:val="20"/>
          <w:szCs w:val="20"/>
          <w:color w:val="auto"/>
        </w:rPr>
      </w:pPr>
      <w:r>
        <w:rPr>
          <w:rFonts w:ascii="Times New Roman" w:cs="Times New Roman" w:eastAsia="Times New Roman" w:hAnsi="Times New Roman"/>
          <w:sz w:val="20"/>
          <w:szCs w:val="20"/>
          <w:color w:val="auto"/>
        </w:rPr>
        <w:t>We have limited experience as a company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spacing w:after="0" w:line="74" w:lineRule="exact"/>
        <w:rPr>
          <w:sz w:val="20"/>
          <w:szCs w:val="20"/>
          <w:color w:val="auto"/>
        </w:rPr>
      </w:pPr>
    </w:p>
    <w:p>
      <w:pPr>
        <w:ind w:left="8" w:firstLine="490"/>
        <w:spacing w:after="0" w:line="233" w:lineRule="auto"/>
        <w:rPr>
          <w:sz w:val="20"/>
          <w:szCs w:val="20"/>
          <w:color w:val="auto"/>
        </w:rPr>
      </w:pPr>
      <w:r>
        <w:rPr>
          <w:rFonts w:ascii="Times New Roman" w:cs="Times New Roman" w:eastAsia="Times New Roman" w:hAnsi="Times New Roman"/>
          <w:sz w:val="20"/>
          <w:szCs w:val="20"/>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demonstrate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spacing w:after="0" w:line="84" w:lineRule="exact"/>
        <w:rPr>
          <w:sz w:val="20"/>
          <w:szCs w:val="20"/>
          <w:color w:val="auto"/>
        </w:rPr>
      </w:pPr>
    </w:p>
    <w:p>
      <w:pPr>
        <w:ind w:left="8"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spacing w:after="0" w:line="57" w:lineRule="exact"/>
        <w:rPr>
          <w:sz w:val="20"/>
          <w:szCs w:val="20"/>
          <w:color w:val="auto"/>
        </w:rPr>
      </w:pPr>
    </w:p>
    <w:p>
      <w:pPr>
        <w:ind w:left="8" w:right="160" w:firstLine="490"/>
        <w:spacing w:after="0" w:line="236" w:lineRule="auto"/>
        <w:rPr>
          <w:sz w:val="20"/>
          <w:szCs w:val="20"/>
          <w:color w:val="auto"/>
        </w:rPr>
      </w:pPr>
      <w:r>
        <w:rPr>
          <w:rFonts w:ascii="Times New Roman" w:cs="Times New Roman" w:eastAsia="Times New Roman" w:hAnsi="Times New Roman"/>
          <w:sz w:val="20"/>
          <w:szCs w:val="20"/>
          <w:color w:val="auto"/>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spacing w:after="0" w:line="98" w:lineRule="exact"/>
        <w:rPr>
          <w:sz w:val="20"/>
          <w:szCs w:val="20"/>
          <w:color w:val="auto"/>
        </w:rPr>
      </w:pPr>
    </w:p>
    <w:p>
      <w:pPr>
        <w:ind w:left="488" w:hanging="488"/>
        <w:spacing w:after="0"/>
        <w:tabs>
          <w:tab w:leader="none" w:pos="488"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withdraw their approval of the product or seize the product;</w:t>
      </w:r>
    </w:p>
    <w:p>
      <w:pPr>
        <w:spacing w:after="0" w:line="133" w:lineRule="exact"/>
        <w:rPr>
          <w:rFonts w:ascii="Arial" w:cs="Arial" w:eastAsia="Arial" w:hAnsi="Arial"/>
          <w:sz w:val="20"/>
          <w:szCs w:val="20"/>
          <w:color w:val="auto"/>
        </w:rPr>
      </w:pPr>
    </w:p>
    <w:p>
      <w:pPr>
        <w:ind w:left="488" w:right="240" w:hanging="488"/>
        <w:spacing w:after="0" w:line="276" w:lineRule="auto"/>
        <w:tabs>
          <w:tab w:leader="none" w:pos="488"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recall the product, change the way the product is administered or conduct additional clinical trials;</w:t>
      </w:r>
    </w:p>
    <w:p>
      <w:pPr>
        <w:spacing w:after="0" w:line="64" w:lineRule="exact"/>
        <w:rPr>
          <w:rFonts w:ascii="Arial" w:cs="Arial" w:eastAsia="Arial" w:hAnsi="Arial"/>
          <w:sz w:val="20"/>
          <w:szCs w:val="20"/>
          <w:color w:val="auto"/>
        </w:rPr>
      </w:pPr>
    </w:p>
    <w:p>
      <w:pPr>
        <w:ind w:left="488" w:hanging="488"/>
        <w:spacing w:after="0"/>
        <w:tabs>
          <w:tab w:leader="none" w:pos="488"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additional restrictions may be imposed on the marketing of or the manufacturing processes for, the product;</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subject to fines, injunctions or the imposition of civil or criminal penalties;</w:t>
      </w:r>
    </w:p>
    <w:p>
      <w:pPr>
        <w:spacing w:after="0" w:line="133" w:lineRule="exact"/>
        <w:rPr>
          <w:rFonts w:ascii="Arial" w:cs="Arial" w:eastAsia="Arial" w:hAnsi="Arial"/>
          <w:sz w:val="20"/>
          <w:szCs w:val="20"/>
          <w:color w:val="auto"/>
        </w:rPr>
      </w:pPr>
    </w:p>
    <w:p>
      <w:pPr>
        <w:ind w:left="488" w:right="1020" w:hanging="488"/>
        <w:spacing w:after="0" w:line="276" w:lineRule="auto"/>
        <w:tabs>
          <w:tab w:leader="none" w:pos="488"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require the addition of labeling statements, such as a “black box” warning or a contraindication;</w:t>
      </w:r>
    </w:p>
    <w:p>
      <w:pPr>
        <w:spacing w:after="0" w:line="64" w:lineRule="exact"/>
        <w:rPr>
          <w:rFonts w:ascii="Arial" w:cs="Arial" w:eastAsia="Arial" w:hAnsi="Arial"/>
          <w:sz w:val="20"/>
          <w:szCs w:val="20"/>
          <w:color w:val="auto"/>
        </w:rPr>
      </w:pPr>
    </w:p>
    <w:p>
      <w:pPr>
        <w:ind w:left="488" w:right="320" w:hanging="488"/>
        <w:spacing w:after="0" w:line="276" w:lineRule="auto"/>
        <w:tabs>
          <w:tab w:leader="none" w:pos="488"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create a Medication Guide outlining the risks of the previously unidentified side effects for distribution to patients;</w:t>
      </w:r>
    </w:p>
    <w:p>
      <w:pPr>
        <w:spacing w:after="0" w:line="64" w:lineRule="exact"/>
        <w:rPr>
          <w:rFonts w:ascii="Arial" w:cs="Arial" w:eastAsia="Arial" w:hAnsi="Arial"/>
          <w:sz w:val="20"/>
          <w:szCs w:val="20"/>
          <w:color w:val="auto"/>
        </w:rPr>
      </w:pPr>
    </w:p>
    <w:p>
      <w:pPr>
        <w:ind w:left="488" w:hanging="488"/>
        <w:spacing w:after="0"/>
        <w:tabs>
          <w:tab w:leader="none" w:pos="488"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sued and held liable for harm caused to patients;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the product may become less competitive; and</w:t>
      </w:r>
    </w:p>
    <w:p>
      <w:pPr>
        <w:sectPr>
          <w:pgSz w:w="12240" w:h="15840" w:orient="portrait"/>
          <w:cols w:equalWidth="0" w:num="1">
            <w:col w:w="9928"/>
          </w:cols>
          <w:pgMar w:left="1152" w:top="1121" w:right="1160" w:bottom="175"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928"/>
          </w:cols>
          <w:pgMar w:left="1152" w:top="1121" w:right="1160" w:bottom="175" w:gutter="0" w:footer="0" w:header="0"/>
          <w:type w:val="continuous"/>
        </w:sectPr>
      </w:pPr>
    </w:p>
    <w:bookmarkStart w:id="47" w:name="page48"/>
    <w:bookmarkEnd w:id="47"/>
    <w:p>
      <w:pPr>
        <w:ind w:left="488" w:hanging="488"/>
        <w:spacing w:after="0"/>
        <w:tabs>
          <w:tab w:leader="none" w:pos="488"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our reputation may suffer.</w:t>
      </w:r>
    </w:p>
    <w:p>
      <w:pPr>
        <w:spacing w:after="0" w:line="108" w:lineRule="exact"/>
        <w:rPr>
          <w:rFonts w:ascii="Arial" w:cs="Arial" w:eastAsia="Arial" w:hAnsi="Arial"/>
          <w:sz w:val="20"/>
          <w:szCs w:val="20"/>
          <w:color w:val="auto"/>
        </w:rPr>
      </w:pPr>
    </w:p>
    <w:p>
      <w:pPr>
        <w:ind w:left="488"/>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Any of these events could harm our business and operations and could negatively impact our stock price.</w:t>
      </w:r>
    </w:p>
    <w:p>
      <w:pPr>
        <w:spacing w:after="0" w:line="118" w:lineRule="exact"/>
        <w:rPr>
          <w:sz w:val="20"/>
          <w:szCs w:val="20"/>
          <w:color w:val="auto"/>
        </w:rPr>
      </w:pPr>
    </w:p>
    <w:p>
      <w:pPr>
        <w:ind w:left="8"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spacing w:after="0" w:line="63" w:lineRule="exact"/>
        <w:rPr>
          <w:sz w:val="20"/>
          <w:szCs w:val="20"/>
          <w:color w:val="auto"/>
        </w:rPr>
      </w:pPr>
    </w:p>
    <w:p>
      <w:pPr>
        <w:ind w:left="8" w:right="140" w:firstLine="490"/>
        <w:spacing w:after="0" w:line="233" w:lineRule="auto"/>
        <w:rPr>
          <w:sz w:val="20"/>
          <w:szCs w:val="20"/>
          <w:color w:val="auto"/>
        </w:rPr>
      </w:pPr>
      <w:r>
        <w:rPr>
          <w:rFonts w:ascii="Times New Roman" w:cs="Times New Roman" w:eastAsia="Times New Roman" w:hAnsi="Times New Roman"/>
          <w:sz w:val="20"/>
          <w:szCs w:val="20"/>
          <w:color w:val="auto"/>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spacing w:after="0" w:line="73" w:lineRule="exact"/>
        <w:rPr>
          <w:sz w:val="20"/>
          <w:szCs w:val="20"/>
          <w:color w:val="auto"/>
        </w:rPr>
      </w:pPr>
    </w:p>
    <w:p>
      <w:pPr>
        <w:ind w:left="8" w:right="220" w:firstLine="490"/>
        <w:spacing w:after="0" w:line="236" w:lineRule="auto"/>
        <w:rPr>
          <w:sz w:val="20"/>
          <w:szCs w:val="20"/>
          <w:color w:val="auto"/>
        </w:rPr>
      </w:pPr>
      <w:r>
        <w:rPr>
          <w:rFonts w:ascii="Times New Roman" w:cs="Times New Roman" w:eastAsia="Times New Roman" w:hAnsi="Times New Roman"/>
          <w:sz w:val="20"/>
          <w:szCs w:val="20"/>
          <w:color w:val="auto"/>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spacing w:after="0" w:line="98" w:lineRule="exact"/>
        <w:rPr>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and safety of the product;</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and perceived advantages of the product compared to other therapies;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that the DEA could determine that Haduvio should be classified as a controlled substance;</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clinical indications for which the product is approved;</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whether the product is designated under physician treatment guidelines as a first-, second- or third-line therapy;</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offer the product for sale at competitive prices;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product’s convenience and ease of administration;</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and of physicians to prescribe the product;</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or warnings, including distribution or use restrictions contained in the product’s approved labeling;</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of sales, marketing and distribution support for the product;</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approval of other new products for the same indications;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market introduction of the product as well as competitive products;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adverse publicity about the product or favorable publicity about competitive products;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product liability claims;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standard of care for the targeted indications for the product; and</w:t>
      </w:r>
    </w:p>
    <w:p>
      <w:pPr>
        <w:spacing w:after="0" w:line="133" w:lineRule="exact"/>
        <w:rPr>
          <w:rFonts w:ascii="Arial" w:cs="Arial" w:eastAsia="Arial" w:hAnsi="Arial"/>
          <w:sz w:val="20"/>
          <w:szCs w:val="20"/>
          <w:color w:val="auto"/>
        </w:rPr>
      </w:pPr>
    </w:p>
    <w:p>
      <w:pPr>
        <w:ind w:left="488" w:right="460" w:hanging="488"/>
        <w:spacing w:after="0" w:line="276" w:lineRule="auto"/>
        <w:tabs>
          <w:tab w:leader="none" w:pos="488"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and amount of coverage and reimbursement from government payors, managed care plans and other third-party payors.</w:t>
      </w:r>
    </w:p>
    <w:p>
      <w:pPr>
        <w:spacing w:after="0" w:line="50" w:lineRule="exact"/>
        <w:rPr>
          <w:sz w:val="20"/>
          <w:szCs w:val="20"/>
          <w:color w:val="auto"/>
        </w:rPr>
      </w:pPr>
    </w:p>
    <w:p>
      <w:pPr>
        <w:ind w:left="8" w:right="36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5" w:lineRule="exact"/>
        <w:rPr>
          <w:sz w:val="20"/>
          <w:szCs w:val="20"/>
          <w:color w:val="auto"/>
        </w:rPr>
      </w:pPr>
    </w:p>
    <w:p>
      <w:pPr>
        <w:ind w:left="8" w:firstLine="490"/>
        <w:spacing w:after="0" w:line="246" w:lineRule="auto"/>
        <w:rPr>
          <w:sz w:val="20"/>
          <w:szCs w:val="20"/>
          <w:color w:val="auto"/>
        </w:rPr>
      </w:pPr>
      <w:r>
        <w:rPr>
          <w:rFonts w:ascii="Times New Roman" w:cs="Times New Roman" w:eastAsia="Times New Roman" w:hAnsi="Times New Roman"/>
          <w:sz w:val="20"/>
          <w:szCs w:val="20"/>
          <w:color w:val="auto"/>
        </w:rPr>
        <w:t xml:space="preserve">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w:t>
      </w:r>
      <w:r>
        <w:rPr>
          <w:rFonts w:ascii="Times New Roman" w:cs="Times New Roman" w:eastAsia="Times New Roman" w:hAnsi="Times New Roman"/>
          <w:sz w:val="19"/>
          <w:szCs w:val="19"/>
          <w:color w:val="auto"/>
        </w:rPr>
        <w:t>the treatment of chronic cough in patients with IPF, non-IPF ILD, and RCC</w:t>
      </w:r>
      <w:r>
        <w:rPr>
          <w:rFonts w:ascii="Times New Roman" w:cs="Times New Roman" w:eastAsia="Times New Roman" w:hAnsi="Times New Roman"/>
          <w:sz w:val="20"/>
          <w:szCs w:val="20"/>
          <w:color w:val="auto"/>
        </w:rPr>
        <w:t>. However, the development of Haduvio for these indications may ultimately prove to be unsuccessful or less successful than another product candidate or other indications that we might have chosen to pursue with our limited resources.</w:t>
      </w:r>
    </w:p>
    <w:p>
      <w:pPr>
        <w:sectPr>
          <w:pgSz w:w="12240" w:h="15840" w:orient="portrait"/>
          <w:cols w:equalWidth="0" w:num="1">
            <w:col w:w="9928"/>
          </w:cols>
          <w:pgMar w:left="1152" w:top="1146" w:right="1160" w:bottom="175"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928"/>
          </w:cols>
          <w:pgMar w:left="1152" w:top="1146" w:right="1160" w:bottom="175" w:gutter="0" w:footer="0" w:header="0"/>
          <w:type w:val="continuous"/>
        </w:sectPr>
      </w:pPr>
    </w:p>
    <w:bookmarkStart w:id="48" w:name="page49"/>
    <w:bookmarkEnd w:id="48"/>
    <w:p>
      <w:pPr>
        <w:ind w:right="80" w:firstLine="490"/>
        <w:spacing w:after="0" w:line="234" w:lineRule="auto"/>
        <w:rPr>
          <w:sz w:val="20"/>
          <w:szCs w:val="20"/>
          <w:color w:val="auto"/>
        </w:rPr>
      </w:pPr>
      <w:r>
        <w:rPr>
          <w:rFonts w:ascii="Times New Roman" w:cs="Times New Roman" w:eastAsia="Times New Roman" w:hAnsi="Times New Roman"/>
          <w:sz w:val="20"/>
          <w:szCs w:val="20"/>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spacing w:after="0" w:line="8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spacing w:after="0" w:line="68" w:lineRule="exact"/>
        <w:rPr>
          <w:sz w:val="20"/>
          <w:szCs w:val="20"/>
          <w:color w:val="auto"/>
        </w:rPr>
      </w:pPr>
    </w:p>
    <w:p>
      <w:pPr>
        <w:ind w:right="100" w:firstLine="490"/>
        <w:spacing w:after="0" w:line="248" w:lineRule="auto"/>
        <w:rPr>
          <w:sz w:val="20"/>
          <w:szCs w:val="20"/>
          <w:color w:val="auto"/>
        </w:rPr>
      </w:pPr>
      <w:r>
        <w:rPr>
          <w:rFonts w:ascii="Times New Roman" w:cs="Times New Roman" w:eastAsia="Times New Roman" w:hAnsi="Times New Roman"/>
          <w:sz w:val="20"/>
          <w:szCs w:val="20"/>
          <w:color w:val="auto"/>
        </w:rPr>
        <w:t xml:space="preserve">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w:t>
      </w:r>
      <w:r>
        <w:rPr>
          <w:rFonts w:ascii="Times New Roman" w:cs="Times New Roman" w:eastAsia="Times New Roman" w:hAnsi="Times New Roman"/>
          <w:sz w:val="19"/>
          <w:szCs w:val="19"/>
          <w:color w:val="auto"/>
        </w:rPr>
        <w:t>were to receive</w:t>
      </w:r>
      <w:r>
        <w:rPr>
          <w:rFonts w:ascii="Times New Roman" w:cs="Times New Roman" w:eastAsia="Times New Roman" w:hAnsi="Times New Roman"/>
          <w:sz w:val="20"/>
          <w:szCs w:val="20"/>
          <w:color w:val="auto"/>
        </w:rPr>
        <w:t xml:space="preserve"> marketing approval from the FDA for IPF-related chronic cough or non-IPF ILD-related chronic cough</w:t>
      </w:r>
      <w:r>
        <w:rPr>
          <w:rFonts w:ascii="Times New Roman" w:cs="Times New Roman" w:eastAsia="Times New Roman" w:hAnsi="Times New Roman"/>
          <w:sz w:val="19"/>
          <w:szCs w:val="19"/>
          <w:color w:val="auto"/>
        </w:rPr>
        <w:t>, we would plan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market and commercialize Haduvio in the U.S. with our own focused, specialty sales force and target pulmonologists who specialize in treating IPF and non-IPF ILD patients, as well as ILD centers of excellence, as applicable. If Haduvio were to receive marketing approval from the FDA for RCC, we would plan to market and commercialize Haduvio in the U.S. with our own focused sales force and target pulmonologists and other specialists, such as allergists, who treat RCC patients who have failed other therapies for chronic cough. </w:t>
      </w:r>
      <w:r>
        <w:rPr>
          <w:rFonts w:ascii="Times New Roman" w:cs="Times New Roman" w:eastAsia="Times New Roman" w:hAnsi="Times New Roman"/>
          <w:sz w:val="20"/>
          <w:szCs w:val="20"/>
          <w:color w:val="auto"/>
        </w:rPr>
        <w:t>We also expect to utilize a variety of collaboration, distribution and other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marketing arrangements with one or more third parties to commercialize Haduvio outside the U.S.</w:t>
      </w:r>
    </w:p>
    <w:p>
      <w:pPr>
        <w:spacing w:after="0" w:line="66" w:lineRule="exact"/>
        <w:rPr>
          <w:sz w:val="20"/>
          <w:szCs w:val="20"/>
          <w:color w:val="auto"/>
        </w:rPr>
      </w:pPr>
    </w:p>
    <w:p>
      <w:pPr>
        <w:ind w:firstLine="490"/>
        <w:spacing w:after="0" w:line="230" w:lineRule="auto"/>
        <w:rPr>
          <w:sz w:val="20"/>
          <w:szCs w:val="20"/>
          <w:color w:val="auto"/>
        </w:rPr>
      </w:pPr>
      <w:r>
        <w:rPr>
          <w:rFonts w:ascii="Times New Roman" w:cs="Times New Roman" w:eastAsia="Times New Roman" w:hAnsi="Times New Roman"/>
          <w:sz w:val="20"/>
          <w:szCs w:val="20"/>
          <w:color w:val="auto"/>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 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74" w:lineRule="exact"/>
        <w:rPr>
          <w:sz w:val="20"/>
          <w:szCs w:val="20"/>
          <w:color w:val="auto"/>
        </w:rPr>
      </w:pPr>
    </w:p>
    <w:p>
      <w:pPr>
        <w:ind w:firstLine="490"/>
        <w:spacing w:after="0" w:line="231" w:lineRule="auto"/>
        <w:rPr>
          <w:sz w:val="20"/>
          <w:szCs w:val="20"/>
          <w:color w:val="auto"/>
        </w:rPr>
      </w:pPr>
      <w:r>
        <w:rPr>
          <w:rFonts w:ascii="Times New Roman" w:cs="Times New Roman" w:eastAsia="Times New Roman" w:hAnsi="Times New Roman"/>
          <w:sz w:val="20"/>
          <w:szCs w:val="20"/>
          <w:color w:val="auto"/>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77" w:lineRule="exact"/>
        <w:rPr>
          <w:sz w:val="20"/>
          <w:szCs w:val="20"/>
          <w:color w:val="auto"/>
        </w:rPr>
      </w:pPr>
    </w:p>
    <w:p>
      <w:pPr>
        <w:ind w:right="220" w:firstLine="490"/>
        <w:spacing w:after="0" w:line="263" w:lineRule="auto"/>
        <w:rPr>
          <w:sz w:val="20"/>
          <w:szCs w:val="20"/>
          <w:color w:val="auto"/>
        </w:rPr>
      </w:pPr>
      <w:r>
        <w:rPr>
          <w:rFonts w:ascii="Times New Roman" w:cs="Times New Roman" w:eastAsia="Times New Roman" w:hAnsi="Times New Roman"/>
          <w:sz w:val="20"/>
          <w:szCs w:val="20"/>
          <w:color w:val="auto"/>
        </w:rPr>
        <w:t>If we do not establish sales, marketing and distribution capabilities, either on our own or in collaboration with third parties, we will not be successful in commercializing any product candidate that receives marketing approval.</w:t>
      </w:r>
    </w:p>
    <w:p>
      <w:pPr>
        <w:spacing w:after="0" w:line="60"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face competition, which may result in others developing or commercializing products before or more successfully than we do.</w:t>
      </w:r>
    </w:p>
    <w:p>
      <w:pPr>
        <w:spacing w:after="0" w:line="38" w:lineRule="exact"/>
        <w:rPr>
          <w:sz w:val="20"/>
          <w:szCs w:val="20"/>
          <w:color w:val="auto"/>
        </w:rPr>
      </w:pPr>
    </w:p>
    <w:p>
      <w:pPr>
        <w:ind w:right="120" w:firstLine="490"/>
        <w:spacing w:after="0" w:line="232" w:lineRule="auto"/>
        <w:rPr>
          <w:sz w:val="20"/>
          <w:szCs w:val="20"/>
          <w:color w:val="auto"/>
        </w:rPr>
      </w:pPr>
      <w:r>
        <w:rPr>
          <w:rFonts w:ascii="Times New Roman" w:cs="Times New Roman" w:eastAsia="Times New Roman" w:hAnsi="Times New Roman"/>
          <w:sz w:val="20"/>
          <w:szCs w:val="20"/>
          <w:color w:val="auto"/>
        </w:rPr>
        <w:t>The development and commercialization of new products is highly competitive. We expect that we will face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spacing w:after="0" w:line="71" w:lineRule="exact"/>
        <w:rPr>
          <w:sz w:val="20"/>
          <w:szCs w:val="20"/>
          <w:color w:val="auto"/>
        </w:rPr>
      </w:pPr>
    </w:p>
    <w:p>
      <w:pPr>
        <w:ind w:right="220" w:firstLine="490"/>
        <w:spacing w:after="0" w:line="254" w:lineRule="auto"/>
        <w:rPr>
          <w:sz w:val="20"/>
          <w:szCs w:val="20"/>
          <w:color w:val="auto"/>
        </w:rPr>
      </w:pPr>
      <w:r>
        <w:rPr>
          <w:rFonts w:ascii="Times New Roman" w:cs="Times New Roman" w:eastAsia="Times New Roman" w:hAnsi="Times New Roman"/>
          <w:sz w:val="19"/>
          <w:szCs w:val="19"/>
          <w:color w:val="auto"/>
        </w:rPr>
        <w:t>If Haduvio is approved for the treatment of chronic cough in patients with IPF and non-IPF ILD, we expect that it may compete with product candidates that may be developed for the treatment of chronic cough in patients with IPF or ILD. Development of BI 1839100, a TRPA1 antagonist by Boehringer Ingelheim for the treatment of IPF-related chronic cough and progressive pulmonary fibrosis, was terminated in September 2025. It is possible that product candidates</w:t>
      </w:r>
    </w:p>
    <w:p>
      <w:pPr>
        <w:sectPr>
          <w:pgSz w:w="12240" w:h="15840" w:orient="portrait"/>
          <w:cols w:equalWidth="0" w:num="1">
            <w:col w:w="9920"/>
          </w:cols>
          <w:pgMar w:left="1160" w:top="1121" w:right="1160" w:bottom="175"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920"/>
          </w:cols>
          <w:pgMar w:left="1160" w:top="1121" w:right="1160" w:bottom="175" w:gutter="0" w:footer="0" w:header="0"/>
          <w:type w:val="continuous"/>
        </w:sectPr>
      </w:pPr>
    </w:p>
    <w:bookmarkStart w:id="49" w:name="page50"/>
    <w:bookmarkEnd w:id="49"/>
    <w:p>
      <w:pPr>
        <w:ind w:right="200"/>
        <w:spacing w:after="0" w:line="238" w:lineRule="auto"/>
        <w:rPr>
          <w:sz w:val="20"/>
          <w:szCs w:val="20"/>
          <w:color w:val="auto"/>
        </w:rPr>
      </w:pPr>
      <w:r>
        <w:rPr>
          <w:rFonts w:ascii="Times New Roman" w:cs="Times New Roman" w:eastAsia="Times New Roman" w:hAnsi="Times New Roman"/>
          <w:sz w:val="20"/>
          <w:szCs w:val="20"/>
          <w:color w:val="auto"/>
        </w:rPr>
        <w:t>currently in development for the treatment of fibrosis in patients with IPF and ILD could, if approved, reduce the need for therapies to treat chronic cough in patients with IPF and non-IPF ILD. We expect that Haduvio might also compete with other product candidates currently in development, for the treatment of patients with RCC that might be used off-label to treat IPF-related chronic cough.</w:t>
      </w:r>
    </w:p>
    <w:p>
      <w:pPr>
        <w:spacing w:after="0" w:line="84"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 xml:space="preserve">If Haduvio is approved for the treatment of patients with RCC, we expect that it may compete with product candidates in clinical development for the treatment of patients with RCC such as </w:t>
      </w:r>
      <w:r>
        <w:rPr>
          <w:rFonts w:ascii="Times New Roman" w:cs="Times New Roman" w:eastAsia="Times New Roman" w:hAnsi="Times New Roman"/>
          <w:sz w:val="19"/>
          <w:szCs w:val="19"/>
          <w:color w:val="auto"/>
        </w:rPr>
        <w:t>camlipixant</w:t>
      </w:r>
      <w:r>
        <w:rPr>
          <w:rFonts w:ascii="Times New Roman" w:cs="Times New Roman" w:eastAsia="Times New Roman" w:hAnsi="Times New Roman"/>
          <w:sz w:val="20"/>
          <w:szCs w:val="20"/>
          <w:color w:val="auto"/>
        </w:rPr>
        <w:t xml:space="preserve">, a P2X3 antagonist, which is being developed by </w:t>
      </w:r>
      <w:r>
        <w:rPr>
          <w:rFonts w:ascii="Times New Roman" w:cs="Times New Roman" w:eastAsia="Times New Roman" w:hAnsi="Times New Roman"/>
          <w:sz w:val="19"/>
          <w:szCs w:val="19"/>
          <w:color w:val="auto"/>
        </w:rPr>
        <w:t>GSK plc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Gefapixant, a P2X3 antagonist, which was developed by Merck &amp; Co., Inc., or Merck, 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approved for refractory or unexplained chronic cough in Japan, the United Kingdom, Switzerland, and the E.U. The application filed with the FDA was withdrawn and Merck indicated it does not plan to refile. </w:t>
      </w:r>
      <w:r>
        <w:rPr>
          <w:rFonts w:ascii="Times New Roman" w:cs="Times New Roman" w:eastAsia="Times New Roman" w:hAnsi="Times New Roman"/>
          <w:sz w:val="20"/>
          <w:szCs w:val="20"/>
          <w:color w:val="auto"/>
        </w:rPr>
        <w:t>Other product candidates that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 xml:space="preserve">are currently in development for the treatment of patients with RCC include taplucainium (formerly NTX-1175), a charged sodium channel blocker, which is being developed by Nocion </w:t>
      </w:r>
      <w:r>
        <w:rPr>
          <w:rFonts w:ascii="Times New Roman" w:cs="Times New Roman" w:eastAsia="Times New Roman" w:hAnsi="Times New Roman"/>
          <w:sz w:val="19"/>
          <w:szCs w:val="19"/>
          <w:color w:val="auto"/>
        </w:rPr>
        <w:t>Therapeutics Inc.</w:t>
      </w:r>
    </w:p>
    <w:p>
      <w:pPr>
        <w:spacing w:after="0" w:line="68" w:lineRule="exact"/>
        <w:rPr>
          <w:sz w:val="20"/>
          <w:szCs w:val="20"/>
          <w:color w:val="auto"/>
        </w:rPr>
      </w:pPr>
    </w:p>
    <w:p>
      <w:pPr>
        <w:ind w:right="100" w:firstLine="490"/>
        <w:spacing w:after="0" w:line="263" w:lineRule="auto"/>
        <w:rPr>
          <w:sz w:val="20"/>
          <w:szCs w:val="20"/>
          <w:color w:val="auto"/>
        </w:rPr>
      </w:pPr>
      <w:r>
        <w:rPr>
          <w:rFonts w:ascii="Times New Roman" w:cs="Times New Roman" w:eastAsia="Times New Roman" w:hAnsi="Times New Roman"/>
          <w:sz w:val="20"/>
          <w:szCs w:val="20"/>
          <w:color w:val="auto"/>
        </w:rPr>
        <w:t>We also expect that Haduvio would compete with a number of therapeutics that are not specifically approved to treat chronic cough including benzonatate, opioids, corticosteroids, proton-pump inhibitors, and neuromodulators.</w:t>
      </w:r>
    </w:p>
    <w:p>
      <w:pPr>
        <w:spacing w:after="0" w:line="49" w:lineRule="exact"/>
        <w:rPr>
          <w:sz w:val="20"/>
          <w:szCs w:val="20"/>
          <w:color w:val="auto"/>
        </w:rPr>
      </w:pPr>
    </w:p>
    <w:p>
      <w:pPr>
        <w:ind w:right="60" w:firstLine="490"/>
        <w:spacing w:after="0" w:line="232" w:lineRule="auto"/>
        <w:rPr>
          <w:sz w:val="20"/>
          <w:szCs w:val="20"/>
          <w:color w:val="auto"/>
        </w:rPr>
      </w:pPr>
      <w:r>
        <w:rPr>
          <w:rFonts w:ascii="Times New Roman" w:cs="Times New Roman" w:eastAsia="Times New Roman" w:hAnsi="Times New Roman"/>
          <w:sz w:val="20"/>
          <w:szCs w:val="20"/>
          <w:color w:val="auto"/>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spacing w:after="0" w:line="8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Even if we are able to commercialize a product candidate, the product may become subject to unfavorable pricing regulations, third-party payor reimbursement practices or healthcare reform initiatives, any of which could harm our business.</w:t>
      </w:r>
    </w:p>
    <w:p>
      <w:pPr>
        <w:spacing w:after="0" w:line="57"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19"/>
          <w:szCs w:val="19"/>
          <w:color w:val="auto"/>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spacing w:after="0" w:line="74" w:lineRule="exact"/>
        <w:rPr>
          <w:sz w:val="20"/>
          <w:szCs w:val="20"/>
          <w:color w:val="auto"/>
        </w:rPr>
      </w:pPr>
    </w:p>
    <w:p>
      <w:pPr>
        <w:ind w:firstLine="490"/>
        <w:spacing w:after="0" w:line="231" w:lineRule="auto"/>
        <w:rPr>
          <w:sz w:val="20"/>
          <w:szCs w:val="20"/>
          <w:color w:val="auto"/>
        </w:rPr>
      </w:pPr>
      <w:r>
        <w:rPr>
          <w:rFonts w:ascii="Times New Roman" w:cs="Times New Roman" w:eastAsia="Times New Roman" w:hAnsi="Times New Roman"/>
          <w:sz w:val="20"/>
          <w:szCs w:val="20"/>
          <w:color w:val="auto"/>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spacing w:after="0" w:line="77" w:lineRule="exact"/>
        <w:rPr>
          <w:sz w:val="20"/>
          <w:szCs w:val="20"/>
          <w:color w:val="auto"/>
        </w:rPr>
      </w:pPr>
    </w:p>
    <w:p>
      <w:pPr>
        <w:ind w:right="20" w:firstLine="490"/>
        <w:spacing w:after="0" w:line="230" w:lineRule="auto"/>
        <w:rPr>
          <w:sz w:val="20"/>
          <w:szCs w:val="20"/>
          <w:color w:val="auto"/>
        </w:rPr>
      </w:pPr>
      <w:r>
        <w:rPr>
          <w:rFonts w:ascii="Times New Roman" w:cs="Times New Roman" w:eastAsia="Times New Roman" w:hAnsi="Times New Roman"/>
          <w:sz w:val="20"/>
          <w:szCs w:val="20"/>
          <w:color w:val="auto"/>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spacing w:after="0" w:line="74" w:lineRule="exact"/>
        <w:rPr>
          <w:sz w:val="20"/>
          <w:szCs w:val="20"/>
          <w:color w:val="auto"/>
        </w:rPr>
      </w:pPr>
    </w:p>
    <w:p>
      <w:pPr>
        <w:ind w:right="400" w:firstLine="490"/>
        <w:spacing w:after="0" w:line="290" w:lineRule="auto"/>
        <w:rPr>
          <w:sz w:val="20"/>
          <w:szCs w:val="20"/>
          <w:color w:val="auto"/>
        </w:rPr>
      </w:pPr>
      <w:r>
        <w:rPr>
          <w:rFonts w:ascii="Times New Roman" w:cs="Times New Roman" w:eastAsia="Times New Roman" w:hAnsi="Times New Roman"/>
          <w:sz w:val="19"/>
          <w:szCs w:val="19"/>
          <w:color w:val="auto"/>
        </w:rPr>
        <w:t>The commercial potential of any products we are able to commercialize depends in part on reimbursement by government health administration authorities, private health insurers and other organizations. If we are unable to obtain</w:t>
      </w:r>
    </w:p>
    <w:p>
      <w:pPr>
        <w:sectPr>
          <w:pgSz w:w="12240" w:h="15840" w:orient="portrait"/>
          <w:cols w:equalWidth="0" w:num="1">
            <w:col w:w="9940"/>
          </w:cols>
          <w:pgMar w:left="1160" w:top="1121" w:right="1140" w:bottom="175" w:gutter="0" w:footer="0" w:header="0"/>
        </w:sect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940"/>
          </w:cols>
          <w:pgMar w:left="1160" w:top="1121" w:right="1140" w:bottom="175" w:gutter="0" w:footer="0" w:header="0"/>
          <w:type w:val="continuous"/>
        </w:sectPr>
      </w:pPr>
    </w:p>
    <w:bookmarkStart w:id="50" w:name="page51"/>
    <w:bookmarkEnd w:id="50"/>
    <w:p>
      <w:pPr>
        <w:ind w:left="8" w:right="120"/>
        <w:spacing w:after="0" w:line="238" w:lineRule="auto"/>
        <w:rPr>
          <w:sz w:val="20"/>
          <w:szCs w:val="20"/>
          <w:color w:val="auto"/>
        </w:rPr>
      </w:pPr>
      <w:r>
        <w:rPr>
          <w:rFonts w:ascii="Times New Roman" w:cs="Times New Roman" w:eastAsia="Times New Roman" w:hAnsi="Times New Roman"/>
          <w:sz w:val="20"/>
          <w:szCs w:val="20"/>
          <w:color w:val="auto"/>
        </w:rPr>
        <w:t>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spacing w:after="0" w:line="74" w:lineRule="exact"/>
        <w:rPr>
          <w:sz w:val="20"/>
          <w:szCs w:val="20"/>
          <w:color w:val="auto"/>
        </w:rPr>
      </w:pPr>
    </w:p>
    <w:p>
      <w:pPr>
        <w:ind w:left="8" w:right="40" w:firstLine="490"/>
        <w:spacing w:after="0" w:line="234" w:lineRule="auto"/>
        <w:rPr>
          <w:sz w:val="20"/>
          <w:szCs w:val="20"/>
          <w:color w:val="auto"/>
        </w:rPr>
      </w:pPr>
      <w:r>
        <w:rPr>
          <w:rFonts w:ascii="Times New Roman" w:cs="Times New Roman" w:eastAsia="Times New Roman" w:hAnsi="Times New Roman"/>
          <w:sz w:val="20"/>
          <w:szCs w:val="20"/>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spacing w:after="0" w:line="74" w:lineRule="exact"/>
        <w:rPr>
          <w:sz w:val="20"/>
          <w:szCs w:val="20"/>
          <w:color w:val="auto"/>
        </w:rPr>
      </w:pPr>
    </w:p>
    <w:p>
      <w:pPr>
        <w:ind w:left="8" w:firstLine="490"/>
        <w:spacing w:after="0" w:line="232" w:lineRule="auto"/>
        <w:rPr>
          <w:sz w:val="20"/>
          <w:szCs w:val="20"/>
          <w:color w:val="auto"/>
        </w:rPr>
      </w:pPr>
      <w:r>
        <w:rPr>
          <w:rFonts w:ascii="Times New Roman" w:cs="Times New Roman" w:eastAsia="Times New Roman" w:hAnsi="Times New Roman"/>
          <w:sz w:val="20"/>
          <w:szCs w:val="20"/>
          <w:color w:val="auto"/>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spacing w:after="0" w:line="85" w:lineRule="exact"/>
        <w:rPr>
          <w:sz w:val="20"/>
          <w:szCs w:val="20"/>
          <w:color w:val="auto"/>
        </w:rPr>
      </w:pPr>
    </w:p>
    <w:p>
      <w:pPr>
        <w:ind w:left="8" w:right="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Product liability lawsuits could divert our resources, cause us to incur substantial liabilities and limit commercialization of any products that we may develop or in-license.</w:t>
      </w:r>
    </w:p>
    <w:p>
      <w:pPr>
        <w:spacing w:after="0" w:line="38" w:lineRule="exact"/>
        <w:rPr>
          <w:sz w:val="20"/>
          <w:szCs w:val="20"/>
          <w:color w:val="auto"/>
        </w:rPr>
      </w:pPr>
    </w:p>
    <w:p>
      <w:pPr>
        <w:ind w:left="8" w:right="100" w:firstLine="490"/>
        <w:spacing w:after="0" w:line="231" w:lineRule="auto"/>
        <w:rPr>
          <w:sz w:val="20"/>
          <w:szCs w:val="20"/>
          <w:color w:val="auto"/>
        </w:rPr>
      </w:pPr>
      <w:r>
        <w:rPr>
          <w:rFonts w:ascii="Times New Roman" w:cs="Times New Roman" w:eastAsia="Times New Roman" w:hAnsi="Times New Roman"/>
          <w:sz w:val="20"/>
          <w:szCs w:val="20"/>
          <w:color w:val="auto"/>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103" w:lineRule="exact"/>
        <w:rPr>
          <w:sz w:val="20"/>
          <w:szCs w:val="20"/>
          <w:color w:val="auto"/>
        </w:rPr>
      </w:pPr>
    </w:p>
    <w:p>
      <w:pPr>
        <w:ind w:left="488" w:hanging="488"/>
        <w:spacing w:after="0"/>
        <w:tabs>
          <w:tab w:leader="none" w:pos="488"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any products that we may develop or in-license;</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injury to our reputation and significant negative media attention;</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costs to defend resulting litigation;</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reduced resources of our management to pursue our business strategy; and</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commercialize any products that we may develop.</w:t>
      </w:r>
    </w:p>
    <w:p>
      <w:pPr>
        <w:spacing w:after="0" w:line="108" w:lineRule="exact"/>
        <w:rPr>
          <w:sz w:val="20"/>
          <w:szCs w:val="20"/>
          <w:color w:val="auto"/>
        </w:rPr>
      </w:pPr>
    </w:p>
    <w:p>
      <w:pPr>
        <w:ind w:left="8" w:right="100" w:firstLine="490"/>
        <w:spacing w:after="0" w:line="233" w:lineRule="auto"/>
        <w:rPr>
          <w:sz w:val="20"/>
          <w:szCs w:val="20"/>
          <w:color w:val="auto"/>
        </w:rPr>
      </w:pPr>
      <w:r>
        <w:rPr>
          <w:rFonts w:ascii="Times New Roman" w:cs="Times New Roman" w:eastAsia="Times New Roman" w:hAnsi="Times New Roman"/>
          <w:sz w:val="20"/>
          <w:szCs w:val="20"/>
          <w:color w:val="auto"/>
        </w:rPr>
        <w:t>Although we maintain product and clinical trial liability insurance of at least $10.0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spacing w:after="0" w:line="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123" w:lineRule="exact"/>
        <w:rPr>
          <w:sz w:val="20"/>
          <w:szCs w:val="20"/>
          <w:color w:val="auto"/>
        </w:rPr>
      </w:pPr>
    </w:p>
    <w:p>
      <w:pPr>
        <w:ind w:left="8" w:right="6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clinical trials. If they do not perform satisfactorily, our business could be harmed.</w:t>
      </w:r>
    </w:p>
    <w:p>
      <w:pPr>
        <w:spacing w:after="0" w:line="38" w:lineRule="exact"/>
        <w:rPr>
          <w:sz w:val="20"/>
          <w:szCs w:val="20"/>
          <w:color w:val="auto"/>
        </w:rPr>
      </w:pPr>
    </w:p>
    <w:p>
      <w:pPr>
        <w:ind w:left="8" w:right="220" w:firstLine="490"/>
        <w:spacing w:after="0" w:line="236" w:lineRule="auto"/>
        <w:rPr>
          <w:sz w:val="20"/>
          <w:szCs w:val="20"/>
          <w:color w:val="auto"/>
        </w:rPr>
      </w:pPr>
      <w:r>
        <w:rPr>
          <w:rFonts w:ascii="Times New Roman" w:cs="Times New Roman" w:eastAsia="Times New Roman" w:hAnsi="Times New Roman"/>
          <w:sz w:val="20"/>
          <w:szCs w:val="20"/>
          <w:color w:val="auto"/>
        </w:rPr>
        <w:t>We do not independently conduct clinical trials of our product candidate. We rely on and expect to continue to rely on third parties, such as contract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w:t>
      </w:r>
    </w:p>
    <w:p>
      <w:pPr>
        <w:sectPr>
          <w:pgSz w:w="12240" w:h="15840" w:orient="portrait"/>
          <w:cols w:equalWidth="0" w:num="1">
            <w:col w:w="9928"/>
          </w:cols>
          <w:pgMar w:left="1152" w:top="1121" w:right="1160" w:bottom="175" w:gutter="0" w:footer="0" w:header="0"/>
        </w:sectPr>
      </w:pPr>
    </w:p>
    <w:p>
      <w:pPr>
        <w:spacing w:after="0" w:line="2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928"/>
          </w:cols>
          <w:pgMar w:left="1152" w:top="1121" w:right="1160" w:bottom="175" w:gutter="0" w:footer="0" w:header="0"/>
          <w:type w:val="continuous"/>
        </w:sectPr>
      </w:pPr>
    </w:p>
    <w:bookmarkStart w:id="51" w:name="page52"/>
    <w:bookmarkEnd w:id="51"/>
    <w:p>
      <w:pPr>
        <w:ind w:left="8" w:right="500"/>
        <w:spacing w:after="0" w:line="244" w:lineRule="auto"/>
        <w:rPr>
          <w:sz w:val="20"/>
          <w:szCs w:val="20"/>
          <w:color w:val="auto"/>
        </w:rPr>
      </w:pPr>
      <w:r>
        <w:rPr>
          <w:rFonts w:ascii="Times New Roman" w:cs="Times New Roman" w:eastAsia="Times New Roman" w:hAnsi="Times New Roman"/>
          <w:sz w:val="20"/>
          <w:szCs w:val="20"/>
          <w:color w:val="auto"/>
        </w:rPr>
        <w:t>transition period when a new CRO begins work on a clinical trial. As a result, delays would likely occur, which could negatively impact our ability to meet our expected clinical development timelines and harm our business, financial condition and prospects.</w:t>
      </w:r>
    </w:p>
    <w:p>
      <w:pPr>
        <w:spacing w:after="0" w:line="68" w:lineRule="exact"/>
        <w:rPr>
          <w:sz w:val="20"/>
          <w:szCs w:val="20"/>
          <w:color w:val="auto"/>
        </w:rPr>
      </w:pPr>
    </w:p>
    <w:p>
      <w:pPr>
        <w:ind w:left="8" w:firstLine="490"/>
        <w:spacing w:after="0" w:line="229" w:lineRule="auto"/>
        <w:rPr>
          <w:sz w:val="20"/>
          <w:szCs w:val="20"/>
          <w:color w:val="auto"/>
        </w:rPr>
      </w:pPr>
      <w:r>
        <w:rPr>
          <w:rFonts w:ascii="Times New Roman" w:cs="Times New Roman" w:eastAsia="Times New Roman" w:hAnsi="Times New Roman"/>
          <w:sz w:val="20"/>
          <w:szCs w:val="20"/>
          <w:color w:val="auto"/>
        </w:rPr>
        <w:t>Further, although our reliance on these third parties for clinical development activities limits our control over these activities, we remain responsible for ensuring that each of our clinical trials is conducted in accordance with the approved protocol, as well as applicable legal, regulatory and scientific standards. Moreover, the FDA and/or other regulatory authorities require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and other regulatory authorities enforce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and other regulatory authorities may require us to perform additional clinical trials before approving the applicable product candidate, which would delay the marketing approval process. We cannot be certain that, upon inspection, the FDA and other regulatory authorities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our clinical trials and post the results of our completed clinical trials on a government-sponsored database, ClinicalTrials.gov, and other registries within certain timeframes. Failure to do so can result in fines, adverse publicity and civil and criminal sanctions.</w:t>
      </w:r>
    </w:p>
    <w:p>
      <w:pPr>
        <w:spacing w:after="0" w:line="75" w:lineRule="exact"/>
        <w:rPr>
          <w:sz w:val="20"/>
          <w:szCs w:val="20"/>
          <w:color w:val="auto"/>
        </w:rPr>
      </w:pPr>
    </w:p>
    <w:p>
      <w:pPr>
        <w:ind w:left="8" w:right="60" w:firstLine="490"/>
        <w:spacing w:after="0" w:line="230" w:lineRule="auto"/>
        <w:rPr>
          <w:sz w:val="20"/>
          <w:szCs w:val="20"/>
          <w:color w:val="auto"/>
        </w:rPr>
      </w:pPr>
      <w:r>
        <w:rPr>
          <w:rFonts w:ascii="Times New Roman" w:cs="Times New Roman" w:eastAsia="Times New Roman" w:hAnsi="Times New Roman"/>
          <w:sz w:val="20"/>
          <w:szCs w:val="20"/>
          <w:color w:val="auto"/>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spacing w:after="0" w:line="85" w:lineRule="exact"/>
        <w:rPr>
          <w:sz w:val="20"/>
          <w:szCs w:val="20"/>
          <w:color w:val="auto"/>
        </w:rPr>
      </w:pPr>
    </w:p>
    <w:p>
      <w:pPr>
        <w:ind w:left="8" w:right="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contract with third parties for the manufacture, storage, packaging and distribution of Haduvio and other drug product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spacing w:after="0" w:line="63" w:lineRule="exact"/>
        <w:rPr>
          <w:sz w:val="20"/>
          <w:szCs w:val="20"/>
          <w:color w:val="auto"/>
        </w:rPr>
      </w:pPr>
    </w:p>
    <w:p>
      <w:pPr>
        <w:ind w:left="8" w:right="40" w:firstLine="490"/>
        <w:spacing w:after="0" w:line="232" w:lineRule="auto"/>
        <w:rPr>
          <w:sz w:val="20"/>
          <w:szCs w:val="20"/>
          <w:color w:val="auto"/>
        </w:rPr>
      </w:pPr>
      <w:r>
        <w:rPr>
          <w:rFonts w:ascii="Times New Roman" w:cs="Times New Roman" w:eastAsia="Times New Roman" w:hAnsi="Times New Roman"/>
          <w:sz w:val="20"/>
          <w:szCs w:val="20"/>
          <w:color w:val="auto"/>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spacing w:after="0" w:line="100" w:lineRule="exact"/>
        <w:rPr>
          <w:sz w:val="20"/>
          <w:szCs w:val="20"/>
          <w:color w:val="auto"/>
        </w:rPr>
      </w:pPr>
    </w:p>
    <w:p>
      <w:pPr>
        <w:ind w:left="488" w:hanging="488"/>
        <w:spacing w:after="0" w:line="252" w:lineRule="auto"/>
        <w:tabs>
          <w:tab w:leader="none" w:pos="488"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delays if our third-party contractors experience supply chain-related delays, prioritize the supply of other companies’ products over Haduvio or any other drug product needed for our clinical trials or any future product candidates, or otherwise fail to satisfactorily perform according to the terms of the agreements between us and them or if unforeseen events in the manufacturing process arise;</w:t>
      </w:r>
    </w:p>
    <w:p>
      <w:pPr>
        <w:spacing w:after="0" w:line="87" w:lineRule="exact"/>
        <w:rPr>
          <w:rFonts w:ascii="Arial" w:cs="Arial" w:eastAsia="Arial" w:hAnsi="Arial"/>
          <w:sz w:val="20"/>
          <w:szCs w:val="20"/>
          <w:color w:val="auto"/>
        </w:rPr>
      </w:pPr>
    </w:p>
    <w:p>
      <w:pPr>
        <w:ind w:left="488" w:right="700" w:hanging="488"/>
        <w:spacing w:after="0" w:line="276" w:lineRule="auto"/>
        <w:tabs>
          <w:tab w:leader="none" w:pos="488"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termination or nonrenewal of agreements by our third-party contractors at a time that is costly or inconvenient for us;</w:t>
      </w:r>
    </w:p>
    <w:p>
      <w:pPr>
        <w:spacing w:after="0" w:line="64" w:lineRule="exact"/>
        <w:rPr>
          <w:rFonts w:ascii="Arial" w:cs="Arial" w:eastAsia="Arial" w:hAnsi="Arial"/>
          <w:sz w:val="20"/>
          <w:szCs w:val="20"/>
          <w:color w:val="auto"/>
        </w:rPr>
      </w:pPr>
    </w:p>
    <w:p>
      <w:pPr>
        <w:ind w:left="488" w:hanging="488"/>
        <w:spacing w:after="0"/>
        <w:tabs>
          <w:tab w:leader="none" w:pos="488"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breach by third-party contractors of our agreements with them;</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failure of third-party contractors to comply with applicable regulatory requirements;</w:t>
      </w:r>
    </w:p>
    <w:p>
      <w:pPr>
        <w:spacing w:after="0" w:line="133" w:lineRule="exact"/>
        <w:rPr>
          <w:rFonts w:ascii="Arial" w:cs="Arial" w:eastAsia="Arial" w:hAnsi="Arial"/>
          <w:sz w:val="20"/>
          <w:szCs w:val="20"/>
          <w:color w:val="auto"/>
        </w:rPr>
      </w:pPr>
    </w:p>
    <w:p>
      <w:pPr>
        <w:ind w:left="488" w:right="40" w:hanging="488"/>
        <w:spacing w:after="0" w:line="276" w:lineRule="auto"/>
        <w:tabs>
          <w:tab w:leader="none" w:pos="488"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mislabeling of clinical supplies, potentially resulting in the wrong dose amounts being supplied or active drug or placebo not being properly identified;</w:t>
      </w:r>
    </w:p>
    <w:p>
      <w:pPr>
        <w:spacing w:after="0" w:line="64" w:lineRule="exact"/>
        <w:rPr>
          <w:rFonts w:ascii="Arial" w:cs="Arial" w:eastAsia="Arial" w:hAnsi="Arial"/>
          <w:sz w:val="20"/>
          <w:szCs w:val="20"/>
          <w:color w:val="auto"/>
        </w:rPr>
      </w:pPr>
    </w:p>
    <w:p>
      <w:pPr>
        <w:ind w:left="488" w:right="40" w:hanging="488"/>
        <w:spacing w:after="0" w:line="276" w:lineRule="auto"/>
        <w:tabs>
          <w:tab w:leader="none" w:pos="488"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possibility of clinical supplies not being delivered to clinical sites on time, leading to clinical trial interruptions or of drug supplies not being distributed to commercial vendors in a timely manner, resulting in lost sales; and</w:t>
      </w:r>
    </w:p>
    <w:p>
      <w:pPr>
        <w:sectPr>
          <w:pgSz w:w="12240" w:h="15840" w:orient="portrait"/>
          <w:cols w:equalWidth="0" w:num="1">
            <w:col w:w="9908"/>
          </w:cols>
          <w:pgMar w:left="1152" w:top="1121" w:right="1180" w:bottom="175" w:gutter="0" w:footer="0" w:header="0"/>
        </w:sectPr>
      </w:pPr>
    </w:p>
    <w:p>
      <w:pPr>
        <w:spacing w:after="0" w:line="25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908"/>
          </w:cols>
          <w:pgMar w:left="1152" w:top="1121" w:right="1180" w:bottom="175" w:gutter="0" w:footer="0" w:header="0"/>
          <w:type w:val="continuous"/>
        </w:sectPr>
      </w:pPr>
    </w:p>
    <w:bookmarkStart w:id="52" w:name="page53"/>
    <w:bookmarkEnd w:id="52"/>
    <w:p>
      <w:pPr>
        <w:ind w:left="488" w:hanging="488"/>
        <w:spacing w:after="0"/>
        <w:tabs>
          <w:tab w:leader="none" w:pos="488"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misappropriation of our proprietary information, including our trade secrets and know-how.</w:t>
      </w:r>
    </w:p>
    <w:p>
      <w:pPr>
        <w:spacing w:after="0" w:line="108" w:lineRule="exact"/>
        <w:rPr>
          <w:sz w:val="20"/>
          <w:szCs w:val="20"/>
          <w:color w:val="auto"/>
        </w:rPr>
      </w:pPr>
    </w:p>
    <w:p>
      <w:pPr>
        <w:ind w:left="8" w:firstLine="490"/>
        <w:spacing w:after="0" w:line="233" w:lineRule="auto"/>
        <w:rPr>
          <w:sz w:val="20"/>
          <w:szCs w:val="20"/>
          <w:color w:val="auto"/>
        </w:rPr>
      </w:pPr>
      <w:r>
        <w:rPr>
          <w:rFonts w:ascii="Times New Roman" w:cs="Times New Roman" w:eastAsia="Times New Roman" w:hAnsi="Times New Roman"/>
          <w:sz w:val="20"/>
          <w:szCs w:val="20"/>
          <w:color w:val="auto"/>
        </w:rPr>
        <w:t>We do not have long-term supply agreements with any of our contract manufacturers. If any of our existing manufacturers should become unavailable to us for any reason or fail to supply us with the ordered quantities,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spacing w:after="0" w:line="73" w:lineRule="exact"/>
        <w:rPr>
          <w:sz w:val="20"/>
          <w:szCs w:val="20"/>
          <w:color w:val="auto"/>
        </w:rPr>
      </w:pPr>
    </w:p>
    <w:p>
      <w:pPr>
        <w:ind w:left="8" w:right="220" w:firstLine="490"/>
        <w:spacing w:after="0" w:line="231" w:lineRule="auto"/>
        <w:rPr>
          <w:sz w:val="20"/>
          <w:szCs w:val="20"/>
          <w:color w:val="auto"/>
        </w:rPr>
      </w:pPr>
      <w:r>
        <w:rPr>
          <w:rFonts w:ascii="Times New Roman" w:cs="Times New Roman" w:eastAsia="Times New Roman" w:hAnsi="Times New Roman"/>
          <w:sz w:val="20"/>
          <w:szCs w:val="20"/>
          <w:color w:val="auto"/>
        </w:rPr>
        <w:t>We rely, and plan to continue to rely, on a single supplier, Par Health, which was spun off as an independent company after the merger between Mallinckrodt plc and Endo, Inc., for nalbuphine hydrochloride drug substance. We do not have agreements in place with Par Health that guarantee supply quantities or pricing.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spacing w:after="0" w:line="77" w:lineRule="exact"/>
        <w:rPr>
          <w:sz w:val="20"/>
          <w:szCs w:val="20"/>
          <w:color w:val="auto"/>
        </w:rPr>
      </w:pPr>
    </w:p>
    <w:p>
      <w:pPr>
        <w:ind w:left="8" w:right="60" w:firstLine="490"/>
        <w:spacing w:after="0" w:line="234" w:lineRule="auto"/>
        <w:rPr>
          <w:sz w:val="20"/>
          <w:szCs w:val="20"/>
          <w:color w:val="auto"/>
        </w:rPr>
      </w:pPr>
      <w:r>
        <w:rPr>
          <w:rFonts w:ascii="Times New Roman" w:cs="Times New Roman" w:eastAsia="Times New Roman" w:hAnsi="Times New Roman"/>
          <w:sz w:val="20"/>
          <w:szCs w:val="20"/>
          <w:color w:val="auto"/>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p>
    <w:p>
      <w:pPr>
        <w:spacing w:after="0" w:line="74" w:lineRule="exact"/>
        <w:rPr>
          <w:sz w:val="20"/>
          <w:szCs w:val="20"/>
          <w:color w:val="auto"/>
        </w:rPr>
      </w:pPr>
    </w:p>
    <w:p>
      <w:pPr>
        <w:ind w:left="8" w:right="80" w:firstLine="490"/>
        <w:spacing w:after="0" w:line="230" w:lineRule="auto"/>
        <w:rPr>
          <w:sz w:val="20"/>
          <w:szCs w:val="20"/>
          <w:color w:val="auto"/>
        </w:rPr>
      </w:pPr>
      <w:r>
        <w:rPr>
          <w:rFonts w:ascii="Times New Roman" w:cs="Times New Roman" w:eastAsia="Times New Roman" w:hAnsi="Times New Roman"/>
          <w:sz w:val="20"/>
          <w:szCs w:val="20"/>
          <w:color w:val="auto"/>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spacing w:after="0" w:line="78" w:lineRule="exact"/>
        <w:rPr>
          <w:sz w:val="20"/>
          <w:szCs w:val="20"/>
          <w:color w:val="auto"/>
        </w:rPr>
      </w:pPr>
    </w:p>
    <w:p>
      <w:pPr>
        <w:ind w:left="8" w:firstLine="490"/>
        <w:spacing w:after="0" w:line="232" w:lineRule="auto"/>
        <w:rPr>
          <w:sz w:val="20"/>
          <w:szCs w:val="20"/>
          <w:color w:val="auto"/>
        </w:rPr>
      </w:pPr>
      <w:r>
        <w:rPr>
          <w:rFonts w:ascii="Times New Roman" w:cs="Times New Roman" w:eastAsia="Times New Roman" w:hAnsi="Times New Roman"/>
          <w:sz w:val="20"/>
          <w:szCs w:val="20"/>
          <w:color w:val="auto"/>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spacing w:after="0" w:line="74" w:lineRule="exact"/>
        <w:rPr>
          <w:sz w:val="20"/>
          <w:szCs w:val="20"/>
          <w:color w:val="auto"/>
        </w:rPr>
      </w:pPr>
    </w:p>
    <w:p>
      <w:pPr>
        <w:ind w:left="8" w:right="220" w:firstLine="490"/>
        <w:spacing w:after="0" w:line="244" w:lineRule="auto"/>
        <w:rPr>
          <w:sz w:val="20"/>
          <w:szCs w:val="20"/>
          <w:color w:val="auto"/>
        </w:rPr>
      </w:pPr>
      <w:r>
        <w:rPr>
          <w:rFonts w:ascii="Times New Roman" w:cs="Times New Roman" w:eastAsia="Times New Roman" w:hAnsi="Times New Roman"/>
          <w:sz w:val="20"/>
          <w:szCs w:val="20"/>
          <w:color w:val="auto"/>
        </w:rPr>
        <w:t>Our current and anticipated future dependence upon others for the manufacture of Haduvio, any other drug product needed for our clinical trials or any future product candidate may harm our future profit margins and our ability to commercialize any products that receive marketing approval on a timely and competitive basis.</w:t>
      </w:r>
    </w:p>
    <w:p>
      <w:pPr>
        <w:spacing w:after="0" w:line="79" w:lineRule="exact"/>
        <w:rPr>
          <w:sz w:val="20"/>
          <w:szCs w:val="20"/>
          <w:color w:val="auto"/>
        </w:rPr>
      </w:pPr>
    </w:p>
    <w:p>
      <w:pPr>
        <w:ind w:left="8" w:right="1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38" w:lineRule="exact"/>
        <w:rPr>
          <w:sz w:val="20"/>
          <w:szCs w:val="20"/>
          <w:color w:val="auto"/>
        </w:rPr>
      </w:pPr>
    </w:p>
    <w:p>
      <w:pPr>
        <w:ind w:left="8" w:right="160" w:firstLine="490"/>
        <w:spacing w:after="0" w:line="236" w:lineRule="auto"/>
        <w:rPr>
          <w:sz w:val="20"/>
          <w:szCs w:val="20"/>
          <w:color w:val="auto"/>
        </w:rPr>
      </w:pPr>
      <w:r>
        <w:rPr>
          <w:rFonts w:ascii="Times New Roman" w:cs="Times New Roman" w:eastAsia="Times New Roman" w:hAnsi="Times New Roman"/>
          <w:sz w:val="20"/>
          <w:szCs w:val="20"/>
          <w:color w:val="auto"/>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We also expect to utilize a variety of collaboration, distribution and other marketing arrangements with one or more third parties to commercialize Haduvio outside the U.S.</w:t>
      </w:r>
    </w:p>
    <w:p>
      <w:pPr>
        <w:spacing w:after="0" w:line="72" w:lineRule="exact"/>
        <w:rPr>
          <w:sz w:val="20"/>
          <w:szCs w:val="20"/>
          <w:color w:val="auto"/>
        </w:rPr>
      </w:pPr>
    </w:p>
    <w:p>
      <w:pPr>
        <w:ind w:left="8" w:right="80" w:firstLine="490"/>
        <w:spacing w:after="0" w:line="251" w:lineRule="auto"/>
        <w:rPr>
          <w:sz w:val="20"/>
          <w:szCs w:val="20"/>
          <w:color w:val="auto"/>
        </w:rPr>
      </w:pPr>
      <w:r>
        <w:rPr>
          <w:rFonts w:ascii="Times New Roman" w:cs="Times New Roman" w:eastAsia="Times New Roman" w:hAnsi="Times New Roman"/>
          <w:sz w:val="19"/>
          <w:szCs w:val="19"/>
          <w:color w:val="auto"/>
        </w:rPr>
        <w:t>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w:t>
      </w:r>
    </w:p>
    <w:p>
      <w:pPr>
        <w:sectPr>
          <w:pgSz w:w="12240" w:h="15840" w:orient="portrait"/>
          <w:cols w:equalWidth="0" w:num="1">
            <w:col w:w="9928"/>
          </w:cols>
          <w:pgMar w:left="1152" w:top="1146" w:right="1160" w:bottom="175" w:gutter="0" w:footer="0" w:header="0"/>
        </w:sectPr>
      </w:pPr>
    </w:p>
    <w:p>
      <w:pPr>
        <w:spacing w:after="0" w:line="20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928"/>
          </w:cols>
          <w:pgMar w:left="1152" w:top="1146" w:right="1160" w:bottom="175" w:gutter="0" w:footer="0" w:header="0"/>
          <w:type w:val="continuous"/>
        </w:sectPr>
      </w:pPr>
    </w:p>
    <w:bookmarkStart w:id="53" w:name="page54"/>
    <w:bookmarkEnd w:id="53"/>
    <w:p>
      <w:pPr>
        <w:ind w:left="8"/>
        <w:spacing w:after="0" w:line="229" w:lineRule="auto"/>
        <w:rPr>
          <w:sz w:val="20"/>
          <w:szCs w:val="20"/>
          <w:color w:val="auto"/>
        </w:rPr>
      </w:pPr>
      <w:r>
        <w:rPr>
          <w:rFonts w:ascii="Times New Roman" w:cs="Times New Roman" w:eastAsia="Times New Roman" w:hAnsi="Times New Roman"/>
          <w:sz w:val="20"/>
          <w:szCs w:val="20"/>
          <w:color w:val="auto"/>
        </w:rPr>
        <w:t>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7" w:lineRule="exact"/>
        <w:rPr>
          <w:sz w:val="20"/>
          <w:szCs w:val="20"/>
          <w:color w:val="auto"/>
        </w:rPr>
      </w:pPr>
    </w:p>
    <w:p>
      <w:pPr>
        <w:jc w:val="both"/>
        <w:ind w:left="8" w:right="420" w:firstLine="490"/>
        <w:spacing w:after="0" w:line="244" w:lineRule="auto"/>
        <w:rPr>
          <w:sz w:val="20"/>
          <w:szCs w:val="20"/>
          <w:color w:val="auto"/>
        </w:rPr>
      </w:pPr>
      <w:r>
        <w:rPr>
          <w:rFonts w:ascii="Times New Roman" w:cs="Times New Roman" w:eastAsia="Times New Roman" w:hAnsi="Times New Roman"/>
          <w:sz w:val="20"/>
          <w:szCs w:val="20"/>
          <w:color w:val="auto"/>
        </w:rPr>
        <w:t>If we establish one or more collaborations, all the risks relating to product development, regulatory approval and commercialization described in this Annual Report on Form 10-K would also apply to the activities of any such future collaborators.</w:t>
      </w:r>
    </w:p>
    <w:p>
      <w:pPr>
        <w:spacing w:after="0" w:line="79" w:lineRule="exact"/>
        <w:rPr>
          <w:sz w:val="20"/>
          <w:szCs w:val="20"/>
          <w:color w:val="auto"/>
        </w:rPr>
      </w:pPr>
    </w:p>
    <w:p>
      <w:pPr>
        <w:ind w:left="8" w:right="1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spacing w:after="0" w:line="57" w:lineRule="exact"/>
        <w:rPr>
          <w:sz w:val="20"/>
          <w:szCs w:val="20"/>
          <w:color w:val="auto"/>
        </w:rPr>
      </w:pPr>
    </w:p>
    <w:p>
      <w:pPr>
        <w:ind w:left="8" w:right="40" w:firstLine="490"/>
        <w:spacing w:after="0" w:line="233" w:lineRule="auto"/>
        <w:rPr>
          <w:sz w:val="20"/>
          <w:szCs w:val="20"/>
          <w:color w:val="auto"/>
        </w:rPr>
      </w:pPr>
      <w:r>
        <w:rPr>
          <w:rFonts w:ascii="Times New Roman" w:cs="Times New Roman" w:eastAsia="Times New Roman" w:hAnsi="Times New Roman"/>
          <w:sz w:val="20"/>
          <w:szCs w:val="20"/>
          <w:color w:val="auto"/>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73"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color w:val="auto"/>
        </w:rPr>
        <w:t>Collaborations involving a product candidate would pose a number of risks, including the following:</w:t>
      </w:r>
    </w:p>
    <w:p>
      <w:pPr>
        <w:spacing w:after="0" w:line="132" w:lineRule="exact"/>
        <w:rPr>
          <w:sz w:val="20"/>
          <w:szCs w:val="20"/>
          <w:color w:val="auto"/>
        </w:rPr>
      </w:pPr>
    </w:p>
    <w:p>
      <w:pPr>
        <w:ind w:left="488" w:right="740" w:hanging="488"/>
        <w:spacing w:after="0" w:line="276" w:lineRule="auto"/>
        <w:tabs>
          <w:tab w:leader="none" w:pos="488"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these collaborations;</w:t>
      </w:r>
    </w:p>
    <w:p>
      <w:pPr>
        <w:spacing w:after="0" w:line="64" w:lineRule="exact"/>
        <w:rPr>
          <w:rFonts w:ascii="Arial" w:cs="Arial" w:eastAsia="Arial" w:hAnsi="Arial"/>
          <w:sz w:val="20"/>
          <w:szCs w:val="20"/>
          <w:color w:val="auto"/>
        </w:rPr>
      </w:pPr>
    </w:p>
    <w:p>
      <w:pPr>
        <w:ind w:left="488" w:hanging="488"/>
        <w:spacing w:after="0"/>
        <w:tabs>
          <w:tab w:leader="none" w:pos="488"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perform their obligations as expected;</w:t>
      </w:r>
    </w:p>
    <w:p>
      <w:pPr>
        <w:spacing w:after="0" w:line="133" w:lineRule="exact"/>
        <w:rPr>
          <w:rFonts w:ascii="Arial" w:cs="Arial" w:eastAsia="Arial" w:hAnsi="Arial"/>
          <w:sz w:val="20"/>
          <w:szCs w:val="20"/>
          <w:color w:val="auto"/>
        </w:rPr>
      </w:pPr>
    </w:p>
    <w:p>
      <w:pPr>
        <w:ind w:left="488" w:right="180" w:hanging="488"/>
        <w:spacing w:after="0" w:line="252" w:lineRule="auto"/>
        <w:tabs>
          <w:tab w:leader="none" w:pos="488"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spacing w:after="0" w:line="87" w:lineRule="exact"/>
        <w:rPr>
          <w:rFonts w:ascii="Arial" w:cs="Arial" w:eastAsia="Arial" w:hAnsi="Arial"/>
          <w:sz w:val="20"/>
          <w:szCs w:val="20"/>
          <w:color w:val="auto"/>
        </w:rPr>
      </w:pPr>
    </w:p>
    <w:p>
      <w:pPr>
        <w:ind w:left="488" w:right="680" w:hanging="488"/>
        <w:spacing w:after="0" w:line="276" w:lineRule="auto"/>
        <w:tabs>
          <w:tab w:leader="none" w:pos="488"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be involved in a business combination and could decide to delay, diminish or terminate the development or commercialization of any product candidate licensed by us;</w:t>
      </w:r>
    </w:p>
    <w:p>
      <w:pPr>
        <w:spacing w:after="0" w:line="64" w:lineRule="exact"/>
        <w:rPr>
          <w:rFonts w:ascii="Arial" w:cs="Arial" w:eastAsia="Arial" w:hAnsi="Arial"/>
          <w:sz w:val="20"/>
          <w:szCs w:val="20"/>
          <w:color w:val="auto"/>
        </w:rPr>
      </w:pPr>
    </w:p>
    <w:p>
      <w:pPr>
        <w:ind w:left="488" w:hanging="488"/>
        <w:spacing w:after="0" w:line="258" w:lineRule="auto"/>
        <w:tabs>
          <w:tab w:leader="none" w:pos="488"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1" w:lineRule="exact"/>
        <w:rPr>
          <w:rFonts w:ascii="Arial" w:cs="Arial" w:eastAsia="Arial" w:hAnsi="Arial"/>
          <w:sz w:val="20"/>
          <w:szCs w:val="20"/>
          <w:color w:val="auto"/>
        </w:rPr>
      </w:pPr>
    </w:p>
    <w:p>
      <w:pPr>
        <w:ind w:left="488" w:right="160" w:hanging="488"/>
        <w:spacing w:after="0" w:line="276" w:lineRule="auto"/>
        <w:tabs>
          <w:tab w:leader="none" w:pos="488"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the product candidates under the collaboration;</w:t>
      </w:r>
    </w:p>
    <w:p>
      <w:pPr>
        <w:spacing w:after="0" w:line="64" w:lineRule="exact"/>
        <w:rPr>
          <w:rFonts w:ascii="Arial" w:cs="Arial" w:eastAsia="Arial" w:hAnsi="Arial"/>
          <w:sz w:val="20"/>
          <w:szCs w:val="20"/>
          <w:color w:val="auto"/>
        </w:rPr>
      </w:pPr>
    </w:p>
    <w:p>
      <w:pPr>
        <w:ind w:left="488" w:right="180" w:hanging="488"/>
        <w:spacing w:after="0" w:line="276" w:lineRule="auto"/>
        <w:tabs>
          <w:tab w:leader="none" w:pos="488"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with marketing and distribution rights to one or more products may not commit sufficient resources to the marketing and distribution of such product or products;</w:t>
      </w:r>
    </w:p>
    <w:p>
      <w:pPr>
        <w:spacing w:after="0" w:line="64" w:lineRule="exact"/>
        <w:rPr>
          <w:rFonts w:ascii="Arial" w:cs="Arial" w:eastAsia="Arial" w:hAnsi="Arial"/>
          <w:sz w:val="20"/>
          <w:szCs w:val="20"/>
          <w:color w:val="auto"/>
        </w:rPr>
      </w:pPr>
    </w:p>
    <w:p>
      <w:pPr>
        <w:ind w:left="488" w:right="500" w:hanging="488"/>
        <w:spacing w:after="0" w:line="252" w:lineRule="auto"/>
        <w:tabs>
          <w:tab w:leader="none" w:pos="488"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7" w:lineRule="exact"/>
        <w:rPr>
          <w:rFonts w:ascii="Arial" w:cs="Arial" w:eastAsia="Arial" w:hAnsi="Arial"/>
          <w:sz w:val="20"/>
          <w:szCs w:val="20"/>
          <w:color w:val="auto"/>
        </w:rPr>
      </w:pPr>
    </w:p>
    <w:p>
      <w:pPr>
        <w:jc w:val="both"/>
        <w:ind w:left="488" w:right="660" w:hanging="488"/>
        <w:spacing w:after="0" w:line="258" w:lineRule="auto"/>
        <w:tabs>
          <w:tab w:leader="none" w:pos="488"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ectPr>
          <w:pgSz w:w="12240" w:h="15840" w:orient="portrait"/>
          <w:cols w:equalWidth="0" w:num="1">
            <w:col w:w="9928"/>
          </w:cols>
          <w:pgMar w:left="1152" w:top="1121" w:right="1160" w:bottom="175" w:gutter="0" w:footer="0" w:header="0"/>
        </w:sectPr>
      </w:pPr>
    </w:p>
    <w:p>
      <w:pPr>
        <w:spacing w:after="0" w:line="3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928"/>
          </w:cols>
          <w:pgMar w:left="1152" w:top="1121" w:right="1160" w:bottom="175" w:gutter="0" w:footer="0" w:header="0"/>
          <w:type w:val="continuous"/>
        </w:sectPr>
      </w:pPr>
    </w:p>
    <w:bookmarkStart w:id="54" w:name="page55"/>
    <w:bookmarkEnd w:id="54"/>
    <w:p>
      <w:pPr>
        <w:ind w:left="488" w:right="480" w:hanging="488"/>
        <w:spacing w:after="0" w:line="276" w:lineRule="auto"/>
        <w:tabs>
          <w:tab w:leader="none" w:pos="488"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infringe the intellectual property rights of third parties, which may expose us to litigation and potential liability or misappropriate our intellectual property or other proprietary information;</w:t>
      </w:r>
    </w:p>
    <w:p>
      <w:pPr>
        <w:spacing w:after="0" w:line="64" w:lineRule="exact"/>
        <w:rPr>
          <w:rFonts w:ascii="Arial" w:cs="Arial" w:eastAsia="Arial" w:hAnsi="Arial"/>
          <w:sz w:val="20"/>
          <w:szCs w:val="20"/>
          <w:color w:val="auto"/>
        </w:rPr>
      </w:pPr>
    </w:p>
    <w:p>
      <w:pPr>
        <w:ind w:left="488" w:right="500" w:hanging="488"/>
        <w:spacing w:after="0" w:line="276" w:lineRule="auto"/>
        <w:tabs>
          <w:tab w:leader="none" w:pos="488"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engage in misconduct or other improper activities, including non-compliance with regulatory standards and requirements;</w:t>
      </w:r>
    </w:p>
    <w:p>
      <w:pPr>
        <w:spacing w:after="0" w:line="64" w:lineRule="exact"/>
        <w:rPr>
          <w:rFonts w:ascii="Arial" w:cs="Arial" w:eastAsia="Arial" w:hAnsi="Arial"/>
          <w:sz w:val="20"/>
          <w:szCs w:val="20"/>
          <w:color w:val="auto"/>
        </w:rPr>
      </w:pPr>
    </w:p>
    <w:p>
      <w:pPr>
        <w:ind w:left="488" w:right="20" w:hanging="488"/>
        <w:spacing w:after="0" w:line="276" w:lineRule="auto"/>
        <w:tabs>
          <w:tab w:leader="none" w:pos="488"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disputes may arise between the collaborators and us regarding ownership of or other rights in the intellectual property generated in the course of the collaborations; and</w:t>
      </w:r>
    </w:p>
    <w:p>
      <w:pPr>
        <w:spacing w:after="0" w:line="64" w:lineRule="exact"/>
        <w:rPr>
          <w:rFonts w:ascii="Arial" w:cs="Arial" w:eastAsia="Arial" w:hAnsi="Arial"/>
          <w:sz w:val="20"/>
          <w:szCs w:val="20"/>
          <w:color w:val="auto"/>
        </w:rPr>
      </w:pPr>
    </w:p>
    <w:p>
      <w:pPr>
        <w:ind w:left="488" w:right="480" w:hanging="488"/>
        <w:spacing w:after="0" w:line="276" w:lineRule="auto"/>
        <w:tabs>
          <w:tab w:leader="none" w:pos="488"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may be terminated and, if terminated, may result in a need for additional capital to pursue further development or commercialization of the applicable product candidates.</w:t>
      </w:r>
    </w:p>
    <w:p>
      <w:pPr>
        <w:spacing w:after="0" w:line="39" w:lineRule="exact"/>
        <w:rPr>
          <w:sz w:val="20"/>
          <w:szCs w:val="20"/>
          <w:color w:val="auto"/>
        </w:rPr>
      </w:pPr>
    </w:p>
    <w:p>
      <w:pPr>
        <w:ind w:left="8" w:right="540" w:firstLine="490"/>
        <w:spacing w:after="0" w:line="263" w:lineRule="auto"/>
        <w:rPr>
          <w:sz w:val="20"/>
          <w:szCs w:val="20"/>
          <w:color w:val="auto"/>
        </w:rPr>
      </w:pPr>
      <w:r>
        <w:rPr>
          <w:rFonts w:ascii="Times New Roman" w:cs="Times New Roman" w:eastAsia="Times New Roman" w:hAnsi="Times New Roman"/>
          <w:sz w:val="20"/>
          <w:szCs w:val="20"/>
          <w:color w:val="auto"/>
        </w:rPr>
        <w:t>Collaboration agreements may not lead to development or commercialization of product candidates in the most efficient manner or at all.</w:t>
      </w:r>
    </w:p>
    <w:p>
      <w:pPr>
        <w:spacing w:after="0" w:line="5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24" w:lineRule="exact"/>
        <w:rPr>
          <w:sz w:val="20"/>
          <w:szCs w:val="20"/>
          <w:color w:val="auto"/>
        </w:rPr>
      </w:pPr>
    </w:p>
    <w:p>
      <w:pPr>
        <w:ind w:left="8"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under our existing and any future intellectual property licenses with third parties, we could lose license rights that are critical to our business or owe damages to the licensor of such intellectual property.</w:t>
      </w:r>
    </w:p>
    <w:p>
      <w:pPr>
        <w:spacing w:after="0" w:line="57" w:lineRule="exact"/>
        <w:rPr>
          <w:sz w:val="20"/>
          <w:szCs w:val="20"/>
          <w:color w:val="auto"/>
        </w:rPr>
      </w:pPr>
    </w:p>
    <w:p>
      <w:pPr>
        <w:ind w:left="8" w:firstLine="490"/>
        <w:spacing w:after="0" w:line="233" w:lineRule="auto"/>
        <w:rPr>
          <w:sz w:val="20"/>
          <w:szCs w:val="20"/>
          <w:color w:val="auto"/>
        </w:rPr>
      </w:pPr>
      <w:r>
        <w:rPr>
          <w:rFonts w:ascii="Times New Roman" w:cs="Times New Roman" w:eastAsia="Times New Roman" w:hAnsi="Times New Roman"/>
          <w:sz w:val="20"/>
          <w:szCs w:val="20"/>
          <w:color w:val="auto"/>
        </w:rPr>
        <w:t>We are party to an exclusive license agreement with Keenova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spacing w:after="0" w:line="73" w:lineRule="exact"/>
        <w:rPr>
          <w:sz w:val="20"/>
          <w:szCs w:val="20"/>
          <w:color w:val="auto"/>
        </w:rPr>
      </w:pPr>
    </w:p>
    <w:p>
      <w:pPr>
        <w:ind w:left="8" w:right="100" w:firstLine="490"/>
        <w:spacing w:after="0" w:line="248" w:lineRule="auto"/>
        <w:rPr>
          <w:sz w:val="20"/>
          <w:szCs w:val="20"/>
          <w:color w:val="auto"/>
        </w:rPr>
      </w:pPr>
      <w:r>
        <w:rPr>
          <w:rFonts w:ascii="Times New Roman" w:cs="Times New Roman" w:eastAsia="Times New Roman" w:hAnsi="Times New Roman"/>
          <w:sz w:val="19"/>
          <w:szCs w:val="19"/>
          <w:color w:val="auto"/>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spacing w:after="0" w:line="65"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color w:val="auto"/>
        </w:rPr>
        <w:t>Disputes may also arise regarding intellectual property subject to a license agreement, including:</w:t>
      </w:r>
    </w:p>
    <w:p>
      <w:pPr>
        <w:spacing w:after="0" w:line="132" w:lineRule="exact"/>
        <w:rPr>
          <w:sz w:val="20"/>
          <w:szCs w:val="20"/>
          <w:color w:val="auto"/>
        </w:rPr>
      </w:pPr>
    </w:p>
    <w:p>
      <w:pPr>
        <w:ind w:left="488" w:hanging="488"/>
        <w:spacing w:after="0"/>
        <w:tabs>
          <w:tab w:leader="none" w:pos="488"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33" w:lineRule="exact"/>
        <w:rPr>
          <w:rFonts w:ascii="Arial" w:cs="Arial" w:eastAsia="Arial" w:hAnsi="Arial"/>
          <w:sz w:val="20"/>
          <w:szCs w:val="20"/>
          <w:color w:val="auto"/>
        </w:rPr>
      </w:pPr>
    </w:p>
    <w:p>
      <w:pPr>
        <w:ind w:left="488" w:right="280" w:hanging="488"/>
        <w:spacing w:after="0" w:line="276" w:lineRule="auto"/>
        <w:tabs>
          <w:tab w:leader="none" w:pos="488"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our activities or product candidates may infringe the intellectual property of the licensor that is not subject to the licensing agreement;</w:t>
      </w:r>
    </w:p>
    <w:p>
      <w:pPr>
        <w:spacing w:after="0" w:line="64" w:lineRule="exact"/>
        <w:rPr>
          <w:rFonts w:ascii="Arial" w:cs="Arial" w:eastAsia="Arial" w:hAnsi="Arial"/>
          <w:sz w:val="20"/>
          <w:szCs w:val="20"/>
          <w:color w:val="auto"/>
        </w:rPr>
      </w:pPr>
    </w:p>
    <w:p>
      <w:pPr>
        <w:ind w:left="488" w:hanging="488"/>
        <w:spacing w:after="0"/>
        <w:tabs>
          <w:tab w:leader="none" w:pos="488"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sublicensing of patent and other rights under any collaborative development relationships;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diligence obligations under the license agreement and what activities satisfy those diligence obligations;</w:t>
      </w:r>
    </w:p>
    <w:p>
      <w:pPr>
        <w:spacing w:after="0" w:line="133" w:lineRule="exact"/>
        <w:rPr>
          <w:rFonts w:ascii="Arial" w:cs="Arial" w:eastAsia="Arial" w:hAnsi="Arial"/>
          <w:sz w:val="20"/>
          <w:szCs w:val="20"/>
          <w:color w:val="auto"/>
        </w:rPr>
      </w:pPr>
    </w:p>
    <w:p>
      <w:pPr>
        <w:ind w:left="488" w:right="700" w:hanging="488"/>
        <w:spacing w:after="0" w:line="276" w:lineRule="auto"/>
        <w:tabs>
          <w:tab w:leader="none" w:pos="488"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inventorship or ownership of inventions and know-how resulting from joint creation or use of intellectual property by licensors and us; and</w:t>
      </w:r>
    </w:p>
    <w:p>
      <w:pPr>
        <w:spacing w:after="0" w:line="64" w:lineRule="exact"/>
        <w:rPr>
          <w:rFonts w:ascii="Arial" w:cs="Arial" w:eastAsia="Arial" w:hAnsi="Arial"/>
          <w:sz w:val="20"/>
          <w:szCs w:val="20"/>
          <w:color w:val="auto"/>
        </w:rPr>
      </w:pPr>
    </w:p>
    <w:p>
      <w:pPr>
        <w:ind w:left="488" w:hanging="488"/>
        <w:spacing w:after="0"/>
        <w:tabs>
          <w:tab w:leader="none" w:pos="488"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priority of invention of any patented technology.</w:t>
      </w:r>
    </w:p>
    <w:p>
      <w:pPr>
        <w:spacing w:after="0" w:line="108" w:lineRule="exact"/>
        <w:rPr>
          <w:sz w:val="20"/>
          <w:szCs w:val="20"/>
          <w:color w:val="auto"/>
        </w:rPr>
      </w:pPr>
    </w:p>
    <w:p>
      <w:pPr>
        <w:ind w:left="8" w:right="480" w:firstLine="490"/>
        <w:spacing w:after="0" w:line="244" w:lineRule="auto"/>
        <w:rPr>
          <w:sz w:val="20"/>
          <w:szCs w:val="20"/>
          <w:color w:val="auto"/>
        </w:rPr>
      </w:pPr>
      <w:r>
        <w:rPr>
          <w:rFonts w:ascii="Times New Roman" w:cs="Times New Roman" w:eastAsia="Times New Roman" w:hAnsi="Times New Roman"/>
          <w:sz w:val="20"/>
          <w:szCs w:val="20"/>
          <w:color w:val="auto"/>
        </w:rPr>
        <w:t>If disputes over intellectual property that we license prevent or impair our ability to maintain those license arrangements on acceptable terms or at all, we may be unable to successfully develop and commercialize any affected product candidates.</w:t>
      </w:r>
    </w:p>
    <w:p>
      <w:pPr>
        <w:spacing w:after="0" w:line="79" w:lineRule="exact"/>
        <w:rPr>
          <w:sz w:val="20"/>
          <w:szCs w:val="20"/>
          <w:color w:val="auto"/>
        </w:rPr>
      </w:pPr>
    </w:p>
    <w:p>
      <w:pPr>
        <w:jc w:val="both"/>
        <w:ind w:left="8" w:right="22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spacing w:after="0" w:line="46" w:lineRule="exact"/>
        <w:rPr>
          <w:sz w:val="20"/>
          <w:szCs w:val="20"/>
          <w:color w:val="auto"/>
        </w:rPr>
      </w:pPr>
    </w:p>
    <w:p>
      <w:pPr>
        <w:ind w:left="8" w:right="80" w:firstLine="490"/>
        <w:spacing w:after="0" w:line="248" w:lineRule="auto"/>
        <w:rPr>
          <w:sz w:val="20"/>
          <w:szCs w:val="20"/>
          <w:color w:val="auto"/>
        </w:rPr>
      </w:pPr>
      <w:r>
        <w:rPr>
          <w:rFonts w:ascii="Times New Roman" w:cs="Times New Roman" w:eastAsia="Times New Roman" w:hAnsi="Times New Roman"/>
          <w:sz w:val="19"/>
          <w:szCs w:val="19"/>
          <w:color w:val="auto"/>
        </w:rPr>
        <w:t>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w:t>
      </w:r>
    </w:p>
    <w:p>
      <w:pPr>
        <w:sectPr>
          <w:pgSz w:w="12240" w:h="15840" w:orient="portrait"/>
          <w:cols w:equalWidth="0" w:num="1">
            <w:col w:w="9928"/>
          </w:cols>
          <w:pgMar w:left="1152" w:top="1146" w:right="1160" w:bottom="175"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928"/>
          </w:cols>
          <w:pgMar w:left="1152" w:top="1146" w:right="1160" w:bottom="175" w:gutter="0" w:footer="0" w:header="0"/>
          <w:type w:val="continuous"/>
        </w:sectPr>
      </w:pPr>
    </w:p>
    <w:bookmarkStart w:id="55" w:name="page56"/>
    <w:bookmarkEnd w:id="55"/>
    <w:p>
      <w:pPr>
        <w:ind w:right="20"/>
        <w:spacing w:after="0" w:line="263" w:lineRule="auto"/>
        <w:rPr>
          <w:sz w:val="20"/>
          <w:szCs w:val="20"/>
          <w:color w:val="auto"/>
        </w:rPr>
      </w:pPr>
      <w:r>
        <w:rPr>
          <w:rFonts w:ascii="Times New Roman" w:cs="Times New Roman" w:eastAsia="Times New Roman" w:hAnsi="Times New Roman"/>
          <w:sz w:val="20"/>
          <w:szCs w:val="20"/>
          <w:color w:val="auto"/>
        </w:rPr>
        <w:t>The patent application and approval process is expensive and time-consuming. We may not be able to file and prosecute all necessary or desirable patent applications at a reasonable cost, in a timely manner or at all.</w:t>
      </w:r>
    </w:p>
    <w:p>
      <w:pPr>
        <w:spacing w:after="0" w:line="49" w:lineRule="exact"/>
        <w:rPr>
          <w:sz w:val="20"/>
          <w:szCs w:val="20"/>
          <w:color w:val="auto"/>
        </w:rPr>
      </w:pPr>
    </w:p>
    <w:p>
      <w:pPr>
        <w:ind w:firstLine="490"/>
        <w:spacing w:after="0" w:line="229" w:lineRule="auto"/>
        <w:rPr>
          <w:sz w:val="20"/>
          <w:szCs w:val="20"/>
          <w:color w:val="auto"/>
        </w:rPr>
      </w:pPr>
      <w:r>
        <w:rPr>
          <w:rFonts w:ascii="Times New Roman" w:cs="Times New Roman" w:eastAsia="Times New Roman" w:hAnsi="Times New Roman"/>
          <w:sz w:val="20"/>
          <w:szCs w:val="20"/>
          <w:color w:val="auto"/>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or PTA.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spacing w:after="0" w:line="72" w:lineRule="exact"/>
        <w:rPr>
          <w:sz w:val="20"/>
          <w:szCs w:val="20"/>
          <w:color w:val="auto"/>
        </w:rPr>
      </w:pPr>
    </w:p>
    <w:p>
      <w:pPr>
        <w:ind w:firstLine="490"/>
        <w:spacing w:after="0" w:line="251" w:lineRule="auto"/>
        <w:rPr>
          <w:sz w:val="20"/>
          <w:szCs w:val="20"/>
          <w:color w:val="auto"/>
        </w:rPr>
      </w:pPr>
      <w:r>
        <w:rPr>
          <w:rFonts w:ascii="Times New Roman" w:cs="Times New Roman" w:eastAsia="Times New Roman" w:hAnsi="Times New Roman"/>
          <w:sz w:val="19"/>
          <w:szCs w:val="19"/>
          <w:color w:val="auto"/>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spacing w:after="0" w:line="61"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19"/>
          <w:szCs w:val="19"/>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spacing w:after="0" w:line="72" w:lineRule="exact"/>
        <w:rPr>
          <w:sz w:val="20"/>
          <w:szCs w:val="20"/>
          <w:color w:val="auto"/>
        </w:rPr>
      </w:pPr>
    </w:p>
    <w:p>
      <w:pPr>
        <w:ind w:firstLine="490"/>
        <w:spacing w:after="0" w:line="228" w:lineRule="auto"/>
        <w:rPr>
          <w:sz w:val="20"/>
          <w:szCs w:val="20"/>
          <w:color w:val="auto"/>
        </w:rPr>
      </w:pPr>
      <w:r>
        <w:rPr>
          <w:rFonts w:ascii="Times New Roman" w:cs="Times New Roman" w:eastAsia="Times New Roman" w:hAnsi="Times New Roman"/>
          <w:sz w:val="20"/>
          <w:szCs w:val="20"/>
          <w:color w:val="auto"/>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spacing w:after="0" w:line="86" w:lineRule="exact"/>
        <w:rPr>
          <w:sz w:val="20"/>
          <w:szCs w:val="20"/>
          <w:color w:val="auto"/>
        </w:rPr>
      </w:pPr>
    </w:p>
    <w:p>
      <w:pPr>
        <w:jc w:val="both"/>
        <w:ind w:right="20" w:firstLine="490"/>
        <w:spacing w:after="0" w:line="244" w:lineRule="auto"/>
        <w:rPr>
          <w:sz w:val="20"/>
          <w:szCs w:val="20"/>
          <w:color w:val="auto"/>
        </w:rPr>
      </w:pPr>
      <w:r>
        <w:rPr>
          <w:rFonts w:ascii="Times New Roman" w:cs="Times New Roman" w:eastAsia="Times New Roman" w:hAnsi="Times New Roman"/>
          <w:sz w:val="20"/>
          <w:szCs w:val="20"/>
          <w:color w:val="auto"/>
        </w:rPr>
        <w:t>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w:t>
      </w:r>
    </w:p>
    <w:p>
      <w:pPr>
        <w:sectPr>
          <w:pgSz w:w="12240" w:h="15840" w:orient="portrait"/>
          <w:cols w:equalWidth="0" w:num="1">
            <w:col w:w="9900"/>
          </w:cols>
          <w:pgMar w:left="1160" w:top="1121" w:right="1180" w:bottom="175"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900"/>
          </w:cols>
          <w:pgMar w:left="1160" w:top="1121" w:right="1180" w:bottom="175" w:gutter="0" w:footer="0" w:header="0"/>
          <w:type w:val="continuous"/>
        </w:sectPr>
      </w:pPr>
    </w:p>
    <w:bookmarkStart w:id="56" w:name="page57"/>
    <w:bookmarkEnd w:id="56"/>
    <w:p>
      <w:pPr>
        <w:ind w:right="60"/>
        <w:spacing w:after="0" w:line="263" w:lineRule="auto"/>
        <w:rPr>
          <w:sz w:val="20"/>
          <w:szCs w:val="20"/>
          <w:color w:val="auto"/>
        </w:rPr>
      </w:pPr>
      <w:r>
        <w:rPr>
          <w:rFonts w:ascii="Times New Roman" w:cs="Times New Roman" w:eastAsia="Times New Roman" w:hAnsi="Times New Roman"/>
          <w:sz w:val="20"/>
          <w:szCs w:val="20"/>
          <w:color w:val="auto"/>
        </w:rPr>
        <w:t>jurisdictions, including significant commercial markets such as Europe, restrict the patentability of methods of treatment of the human body more than U.S. law does.</w:t>
      </w:r>
    </w:p>
    <w:p>
      <w:pPr>
        <w:spacing w:after="0" w:line="49" w:lineRule="exact"/>
        <w:rPr>
          <w:sz w:val="20"/>
          <w:szCs w:val="20"/>
          <w:color w:val="auto"/>
        </w:rPr>
      </w:pPr>
    </w:p>
    <w:p>
      <w:pPr>
        <w:ind w:firstLine="490"/>
        <w:spacing w:after="0" w:line="230" w:lineRule="auto"/>
        <w:rPr>
          <w:sz w:val="20"/>
          <w:szCs w:val="20"/>
          <w:color w:val="auto"/>
        </w:rPr>
      </w:pPr>
      <w:r>
        <w:rPr>
          <w:rFonts w:ascii="Times New Roman" w:cs="Times New Roman" w:eastAsia="Times New Roman" w:hAnsi="Times New Roman"/>
          <w:sz w:val="20"/>
          <w:szCs w:val="20"/>
          <w:color w:val="auto"/>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spacing w:after="0" w:line="78" w:lineRule="exact"/>
        <w:rPr>
          <w:sz w:val="20"/>
          <w:szCs w:val="20"/>
          <w:color w:val="auto"/>
        </w:rPr>
      </w:pPr>
    </w:p>
    <w:p>
      <w:pPr>
        <w:ind w:right="20" w:firstLine="490"/>
        <w:spacing w:after="0" w:line="233" w:lineRule="auto"/>
        <w:rPr>
          <w:sz w:val="20"/>
          <w:szCs w:val="20"/>
          <w:color w:val="auto"/>
        </w:rPr>
      </w:pPr>
      <w:r>
        <w:rPr>
          <w:rFonts w:ascii="Times New Roman" w:cs="Times New Roman" w:eastAsia="Times New Roman" w:hAnsi="Times New Roman"/>
          <w:sz w:val="20"/>
          <w:szCs w:val="20"/>
          <w:color w:val="auto"/>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spacing w:after="0" w:line="84"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the value of our products could be negatively impacted and our business would be harmed.</w:t>
      </w:r>
    </w:p>
    <w:p>
      <w:pPr>
        <w:spacing w:after="0" w:line="38" w:lineRule="exact"/>
        <w:rPr>
          <w:sz w:val="20"/>
          <w:szCs w:val="20"/>
          <w:color w:val="auto"/>
        </w:rPr>
      </w:pPr>
    </w:p>
    <w:p>
      <w:pPr>
        <w:ind w:firstLine="490"/>
        <w:spacing w:after="0" w:line="230" w:lineRule="auto"/>
        <w:rPr>
          <w:sz w:val="20"/>
          <w:szCs w:val="20"/>
          <w:color w:val="auto"/>
        </w:rPr>
      </w:pPr>
      <w:r>
        <w:rPr>
          <w:rFonts w:ascii="Times New Roman" w:cs="Times New Roman" w:eastAsia="Times New Roman" w:hAnsi="Times New Roman"/>
          <w:sz w:val="20"/>
          <w:szCs w:val="20"/>
          <w:color w:val="auto"/>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82"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or other intellectual property, which could be expensive, time-consuming and unsuccessful.</w:t>
      </w:r>
    </w:p>
    <w:p>
      <w:pPr>
        <w:spacing w:after="0" w:line="38" w:lineRule="exact"/>
        <w:rPr>
          <w:sz w:val="20"/>
          <w:szCs w:val="20"/>
          <w:color w:val="auto"/>
        </w:rPr>
      </w:pPr>
    </w:p>
    <w:p>
      <w:pPr>
        <w:ind w:firstLine="490"/>
        <w:spacing w:after="0" w:line="229" w:lineRule="auto"/>
        <w:rPr>
          <w:sz w:val="20"/>
          <w:szCs w:val="20"/>
          <w:color w:val="auto"/>
        </w:rPr>
      </w:pPr>
      <w:r>
        <w:rPr>
          <w:rFonts w:ascii="Times New Roman" w:cs="Times New Roman" w:eastAsia="Times New Roman" w:hAnsi="Times New Roman"/>
          <w:sz w:val="20"/>
          <w:szCs w:val="20"/>
          <w:color w:val="auto"/>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77" w:lineRule="exact"/>
        <w:rPr>
          <w:sz w:val="20"/>
          <w:szCs w:val="20"/>
          <w:color w:val="auto"/>
        </w:rPr>
      </w:pPr>
    </w:p>
    <w:p>
      <w:pPr>
        <w:ind w:right="60" w:firstLine="490"/>
        <w:spacing w:after="0" w:line="248" w:lineRule="auto"/>
        <w:rPr>
          <w:sz w:val="20"/>
          <w:szCs w:val="20"/>
          <w:color w:val="auto"/>
        </w:rPr>
      </w:pPr>
      <w:r>
        <w:rPr>
          <w:rFonts w:ascii="Times New Roman" w:cs="Times New Roman" w:eastAsia="Times New Roman" w:hAnsi="Times New Roman"/>
          <w:sz w:val="19"/>
          <w:szCs w:val="19"/>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w:t>
      </w:r>
    </w:p>
    <w:p>
      <w:pPr>
        <w:sectPr>
          <w:pgSz w:w="12240" w:h="15840" w:orient="portrait"/>
          <w:cols w:equalWidth="0" w:num="1">
            <w:col w:w="9920"/>
          </w:cols>
          <w:pgMar w:left="1160" w:top="1121" w:right="1160" w:bottom="175"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920"/>
          </w:cols>
          <w:pgMar w:left="1160" w:top="1121" w:right="1160" w:bottom="175" w:gutter="0" w:footer="0" w:header="0"/>
          <w:type w:val="continuous"/>
        </w:sectPr>
      </w:pPr>
    </w:p>
    <w:bookmarkStart w:id="57" w:name="page58"/>
    <w:bookmarkEnd w:id="57"/>
    <w:p>
      <w:pPr>
        <w:ind w:right="20"/>
        <w:spacing w:after="0" w:line="238" w:lineRule="auto"/>
        <w:rPr>
          <w:sz w:val="20"/>
          <w:szCs w:val="20"/>
          <w:color w:val="auto"/>
        </w:rPr>
      </w:pPr>
      <w:r>
        <w:rPr>
          <w:rFonts w:ascii="Times New Roman" w:cs="Times New Roman" w:eastAsia="Times New Roman" w:hAnsi="Times New Roman"/>
          <w:sz w:val="20"/>
          <w:szCs w:val="20"/>
          <w:color w:val="auto"/>
        </w:rPr>
        <w:t>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spacing w:after="0" w:line="85" w:lineRule="exact"/>
        <w:rPr>
          <w:sz w:val="20"/>
          <w:szCs w:val="20"/>
          <w:color w:val="auto"/>
        </w:rPr>
      </w:pPr>
    </w:p>
    <w:p>
      <w:pPr>
        <w:jc w:val="both"/>
        <w:ind w:right="6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sued for infringing intellectual property rights of third parties, such litigation could be costly and time-consuming, its outcome would be uncertain and it could prevent or delay us from developing or commercializing Haduvio or any future product candidate.</w:t>
      </w:r>
    </w:p>
    <w:p>
      <w:pPr>
        <w:spacing w:after="0" w:line="57" w:lineRule="exact"/>
        <w:rPr>
          <w:sz w:val="20"/>
          <w:szCs w:val="20"/>
          <w:color w:val="auto"/>
        </w:rPr>
      </w:pPr>
    </w:p>
    <w:p>
      <w:pPr>
        <w:ind w:firstLine="490"/>
        <w:spacing w:after="0" w:line="233" w:lineRule="auto"/>
        <w:rPr>
          <w:sz w:val="20"/>
          <w:szCs w:val="20"/>
          <w:color w:val="auto"/>
        </w:rPr>
      </w:pPr>
      <w:r>
        <w:rPr>
          <w:rFonts w:ascii="Times New Roman" w:cs="Times New Roman" w:eastAsia="Times New Roman" w:hAnsi="Times New Roman"/>
          <w:sz w:val="20"/>
          <w:szCs w:val="20"/>
          <w:color w:val="auto"/>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spacing w:after="0" w:line="73" w:lineRule="exact"/>
        <w:rPr>
          <w:sz w:val="20"/>
          <w:szCs w:val="20"/>
          <w:color w:val="auto"/>
        </w:rPr>
      </w:pPr>
    </w:p>
    <w:p>
      <w:pPr>
        <w:ind w:firstLine="490"/>
        <w:spacing w:after="0" w:line="228" w:lineRule="auto"/>
        <w:rPr>
          <w:sz w:val="20"/>
          <w:szCs w:val="20"/>
          <w:color w:val="auto"/>
        </w:rPr>
      </w:pPr>
      <w:r>
        <w:rPr>
          <w:rFonts w:ascii="Times New Roman" w:cs="Times New Roman" w:eastAsia="Times New Roman" w:hAnsi="Times New Roman"/>
          <w:sz w:val="20"/>
          <w:szCs w:val="20"/>
          <w:color w:val="auto"/>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spacing w:after="0" w:line="86" w:lineRule="exact"/>
        <w:rPr>
          <w:sz w:val="20"/>
          <w:szCs w:val="20"/>
          <w:color w:val="auto"/>
        </w:rPr>
      </w:pPr>
    </w:p>
    <w:p>
      <w:pPr>
        <w:ind w:right="40" w:firstLine="490"/>
        <w:spacing w:after="0" w:line="230" w:lineRule="auto"/>
        <w:rPr>
          <w:sz w:val="20"/>
          <w:szCs w:val="20"/>
          <w:color w:val="auto"/>
        </w:rPr>
      </w:pPr>
      <w:r>
        <w:rPr>
          <w:rFonts w:ascii="Times New Roman" w:cs="Times New Roman" w:eastAsia="Times New Roman" w:hAnsi="Times New Roman"/>
          <w:sz w:val="20"/>
          <w:szCs w:val="20"/>
          <w:color w:val="auto"/>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spacing w:after="0" w:line="85"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to the patent law in the U.S. and other jurisdictions could diminish the value of patents in general, thereby impairing our ability to protect our products.</w:t>
      </w:r>
    </w:p>
    <w:p>
      <w:pPr>
        <w:spacing w:after="0" w:line="38" w:lineRule="exact"/>
        <w:rPr>
          <w:sz w:val="20"/>
          <w:szCs w:val="20"/>
          <w:color w:val="auto"/>
        </w:rPr>
      </w:pPr>
    </w:p>
    <w:p>
      <w:pPr>
        <w:ind w:right="20" w:firstLine="490"/>
        <w:spacing w:after="0" w:line="231" w:lineRule="auto"/>
        <w:rPr>
          <w:sz w:val="20"/>
          <w:szCs w:val="20"/>
          <w:color w:val="auto"/>
        </w:rPr>
      </w:pPr>
      <w:r>
        <w:rPr>
          <w:rFonts w:ascii="Times New Roman" w:cs="Times New Roman" w:eastAsia="Times New Roman" w:hAnsi="Times New Roman"/>
          <w:sz w:val="20"/>
          <w:szCs w:val="20"/>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spacing w:after="0" w:line="77" w:lineRule="exact"/>
        <w:rPr>
          <w:sz w:val="20"/>
          <w:szCs w:val="20"/>
          <w:color w:val="auto"/>
        </w:rPr>
      </w:pPr>
    </w:p>
    <w:p>
      <w:pPr>
        <w:ind w:right="20" w:firstLine="490"/>
        <w:spacing w:after="0" w:line="264" w:lineRule="auto"/>
        <w:rPr>
          <w:sz w:val="20"/>
          <w:szCs w:val="20"/>
          <w:color w:val="auto"/>
        </w:rPr>
      </w:pPr>
      <w:r>
        <w:rPr>
          <w:rFonts w:ascii="Times New Roman" w:cs="Times New Roman" w:eastAsia="Times New Roman" w:hAnsi="Times New Roman"/>
          <w:sz w:val="19"/>
          <w:szCs w:val="19"/>
          <w:color w:val="auto"/>
        </w:rPr>
        <w:t>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w:t>
      </w:r>
    </w:p>
    <w:p>
      <w:pPr>
        <w:sectPr>
          <w:pgSz w:w="12240" w:h="15840" w:orient="portrait"/>
          <w:cols w:equalWidth="0" w:num="1">
            <w:col w:w="9920"/>
          </w:cols>
          <w:pgMar w:left="1160" w:top="1121" w:right="1160" w:bottom="175" w:gutter="0" w:footer="0" w:header="0"/>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920"/>
          </w:cols>
          <w:pgMar w:left="1160" w:top="1121" w:right="1160" w:bottom="175" w:gutter="0" w:footer="0" w:header="0"/>
          <w:type w:val="continuous"/>
        </w:sectPr>
      </w:pPr>
    </w:p>
    <w:bookmarkStart w:id="58" w:name="page59"/>
    <w:bookmarkEnd w:id="58"/>
    <w:p>
      <w:pPr>
        <w:ind w:right="20"/>
        <w:spacing w:after="0" w:line="230" w:lineRule="auto"/>
        <w:rPr>
          <w:sz w:val="20"/>
          <w:szCs w:val="20"/>
          <w:color w:val="auto"/>
        </w:rPr>
      </w:pPr>
      <w:r>
        <w:rPr>
          <w:rFonts w:ascii="Times New Roman" w:cs="Times New Roman" w:eastAsia="Times New Roman" w:hAnsi="Times New Roman"/>
          <w:sz w:val="20"/>
          <w:szCs w:val="20"/>
          <w:color w:val="auto"/>
        </w:rPr>
        <w:t>2013 or later, a petition for post-grant review can be filed by a third-party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p>
    <w:p>
      <w:pPr>
        <w:spacing w:after="0" w:line="74" w:lineRule="exact"/>
        <w:rPr>
          <w:sz w:val="20"/>
          <w:szCs w:val="20"/>
          <w:color w:val="auto"/>
        </w:rPr>
      </w:pPr>
    </w:p>
    <w:p>
      <w:pPr>
        <w:ind w:firstLine="490"/>
        <w:spacing w:after="0" w:line="230" w:lineRule="auto"/>
        <w:rPr>
          <w:sz w:val="20"/>
          <w:szCs w:val="20"/>
          <w:color w:val="auto"/>
        </w:rPr>
      </w:pPr>
      <w:r>
        <w:rPr>
          <w:rFonts w:ascii="Times New Roman" w:cs="Times New Roman" w:eastAsia="Times New Roman" w:hAnsi="Times New Roman"/>
          <w:sz w:val="20"/>
          <w:szCs w:val="20"/>
          <w:color w:val="auto"/>
        </w:rPr>
        <w:t>The U.S. Supreme Court has ruled on several patent cases in recent years, either narrowing the scope of patent protection available in certain circumstances or weakening the rights of patent owners in certain situations. For example, in Amgen Inc. v. Sanofi, the U.S. Supreme Court held that claims with functional language may pose high hurdles in fulfilling the enablement requirement.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recent decisions, including by the U.S. Court of Appeals for the Federal Circuit, raise questions regarding the award of PTA for patents in families where related patents have issued without PTA. Thus, it cannot be said with certainty how PTA will/will not be viewed in the future and whether patent expiration dates may be impacted.</w:t>
      </w:r>
    </w:p>
    <w:p>
      <w:pPr>
        <w:spacing w:after="0" w:line="71" w:lineRule="exact"/>
        <w:rPr>
          <w:sz w:val="20"/>
          <w:szCs w:val="20"/>
          <w:color w:val="auto"/>
        </w:rPr>
      </w:pPr>
    </w:p>
    <w:p>
      <w:pPr>
        <w:ind w:firstLine="490"/>
        <w:spacing w:after="0" w:line="231" w:lineRule="auto"/>
        <w:rPr>
          <w:sz w:val="20"/>
          <w:szCs w:val="20"/>
          <w:color w:val="auto"/>
        </w:rPr>
      </w:pPr>
      <w:r>
        <w:rPr>
          <w:rFonts w:ascii="Times New Roman" w:cs="Times New Roman" w:eastAsia="Times New Roman" w:hAnsi="Times New Roman"/>
          <w:sz w:val="20"/>
          <w:szCs w:val="20"/>
          <w:color w:val="auto"/>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enforce our intellectual property rights throughout the world.</w:t>
      </w:r>
    </w:p>
    <w:p>
      <w:pPr>
        <w:spacing w:after="0" w:line="109" w:lineRule="exact"/>
        <w:rPr>
          <w:sz w:val="20"/>
          <w:szCs w:val="20"/>
          <w:color w:val="auto"/>
        </w:rPr>
      </w:pPr>
    </w:p>
    <w:p>
      <w:pPr>
        <w:ind w:right="120" w:firstLine="490"/>
        <w:spacing w:after="0" w:line="232" w:lineRule="auto"/>
        <w:rPr>
          <w:sz w:val="20"/>
          <w:szCs w:val="20"/>
          <w:color w:val="auto"/>
        </w:rPr>
      </w:pPr>
      <w:r>
        <w:rPr>
          <w:rFonts w:ascii="Times New Roman" w:cs="Times New Roman" w:eastAsia="Times New Roman" w:hAnsi="Times New Roman"/>
          <w:sz w:val="20"/>
          <w:szCs w:val="20"/>
          <w:color w:val="auto"/>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spacing w:after="0" w:line="74" w:lineRule="exact"/>
        <w:rPr>
          <w:sz w:val="20"/>
          <w:szCs w:val="20"/>
          <w:color w:val="auto"/>
        </w:rPr>
      </w:pPr>
    </w:p>
    <w:p>
      <w:pPr>
        <w:ind w:firstLine="490"/>
        <w:spacing w:after="0" w:line="231" w:lineRule="auto"/>
        <w:rPr>
          <w:sz w:val="20"/>
          <w:szCs w:val="20"/>
          <w:color w:val="auto"/>
        </w:rPr>
      </w:pPr>
      <w:r>
        <w:rPr>
          <w:rFonts w:ascii="Times New Roman" w:cs="Times New Roman" w:eastAsia="Times New Roman" w:hAnsi="Times New Roman"/>
          <w:sz w:val="20"/>
          <w:szCs w:val="20"/>
          <w:color w:val="auto"/>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spacing w:after="0" w:line="88"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In addition, geopolitical actions and dynamics, including the imposition of tariffs and responses to tariffs, may impact our ability to obtain and enforce patents or may increase the costs surrounding the prosecution or maintenance of our patent applications or maintenance, enforcement or defense of our issued patents in particular jurisdictions. If we are unable to obtain and enforce patents as needed in particular markets, our ability to exclude competitors in those markets may be reduced.</w:t>
      </w:r>
    </w:p>
    <w:p>
      <w:pPr>
        <w:sectPr>
          <w:pgSz w:w="12240" w:h="15840" w:orient="portrait"/>
          <w:cols w:equalWidth="0" w:num="1">
            <w:col w:w="9920"/>
          </w:cols>
          <w:pgMar w:left="1160" w:top="1121" w:right="1160" w:bottom="175"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920"/>
          </w:cols>
          <w:pgMar w:left="1160" w:top="1121" w:right="1160" w:bottom="175" w:gutter="0" w:footer="0" w:header="0"/>
          <w:type w:val="continuous"/>
        </w:sectPr>
      </w:pPr>
    </w:p>
    <w:bookmarkStart w:id="59" w:name="page60"/>
    <w:bookmarkEnd w:id="59"/>
    <w:p>
      <w:pPr>
        <w:ind w:right="780" w:firstLine="490"/>
        <w:spacing w:after="0" w:line="244" w:lineRule="auto"/>
        <w:rPr>
          <w:sz w:val="20"/>
          <w:szCs w:val="20"/>
          <w:color w:val="auto"/>
        </w:rPr>
      </w:pPr>
      <w:r>
        <w:rPr>
          <w:rFonts w:ascii="Times New Roman" w:cs="Times New Roman" w:eastAsia="Times New Roman" w:hAnsi="Times New Roman"/>
          <w:sz w:val="20"/>
          <w:szCs w:val="20"/>
          <w:color w:val="auto"/>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spacing w:after="0" w:line="68" w:lineRule="exact"/>
        <w:rPr>
          <w:sz w:val="20"/>
          <w:szCs w:val="20"/>
          <w:color w:val="auto"/>
        </w:rPr>
      </w:pPr>
    </w:p>
    <w:p>
      <w:pPr>
        <w:ind w:right="80" w:firstLine="490"/>
        <w:spacing w:after="0" w:line="232" w:lineRule="auto"/>
        <w:rPr>
          <w:sz w:val="20"/>
          <w:szCs w:val="20"/>
          <w:color w:val="auto"/>
        </w:rPr>
      </w:pPr>
      <w:r>
        <w:rPr>
          <w:rFonts w:ascii="Times New Roman" w:cs="Times New Roman" w:eastAsia="Times New Roman" w:hAnsi="Times New Roman"/>
          <w:sz w:val="20"/>
          <w:szCs w:val="20"/>
          <w:color w:val="auto"/>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spacing w:after="0" w:line="85"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38" w:lineRule="exact"/>
        <w:rPr>
          <w:sz w:val="20"/>
          <w:szCs w:val="20"/>
          <w:color w:val="auto"/>
        </w:rPr>
      </w:pPr>
    </w:p>
    <w:p>
      <w:pPr>
        <w:ind w:right="120" w:firstLine="490"/>
        <w:spacing w:after="0" w:line="230" w:lineRule="auto"/>
        <w:rPr>
          <w:sz w:val="20"/>
          <w:szCs w:val="20"/>
          <w:color w:val="auto"/>
        </w:rPr>
      </w:pPr>
      <w:r>
        <w:rPr>
          <w:rFonts w:ascii="Times New Roman" w:cs="Times New Roman" w:eastAsia="Times New Roman" w:hAnsi="Times New Roman"/>
          <w:sz w:val="20"/>
          <w:szCs w:val="20"/>
          <w:color w:val="auto"/>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spacing w:after="0" w:line="74" w:lineRule="exact"/>
        <w:rPr>
          <w:sz w:val="20"/>
          <w:szCs w:val="20"/>
          <w:color w:val="auto"/>
        </w:rPr>
      </w:pPr>
    </w:p>
    <w:p>
      <w:pPr>
        <w:ind w:right="260" w:firstLine="490"/>
        <w:spacing w:after="0" w:line="233" w:lineRule="auto"/>
        <w:rPr>
          <w:sz w:val="20"/>
          <w:szCs w:val="20"/>
          <w:color w:val="auto"/>
        </w:rPr>
      </w:pPr>
      <w:r>
        <w:rPr>
          <w:rFonts w:ascii="Times New Roman" w:cs="Times New Roman" w:eastAsia="Times New Roman" w:hAnsi="Times New Roman"/>
          <w:sz w:val="20"/>
          <w:szCs w:val="20"/>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7" w:lineRule="exact"/>
        <w:rPr>
          <w:sz w:val="20"/>
          <w:szCs w:val="20"/>
          <w:color w:val="auto"/>
        </w:rPr>
      </w:pPr>
    </w:p>
    <w:p>
      <w:pPr>
        <w:ind w:right="140" w:firstLine="490"/>
        <w:spacing w:after="0" w:line="243" w:lineRule="auto"/>
        <w:rPr>
          <w:sz w:val="20"/>
          <w:szCs w:val="20"/>
          <w:color w:val="auto"/>
        </w:rPr>
      </w:pPr>
      <w:r>
        <w:rPr>
          <w:rFonts w:ascii="Times New Roman" w:cs="Times New Roman" w:eastAsia="Times New Roman" w:hAnsi="Times New Roman"/>
          <w:sz w:val="19"/>
          <w:szCs w:val="19"/>
          <w:color w:val="auto"/>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obtain licenses from third parties on commercially reasonable terms, our business could be harmed.</w:t>
      </w:r>
    </w:p>
    <w:p>
      <w:pPr>
        <w:spacing w:after="0" w:line="109"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auto"/>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sectPr>
          <w:pgSz w:w="12240" w:h="15840" w:orient="portrait"/>
          <w:cols w:equalWidth="0" w:num="1">
            <w:col w:w="9920"/>
          </w:cols>
          <w:pgMar w:left="1160" w:top="1121"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920"/>
          </w:cols>
          <w:pgMar w:left="1160" w:top="1121" w:right="1160" w:bottom="175"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Risks Related to Regulatory Approval and Other Legal Compliance Matters</w:t>
      </w:r>
    </w:p>
    <w:p>
      <w:pPr>
        <w:spacing w:after="0" w:line="12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If the FDA does not conclude that Haduvio for the treatment of chronic cough in patients with IPF, non-IPF ILD, or RCC,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spacing w:after="0" w:line="66" w:lineRule="exact"/>
        <w:rPr>
          <w:sz w:val="20"/>
          <w:szCs w:val="20"/>
          <w:color w:val="auto"/>
        </w:rPr>
      </w:pPr>
    </w:p>
    <w:p>
      <w:pPr>
        <w:ind w:right="20" w:firstLine="490"/>
        <w:spacing w:after="0" w:line="231" w:lineRule="auto"/>
        <w:rPr>
          <w:sz w:val="20"/>
          <w:szCs w:val="20"/>
          <w:color w:val="auto"/>
        </w:rPr>
      </w:pPr>
      <w:r>
        <w:rPr>
          <w:rFonts w:ascii="Times New Roman" w:cs="Times New Roman" w:eastAsia="Times New Roman" w:hAnsi="Times New Roman"/>
          <w:sz w:val="20"/>
          <w:szCs w:val="20"/>
          <w:color w:val="auto"/>
        </w:rPr>
        <w:t>We intend to pursue FDA approval of Haduvio for the treatment of IPF-related chronic cough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spacing w:after="0" w:line="72" w:lineRule="exact"/>
        <w:rPr>
          <w:sz w:val="20"/>
          <w:szCs w:val="20"/>
          <w:color w:val="auto"/>
        </w:rPr>
      </w:pPr>
    </w:p>
    <w:p>
      <w:pPr>
        <w:ind w:firstLine="490"/>
        <w:spacing w:after="0" w:line="231" w:lineRule="auto"/>
        <w:rPr>
          <w:sz w:val="20"/>
          <w:szCs w:val="20"/>
          <w:color w:val="auto"/>
        </w:rPr>
      </w:pPr>
      <w:r>
        <w:rPr>
          <w:rFonts w:ascii="Times New Roman" w:cs="Times New Roman" w:eastAsia="Times New Roman" w:hAnsi="Times New Roman"/>
          <w:sz w:val="20"/>
          <w:szCs w:val="20"/>
          <w:color w:val="auto"/>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IPF-related chronic cough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spacing w:after="0" w:line="77" w:lineRule="exact"/>
        <w:rPr>
          <w:sz w:val="20"/>
          <w:szCs w:val="20"/>
          <w:color w:val="auto"/>
        </w:rPr>
      </w:pPr>
    </w:p>
    <w:p>
      <w:pPr>
        <w:ind w:firstLine="490"/>
        <w:spacing w:after="0" w:line="229" w:lineRule="auto"/>
        <w:rPr>
          <w:sz w:val="20"/>
          <w:szCs w:val="20"/>
          <w:color w:val="auto"/>
        </w:rPr>
      </w:pPr>
      <w:r>
        <w:rPr>
          <w:rFonts w:ascii="Times New Roman" w:cs="Times New Roman" w:eastAsia="Times New Roman" w:hAnsi="Times New Roman"/>
          <w:sz w:val="20"/>
          <w:szCs w:val="20"/>
          <w:color w:val="auto"/>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spacing w:after="0" w:line="80" w:lineRule="exact"/>
        <w:rPr>
          <w:sz w:val="20"/>
          <w:szCs w:val="20"/>
          <w:color w:val="auto"/>
        </w:rPr>
      </w:pPr>
    </w:p>
    <w:p>
      <w:pPr>
        <w:ind w:right="300" w:firstLine="490"/>
        <w:spacing w:after="0" w:line="238" w:lineRule="auto"/>
        <w:rPr>
          <w:sz w:val="20"/>
          <w:szCs w:val="20"/>
          <w:color w:val="auto"/>
        </w:rPr>
      </w:pPr>
      <w:r>
        <w:rPr>
          <w:rFonts w:ascii="Times New Roman" w:cs="Times New Roman" w:eastAsia="Times New Roman" w:hAnsi="Times New Roman"/>
          <w:sz w:val="20"/>
          <w:szCs w:val="20"/>
          <w:color w:val="auto"/>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85"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we complete the necessary nonclinical studies and clinical trials, the regulatory approval process is expensive, time-consuming and uncertain and may prevent us from obtaining approvals for the commercialization of Haduvio or any future product candidate on a timely basis or at all. As a result, we cannot predict when or if and in which territories, we will obtain marketing approval to commercialize a product candidate.</w:t>
      </w:r>
    </w:p>
    <w:p>
      <w:pPr>
        <w:spacing w:after="0" w:line="63" w:lineRule="exact"/>
        <w:rPr>
          <w:sz w:val="20"/>
          <w:szCs w:val="20"/>
          <w:color w:val="auto"/>
        </w:rPr>
      </w:pPr>
    </w:p>
    <w:p>
      <w:pPr>
        <w:ind w:right="160" w:firstLine="490"/>
        <w:spacing w:after="0" w:line="233" w:lineRule="auto"/>
        <w:rPr>
          <w:sz w:val="20"/>
          <w:szCs w:val="20"/>
          <w:color w:val="auto"/>
        </w:rPr>
      </w:pPr>
      <w:r>
        <w:rPr>
          <w:rFonts w:ascii="Times New Roman" w:cs="Times New Roman" w:eastAsia="Times New Roman" w:hAnsi="Times New Roman"/>
          <w:sz w:val="20"/>
          <w:szCs w:val="20"/>
          <w:color w:val="auto"/>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spacing w:after="0" w:line="73" w:lineRule="exact"/>
        <w:rPr>
          <w:sz w:val="20"/>
          <w:szCs w:val="20"/>
          <w:color w:val="auto"/>
        </w:rPr>
      </w:pPr>
    </w:p>
    <w:p>
      <w:pPr>
        <w:ind w:right="180" w:firstLine="490"/>
        <w:spacing w:after="0" w:line="264" w:lineRule="auto"/>
        <w:rPr>
          <w:sz w:val="20"/>
          <w:szCs w:val="20"/>
          <w:color w:val="auto"/>
        </w:rPr>
      </w:pPr>
      <w:r>
        <w:rPr>
          <w:rFonts w:ascii="Times New Roman" w:cs="Times New Roman" w:eastAsia="Times New Roman" w:hAnsi="Times New Roman"/>
          <w:sz w:val="19"/>
          <w:szCs w:val="19"/>
          <w:color w:val="auto"/>
        </w:rPr>
        <w:t>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w:t>
      </w:r>
    </w:p>
    <w:p>
      <w:pPr>
        <w:sectPr>
          <w:pgSz w:w="12240" w:h="15840" w:orient="portrait"/>
          <w:cols w:equalWidth="0" w:num="1">
            <w:col w:w="9920"/>
          </w:cols>
          <w:pgMar w:left="1160" w:top="1128" w:right="1160" w:bottom="175"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920"/>
          </w:cols>
          <w:pgMar w:left="1160" w:top="1128" w:right="1160" w:bottom="175" w:gutter="0" w:footer="0" w:header="0"/>
          <w:type w:val="continuous"/>
        </w:sectPr>
      </w:pPr>
    </w:p>
    <w:bookmarkStart w:id="61" w:name="page62"/>
    <w:bookmarkEnd w:id="61"/>
    <w:p>
      <w:pPr>
        <w:ind w:right="40"/>
        <w:spacing w:after="0" w:line="232" w:lineRule="auto"/>
        <w:rPr>
          <w:sz w:val="20"/>
          <w:szCs w:val="20"/>
          <w:color w:val="auto"/>
        </w:rPr>
      </w:pPr>
      <w:r>
        <w:rPr>
          <w:rFonts w:ascii="Times New Roman" w:cs="Times New Roman" w:eastAsia="Times New Roman" w:hAnsi="Times New Roman"/>
          <w:sz w:val="20"/>
          <w:szCs w:val="20"/>
          <w:color w:val="auto"/>
        </w:rPr>
        <w:t>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74"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20"/>
          <w:szCs w:val="20"/>
          <w:color w:val="auto"/>
        </w:rPr>
        <w:t>Moreover, under certain circumstances, we may be required to report some of our financial relationships with clinical investigators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74" w:lineRule="exact"/>
        <w:rPr>
          <w:sz w:val="20"/>
          <w:szCs w:val="20"/>
          <w:color w:val="auto"/>
        </w:rPr>
      </w:pPr>
    </w:p>
    <w:p>
      <w:pPr>
        <w:ind w:right="40" w:firstLine="490"/>
        <w:spacing w:after="0" w:line="232" w:lineRule="auto"/>
        <w:rPr>
          <w:sz w:val="20"/>
          <w:szCs w:val="20"/>
          <w:color w:val="auto"/>
        </w:rPr>
      </w:pPr>
      <w:r>
        <w:rPr>
          <w:rFonts w:ascii="Times New Roman" w:cs="Times New Roman" w:eastAsia="Times New Roman" w:hAnsi="Times New Roman"/>
          <w:sz w:val="20"/>
          <w:szCs w:val="20"/>
          <w:color w:val="auto"/>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4" w:lineRule="exact"/>
        <w:rPr>
          <w:sz w:val="20"/>
          <w:szCs w:val="20"/>
          <w:color w:val="auto"/>
        </w:rPr>
      </w:pPr>
    </w:p>
    <w:p>
      <w:pPr>
        <w:ind w:right="20" w:firstLine="490"/>
        <w:spacing w:after="0" w:line="231" w:lineRule="auto"/>
        <w:rPr>
          <w:sz w:val="20"/>
          <w:szCs w:val="20"/>
          <w:color w:val="auto"/>
        </w:rPr>
      </w:pPr>
      <w:r>
        <w:rPr>
          <w:rFonts w:ascii="Times New Roman" w:cs="Times New Roman" w:eastAsia="Times New Roman" w:hAnsi="Times New Roman"/>
          <w:sz w:val="20"/>
          <w:szCs w:val="20"/>
          <w:color w:val="auto"/>
        </w:rPr>
        <w:t>The FDA may also require that NDA submissions for our product candidates include pediatric data. Under the Pediatric Research Equity Act, an NDA or supplement to an NDA for certain drugs must contain data to assess the safety and effectiveness of the drug product in all relevant pediatric subpopulations and to support dosing and administration for each pediatric subpopulation for which the product is safe and effective, unless the sponsor receives a deferral or waiver from the FDA. The applicable legislation in the E.U. also requires sponsors to either conduct clinical trials in a pediatric population in accordance with a Pediatric Investigation Plan approved by the Pediatric Committee of the European Medicines Agency, or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spacing w:after="0" w:line="83"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spacing w:after="0" w:line="68"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spacing w:after="0" w:line="51"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w:t>
      </w:r>
    </w:p>
    <w:p>
      <w:pPr>
        <w:spacing w:after="0" w:line="7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The FDA will not accept foreign study data as support for an application for marketing approval unless the study satisfies certain conditions.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sectPr>
          <w:pgSz w:w="12240" w:h="15840" w:orient="portrait"/>
          <w:cols w:equalWidth="0" w:num="1">
            <w:col w:w="9940"/>
          </w:cols>
          <w:pgMar w:left="1160" w:top="1121" w:right="11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940"/>
          </w:cols>
          <w:pgMar w:left="1160" w:top="1121" w:right="1140" w:bottom="175" w:gutter="0" w:footer="0" w:header="0"/>
          <w:type w:val="continuous"/>
        </w:sectPr>
      </w:pPr>
    </w:p>
    <w:bookmarkStart w:id="62" w:name="page63"/>
    <w:bookmarkEnd w:id="62"/>
    <w:p>
      <w:pPr>
        <w:ind w:left="8" w:right="680" w:firstLine="490"/>
        <w:spacing w:after="0" w:line="277" w:lineRule="auto"/>
        <w:rPr>
          <w:sz w:val="20"/>
          <w:szCs w:val="20"/>
          <w:color w:val="auto"/>
        </w:rPr>
      </w:pPr>
      <w:r>
        <w:rPr>
          <w:rFonts w:ascii="Times New Roman" w:cs="Times New Roman" w:eastAsia="Times New Roman" w:hAnsi="Times New Roman"/>
          <w:sz w:val="20"/>
          <w:szCs w:val="20"/>
          <w:color w:val="auto"/>
        </w:rPr>
        <w:t>In addition, the conduct of clinical trials outside the U.S. could have a significant adverse impact on us. Risks inherent in conducting international clinical trials include:</w:t>
      </w:r>
    </w:p>
    <w:p>
      <w:pPr>
        <w:spacing w:after="0" w:line="64" w:lineRule="exact"/>
        <w:rPr>
          <w:sz w:val="20"/>
          <w:szCs w:val="20"/>
          <w:color w:val="auto"/>
        </w:rPr>
      </w:pPr>
    </w:p>
    <w:p>
      <w:pPr>
        <w:ind w:left="488" w:hanging="488"/>
        <w:spacing w:after="0"/>
        <w:tabs>
          <w:tab w:leader="none" w:pos="488"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clinical practice patterns and standards of care that vary widely among countries;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non-U.S. regulatory authority requirements that could restrict or limit our ability to conduct our clinical trials;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administrative burdens of conducting clinical trials under multiple non-U.S. regulatory authority schema;</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foreign exchange rate fluctuations; and</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diminished protection of intellectual property in some countries.</w:t>
      </w:r>
    </w:p>
    <w:p>
      <w:pPr>
        <w:spacing w:after="0" w:line="119" w:lineRule="exact"/>
        <w:rPr>
          <w:sz w:val="20"/>
          <w:szCs w:val="20"/>
          <w:color w:val="auto"/>
        </w:rPr>
      </w:pPr>
    </w:p>
    <w:p>
      <w:pPr>
        <w:ind w:left="8" w:right="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spacing w:after="0" w:line="68" w:lineRule="exact"/>
        <w:rPr>
          <w:sz w:val="20"/>
          <w:szCs w:val="20"/>
          <w:color w:val="auto"/>
        </w:rPr>
      </w:pPr>
    </w:p>
    <w:p>
      <w:pPr>
        <w:ind w:left="8" w:firstLine="490"/>
        <w:spacing w:after="0" w:line="256" w:lineRule="auto"/>
        <w:rPr>
          <w:sz w:val="20"/>
          <w:szCs w:val="20"/>
          <w:color w:val="auto"/>
        </w:rPr>
      </w:pPr>
      <w:r>
        <w:rPr>
          <w:rFonts w:ascii="Times New Roman" w:cs="Times New Roman" w:eastAsia="Times New Roman" w:hAnsi="Times New Roman"/>
          <w:sz w:val="19"/>
          <w:szCs w:val="19"/>
          <w:color w:val="auto"/>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spacing w:after="0" w:line="74" w:lineRule="exact"/>
        <w:rPr>
          <w:sz w:val="20"/>
          <w:szCs w:val="20"/>
          <w:color w:val="auto"/>
        </w:rPr>
      </w:pPr>
    </w:p>
    <w:p>
      <w:pPr>
        <w:ind w:left="8" w:firstLine="490"/>
        <w:spacing w:after="0" w:line="251" w:lineRule="auto"/>
        <w:rPr>
          <w:sz w:val="20"/>
          <w:szCs w:val="20"/>
          <w:color w:val="auto"/>
        </w:rPr>
      </w:pPr>
      <w:r>
        <w:rPr>
          <w:rFonts w:ascii="Times New Roman" w:cs="Times New Roman" w:eastAsia="Times New Roman" w:hAnsi="Times New Roman"/>
          <w:sz w:val="20"/>
          <w:szCs w:val="20"/>
          <w:color w:val="auto"/>
        </w:rPr>
        <w:t>Further, we could face heightened risks with respect to obtaining marketing authorization in the U.K. as a result of the withdrawal of the U.K. from the E.U., commonly referred to as Brexit. The U.K. is no longer part of the European Single Market and EU Customs Union. As of January 1, 2025, MHRA is responsible for approving all medicinal products destined for the U.K. market (i.e., Great Britain and Northern Ireland).</w:t>
      </w:r>
    </w:p>
    <w:p>
      <w:pPr>
        <w:spacing w:after="0" w:line="76" w:lineRule="exact"/>
        <w:rPr>
          <w:sz w:val="20"/>
          <w:szCs w:val="20"/>
          <w:color w:val="auto"/>
        </w:rPr>
      </w:pPr>
    </w:p>
    <w:p>
      <w:pPr>
        <w:ind w:left="8" w:firstLine="490"/>
        <w:spacing w:after="0" w:line="245" w:lineRule="auto"/>
        <w:rPr>
          <w:sz w:val="20"/>
          <w:szCs w:val="20"/>
          <w:color w:val="auto"/>
        </w:rPr>
      </w:pPr>
      <w:r>
        <w:rPr>
          <w:rFonts w:ascii="Times New Roman" w:cs="Times New Roman" w:eastAsia="Times New Roman" w:hAnsi="Times New Roman"/>
          <w:sz w:val="20"/>
          <w:szCs w:val="20"/>
          <w:color w:val="auto"/>
        </w:rPr>
        <w:t>At the same time, a new international recognition procedure (“IRP”) will apply, which intends to facilitate approval of pharmaceutical products in the U.K. The IRP is open to applicants that have already received an authorization for the same product from one of the MHRA’s specified Reference Regulators (“RRs”). The RRs notably include EMA and regulators in the E.U./European Economic Area (“EEA”) member states for approvals in the E.U. centralized procedure and mutual recognition procedure as well as the FDA (for product approvals granted in the U.S.). However, the concrete functioning of the IRP is currently unclear. Any delay in obtaining, or an inability to obtain, any marketing approvals may force us or our collaborators to restrict or delay efforts to seek regulatory approval in the U.K. for our product candidates, which could significantly and materially harm our business.</w:t>
      </w:r>
    </w:p>
    <w:p>
      <w:pPr>
        <w:spacing w:after="0" w:line="82" w:lineRule="exact"/>
        <w:rPr>
          <w:sz w:val="20"/>
          <w:szCs w:val="20"/>
          <w:color w:val="auto"/>
        </w:rPr>
      </w:pPr>
    </w:p>
    <w:p>
      <w:pPr>
        <w:ind w:left="8" w:right="40" w:firstLine="490"/>
        <w:spacing w:after="0" w:line="232" w:lineRule="exact"/>
        <w:rPr>
          <w:sz w:val="20"/>
          <w:szCs w:val="20"/>
          <w:color w:val="auto"/>
        </w:rPr>
      </w:pPr>
      <w:r>
        <w:rPr>
          <w:rFonts w:ascii="Times New Roman" w:cs="Times New Roman" w:eastAsia="Times New Roman" w:hAnsi="Times New Roman"/>
          <w:sz w:val="20"/>
          <w:szCs w:val="20"/>
          <w:color w:val="auto"/>
        </w:rPr>
        <w:t xml:space="preserve">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On June 4, 2025, after almost two years of negotiations among the E.U. Member States, the Council of the European Union adopted its position on the proposed overhaul of the E.U. general pharmaceutical legislative framework, which is known as the </w:t>
      </w:r>
      <w:r>
        <w:rPr>
          <w:rFonts w:ascii="Arial Unicode MS" w:cs="Arial Unicode MS" w:eastAsia="Arial Unicode MS" w:hAnsi="Arial Unicode MS"/>
          <w:sz w:val="20"/>
          <w:szCs w:val="20"/>
          <w:color w:val="auto"/>
        </w:rPr>
        <w:t>QHZௗ3KDUPD</w:t>
      </w:r>
      <w:r>
        <w:rPr>
          <w:rFonts w:ascii="Times New Roman" w:cs="Times New Roman" w:eastAsia="Times New Roman" w:hAnsi="Times New Roman"/>
          <w:sz w:val="20"/>
          <w:szCs w:val="20"/>
          <w:color w:val="auto"/>
        </w:rPr>
        <w:t xml:space="preserve"> Package. Thereafter, on December 11, 2025, the European Parliament and Council reached a provisional political agreement on the legislation which is expected to be adopted by mid-2026. The revisions may have a significant impact on the pharmaceutical industry and our business. They would, among other things, set a baseline period of eight years of data exclusivity and one year of market exclusivity with possible extensions for new indications up to a maximum of eleven years total. There will likely be a transition period of 24 months, with the changes taking effect in mid-2028.</w:t>
      </w:r>
    </w:p>
    <w:p>
      <w:pPr>
        <w:spacing w:after="0" w:line="95" w:lineRule="exact"/>
        <w:rPr>
          <w:sz w:val="20"/>
          <w:szCs w:val="20"/>
          <w:color w:val="auto"/>
        </w:rPr>
      </w:pPr>
    </w:p>
    <w:p>
      <w:pPr>
        <w:ind w:left="8" w:right="240" w:firstLine="490"/>
        <w:spacing w:after="0" w:line="277" w:lineRule="auto"/>
        <w:rPr>
          <w:sz w:val="20"/>
          <w:szCs w:val="20"/>
          <w:color w:val="auto"/>
        </w:rPr>
      </w:pPr>
      <w:r>
        <w:rPr>
          <w:rFonts w:ascii="Times New Roman" w:cs="Times New Roman" w:eastAsia="Times New Roman" w:hAnsi="Times New Roman"/>
          <w:sz w:val="20"/>
          <w:szCs w:val="20"/>
          <w:color w:val="auto"/>
        </w:rPr>
        <w:t>We expect that we will be subject to additional risks in commercializing any of our product candidates that receive marketing approval outside the U.S., including tariffs, trade barriers and regulatory requirements; economic weakness,</w:t>
      </w:r>
    </w:p>
    <w:p>
      <w:pPr>
        <w:sectPr>
          <w:pgSz w:w="12240" w:h="15840" w:orient="portrait"/>
          <w:cols w:equalWidth="0" w:num="1">
            <w:col w:w="9928"/>
          </w:cols>
          <w:pgMar w:left="1152" w:top="1132" w:right="1160" w:bottom="175" w:gutter="0" w:footer="0" w:header="0"/>
        </w:sectPr>
      </w:pPr>
    </w:p>
    <w:p>
      <w:pPr>
        <w:spacing w:after="0" w:line="3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928"/>
          </w:cols>
          <w:pgMar w:left="1152" w:top="1132" w:right="1160" w:bottom="175" w:gutter="0" w:footer="0" w:header="0"/>
          <w:type w:val="continuous"/>
        </w:sectPr>
      </w:pPr>
    </w:p>
    <w:bookmarkStart w:id="63" w:name="page64"/>
    <w:bookmarkEnd w:id="63"/>
    <w:p>
      <w:pPr>
        <w:ind w:right="100"/>
        <w:spacing w:after="0" w:line="252" w:lineRule="auto"/>
        <w:rPr>
          <w:sz w:val="20"/>
          <w:szCs w:val="20"/>
          <w:color w:val="auto"/>
        </w:rPr>
      </w:pPr>
      <w:r>
        <w:rPr>
          <w:rFonts w:ascii="Times New Roman" w:cs="Times New Roman" w:eastAsia="Times New Roman" w:hAnsi="Times New Roman"/>
          <w:sz w:val="20"/>
          <w:szCs w:val="20"/>
          <w:color w:val="auto"/>
        </w:rPr>
        <w:t>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A Fast Track designation, grant of Priority Review status or Breakthrough Therapy status by the FDA or the receipt of a priority voucher from the FDA is not assured and, in any event, may not actually lead to a faster development or regulatory review or approval process and, moreover, would not assure FDA approval of Haduvio or any future product candidate.</w:t>
      </w:r>
    </w:p>
    <w:p>
      <w:pPr>
        <w:spacing w:after="0" w:line="74"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If we receive Fast Track designation or a different designation, such as Priority Review or Breakthrough Therapy status, for a product candidate of ours in the future, it may not result in our experiencing a faster development process, review or approval compared to conventional FDA procedures and there is no assurance that the product candidate will be approved by the FDA.</w:t>
      </w:r>
    </w:p>
    <w:p>
      <w:pPr>
        <w:spacing w:after="0" w:line="9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addition, in June 2025, the FDA announced the creation of the “Commissioner’s National Priority Voucher, or CNPV Program. Vouchers issued under this program can reportedly be redeemed by sponsors to shorten the review time of an NDA from approximately 10-12 months to 1-2 months. The FDA has indicated that the new CNPV process will convene experts from the FDA’s offices for a team-based review rather than using the standard review system. Clinical information will be reviewed by a multidisciplinary team of physicians and scientists who will pre-review the submitted information and convene for a 1-day meeting. Vouchers under this program will reportedly be given to companies aligned with U.S. national priorities. As with the FDA’s other programs for expediting review and approval of new drug products, even if we were to avail ourselves of this new program, there is no guarantee it would result in approval of our marketing applications or that such approval, if granted, would be on an expedited basis.</w:t>
      </w:r>
    </w:p>
    <w:p>
      <w:pPr>
        <w:spacing w:after="0" w:line="86"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may seek PRIME Designation in the E.U. for Haduvio but we might not receive such designations and, even if we do, such designations may not lead to a faster development or regulatory review or approval process.</w:t>
      </w:r>
    </w:p>
    <w:p>
      <w:pPr>
        <w:spacing w:after="0" w:line="49"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86"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ectPr>
          <w:pgSz w:w="12240" w:h="15840" w:orient="portrait"/>
          <w:cols w:equalWidth="0" w:num="1">
            <w:col w:w="9920"/>
          </w:cols>
          <w:pgMar w:left="1160" w:top="1132"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920"/>
          </w:cols>
          <w:pgMar w:left="1160" w:top="1132" w:right="1160" w:bottom="175" w:gutter="0" w:footer="0" w:header="0"/>
          <w:type w:val="continuous"/>
        </w:sectPr>
      </w:pPr>
    </w:p>
    <w:bookmarkStart w:id="64" w:name="page65"/>
    <w:bookmarkEnd w:id="64"/>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p>
    <w:p>
      <w:pPr>
        <w:spacing w:after="0" w:line="6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If our clinical trials are successful, we intend to seek approval to market Haduvio for the treatment of chronic cough in patients with IPF, non-IPF ILD and RCC. If we obtain regulatory approval to market Haduvio with an indication statement for the treatment of chronic cough in patients with IPF, non-IPF ILD or RCC, we expect to be prohibited from marketing Haduvio using any promotional claims relating to treatment of cough generally. Marketing of Haduvio may also be limited by regulatory authorities based on use as a monotherapy or adjuvant, concomitant medications, severity of pruritus and other factors.</w:t>
      </w:r>
    </w:p>
    <w:p>
      <w:pPr>
        <w:spacing w:after="0" w:line="80" w:lineRule="exact"/>
        <w:rPr>
          <w:sz w:val="20"/>
          <w:szCs w:val="20"/>
          <w:color w:val="auto"/>
        </w:rPr>
      </w:pPr>
    </w:p>
    <w:p>
      <w:pPr>
        <w:ind w:right="140" w:firstLine="490"/>
        <w:spacing w:after="0" w:line="243" w:lineRule="auto"/>
        <w:rPr>
          <w:sz w:val="20"/>
          <w:szCs w:val="20"/>
          <w:color w:val="auto"/>
        </w:rPr>
      </w:pPr>
      <w:r>
        <w:rPr>
          <w:rFonts w:ascii="Times New Roman" w:cs="Times New Roman" w:eastAsia="Times New Roman" w:hAnsi="Times New Roman"/>
          <w:sz w:val="20"/>
          <w:szCs w:val="20"/>
          <w:color w:val="auto"/>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conditions other than chronic cough in patients with IPF, non-IPF ILD and RCC,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spacing w:after="0" w:line="86"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86"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or the HHS,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w:t>
      </w:r>
    </w:p>
    <w:p>
      <w:pPr>
        <w:spacing w:after="0" w:line="86"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Many of these investigations originate as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xml:space="preserve"> suit is entitled to a share of any recovery or settlement.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xml:space="preserve"> suits, also commonly referred to as “whistleblower suits,” are often brought by current or former employees. In a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xml:space="preserve"> suit, the government must decide whether to intervene and prosecute the case. If it declines, the individual may pursue the case alone.</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 xml:space="preserve">If the FDA or any other governmental agency initiates an enforcement action against us or if we are the subject of a </w:t>
      </w:r>
      <w:r>
        <w:rPr>
          <w:rFonts w:ascii="Times New Roman" w:cs="Times New Roman" w:eastAsia="Times New Roman" w:hAnsi="Times New Roman"/>
          <w:sz w:val="20"/>
          <w:szCs w:val="20"/>
          <w:i w:val="1"/>
          <w:iCs w:val="1"/>
          <w:color w:val="auto"/>
        </w:rPr>
        <w:t xml:space="preserve">qui tam </w:t>
      </w:r>
      <w:r>
        <w:rPr>
          <w:rFonts w:ascii="Times New Roman" w:cs="Times New Roman" w:eastAsia="Times New Roman" w:hAnsi="Times New Roman"/>
          <w:sz w:val="20"/>
          <w:szCs w:val="20"/>
          <w:color w:val="auto"/>
        </w:rPr>
        <w:t>suit and it is determined that we violated prohibitions relating to the promotion of products for unapproved uses, we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ectPr>
          <w:pgSz w:w="12240" w:h="15840" w:orient="portrait"/>
          <w:cols w:equalWidth="0" w:num="1">
            <w:col w:w="9920"/>
          </w:cols>
          <w:pgMar w:left="1160" w:top="1132"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920"/>
          </w:cols>
          <w:pgMar w:left="1160" w:top="1132" w:right="1160" w:bottom="175" w:gutter="0" w:footer="0" w:header="0"/>
          <w:type w:val="continuous"/>
        </w:sectPr>
      </w:pPr>
    </w:p>
    <w:bookmarkStart w:id="65" w:name="page66"/>
    <w:bookmarkEnd w:id="65"/>
    <w:p>
      <w:pPr>
        <w:ind w:left="8" w:right="4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spacing w:after="0" w:line="68" w:lineRule="exact"/>
        <w:rPr>
          <w:sz w:val="20"/>
          <w:szCs w:val="20"/>
          <w:color w:val="auto"/>
        </w:rPr>
      </w:pPr>
    </w:p>
    <w:p>
      <w:pPr>
        <w:ind w:left="8" w:right="40" w:firstLine="490"/>
        <w:spacing w:after="0" w:line="245" w:lineRule="auto"/>
        <w:rPr>
          <w:sz w:val="20"/>
          <w:szCs w:val="20"/>
          <w:color w:val="auto"/>
        </w:rPr>
      </w:pPr>
      <w:r>
        <w:rPr>
          <w:rFonts w:ascii="Times New Roman" w:cs="Times New Roman" w:eastAsia="Times New Roman" w:hAnsi="Times New Roman"/>
          <w:sz w:val="20"/>
          <w:szCs w:val="20"/>
          <w:color w:val="auto"/>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spacing w:after="0" w:line="82" w:lineRule="exact"/>
        <w:rPr>
          <w:sz w:val="20"/>
          <w:szCs w:val="20"/>
          <w:color w:val="auto"/>
        </w:rPr>
      </w:pPr>
    </w:p>
    <w:p>
      <w:pPr>
        <w:ind w:left="8" w:firstLine="490"/>
        <w:spacing w:after="0" w:line="244" w:lineRule="auto"/>
        <w:rPr>
          <w:sz w:val="20"/>
          <w:szCs w:val="20"/>
          <w:color w:val="auto"/>
        </w:rPr>
      </w:pPr>
      <w:r>
        <w:rPr>
          <w:rFonts w:ascii="Times New Roman" w:cs="Times New Roman" w:eastAsia="Times New Roman" w:hAnsi="Times New Roman"/>
          <w:sz w:val="20"/>
          <w:szCs w:val="20"/>
          <w:color w:val="auto"/>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spacing w:after="0" w:line="86" w:lineRule="exact"/>
        <w:rPr>
          <w:sz w:val="20"/>
          <w:szCs w:val="20"/>
          <w:color w:val="auto"/>
        </w:rPr>
      </w:pPr>
    </w:p>
    <w:p>
      <w:pPr>
        <w:ind w:left="8" w:right="180" w:firstLine="490"/>
        <w:spacing w:after="0" w:line="258" w:lineRule="auto"/>
        <w:rPr>
          <w:sz w:val="20"/>
          <w:szCs w:val="20"/>
          <w:color w:val="auto"/>
        </w:rPr>
      </w:pPr>
      <w:r>
        <w:rPr>
          <w:rFonts w:ascii="Times New Roman" w:cs="Times New Roman" w:eastAsia="Times New Roman" w:hAnsi="Times New Roman"/>
          <w:sz w:val="20"/>
          <w:szCs w:val="20"/>
          <w:color w:val="auto"/>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spacing w:after="0" w:line="83" w:lineRule="exact"/>
        <w:rPr>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such product, manufacturers or manufacturing processes;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labeling or marketing of the product;</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product distribution or use;</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to conduct post-marketing studies or clinical trials;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warning letters or untitled letters;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the product from the market;</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refusal to approve pending applications or supplements to approved applications that we submit;</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recall of the product;</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coverage by third-party payors;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fines, restitution or disgorgement of profits or revenues;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or withdrawal of marketing approvals;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refusal to permit the import or export of the product;</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19" w:lineRule="exact"/>
        <w:rPr>
          <w:sz w:val="20"/>
          <w:szCs w:val="20"/>
          <w:color w:val="auto"/>
        </w:rPr>
      </w:pPr>
    </w:p>
    <w:p>
      <w:pPr>
        <w:ind w:left="8" w:firstLine="490"/>
        <w:spacing w:after="0" w:line="243" w:lineRule="auto"/>
        <w:rPr>
          <w:sz w:val="20"/>
          <w:szCs w:val="20"/>
          <w:color w:val="auto"/>
        </w:rPr>
      </w:pPr>
      <w:r>
        <w:rPr>
          <w:rFonts w:ascii="Times New Roman" w:cs="Times New Roman" w:eastAsia="Times New Roman" w:hAnsi="Times New Roman"/>
          <w:sz w:val="20"/>
          <w:szCs w:val="20"/>
          <w:color w:val="auto"/>
        </w:rPr>
        <w:t>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U.S. Supreme Court reversed that decision after unanimously finding that the plaintiffs (anti-abortion doctors and organizations) did not have standing to bring this legal action against the FDA. On October 11, 2024, the Attorneys General of three states (Missouri, Idaho and Kansas) filed an amended complaint in the district court in Texas challenging FDA’s actions. On January 16, 2025, the district court agreed to allow these states to file an amended complaint and continue to pursue this challenge. Thereafter, on September 30, 2025, the district court declined to dismiss</w:t>
      </w:r>
    </w:p>
    <w:p>
      <w:pPr>
        <w:sectPr>
          <w:pgSz w:w="12240" w:h="15840" w:orient="portrait"/>
          <w:cols w:equalWidth="0" w:num="1">
            <w:col w:w="9928"/>
          </w:cols>
          <w:pgMar w:left="1152" w:top="1132" w:right="1160" w:bottom="175" w:gutter="0" w:footer="0" w:header="0"/>
        </w:sectPr>
      </w:pPr>
    </w:p>
    <w:p>
      <w:pPr>
        <w:spacing w:after="0" w:line="30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928"/>
          </w:cols>
          <w:pgMar w:left="1152" w:top="1132" w:right="1160" w:bottom="175" w:gutter="0" w:footer="0" w:header="0"/>
          <w:type w:val="continuous"/>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20"/>
          <w:szCs w:val="20"/>
          <w:color w:val="auto"/>
        </w:rPr>
        <w:t>the case and, instead, transferred it to federal district court in the Eastern District of Missouri. Depending on the outcome of this litigation, our ability to develop new drug product candidates and to maintain approval of existing drug products could be delayed, undermined or subject to protracted litigation.</w:t>
      </w:r>
    </w:p>
    <w:p>
      <w:pPr>
        <w:spacing w:after="0" w:line="68"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 xml:space="preserve">In addition, we could be adversely affected by several significant administrative law cases decided by the U.S. Supreme Court in 2024. In Loper Bright Enterprises v. Raimondo, for example, the court overruled Chevron U.S.A., Inc. v. Natural Resources Defense Council, Inc., 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FDA acted within its statutory authority under the Administrative Procedure Act, or APA. Additionally, in Corner Post, Inc. v. Board of Governors of the Federal Reserve System,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Times New Roman" w:cs="Times New Roman" w:eastAsia="Times New Roman" w:hAnsi="Times New Roman"/>
          <w:sz w:val="20"/>
          <w:szCs w:val="20"/>
          <w:i w:val="1"/>
          <w:iCs w:val="1"/>
          <w:color w:val="auto"/>
        </w:rPr>
        <w:t>Securities and Exchange Commission v. Jarkesy</w:t>
      </w:r>
      <w:r>
        <w:rPr>
          <w:rFonts w:ascii="Times New Roman" w:cs="Times New Roman" w:eastAsia="Times New Roman" w:hAnsi="Times New Roman"/>
          <w:sz w:val="20"/>
          <w:szCs w:val="20"/>
          <w:color w:val="auto"/>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92"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and other government agencies from funding cuts, personnel losses, regulatory reform, government shutdowns and other developments could hinder our ability to obtain guidance from the FDA regarding our clinical development program, progress development efficiently, and secure approval of our product candidates in a timely manner, which would negatively impact our business.</w:t>
      </w:r>
    </w:p>
    <w:p>
      <w:pPr>
        <w:spacing w:after="0" w:line="74"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FDA and comparable regulatory agencies in foreign jurisdictions, such as the EMA and Committee for Medicinal Products for Human Use,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w:t>
      </w:r>
    </w:p>
    <w:p>
      <w:pPr>
        <w:spacing w:after="0" w:line="77" w:lineRule="exact"/>
        <w:rPr>
          <w:sz w:val="20"/>
          <w:szCs w:val="20"/>
          <w:color w:val="auto"/>
        </w:rPr>
      </w:pPr>
    </w:p>
    <w:p>
      <w:pPr>
        <w:ind w:right="200" w:firstLine="490"/>
        <w:spacing w:after="0" w:line="277" w:lineRule="auto"/>
        <w:rPr>
          <w:sz w:val="20"/>
          <w:szCs w:val="20"/>
          <w:color w:val="auto"/>
        </w:rPr>
      </w:pPr>
      <w:r>
        <w:rPr>
          <w:rFonts w:ascii="Times New Roman" w:cs="Times New Roman" w:eastAsia="Times New Roman" w:hAnsi="Times New Roman"/>
          <w:sz w:val="20"/>
          <w:szCs w:val="20"/>
          <w:color w:val="auto"/>
        </w:rPr>
        <w:t>These actions and the resulting recent loss of FDA leadership and personnel could lead to disruptions and delays in FDA guidance, review and approval of our product candidate.</w:t>
      </w:r>
    </w:p>
    <w:p>
      <w:pPr>
        <w:spacing w:after="0" w:line="49"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While the FDA’s review of marketing applications and other activities for new drugs and biologics is largely funded through the user fee program established under the Prescription Drug User Fee Act, or PDUFA, it remains unclear how the administration’s efforts to reduce the workforce of HHS and budget cuts will impact this program and the ability of the FDA to provide guidance and review our product candidates in a timely manner. For example, while the reduction in workforce did not reportedly specifically target FDA reviewers, many operations, administrative and policy staff that help support such reviews were affected and those losses could lead to delays in PDUFA reviews and related activities. In addition, while currently unclear, there is a risk that the reduction in workforce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p>
    <w:p>
      <w:pPr>
        <w:spacing w:after="0" w:line="82"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There is also substantial uncertainty as to how regulatory reform measures being implemented by the Trump Administration across the government will impact the FDA and other federal agencies with jurisdiction over our activities. For example, since taking office, President Trump has issued a number of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w:t>
      </w:r>
    </w:p>
    <w:p>
      <w:pPr>
        <w:spacing w:after="0" w:line="80" w:lineRule="exact"/>
        <w:rPr>
          <w:sz w:val="20"/>
          <w:szCs w:val="20"/>
          <w:color w:val="auto"/>
        </w:rPr>
      </w:pPr>
    </w:p>
    <w:p>
      <w:pPr>
        <w:ind w:right="240" w:firstLine="490"/>
        <w:spacing w:after="0" w:line="305" w:lineRule="auto"/>
        <w:rPr>
          <w:sz w:val="20"/>
          <w:szCs w:val="20"/>
          <w:color w:val="auto"/>
        </w:rPr>
      </w:pPr>
      <w:r>
        <w:rPr>
          <w:rFonts w:ascii="Times New Roman" w:cs="Times New Roman" w:eastAsia="Times New Roman" w:hAnsi="Times New Roman"/>
          <w:sz w:val="19"/>
          <w:szCs w:val="19"/>
          <w:color w:val="auto"/>
        </w:rPr>
        <w:t>Similarly, actions by the U.S. government have significantly disrupted the operations of U.S. government agencies such as the National Institutes of Health, National Science Foundation, Centers for Disease Control and Prevention, and</w:t>
      </w:r>
    </w:p>
    <w:p>
      <w:pPr>
        <w:sectPr>
          <w:pgSz w:w="12240" w:h="15840" w:orient="portrait"/>
          <w:cols w:equalWidth="0" w:num="1">
            <w:col w:w="9900"/>
          </w:cols>
          <w:pgMar w:left="1160" w:top="1132" w:right="1180" w:bottom="175" w:gutter="0" w:footer="0" w:header="0"/>
        </w:sect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900"/>
          </w:cols>
          <w:pgMar w:left="1160" w:top="1132" w:right="1180" w:bottom="175" w:gutter="0" w:footer="0" w:header="0"/>
          <w:type w:val="continuous"/>
        </w:sectPr>
      </w:pPr>
    </w:p>
    <w:bookmarkStart w:id="67" w:name="page68"/>
    <w:bookmarkEnd w:id="67"/>
    <w:p>
      <w:pPr>
        <w:spacing w:after="0" w:line="242" w:lineRule="auto"/>
        <w:rPr>
          <w:sz w:val="20"/>
          <w:szCs w:val="20"/>
          <w:color w:val="auto"/>
        </w:rPr>
      </w:pPr>
      <w:r>
        <w:rPr>
          <w:rFonts w:ascii="Times New Roman" w:cs="Times New Roman" w:eastAsia="Times New Roman" w:hAnsi="Times New Roman"/>
          <w:sz w:val="20"/>
          <w:szCs w:val="20"/>
          <w:color w:val="auto"/>
        </w:rPr>
        <w:t>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spacing w:after="0" w:line="93"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In addition, government funding of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p>
    <w:p>
      <w:pPr>
        <w:spacing w:after="0" w:line="8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At the same time, disruptions at the FDA and other government agencies may result from public health events similar to the COVID-19 pandemic. For example,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80"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Accordingly, if any of the foregoing developments and others impact the ability of the FDA to provide us with guidance regarding our clinical development programs or delay the agency’s review and processing of our regulatory submissions, including INDs and NDAs/BLAs, our business would be negatively impacted. Further, any future government shutdown could impact our ability to access the public markets and obtain necessary capital in order to properly capitalize and continue our operations.</w:t>
      </w:r>
    </w:p>
    <w:p>
      <w:pPr>
        <w:spacing w:after="0" w:line="77" w:lineRule="exact"/>
        <w:rPr>
          <w:sz w:val="20"/>
          <w:szCs w:val="20"/>
          <w:color w:val="auto"/>
        </w:rPr>
      </w:pPr>
    </w:p>
    <w:p>
      <w:pPr>
        <w:ind w:right="9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Current and future legislation may increase the difficulty and cost for us to obtain marketing approval of and commercialize Haduvio or any future product candidate and may affect the prices we may obtain.</w:t>
      </w:r>
    </w:p>
    <w:p>
      <w:pPr>
        <w:spacing w:after="0" w:line="49"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spacing w:after="0" w:line="8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w:t>
      </w:r>
    </w:p>
    <w:p>
      <w:pPr>
        <w:spacing w:after="0" w:line="86" w:lineRule="exact"/>
        <w:rPr>
          <w:sz w:val="20"/>
          <w:szCs w:val="20"/>
          <w:color w:val="auto"/>
        </w:rPr>
      </w:pPr>
    </w:p>
    <w:p>
      <w:pPr>
        <w:ind w:right="80" w:firstLine="490"/>
        <w:spacing w:after="0" w:line="270" w:lineRule="auto"/>
        <w:rPr>
          <w:sz w:val="20"/>
          <w:szCs w:val="20"/>
          <w:color w:val="auto"/>
        </w:rPr>
      </w:pPr>
      <w:r>
        <w:rPr>
          <w:rFonts w:ascii="Times New Roman" w:cs="Times New Roman" w:eastAsia="Times New Roman" w:hAnsi="Times New Roman"/>
          <w:sz w:val="19"/>
          <w:szCs w:val="19"/>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w:t>
      </w:r>
    </w:p>
    <w:p>
      <w:pPr>
        <w:sectPr>
          <w:pgSz w:w="12240" w:h="15840" w:orient="portrait"/>
          <w:cols w:equalWidth="0" w:num="1">
            <w:col w:w="9920"/>
          </w:cols>
          <w:pgMar w:left="1160" w:top="1132" w:right="1160" w:bottom="175"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920"/>
          </w:cols>
          <w:pgMar w:left="1160" w:top="1132" w:right="1160" w:bottom="175" w:gutter="0" w:footer="0" w:header="0"/>
          <w:type w:val="continuous"/>
        </w:sectPr>
      </w:pPr>
    </w:p>
    <w:bookmarkStart w:id="68" w:name="page69"/>
    <w:bookmarkEnd w:id="68"/>
    <w:p>
      <w:pPr>
        <w:ind w:right="60"/>
        <w:spacing w:after="0" w:line="277" w:lineRule="auto"/>
        <w:rPr>
          <w:sz w:val="20"/>
          <w:szCs w:val="20"/>
          <w:color w:val="auto"/>
        </w:rPr>
      </w:pPr>
      <w:r>
        <w:rPr>
          <w:rFonts w:ascii="Times New Roman" w:cs="Times New Roman" w:eastAsia="Times New Roman" w:hAnsi="Times New Roman"/>
          <w:sz w:val="20"/>
          <w:szCs w:val="20"/>
          <w:color w:val="auto"/>
        </w:rPr>
        <w:t>which any such product candidate is prescribed or used. Indeed, under current legislation, the actual reductions in Medicare payments may vary up to 4%.</w:t>
      </w:r>
    </w:p>
    <w:p>
      <w:pPr>
        <w:spacing w:after="0" w:line="49" w:lineRule="exact"/>
        <w:rPr>
          <w:sz w:val="20"/>
          <w:szCs w:val="20"/>
          <w:color w:val="auto"/>
        </w:rPr>
      </w:pPr>
    </w:p>
    <w:p>
      <w:pPr>
        <w:ind w:right="140" w:firstLine="490"/>
        <w:spacing w:after="0" w:line="263" w:lineRule="auto"/>
        <w:rPr>
          <w:sz w:val="20"/>
          <w:szCs w:val="20"/>
          <w:color w:val="auto"/>
        </w:rPr>
      </w:pPr>
      <w:r>
        <w:rPr>
          <w:rFonts w:ascii="Times New Roman" w:cs="Times New Roman" w:eastAsia="Times New Roman" w:hAnsi="Times New Roman"/>
          <w:sz w:val="19"/>
          <w:szCs w:val="19"/>
          <w:color w:val="auto"/>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in June 2021, the U.S. Supreme Court dismissed a lawsuit challenging the constitutionality of the ACA after finding that the plaintiffs do not have standing to bring the litigation. Litigation and legislation over the ACA are likely to continue, with unpredictable and uncertain results.</w:t>
      </w:r>
    </w:p>
    <w:p>
      <w:pPr>
        <w:spacing w:after="0" w:line="64"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Litigation and legislation over the ACA and other healthcare measures are likely to continue, with unpredictable and uncertain results. During the first Trump Administration, Congress and the administration sought to overturn the ACA and related measures. Shortly after taking office in January 2025, President Trump revoked numerous executive orders issued by President Biden, including at least two executive orders (e.g., Executive Order 14009, Strengthening Medicaid and the Affordable Care Act, and Executive Order 14070, Continuing to Strengthen Americans’ Access to Affordable, Quality Health Coverage) which were designed to further implement the ACA. We anticipate similar efforts to undermine the ACA, and the accompanying uncertainty, for the foreseeable future.</w:t>
      </w:r>
    </w:p>
    <w:p>
      <w:pPr>
        <w:spacing w:after="0" w:line="8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In the European Union,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European Union level for joint clinical assessments in these areas. It will permit E.U. Member States to use common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spacing w:after="0" w:line="89"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spacing w:after="0" w:line="86"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4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The prices of prescription pharmaceuticals have also been the subject of considerable discussion in the U.S.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74" w:lineRule="exact"/>
        <w:rPr>
          <w:sz w:val="20"/>
          <w:szCs w:val="20"/>
          <w:color w:val="auto"/>
        </w:rPr>
      </w:pPr>
    </w:p>
    <w:p>
      <w:pPr>
        <w:ind w:right="20" w:firstLine="490"/>
        <w:spacing w:after="0" w:line="257" w:lineRule="auto"/>
        <w:rPr>
          <w:sz w:val="20"/>
          <w:szCs w:val="20"/>
          <w:color w:val="auto"/>
        </w:rPr>
      </w:pPr>
      <w:r>
        <w:rPr>
          <w:rFonts w:ascii="Times New Roman" w:cs="Times New Roman" w:eastAsia="Times New Roman" w:hAnsi="Times New Roman"/>
          <w:sz w:val="19"/>
          <w:szCs w:val="19"/>
          <w:color w:val="auto"/>
        </w:rPr>
        <w:t>In addition, in October 2020,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 On May 21, 2025, the FDA announced that it would offer individual states the opportunity to submit a draft proposal for pre-review and meet with the agency to obtain initial feedback from FDA prior to formally submitting their Section 804 importation program (SIP) proposal. The intent of these meetings is to assist</w:t>
      </w:r>
    </w:p>
    <w:p>
      <w:pPr>
        <w:sectPr>
          <w:pgSz w:w="12240" w:h="15840" w:orient="portrait"/>
          <w:cols w:equalWidth="0" w:num="1">
            <w:col w:w="9940"/>
          </w:cols>
          <w:pgMar w:left="1160" w:top="1132" w:right="1140" w:bottom="175"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940"/>
          </w:cols>
          <w:pgMar w:left="1160" w:top="1132" w:right="1140" w:bottom="175" w:gutter="0" w:footer="0" w:header="0"/>
          <w:type w:val="continuous"/>
        </w:sectPr>
      </w:pPr>
    </w:p>
    <w:bookmarkStart w:id="69" w:name="page70"/>
    <w:bookmarkEnd w:id="69"/>
    <w:p>
      <w:pPr>
        <w:ind w:right="140"/>
        <w:spacing w:after="0" w:line="277" w:lineRule="auto"/>
        <w:rPr>
          <w:sz w:val="20"/>
          <w:szCs w:val="20"/>
          <w:color w:val="auto"/>
        </w:rPr>
      </w:pPr>
      <w:r>
        <w:rPr>
          <w:rFonts w:ascii="Times New Roman" w:cs="Times New Roman" w:eastAsia="Times New Roman" w:hAnsi="Times New Roman"/>
          <w:sz w:val="20"/>
          <w:szCs w:val="20"/>
          <w:color w:val="auto"/>
        </w:rPr>
        <w:t>states in developing their proposals by further clarifying requirements, enhancing the quality of proposals submitted to the agency and ultimately shortening the review timeline.</w:t>
      </w:r>
    </w:p>
    <w:p>
      <w:pPr>
        <w:spacing w:after="0" w:line="49"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Inflation Reduction Act of 2022, or the IRA, further delayed implementation of this rule to January 1, 2032.</w:t>
      </w:r>
    </w:p>
    <w:p>
      <w:pPr>
        <w:spacing w:after="0" w:line="8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and it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IRA permits the Secretary of the HHS to implement many of these provisions through guidance, as opposed to regulation, for the initial years.</w:t>
      </w:r>
    </w:p>
    <w:p>
      <w:pPr>
        <w:spacing w:after="0" w:line="8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Specifically, with respect to price negotiations, Congress authorized Medicare to negotiate lower prices for certain costly single-source drug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but it does not apply to drugs that have been approved for a rare disease or condition. With passage of the One Big Beautiful Bill Act, or OBBBA, on July 3, 2025, which was signed into law on July 4, 2025, Congress extended this exemption to drugs and biologics with multiple orphan drug designations.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spacing w:after="0" w:line="8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These negotiated prices will become effective on January 1, 2028.</w:t>
      </w:r>
    </w:p>
    <w:p>
      <w:pPr>
        <w:spacing w:after="0" w:line="7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$ 4,000 a year in 2024 and, thereafter beginning in 2025, at $ 2,000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86"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HHS has generally won the substantive disputes in these cases or succeeded in getting claims dismissed for lack of standing or on the merits. For example, on May 8, 2025, the U.S. Court of Appeals for the Third Circuit rejected AstraZeneca L.P.’s challenge to the Medicare price negotiation program, finding that the program did not</w:t>
      </w:r>
    </w:p>
    <w:p>
      <w:pPr>
        <w:sectPr>
          <w:pgSz w:w="12240" w:h="15840" w:orient="portrait"/>
          <w:cols w:equalWidth="0" w:num="1">
            <w:col w:w="9920"/>
          </w:cols>
          <w:pgMar w:left="1160" w:top="1132" w:right="1160" w:bottom="175"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920"/>
          </w:cols>
          <w:pgMar w:left="1160" w:top="1132" w:right="1160" w:bottom="175" w:gutter="0" w:footer="0" w:header="0"/>
          <w:type w:val="continuous"/>
        </w:sectPr>
      </w:pPr>
    </w:p>
    <w:bookmarkStart w:id="70" w:name="page71"/>
    <w:bookmarkEnd w:id="70"/>
    <w:p>
      <w:pPr>
        <w:ind w:right="680"/>
        <w:spacing w:after="0" w:line="277" w:lineRule="auto"/>
        <w:rPr>
          <w:sz w:val="20"/>
          <w:szCs w:val="20"/>
          <w:color w:val="auto"/>
        </w:rPr>
      </w:pPr>
      <w:r>
        <w:rPr>
          <w:rFonts w:ascii="Times New Roman" w:cs="Times New Roman" w:eastAsia="Times New Roman" w:hAnsi="Times New Roman"/>
          <w:sz w:val="20"/>
          <w:szCs w:val="20"/>
          <w:color w:val="auto"/>
        </w:rPr>
        <w:t>violate the company’s due process rights under the Constitution. We expect that litigation involving these and other provisions of the IRA will continue, with unpredictable and uncertain results.</w:t>
      </w:r>
    </w:p>
    <w:p>
      <w:pPr>
        <w:spacing w:after="0" w:line="159" w:lineRule="exact"/>
        <w:rPr>
          <w:sz w:val="20"/>
          <w:szCs w:val="20"/>
          <w:color w:val="auto"/>
        </w:rPr>
      </w:pPr>
    </w:p>
    <w:p>
      <w:pPr>
        <w:ind w:firstLine="480"/>
        <w:spacing w:after="0" w:line="242" w:lineRule="auto"/>
        <w:rPr>
          <w:sz w:val="20"/>
          <w:szCs w:val="20"/>
          <w:color w:val="auto"/>
        </w:rPr>
      </w:pPr>
      <w:r>
        <w:rPr>
          <w:rFonts w:ascii="Times New Roman" w:cs="Times New Roman" w:eastAsia="Times New Roman" w:hAnsi="Times New Roman"/>
          <w:sz w:val="20"/>
          <w:szCs w:val="20"/>
          <w:color w:val="auto"/>
        </w:rPr>
        <w:t xml:space="preserve">On April 15, 2025, President Trump issued an Executive Order which directs the HHS to take steps to reduce the prices of pharmaceutical products. The new Executive Order repeats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Executive Order relate to the 340B program. Specifically, one provision calls on the Secretary of HHS to determine the hospital acquisition cost for covered outpatient drugs at hospital outpatient departments and to consider and propose any appropriate adjustments for Medicare </w:t>
      </w:r>
      <w:r>
        <w:rPr>
          <w:rFonts w:ascii="PMingLiU" w:cs="PMingLiU" w:eastAsia="PMingLiU" w:hAnsi="PMingLiU"/>
          <w:sz w:val="20"/>
          <w:szCs w:val="20"/>
          <w:color w:val="auto"/>
        </w:rPr>
        <w:t>SD\PHQW 7KH</w:t>
      </w:r>
      <w:r>
        <w:rPr>
          <w:rFonts w:ascii="Times New Roman" w:cs="Times New Roman" w:eastAsia="Times New Roman" w:hAnsi="Times New Roman"/>
          <w:sz w:val="20"/>
          <w:szCs w:val="20"/>
          <w:color w:val="auto"/>
        </w:rPr>
        <w:t xml:space="preserve"> other provision directs HHS to condition grant funding to certain health centers on those centers passing through the 340B discounts they receive on insulin and injectable epinephrine products to patients who meet certain requirements.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spacing w:after="0" w:line="194" w:lineRule="exact"/>
        <w:rPr>
          <w:sz w:val="20"/>
          <w:szCs w:val="20"/>
          <w:color w:val="auto"/>
        </w:rPr>
      </w:pPr>
    </w:p>
    <w:p>
      <w:pPr>
        <w:ind w:right="20" w:firstLine="480"/>
        <w:spacing w:after="0" w:line="243" w:lineRule="auto"/>
        <w:rPr>
          <w:sz w:val="20"/>
          <w:szCs w:val="20"/>
          <w:color w:val="auto"/>
        </w:rPr>
      </w:pPr>
      <w:r>
        <w:rPr>
          <w:rFonts w:ascii="Times New Roman" w:cs="Times New Roman" w:eastAsia="Times New Roman" w:hAnsi="Times New Roman"/>
          <w:sz w:val="20"/>
          <w:szCs w:val="20"/>
          <w:color w:val="auto"/>
        </w:rPr>
        <w:t>Further, on May 12, 2025, President Trump issued an additional Executive Order calling on pharmaceutical manufacturers to voluntarily reduce the prices of medicines in the United States. The Executive Order directs the Secretary of HHS to communicate most-favored-nation, or MFN,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Subsequently, on May 20, 2025, the HHS indicated that the proposed MFN pricing will apply only to brand products without generic or biosimilar competition and the reference foreign countries will include only those in which the branded product similarly does not have generic or biosimilar competition. Second, the HHS indicated that the MFN target price will be the lowest price in a country that is a member of the Organization for Economic Co-operation and Development, or OECD, with a gross domestic product, or GDP, per capita of at least 60% of the U.S. GDP per capita. Based on previous estimates, there are likely at least 22 OECD countries that would satisfy this criterion.</w:t>
      </w:r>
    </w:p>
    <w:p>
      <w:pPr>
        <w:spacing w:after="0" w:line="199" w:lineRule="exact"/>
        <w:rPr>
          <w:sz w:val="20"/>
          <w:szCs w:val="20"/>
          <w:color w:val="auto"/>
        </w:rPr>
      </w:pPr>
    </w:p>
    <w:p>
      <w:pPr>
        <w:ind w:firstLine="480"/>
        <w:spacing w:after="0" w:line="244" w:lineRule="auto"/>
        <w:rPr>
          <w:sz w:val="20"/>
          <w:szCs w:val="20"/>
          <w:color w:val="auto"/>
        </w:rPr>
      </w:pPr>
      <w:r>
        <w:rPr>
          <w:rFonts w:ascii="Times New Roman" w:cs="Times New Roman" w:eastAsia="Times New Roman" w:hAnsi="Times New Roman"/>
          <w:sz w:val="20"/>
          <w:szCs w:val="20"/>
          <w:color w:val="auto"/>
        </w:rPr>
        <w:t>More recently, on July 31, 2025, President Trump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The letters also urged these companies to stipulate that they will not offer other developed nations better prices for new drugs than the prices offered for such products in the U.S. The letters called for engagement with the FDA and CMS within 60 days to implement these changes and threatened to use “every tool in our arsenal” to address what the letter characterized as “abusive drug pricing practices.” Virtually all of these pharmaceutical companies have entered into agreements with the administration to provide for lower prices on certain pharmaceuticals.</w:t>
      </w:r>
    </w:p>
    <w:p>
      <w:pPr>
        <w:spacing w:after="0" w:line="196" w:lineRule="exact"/>
        <w:rPr>
          <w:sz w:val="20"/>
          <w:szCs w:val="20"/>
          <w:color w:val="auto"/>
        </w:rPr>
      </w:pPr>
    </w:p>
    <w:p>
      <w:pPr>
        <w:ind w:right="80" w:firstLine="480"/>
        <w:spacing w:after="0" w:line="244" w:lineRule="auto"/>
        <w:rPr>
          <w:sz w:val="20"/>
          <w:szCs w:val="20"/>
          <w:color w:val="auto"/>
        </w:rPr>
      </w:pPr>
      <w:r>
        <w:rPr>
          <w:rFonts w:ascii="Times New Roman" w:cs="Times New Roman" w:eastAsia="Times New Roman" w:hAnsi="Times New Roman"/>
          <w:sz w:val="20"/>
          <w:szCs w:val="20"/>
          <w:color w:val="auto"/>
        </w:rPr>
        <w:t>On December 23, 2025, CMS, through its Center for Medicare and Medicaid Innovation, or CMMI,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OECD countries with a GDP of $400 billion and a per capita GDP that is at least 60% of the US per capita GDP (an initial list of 19 reference countries is included in the proposed rule). Comments are due on the proposed pilot program rules on or before February 23, 2026, and the pilot programs are proposed to go into effect beginning October 1, 2026.</w:t>
      </w:r>
    </w:p>
    <w:p>
      <w:pPr>
        <w:spacing w:after="0" w:line="82"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19"/>
          <w:szCs w:val="19"/>
          <w:color w:val="auto"/>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payors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w:t>
      </w:r>
    </w:p>
    <w:p>
      <w:pPr>
        <w:sectPr>
          <w:pgSz w:w="12240" w:h="15840" w:orient="portrait"/>
          <w:cols w:equalWidth="0" w:num="1">
            <w:col w:w="9920"/>
          </w:cols>
          <w:pgMar w:left="1160" w:top="1132" w:right="1160" w:bottom="175" w:gutter="0" w:footer="0" w:header="0"/>
        </w:sect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920"/>
          </w:cols>
          <w:pgMar w:left="1160" w:top="1132" w:right="1160" w:bottom="175" w:gutter="0" w:footer="0" w:header="0"/>
          <w:type w:val="continuous"/>
        </w:sectPr>
      </w:pPr>
    </w:p>
    <w:bookmarkStart w:id="71" w:name="page72"/>
    <w:bookmarkEnd w:id="71"/>
    <w:p>
      <w:pPr>
        <w:ind w:right="260"/>
        <w:spacing w:after="0" w:line="258" w:lineRule="auto"/>
        <w:rPr>
          <w:sz w:val="20"/>
          <w:szCs w:val="20"/>
          <w:color w:val="auto"/>
        </w:rPr>
      </w:pPr>
      <w:r>
        <w:rPr>
          <w:rFonts w:ascii="Times New Roman" w:cs="Times New Roman" w:eastAsia="Times New Roman" w:hAnsi="Times New Roman"/>
          <w:sz w:val="20"/>
          <w:szCs w:val="20"/>
          <w:color w:val="auto"/>
        </w:rPr>
        <w:t>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68"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8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spacing w:after="0" w:line="77" w:lineRule="exact"/>
        <w:rPr>
          <w:sz w:val="20"/>
          <w:szCs w:val="20"/>
          <w:color w:val="auto"/>
        </w:rPr>
      </w:pPr>
    </w:p>
    <w:p>
      <w:pPr>
        <w:ind w:right="460" w:firstLine="490"/>
        <w:spacing w:after="0" w:line="247" w:lineRule="auto"/>
        <w:rPr>
          <w:sz w:val="20"/>
          <w:szCs w:val="20"/>
          <w:color w:val="auto"/>
        </w:rPr>
      </w:pPr>
      <w:r>
        <w:rPr>
          <w:rFonts w:ascii="Times New Roman" w:cs="Times New Roman" w:eastAsia="Times New Roman" w:hAnsi="Times New Roman"/>
          <w:sz w:val="20"/>
          <w:szCs w:val="20"/>
          <w:color w:val="auto"/>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spacing w:after="0" w:line="8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Anti- Kickback Statute</w:t>
      </w:r>
      <w:r>
        <w:rPr>
          <w:rFonts w:ascii="Times New Roman" w:cs="Times New Roman" w:eastAsia="Times New Roman" w:hAnsi="Times New Roman"/>
          <w:sz w:val="20"/>
          <w:szCs w:val="20"/>
          <w:color w:val="auto"/>
        </w:rPr>
        <w:t>. The federal Anti-Kickback Statute prohibits, among other things, persons and entities from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knowingly and willfully 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spacing w:after="0" w:line="77"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False Claims Laws. </w:t>
      </w:r>
      <w:r>
        <w:rPr>
          <w:rFonts w:ascii="Times New Roman" w:cs="Times New Roman" w:eastAsia="Times New Roman" w:hAnsi="Times New Roman"/>
          <w:sz w:val="20"/>
          <w:szCs w:val="20"/>
          <w:color w:val="auto"/>
        </w:rPr>
        <w:t>The federal false claims and civil monetary penalties laws, including the federal civil False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Claims Act, impose criminal and civil penalties, including through civil whistleblower or </w:t>
      </w:r>
      <w:r>
        <w:rPr>
          <w:rFonts w:ascii="Times New Roman" w:cs="Times New Roman" w:eastAsia="Times New Roman" w:hAnsi="Times New Roman"/>
          <w:sz w:val="20"/>
          <w:szCs w:val="20"/>
          <w:i w:val="1"/>
          <w:iCs w:val="1"/>
          <w:color w:val="auto"/>
        </w:rPr>
        <w:t>qui tam</w:t>
      </w:r>
      <w:r>
        <w:rPr>
          <w:rFonts w:ascii="Times New Roman" w:cs="Times New Roman" w:eastAsia="Times New Roman" w:hAnsi="Times New Roman"/>
          <w:sz w:val="20"/>
          <w:szCs w:val="20"/>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80" w:lineRule="exact"/>
        <w:rPr>
          <w:sz w:val="20"/>
          <w:szCs w:val="20"/>
          <w:color w:val="auto"/>
        </w:rPr>
      </w:pPr>
    </w:p>
    <w:p>
      <w:pPr>
        <w:ind w:right="100" w:firstLine="490"/>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HIPAA. </w:t>
      </w:r>
      <w:r>
        <w:rPr>
          <w:rFonts w:ascii="Times New Roman" w:cs="Times New Roman" w:eastAsia="Times New Roman" w:hAnsi="Times New Roman"/>
          <w:sz w:val="19"/>
          <w:szCs w:val="19"/>
          <w:color w:val="auto"/>
        </w:rPr>
        <w:t>The federal Health Insurance Portability and Accountability Act of 1996, or HIPAA, imposes criminal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civil liability for, among other 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spacing w:after="0" w:line="67"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Transparency Requirements. </w:t>
      </w:r>
      <w:r>
        <w:rPr>
          <w:rFonts w:ascii="Times New Roman" w:cs="Times New Roman" w:eastAsia="Times New Roman" w:hAnsi="Times New Roman"/>
          <w:sz w:val="20"/>
          <w:szCs w:val="20"/>
          <w:color w:val="auto"/>
        </w:rPr>
        <w:t>The federal Physician Payments Sunshine Act requires certain manufacturers of drugs,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spacing w:after="0" w:line="77"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Analogous State and Foreign Laws. </w:t>
      </w:r>
      <w:r>
        <w:rPr>
          <w:rFonts w:ascii="Times New Roman" w:cs="Times New Roman" w:eastAsia="Times New Roman" w:hAnsi="Times New Roman"/>
          <w:sz w:val="20"/>
          <w:szCs w:val="20"/>
          <w:color w:val="auto"/>
        </w:rPr>
        <w:t>Analogous state and foreign fraud and abuse laws and regulations, such as state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anti-kickback and false claims 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w:t>
      </w:r>
    </w:p>
    <w:p>
      <w:pPr>
        <w:sectPr>
          <w:pgSz w:w="12240" w:h="15840" w:orient="portrait"/>
          <w:cols w:equalWidth="0" w:num="1">
            <w:col w:w="9920"/>
          </w:cols>
          <w:pgMar w:left="1160" w:top="1132" w:right="1160" w:bottom="175"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920"/>
          </w:cols>
          <w:pgMar w:left="1160" w:top="1132" w:right="1160" w:bottom="175" w:gutter="0" w:footer="0" w:header="0"/>
          <w:type w:val="continuous"/>
        </w:sectPr>
      </w:pPr>
    </w:p>
    <w:bookmarkStart w:id="72" w:name="page73"/>
    <w:bookmarkEnd w:id="72"/>
    <w:p>
      <w:pPr>
        <w:ind w:firstLine="490"/>
        <w:spacing w:after="0" w:line="242" w:lineRule="auto"/>
        <w:rPr>
          <w:sz w:val="20"/>
          <w:szCs w:val="20"/>
          <w:color w:val="auto"/>
        </w:rPr>
      </w:pPr>
      <w:r>
        <w:rPr>
          <w:rFonts w:ascii="Times New Roman" w:cs="Times New Roman" w:eastAsia="Times New Roman" w:hAnsi="Times New Roman"/>
          <w:sz w:val="20"/>
          <w:szCs w:val="20"/>
          <w:color w:val="auto"/>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93" w:lineRule="exact"/>
        <w:rPr>
          <w:sz w:val="20"/>
          <w:szCs w:val="20"/>
          <w:color w:val="auto"/>
        </w:rPr>
      </w:pPr>
    </w:p>
    <w:p>
      <w:pPr>
        <w:ind w:right="160" w:firstLine="490"/>
        <w:spacing w:after="0" w:line="252" w:lineRule="auto"/>
        <w:rPr>
          <w:sz w:val="20"/>
          <w:szCs w:val="20"/>
          <w:color w:val="auto"/>
        </w:rPr>
      </w:pPr>
      <w:r>
        <w:rPr>
          <w:rFonts w:ascii="Times New Roman" w:cs="Times New Roman" w:eastAsia="Times New Roman" w:hAnsi="Times New Roman"/>
          <w:sz w:val="20"/>
          <w:szCs w:val="20"/>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spacing w:after="0" w:line="74"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0"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cs="Times New Roman" w:eastAsia="Times New Roman" w:hAnsi="Times New Roman"/>
          <w:sz w:val="20"/>
          <w:szCs w:val="20"/>
          <w:color w:val="auto"/>
        </w:rPr>
        <w:t>.</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 -party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spacing w:after="0" w:line="92"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In October 2022, President Biden signed an executive order to implement the E.U.-U.S. Data Privacy Framework, which would serve as a replacement to the E.U.-U.S. Privacy Shield. The E.U.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any future business we may have at the international level.</w:t>
      </w:r>
    </w:p>
    <w:p>
      <w:pPr>
        <w:spacing w:after="0" w:line="86"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auto"/>
        </w:rPr>
        <w:t>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FTC and state Attorneys General all are aggressive in reviewing privacy and data security protections for consumers. New laws also are being</w:t>
      </w:r>
    </w:p>
    <w:p>
      <w:pPr>
        <w:sectPr>
          <w:pgSz w:w="12240" w:h="15840" w:orient="portrait"/>
          <w:cols w:equalWidth="0" w:num="1">
            <w:col w:w="9880"/>
          </w:cols>
          <w:pgMar w:left="1160" w:top="1132" w:right="1200" w:bottom="175" w:gutter="0" w:footer="0" w:header="0"/>
        </w:sect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880"/>
          </w:cols>
          <w:pgMar w:left="1160" w:top="1132" w:right="1200" w:bottom="175" w:gutter="0" w:footer="0" w:header="0"/>
          <w:type w:val="continuous"/>
        </w:sectPr>
      </w:pPr>
    </w:p>
    <w:bookmarkStart w:id="73" w:name="page74"/>
    <w:bookmarkEnd w:id="73"/>
    <w:p>
      <w:pPr>
        <w:ind w:right="80"/>
        <w:spacing w:after="0" w:line="243" w:lineRule="auto"/>
        <w:rPr>
          <w:sz w:val="20"/>
          <w:szCs w:val="20"/>
          <w:color w:val="auto"/>
        </w:rPr>
      </w:pPr>
      <w:r>
        <w:rPr>
          <w:rFonts w:ascii="Times New Roman" w:cs="Times New Roman" w:eastAsia="Times New Roman" w:hAnsi="Times New Roman"/>
          <w:sz w:val="20"/>
          <w:szCs w:val="20"/>
          <w:color w:val="auto"/>
        </w:rPr>
        <w:t>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spacing w:after="0" w:line="8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 addition,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8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86"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New laws also are being considered at the state level. Most prominently, in California, the California Consumer Protection Act, or the CCPA, as amended by the California Privacy Rights Act, or the CPRA, which went into effect on January 1, 2023, establishes a privacy framework for covered businesses by creating an expansive definition of personal information, establishing data privacy rights for consumers and employees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The CPRA created a new state agency that is vested with authority to implement and enforce the CCPA and the CPRA. While clinical trial data is currently exempt from the current version of the CCPA, other personal information may be applicable and possible changes to the CCPA may broaden its scope.</w:t>
      </w:r>
    </w:p>
    <w:p>
      <w:pPr>
        <w:spacing w:after="0" w:line="86" w:lineRule="exact"/>
        <w:rPr>
          <w:sz w:val="20"/>
          <w:szCs w:val="20"/>
          <w:color w:val="auto"/>
        </w:rPr>
      </w:pPr>
    </w:p>
    <w:p>
      <w:pPr>
        <w:ind w:right="100" w:firstLine="490"/>
        <w:spacing w:after="0" w:line="258" w:lineRule="auto"/>
        <w:rPr>
          <w:sz w:val="20"/>
          <w:szCs w:val="20"/>
          <w:color w:val="auto"/>
        </w:rPr>
      </w:pPr>
      <w:r>
        <w:rPr>
          <w:rFonts w:ascii="Times New Roman" w:cs="Times New Roman" w:eastAsia="Times New Roman" w:hAnsi="Times New Roman"/>
          <w:sz w:val="19"/>
          <w:szCs w:val="19"/>
          <w:color w:val="auto"/>
        </w:rPr>
        <w:t>In addition to California, a number of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considering or have already passed comprehensive privacy laws during the 2023 legislative sessions that will go into effect in 2024 and beyond. There are also states that are specifically regulating health information that may affect our business. For example, Washington state recently passed a health privacy law that will regulate the collection and sharing of health information, and the law also has a private right of action, which further increases the relevant compliance risk. These laws may impact our business activities, including our identification of research subjects, relationships with business partners and ultimately the marketing and distribution of our products.</w:t>
      </w:r>
    </w:p>
    <w:p>
      <w:pPr>
        <w:spacing w:after="0" w:line="71"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77"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Accordingly, any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w:t>
      </w:r>
    </w:p>
    <w:p>
      <w:pPr>
        <w:sectPr>
          <w:pgSz w:w="12240" w:h="15840" w:orient="portrait"/>
          <w:cols w:equalWidth="0" w:num="1">
            <w:col w:w="9920"/>
          </w:cols>
          <w:pgMar w:left="1160" w:top="1132" w:right="1160" w:bottom="175"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920"/>
          </w:cols>
          <w:pgMar w:left="1160" w:top="1132" w:right="1160" w:bottom="175" w:gutter="0" w:footer="0" w:header="0"/>
          <w:type w:val="continuous"/>
        </w:sectPr>
      </w:pPr>
    </w:p>
    <w:bookmarkStart w:id="74" w:name="page75"/>
    <w:bookmarkEnd w:id="74"/>
    <w:p>
      <w:pPr>
        <w:ind w:right="380"/>
        <w:spacing w:after="0" w:line="277" w:lineRule="auto"/>
        <w:rPr>
          <w:sz w:val="20"/>
          <w:szCs w:val="20"/>
          <w:color w:val="auto"/>
        </w:rPr>
      </w:pPr>
      <w:r>
        <w:rPr>
          <w:rFonts w:ascii="Times New Roman" w:cs="Times New Roman" w:eastAsia="Times New Roman" w:hAnsi="Times New Roman"/>
          <w:sz w:val="20"/>
          <w:szCs w:val="20"/>
          <w:color w:val="auto"/>
        </w:rPr>
        <w:t>determined to have violated these laws, government investigations into these issues typically require the expenditure of significant resources and generate negative publicity, which could harm our reputation and our business.</w:t>
      </w:r>
    </w:p>
    <w:p>
      <w:pPr>
        <w:spacing w:after="0" w:line="49"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Laws and regulations governing any international operations we may have in the future may preclude us from developing, manufacturing and selling certain products outside of the U.S. and require us to develop and implement costly compliance programs.</w:t>
      </w:r>
    </w:p>
    <w:p>
      <w:pPr>
        <w:spacing w:after="0" w:line="68"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86"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7"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auto"/>
        </w:rPr>
        <w:t>On February 10, 2025, President Trump issued an Executive Order directing the Attorney General to review the guidelines and policies governing FCPA investigations and enforcement actions. Per the Executive Order, this review will result in new DOJ FCPA guidelines intended to enhance American economic competitiveness and to safeguard national security interests. During the 180-day review period, any new FCPA investigations and enforcement actions are to be suspended absent authorization from the Attorney General, and all existing FCPA investigations and enforcement actions will be reviewed. Additionally, after the Attorney General issues revised guidelines, the Executive Order directs her to assess whether “remedial measures” related to past FCPA actions are warranted. We will need to carefully navigate these developments.</w:t>
      </w:r>
    </w:p>
    <w:p>
      <w:pPr>
        <w:spacing w:after="0" w:line="82" w:lineRule="exact"/>
        <w:rPr>
          <w:sz w:val="20"/>
          <w:szCs w:val="20"/>
          <w:color w:val="auto"/>
        </w:rPr>
      </w:pPr>
    </w:p>
    <w:p>
      <w:pPr>
        <w:ind w:right="80" w:firstLine="490"/>
        <w:spacing w:after="0" w:line="243" w:lineRule="auto"/>
        <w:rPr>
          <w:sz w:val="20"/>
          <w:szCs w:val="20"/>
          <w:color w:val="auto"/>
        </w:rPr>
      </w:pPr>
      <w:r>
        <w:rPr>
          <w:rFonts w:ascii="Times New Roman" w:cs="Times New Roman" w:eastAsia="Times New Roman" w:hAnsi="Times New Roman"/>
          <w:sz w:val="20"/>
          <w:szCs w:val="20"/>
          <w:color w:val="auto"/>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such as the United Kingdom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86"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spacing w:after="0" w:line="68"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68"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harm our business.</w:t>
      </w:r>
    </w:p>
    <w:p>
      <w:pPr>
        <w:spacing w:after="0" w:line="49"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w:t>
      </w:r>
    </w:p>
    <w:p>
      <w:pPr>
        <w:sectPr>
          <w:pgSz w:w="12240" w:h="15840" w:orient="portrait"/>
          <w:cols w:equalWidth="0" w:num="1">
            <w:col w:w="9920"/>
          </w:cols>
          <w:pgMar w:left="1160" w:top="1132" w:right="1160" w:bottom="175"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9920"/>
          </w:cols>
          <w:pgMar w:left="1160" w:top="1132" w:right="1160" w:bottom="175" w:gutter="0" w:footer="0" w:header="0"/>
          <w:type w:val="continuous"/>
        </w:sectPr>
      </w:pPr>
    </w:p>
    <w:bookmarkStart w:id="75" w:name="page76"/>
    <w:bookmarkEnd w:id="75"/>
    <w:p>
      <w:pPr>
        <w:ind w:right="200"/>
        <w:spacing w:after="0" w:line="305" w:lineRule="auto"/>
        <w:rPr>
          <w:sz w:val="20"/>
          <w:szCs w:val="20"/>
          <w:color w:val="auto"/>
        </w:rPr>
      </w:pPr>
      <w:r>
        <w:rPr>
          <w:rFonts w:ascii="Times New Roman" w:cs="Times New Roman" w:eastAsia="Times New Roman" w:hAnsi="Times New Roman"/>
          <w:sz w:val="19"/>
          <w:szCs w:val="19"/>
          <w:color w:val="auto"/>
        </w:rPr>
        <w:t>we could be held liable for any resulting damages and any liability could exceed our resources. We also could incur significant costs associated with civil or criminal fines and penalties for failure to comply with such laws and regulations.</w:t>
      </w:r>
    </w:p>
    <w:p>
      <w:pPr>
        <w:spacing w:after="0" w:line="25"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spacing w:after="0" w:line="74" w:lineRule="exact"/>
        <w:rPr>
          <w:sz w:val="20"/>
          <w:szCs w:val="20"/>
          <w:color w:val="auto"/>
        </w:rPr>
      </w:pPr>
    </w:p>
    <w:p>
      <w:pPr>
        <w:ind w:right="60" w:firstLine="490"/>
        <w:spacing w:after="0" w:line="252"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and operations would suffer in the event of system failures.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Our computer systems, as well as those of our CROs and other third-party contractors and consultants, are vulnerable to damage from cyber-attacks, computer viruses, unauthorized access, sabotage, natural disasters (including hurricanes), terrorism, war and telecommunication and electrical failures. If such an event were to occur and cause interruptions in our operations, it could result in a material disruption of our business and development programs, in addition to possibly requiring substantial expenditures of resources to remedy.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our competitive position could be harmed and the development of Haduvio or any future product candidate could be significantly delayed. In addition, we may not have adequate insurance coverage to provide compensation for any losses associated with such events.</w:t>
      </w:r>
    </w:p>
    <w:p>
      <w:pPr>
        <w:spacing w:after="0" w:line="89" w:lineRule="exact"/>
        <w:rPr>
          <w:sz w:val="20"/>
          <w:szCs w:val="20"/>
          <w:color w:val="auto"/>
        </w:rPr>
      </w:pPr>
    </w:p>
    <w:p>
      <w:pPr>
        <w:ind w:right="80" w:firstLine="490"/>
        <w:spacing w:after="0" w:line="242" w:lineRule="auto"/>
        <w:rPr>
          <w:sz w:val="20"/>
          <w:szCs w:val="20"/>
          <w:color w:val="auto"/>
        </w:rPr>
      </w:pPr>
      <w:r>
        <w:rPr>
          <w:rFonts w:ascii="Times New Roman" w:cs="Times New Roman" w:eastAsia="Times New Roman" w:hAnsi="Times New Roman"/>
          <w:sz w:val="20"/>
          <w:szCs w:val="20"/>
          <w:color w:val="auto"/>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Additionally, the risk of a security breach or disruption through cyber-attacks has generally increased as the number, intensity and sophistication of attempted attacks from around the world have increased.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9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the FDA or comparable foreign regulatory authorities approve generic versions of any of our future products that receive marketing approval through the NDA pathway, or such authorities do not grant such future products appropriate periods of data exclusivity before approving generic versions of our products, our sales could be adversely affected.</w:t>
      </w:r>
    </w:p>
    <w:p>
      <w:pPr>
        <w:spacing w:after="0" w:line="7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Once an NDA is approved, the product covered thereby becomes a “reference-listed drug” in the FDA’s publication, “Approved Drug Products with Therapeutic Equivalence Evaluations,” commonly known as the Orange Book. Manufacturers may seek approval of generic versions of reference-listed drugs through submission of ANDAs in the U.S.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is typically lost to the generic product.</w:t>
      </w:r>
    </w:p>
    <w:p>
      <w:pPr>
        <w:spacing w:after="0" w:line="82"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auto"/>
        </w:rPr>
        <w:t>The FDA may not approve an ANDA for a generic product until any applicable period of non-patent exclusivity for the reference-listed drug has expired. The FDCA provides a period of five years of non-patent exclusivity for a new drug containing a new chemical entity, or NCE. For the purposes of this provision, an NCE is a drug that contains no active moiety that has previously been approved by the FDA in any other NDA. This interpretation was confirmed with enactment</w:t>
      </w:r>
    </w:p>
    <w:p>
      <w:pPr>
        <w:sectPr>
          <w:pgSz w:w="12240" w:h="15840" w:orient="portrait"/>
          <w:cols w:equalWidth="0" w:num="1">
            <w:col w:w="9920"/>
          </w:cols>
          <w:pgMar w:left="1160" w:top="1132" w:right="1160" w:bottom="175"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9920"/>
          </w:cols>
          <w:pgMar w:left="1160" w:top="1132" w:right="1160" w:bottom="175" w:gutter="0" w:footer="0" w:header="0"/>
          <w:type w:val="continuous"/>
        </w:sectPr>
      </w:pPr>
    </w:p>
    <w:bookmarkStart w:id="76" w:name="page77"/>
    <w:bookmarkEnd w:id="76"/>
    <w:p>
      <w:pPr>
        <w:ind w:right="40"/>
        <w:spacing w:after="0" w:line="245" w:lineRule="auto"/>
        <w:rPr>
          <w:sz w:val="20"/>
          <w:szCs w:val="20"/>
          <w:color w:val="auto"/>
        </w:rPr>
      </w:pPr>
      <w:r>
        <w:rPr>
          <w:rFonts w:ascii="Times New Roman" w:cs="Times New Roman" w:eastAsia="Times New Roman" w:hAnsi="Times New Roman"/>
          <w:sz w:val="20"/>
          <w:szCs w:val="20"/>
          <w:color w:val="auto"/>
        </w:rPr>
        <w:t>of the Ensuring Innovation Act in April 2021. An active moiety is the molecule or ion responsible for the physiological or pharmacological action of the drug substance. Specifically, in cases where such exclusivity has been granted, an ANDA may not be submitted to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for a period of three years of exclusivity if the NDA includes reports of one or more new clinical trials, other than bioavailability or bioequivalence studies, that were conducted by or for the applicant and are essential to the approval of the application.</w:t>
      </w:r>
    </w:p>
    <w:p>
      <w:pPr>
        <w:spacing w:after="0" w:line="82"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Generic drug manufacturers may seek to launch generic products following the expiration of any applicable exclusivity period we obtain if our product candidates are approved, even if we still have patent protection for such product candidates. Competition that any such product candidates of ours may face from generic versions of such products could materially and adversely impact our future revenue, profitability, and cash flows and substantially limit our ability to obtain a return on the investments we may make in those product candidates.</w:t>
      </w:r>
    </w:p>
    <w:p>
      <w:pPr>
        <w:spacing w:after="0" w:line="77"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49"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experiences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and Managing our Growth</w:t>
      </w:r>
    </w:p>
    <w:p>
      <w:pPr>
        <w:spacing w:after="0" w:line="12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our executive team and to attract, retain and motivate qualified personnel.</w:t>
      </w:r>
    </w:p>
    <w:p>
      <w:pPr>
        <w:spacing w:after="0" w:line="30" w:lineRule="exact"/>
        <w:rPr>
          <w:sz w:val="20"/>
          <w:szCs w:val="20"/>
          <w:color w:val="auto"/>
        </w:rPr>
      </w:pPr>
    </w:p>
    <w:p>
      <w:pPr>
        <w:jc w:val="both"/>
        <w:ind w:right="180" w:firstLine="490"/>
        <w:spacing w:after="0" w:line="231" w:lineRule="auto"/>
        <w:rPr>
          <w:sz w:val="20"/>
          <w:szCs w:val="20"/>
          <w:color w:val="auto"/>
        </w:rPr>
      </w:pPr>
      <w:r>
        <w:rPr>
          <w:rFonts w:ascii="Times New Roman" w:cs="Times New Roman" w:eastAsia="Times New Roman" w:hAnsi="Times New Roman"/>
          <w:sz w:val="20"/>
          <w:szCs w:val="20"/>
          <w:color w:val="auto"/>
        </w:rPr>
        <w:t xml:space="preserve">We are highly dependent on </w:t>
      </w:r>
      <w:r>
        <w:rPr>
          <w:rFonts w:ascii="Times New Roman" w:cs="Times New Roman" w:eastAsia="Times New Roman" w:hAnsi="Times New Roman"/>
          <w:sz w:val="19"/>
          <w:szCs w:val="19"/>
          <w:color w:val="auto"/>
        </w:rPr>
        <w:t>our executive leadership and scientific teams.</w:t>
      </w:r>
      <w:r>
        <w:rPr>
          <w:rFonts w:ascii="Times New Roman" w:cs="Times New Roman" w:eastAsia="Times New Roman" w:hAnsi="Times New Roman"/>
          <w:sz w:val="20"/>
          <w:szCs w:val="20"/>
          <w:color w:val="auto"/>
        </w:rPr>
        <w:t xml:space="preserve">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spacing w:after="0" w:line="81"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82"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sectPr>
          <w:pgSz w:w="12240" w:h="15840" w:orient="portrait"/>
          <w:cols w:equalWidth="0" w:num="1">
            <w:col w:w="9920"/>
          </w:cols>
          <w:pgMar w:left="1160" w:top="1132"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9920"/>
          </w:cols>
          <w:pgMar w:left="1160" w:top="1132" w:right="1160" w:bottom="175" w:gutter="0" w:footer="0" w:header="0"/>
          <w:type w:val="continuous"/>
        </w:sectPr>
      </w:pPr>
    </w:p>
    <w:bookmarkStart w:id="77" w:name="page78"/>
    <w:bookmarkEnd w:id="77"/>
    <w:p>
      <w:pPr>
        <w:ind w:left="8" w:right="7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expand our organization, we may encounter difficulties in managing our growth, which could disrupt our operations.</w:t>
      </w:r>
    </w:p>
    <w:p>
      <w:pPr>
        <w:spacing w:after="0" w:line="49" w:lineRule="exact"/>
        <w:rPr>
          <w:sz w:val="20"/>
          <w:szCs w:val="20"/>
          <w:color w:val="auto"/>
        </w:rPr>
      </w:pPr>
    </w:p>
    <w:p>
      <w:pPr>
        <w:ind w:left="8" w:firstLine="490"/>
        <w:spacing w:after="0" w:line="257" w:lineRule="auto"/>
        <w:rPr>
          <w:sz w:val="20"/>
          <w:szCs w:val="20"/>
          <w:color w:val="auto"/>
        </w:rPr>
      </w:pPr>
      <w:r>
        <w:rPr>
          <w:rFonts w:ascii="Times New Roman" w:cs="Times New Roman" w:eastAsia="Times New Roman" w:hAnsi="Times New Roman"/>
          <w:sz w:val="19"/>
          <w:szCs w:val="19"/>
          <w:color w:val="auto"/>
        </w:rPr>
        <w:t>As of December 31, 2025, we had 34 employees. We may experience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 could be reduced and we may be unable to implement our business strategy, including the successful commercialization of any product candidate.</w:t>
      </w:r>
    </w:p>
    <w:p>
      <w:pPr>
        <w:spacing w:after="0" w:line="69" w:lineRule="exact"/>
        <w:rPr>
          <w:sz w:val="20"/>
          <w:szCs w:val="20"/>
          <w:color w:val="auto"/>
        </w:rPr>
      </w:pPr>
    </w:p>
    <w:p>
      <w:pPr>
        <w:ind w:left="8" w:right="3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and consultants may engage in misconduct or other improper activities, including non-compliance with regulatory standards and requirements, which could cause significant liability for us and harm our reputation.</w:t>
      </w:r>
    </w:p>
    <w:p>
      <w:pPr>
        <w:spacing w:after="0" w:line="68" w:lineRule="exact"/>
        <w:rPr>
          <w:sz w:val="20"/>
          <w:szCs w:val="20"/>
          <w:color w:val="auto"/>
        </w:rPr>
      </w:pPr>
    </w:p>
    <w:p>
      <w:pPr>
        <w:ind w:left="8" w:right="40" w:firstLine="490"/>
        <w:spacing w:after="0" w:line="242" w:lineRule="auto"/>
        <w:rPr>
          <w:sz w:val="20"/>
          <w:szCs w:val="20"/>
          <w:color w:val="auto"/>
        </w:rPr>
      </w:pPr>
      <w:r>
        <w:rPr>
          <w:rFonts w:ascii="Times New Roman" w:cs="Times New Roman" w:eastAsia="Times New Roman" w:hAnsi="Times New Roman"/>
          <w:sz w:val="20"/>
          <w:szCs w:val="20"/>
          <w:color w:val="auto"/>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spacing w:after="0" w:line="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24" w:lineRule="exact"/>
        <w:rPr>
          <w:sz w:val="20"/>
          <w:szCs w:val="20"/>
          <w:color w:val="auto"/>
        </w:rPr>
      </w:pPr>
    </w:p>
    <w:p>
      <w:pPr>
        <w:ind w:left="8" w:right="1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The trading price of our common stock is highly volatile, which could result in substantial losses for purchasers of our common stock.</w:t>
      </w:r>
    </w:p>
    <w:p>
      <w:pPr>
        <w:spacing w:after="0" w:line="49" w:lineRule="exact"/>
        <w:rPr>
          <w:sz w:val="20"/>
          <w:szCs w:val="20"/>
          <w:color w:val="auto"/>
        </w:rPr>
      </w:pPr>
    </w:p>
    <w:p>
      <w:pPr>
        <w:ind w:left="8" w:right="60" w:firstLine="490"/>
        <w:spacing w:after="0" w:line="252" w:lineRule="auto"/>
        <w:rPr>
          <w:sz w:val="20"/>
          <w:szCs w:val="20"/>
          <w:color w:val="auto"/>
        </w:rPr>
      </w:pPr>
      <w:r>
        <w:rPr>
          <w:rFonts w:ascii="Times New Roman" w:cs="Times New Roman" w:eastAsia="Times New Roman" w:hAnsi="Times New Roman"/>
          <w:sz w:val="20"/>
          <w:szCs w:val="20"/>
          <w:color w:val="auto"/>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spacing w:after="0" w:line="88" w:lineRule="exact"/>
        <w:rPr>
          <w:sz w:val="20"/>
          <w:szCs w:val="20"/>
          <w:color w:val="auto"/>
        </w:rPr>
      </w:pPr>
    </w:p>
    <w:p>
      <w:pPr>
        <w:ind w:left="488" w:hanging="488"/>
        <w:spacing w:after="0"/>
        <w:tabs>
          <w:tab w:leader="none" w:pos="488"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results of clinical trials of Haduvio or any future product candidates;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success of existing or new competitive products or technologies;</w:t>
      </w:r>
    </w:p>
    <w:p>
      <w:pPr>
        <w:spacing w:after="0" w:line="133" w:lineRule="exact"/>
        <w:rPr>
          <w:rFonts w:ascii="Arial" w:cs="Arial" w:eastAsia="Arial" w:hAnsi="Arial"/>
          <w:sz w:val="20"/>
          <w:szCs w:val="20"/>
          <w:color w:val="auto"/>
        </w:rPr>
      </w:pPr>
    </w:p>
    <w:p>
      <w:pPr>
        <w:ind w:left="488" w:right="380" w:hanging="488"/>
        <w:spacing w:after="0" w:line="276" w:lineRule="auto"/>
        <w:tabs>
          <w:tab w:leader="none" w:pos="488"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actions with respect to Haduvio or any future product candidates or competitors’ products and product candidates;</w:t>
      </w:r>
    </w:p>
    <w:p>
      <w:pPr>
        <w:spacing w:after="0" w:line="64" w:lineRule="exact"/>
        <w:rPr>
          <w:rFonts w:ascii="Arial" w:cs="Arial" w:eastAsia="Arial" w:hAnsi="Arial"/>
          <w:sz w:val="20"/>
          <w:szCs w:val="20"/>
          <w:color w:val="auto"/>
        </w:rPr>
      </w:pPr>
    </w:p>
    <w:p>
      <w:pPr>
        <w:ind w:left="488" w:right="1020" w:hanging="488"/>
        <w:spacing w:after="0" w:line="276" w:lineRule="auto"/>
        <w:tabs>
          <w:tab w:leader="none" w:pos="488"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us or our competitors of significant acquisitions, strategic partnerships, joint ventures, collaborations or capital commitments;</w:t>
      </w:r>
    </w:p>
    <w:p>
      <w:pPr>
        <w:spacing w:after="0" w:line="64" w:lineRule="exact"/>
        <w:rPr>
          <w:rFonts w:ascii="Arial" w:cs="Arial" w:eastAsia="Arial" w:hAnsi="Arial"/>
          <w:sz w:val="20"/>
          <w:szCs w:val="20"/>
          <w:color w:val="auto"/>
        </w:rPr>
      </w:pPr>
    </w:p>
    <w:p>
      <w:pPr>
        <w:ind w:left="488" w:hanging="488"/>
        <w:spacing w:after="0"/>
        <w:tabs>
          <w:tab w:leader="none" w:pos="488"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commencement or termination of collaborations for our development programs;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failure or discontinuation of any of our development programs;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results of clinical trials of product candidates of our competitors;</w:t>
      </w:r>
    </w:p>
    <w:p>
      <w:pPr>
        <w:sectPr>
          <w:pgSz w:w="12240" w:h="15840" w:orient="portrait"/>
          <w:cols w:equalWidth="0" w:num="1">
            <w:col w:w="9928"/>
          </w:cols>
          <w:pgMar w:left="1152" w:top="1132" w:right="1160" w:bottom="175" w:gutter="0" w:footer="0" w:header="0"/>
        </w:sectPr>
      </w:pPr>
    </w:p>
    <w:p>
      <w:pPr>
        <w:spacing w:after="0" w:line="3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9928"/>
          </w:cols>
          <w:pgMar w:left="1152" w:top="1132" w:right="1160" w:bottom="175" w:gutter="0" w:footer="0" w:header="0"/>
          <w:type w:val="continuous"/>
        </w:sectPr>
      </w:pPr>
    </w:p>
    <w:bookmarkStart w:id="78" w:name="page79"/>
    <w:bookmarkEnd w:id="78"/>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or legal developments in the U.S. and other countries;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developments or disputes concerning patent applications, issued patents or other intellectual property rights;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recruitment or departure of key personnel;</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expenses related to any of our development programs;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results of our efforts to discover, develop, acquire or in-license additional product candidates;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changes in estimated financial results or development timelines;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or expectations of additional financing efforts;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sales of our common stock by us, our insiders or other stockholders;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expiration of market stand-off or lock-up agreements;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variations in our financial results or those of companies that are perceived to be similar to us;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recommendations and changes in estimates or recommendations by securities analysts, if any, that cover our stock;</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structure of healthcare payment systems in the U.S. and other countries;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market conditions in the pharmaceutical and biotechnology sectors;</w:t>
      </w:r>
    </w:p>
    <w:p>
      <w:pPr>
        <w:spacing w:after="0" w:line="133" w:lineRule="exact"/>
        <w:rPr>
          <w:rFonts w:ascii="Arial" w:cs="Arial" w:eastAsia="Arial" w:hAnsi="Arial"/>
          <w:sz w:val="20"/>
          <w:szCs w:val="20"/>
          <w:color w:val="auto"/>
        </w:rPr>
      </w:pPr>
    </w:p>
    <w:p>
      <w:pPr>
        <w:jc w:val="both"/>
        <w:ind w:left="488" w:hanging="488"/>
        <w:spacing w:after="0" w:line="258" w:lineRule="auto"/>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industry and market conditions, including recent adverse changes in the domestic and international financial markets, the impacts of inflation and the implementation of trade barriers and tariffs and government action in response thereto;</w:t>
      </w:r>
    </w:p>
    <w:p>
      <w:pPr>
        <w:spacing w:after="0" w:line="81"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our listing on the Nasdaq Global Market;</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continue as a going concern; and</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other factors and considerations described in this “Risk Factors” section.</w:t>
      </w:r>
    </w:p>
    <w:p>
      <w:pPr>
        <w:spacing w:after="0" w:line="119" w:lineRule="exact"/>
        <w:rPr>
          <w:sz w:val="20"/>
          <w:szCs w:val="20"/>
          <w:color w:val="auto"/>
        </w:rPr>
      </w:pPr>
    </w:p>
    <w:p>
      <w:pPr>
        <w:ind w:left="8" w:right="100" w:firstLine="490"/>
        <w:spacing w:after="0" w:line="252" w:lineRule="auto"/>
        <w:rPr>
          <w:sz w:val="20"/>
          <w:szCs w:val="20"/>
          <w:color w:val="auto"/>
        </w:rPr>
      </w:pPr>
      <w:r>
        <w:rPr>
          <w:rFonts w:ascii="Times New Roman" w:cs="Times New Roman" w:eastAsia="Times New Roman" w:hAnsi="Times New Roman"/>
          <w:sz w:val="20"/>
          <w:szCs w:val="20"/>
          <w:color w:val="auto"/>
        </w:rPr>
        <w:t>In addition, inflation and interest rate increases and other factors have negatively affected, and may in the future negatively affect, the stock market and investor sentiment. The price and volatility of our common stock may be disproportionately affected as investors may favor traditional profit-making industries and companies during such times of market uncertainty and instability.</w:t>
      </w:r>
    </w:p>
    <w:p>
      <w:pPr>
        <w:spacing w:after="0" w:line="74" w:lineRule="exact"/>
        <w:rPr>
          <w:sz w:val="20"/>
          <w:szCs w:val="20"/>
          <w:color w:val="auto"/>
        </w:rPr>
      </w:pPr>
    </w:p>
    <w:p>
      <w:pPr>
        <w:ind w:left="8"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and uncertainty surrounding U.S. and international trade policies may adversely impact on our business, financial condition and results of operations.</w:t>
      </w:r>
    </w:p>
    <w:p>
      <w:pPr>
        <w:spacing w:after="0" w:line="49" w:lineRule="exact"/>
        <w:rPr>
          <w:sz w:val="20"/>
          <w:szCs w:val="20"/>
          <w:color w:val="auto"/>
        </w:rPr>
      </w:pPr>
    </w:p>
    <w:p>
      <w:pPr>
        <w:ind w:left="8" w:firstLine="490"/>
        <w:spacing w:after="0" w:line="243" w:lineRule="auto"/>
        <w:rPr>
          <w:sz w:val="20"/>
          <w:szCs w:val="20"/>
          <w:color w:val="auto"/>
        </w:rPr>
      </w:pPr>
      <w:r>
        <w:rPr>
          <w:rFonts w:ascii="Times New Roman" w:cs="Times New Roman" w:eastAsia="Times New Roman" w:hAnsi="Times New Roman"/>
          <w:sz w:val="20"/>
          <w:szCs w:val="20"/>
          <w:color w:val="auto"/>
        </w:rPr>
        <w:t>In the spring of 2025, the Trump Administration initiated a series of tariff-related actions against U.S. trading partners. On April 2, 2025, the President issued an Executive Order announcing a “baseline” reciprocal tariff of 10% on all U.S. trading partners effective April 5, 2025 and higher individualized reciprocal tariffs on 57 countries (with certain product exemptions for pharmaceutical-related products, among others). Previously, the administration had imposed a 25% tariff on Canada and Mexico for goods not covered by the United States-Mexico-Canada Agreement, or USMCA, and tariffs due to drug trafficking equaling 20% on imports from China. In response, several countries threatened retaliatory measures, including Canada and China, which then imposed retaliatory tariffs. Prior to when the country-specific reciprocal tariffs were scheduled to take effect, the administration delayed the effective date of such tariffs for all countries except China to August 1, 2025. Later, the U.S. and China reached a framework agreement that ultimately resulted in the suspension of the higher reciprocal tariffs on China until November 10, 2025. Shortly before that expiration date, the United States and China reached a one-year agreement with an expiration of November 10, 2026, that includes the continued suspension of the heightened reciprocal tariffs on China and delayed enforcement of new U.S. export rules targeting affiliates of blacklisted firms.</w:t>
      </w:r>
    </w:p>
    <w:p>
      <w:pPr>
        <w:spacing w:after="0" w:line="83" w:lineRule="exact"/>
        <w:rPr>
          <w:sz w:val="20"/>
          <w:szCs w:val="20"/>
          <w:color w:val="auto"/>
        </w:rPr>
      </w:pPr>
    </w:p>
    <w:p>
      <w:pPr>
        <w:ind w:left="8" w:right="20" w:firstLine="490"/>
        <w:spacing w:after="0" w:line="244" w:lineRule="auto"/>
        <w:rPr>
          <w:sz w:val="20"/>
          <w:szCs w:val="20"/>
          <w:color w:val="auto"/>
        </w:rPr>
      </w:pPr>
      <w:r>
        <w:rPr>
          <w:rFonts w:ascii="Times New Roman" w:cs="Times New Roman" w:eastAsia="Times New Roman" w:hAnsi="Times New Roman"/>
          <w:sz w:val="20"/>
          <w:szCs w:val="20"/>
          <w:color w:val="auto"/>
        </w:rPr>
        <w:t>Since the April reciprocal tariffs announcement, several countries have also reached deals with the U.S. that include reduced tariff rates to varying levels and other measures. On July 31, 2025, President Trump issued an Executive Order detailing new reciprocal tariff rates for individual countries that took effect on August 7, 2025. The deal with the European Union, Japan, South Korea, Switzerland (and Liechtenstein), the United Kingdom and others cap pharmaceutical tariffs at 15%. In addition, an agreement with Malaysia provides a zero percent tariff exemption for pharmaceutical products that are not patented in the United States and are used in pharmaceutical applications and an agreement with Switzerland and Lichenstein caps tariffs on pharmaceuticals imported from those two countries at 15%. Finally, an agreement with Taiwan concluded on January 15, 2026, eliminates tariffs on generic pharmaceuticals and their active ingredients imported from Taiwan.</w:t>
      </w:r>
    </w:p>
    <w:p>
      <w:pPr>
        <w:sectPr>
          <w:pgSz w:w="12240" w:h="15840" w:orient="portrait"/>
          <w:cols w:equalWidth="0" w:num="1">
            <w:col w:w="9908"/>
          </w:cols>
          <w:pgMar w:left="1152" w:top="1146" w:right="1180" w:bottom="175" w:gutter="0" w:footer="0" w:header="0"/>
        </w:sectPr>
      </w:pPr>
    </w:p>
    <w:p>
      <w:pPr>
        <w:spacing w:after="0" w:line="249"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9908"/>
          </w:cols>
          <w:pgMar w:left="1152" w:top="1146" w:right="1180" w:bottom="175" w:gutter="0" w:footer="0" w:header="0"/>
          <w:type w:val="continuous"/>
        </w:sectPr>
      </w:pPr>
    </w:p>
    <w:bookmarkStart w:id="79" w:name="page80"/>
    <w:bookmarkEnd w:id="79"/>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reciprocal tariffs were imposed by Trump pursuant to the International Emergency Economic Powers Act, or the IEEPA. These tariffs were found to be unconstitutional by multiple federal courts in the spring and summer of 2025. On February 20, 2026, the U.S. Supreme Court held that the IEEPA does not authorize the President to impose tariffs, invalidating both the reciprocal tariffs and the drug trafficking tariffs. Shortly thereafter, the President issued a new Executive Order revoking the IEEPA tariffs and Customs and Border Protection ceased collecting the tariffs as of 12:01 am on February 24, 2026. At the same time, however, the Trump Administration imposed a new 10% global tariff under Section 122 of the Trade Act of 1974, effective February 24, 2026. Pursuant to the statute, absent an extension by Congress, these tariffs will expire 150 days later on July 24, 2026. For those countries that have concluded trade deals with the United States, the tariff rates agreed to – including with regard to pharmaceuticals and pharmaceutical ingredients - have now reverted to 10% until July 24, 2026.</w:t>
      </w:r>
    </w:p>
    <w:p>
      <w:pPr>
        <w:spacing w:after="0" w:line="82"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Like the IEEPA tariffs, pharmaceuticals and pharmaceutical ingredients are exempt from the Section 122 tariffs along with a list of other products. The Trump Administration has announced that it also plans to initiate new investigations on “most major trading partners” under Section 301 of the same act, which will likely lead to additional tariffs.</w:t>
      </w:r>
    </w:p>
    <w:p>
      <w:pPr>
        <w:spacing w:after="0" w:line="68" w:lineRule="exact"/>
        <w:rPr>
          <w:sz w:val="20"/>
          <w:szCs w:val="20"/>
          <w:color w:val="auto"/>
        </w:rPr>
      </w:pPr>
    </w:p>
    <w:p>
      <w:pPr>
        <w:ind w:right="60" w:firstLine="490"/>
        <w:spacing w:after="0" w:line="258" w:lineRule="auto"/>
        <w:rPr>
          <w:sz w:val="20"/>
          <w:szCs w:val="20"/>
          <w:color w:val="auto"/>
        </w:rPr>
      </w:pPr>
      <w:r>
        <w:rPr>
          <w:rFonts w:ascii="Times New Roman" w:cs="Times New Roman" w:eastAsia="Times New Roman" w:hAnsi="Times New Roman"/>
          <w:sz w:val="20"/>
          <w:szCs w:val="20"/>
          <w:color w:val="auto"/>
        </w:rPr>
        <w:t>Neither the U.S. Supreme Court’s decision nor the Executive Order revoking the IEEPA tariffs addressed refunds, leaving the issue to renewed proceedings before the U.S. Court of International Trade, where importers may need to pursue administrative remedies and/or litigation amid continued uncertainty.</w:t>
      </w:r>
    </w:p>
    <w:p>
      <w:pPr>
        <w:spacing w:after="0" w:line="68" w:lineRule="exact"/>
        <w:rPr>
          <w:sz w:val="20"/>
          <w:szCs w:val="20"/>
          <w:color w:val="auto"/>
        </w:rPr>
      </w:pPr>
    </w:p>
    <w:p>
      <w:pPr>
        <w:ind w:right="100" w:firstLine="490"/>
        <w:spacing w:after="0" w:line="252" w:lineRule="auto"/>
        <w:rPr>
          <w:sz w:val="20"/>
          <w:szCs w:val="20"/>
          <w:color w:val="auto"/>
        </w:rPr>
      </w:pPr>
      <w:r>
        <w:rPr>
          <w:rFonts w:ascii="Times New Roman" w:cs="Times New Roman" w:eastAsia="Times New Roman" w:hAnsi="Times New Roman"/>
          <w:sz w:val="20"/>
          <w:szCs w:val="20"/>
          <w:color w:val="auto"/>
        </w:rPr>
        <w:t>Sustained uncertainty about, or the further escalation of, trade and political tensions between the United States and China could result in a disadvantageous research and manufacturing environment in China, particularly for U.S.-based companies, including retaliatory restrictions that hinder or potentially inhibit our ability to rely on CMOs and other service providers that operate in China.</w:t>
      </w:r>
    </w:p>
    <w:p>
      <w:pPr>
        <w:spacing w:after="0" w:line="74"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19"/>
          <w:szCs w:val="19"/>
          <w:color w:val="auto"/>
        </w:rPr>
        <w:t>Separately, in April 2025, the U.S.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 On September 25, 2025, via a post on Truth Social, President Trump announced that, beginning October 1, 2025, all branded or patented drugs imported in the U.S. would face a 100% tariff. At the same time, Trump indicated that these tariffs could be avoided by building pharmaceutical manufacturing facilities in the U.S. Thereafter, Trump delayed the October 1st effective date of the tariffs on branded or patented pharmaceutical products announcing that the Administration had now “begun preparing” tariffs on manufacturers that don’t build in the U.S. or enter into an MFN drug pricing agreement with the Trump administration.</w:t>
      </w:r>
    </w:p>
    <w:p>
      <w:pPr>
        <w:spacing w:after="0" w:line="6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As a result of changes in tariffs that have been announced and/or implemented, and the underlying uncertainty currently surrounding tariffs and international trade, we could experience a negative impact to our costs of materials and production processes, and supply chain disruptions and delays as a result of these and any new tariff policies or trade restrictions.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be subject to securities class action litigation.</w:t>
      </w:r>
    </w:p>
    <w:p>
      <w:pPr>
        <w:spacing w:after="0" w:line="116"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spacing w:after="0" w:line="55" w:lineRule="exact"/>
        <w:rPr>
          <w:sz w:val="20"/>
          <w:szCs w:val="20"/>
          <w:color w:val="auto"/>
        </w:rPr>
      </w:pPr>
    </w:p>
    <w:p>
      <w:pPr>
        <w:ind w:right="5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publish inaccurate or unfavorable research about our business, the trading price and volume of our shares could decline.</w:t>
      </w:r>
    </w:p>
    <w:p>
      <w:pPr>
        <w:spacing w:after="0" w:line="68"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p>
    <w:p>
      <w:pPr>
        <w:spacing w:after="0" w:line="6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Future sales of shares of our common stock, including by us, employees and significant stockholders, could negatively affect our stock price.</w:t>
      </w:r>
    </w:p>
    <w:p>
      <w:pPr>
        <w:spacing w:after="0" w:line="68" w:lineRule="exact"/>
        <w:rPr>
          <w:sz w:val="20"/>
          <w:szCs w:val="20"/>
          <w:color w:val="auto"/>
        </w:rPr>
      </w:pPr>
    </w:p>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sectPr>
          <w:pgSz w:w="12240" w:h="15840" w:orient="portrait"/>
          <w:cols w:equalWidth="0" w:num="1">
            <w:col w:w="9920"/>
          </w:cols>
          <w:pgMar w:left="1160" w:top="1132" w:right="1160" w:bottom="175" w:gutter="0" w:footer="0" w:header="0"/>
        </w:sect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9920"/>
          </w:cols>
          <w:pgMar w:left="1160" w:top="1132" w:right="1160" w:bottom="175" w:gutter="0" w:footer="0" w:header="0"/>
          <w:type w:val="continuous"/>
        </w:sectPr>
      </w:pPr>
    </w:p>
    <w:bookmarkStart w:id="80" w:name="page81"/>
    <w:bookmarkEnd w:id="80"/>
    <w:p>
      <w:pPr>
        <w:ind w:right="260" w:firstLine="490"/>
        <w:spacing w:after="0" w:line="258" w:lineRule="auto"/>
        <w:rPr>
          <w:sz w:val="20"/>
          <w:szCs w:val="20"/>
          <w:color w:val="auto"/>
        </w:rPr>
      </w:pPr>
      <w:r>
        <w:rPr>
          <w:rFonts w:ascii="Times New Roman" w:cs="Times New Roman" w:eastAsia="Times New Roman" w:hAnsi="Times New Roman"/>
          <w:sz w:val="20"/>
          <w:szCs w:val="20"/>
          <w:color w:val="auto"/>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68" w:lineRule="exact"/>
        <w:rPr>
          <w:sz w:val="20"/>
          <w:szCs w:val="20"/>
          <w:color w:val="auto"/>
        </w:rPr>
      </w:pPr>
    </w:p>
    <w:p>
      <w:pPr>
        <w:ind w:right="20" w:firstLine="490"/>
        <w:spacing w:after="0" w:line="258" w:lineRule="auto"/>
        <w:rPr>
          <w:sz w:val="20"/>
          <w:szCs w:val="20"/>
          <w:color w:val="auto"/>
        </w:rPr>
      </w:pPr>
      <w:r>
        <w:rPr>
          <w:rFonts w:ascii="Times New Roman" w:cs="Times New Roman" w:eastAsia="Times New Roman" w:hAnsi="Times New Roman"/>
          <w:sz w:val="20"/>
          <w:szCs w:val="20"/>
          <w:color w:val="auto"/>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spacing w:after="0" w:line="68" w:lineRule="exact"/>
        <w:rPr>
          <w:sz w:val="20"/>
          <w:szCs w:val="20"/>
          <w:color w:val="auto"/>
        </w:rPr>
      </w:pPr>
    </w:p>
    <w:p>
      <w:pPr>
        <w:ind w:right="180" w:firstLine="490"/>
        <w:spacing w:after="0" w:line="252" w:lineRule="auto"/>
        <w:rPr>
          <w:sz w:val="20"/>
          <w:szCs w:val="20"/>
          <w:color w:val="auto"/>
        </w:rPr>
      </w:pPr>
      <w:r>
        <w:rPr>
          <w:rFonts w:ascii="Times New Roman" w:cs="Times New Roman" w:eastAsia="Times New Roman" w:hAnsi="Times New Roman"/>
          <w:sz w:val="20"/>
          <w:szCs w:val="20"/>
          <w:color w:val="auto"/>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spacing w:after="0" w:line="74" w:lineRule="exact"/>
        <w:rPr>
          <w:sz w:val="20"/>
          <w:szCs w:val="20"/>
          <w:color w:val="auto"/>
        </w:rPr>
      </w:pPr>
    </w:p>
    <w:p>
      <w:pPr>
        <w:ind w:firstLine="490"/>
        <w:spacing w:after="0" w:line="261" w:lineRule="auto"/>
        <w:rPr>
          <w:sz w:val="20"/>
          <w:szCs w:val="20"/>
          <w:color w:val="auto"/>
        </w:rPr>
      </w:pPr>
      <w:r>
        <w:rPr>
          <w:rFonts w:ascii="Times New Roman" w:cs="Times New Roman" w:eastAsia="Times New Roman" w:hAnsi="Times New Roman"/>
          <w:sz w:val="20"/>
          <w:szCs w:val="20"/>
          <w:color w:val="auto"/>
        </w:rPr>
        <w:t>In June 2023, we filed with the SEC a universal shelf registration statement on Form S-3, or the 2023 Shelf Registration Statement, which allowed us to offer and sell up to $200.0 million of common stock, preferred stock, debt securities, units and/or warrants from time to time pursuant to one or more offerings at prices and terms to be determined at the time of sale. The 2023 Shelf Registration Statement was declared effective on August 15, 2023. In June 2023, we entered into a new at-the-market sales agreement, or the ATM Sales Agreement, with Leerink Partners LLC (formerly SVB Securities LLC) and filed a prospectus under our 2023 Shelf Registration Statement for the offer and sale of shares of our common stock having an aggregate offering price of up to $75.0 million pursuant to the ATM Sales Agreement. In accordance with the terms of the ATM Sales Agreement, the sales agreement we had entered into with SVB Securities LLC in 2020 terminated upon effectiveness of the 2023 Shelf Registration Statement, at which point we were no longer able to issue and sell shares of our common stock under such prior sales agreement. From time to time, we may offer and sell under the ATM Sales Agreement common stock registered under the 2023 Shelf Registration Statement pursuant to one or more “at-the-market” offerings. The extent to which we utilize the ATM Sales Agreement as a source of funding depends on a number of factors, including the prevailing market price of our common stock, general market conditions and the extent to which we are able to secure funds from other sources.</w:t>
      </w:r>
    </w:p>
    <w:p>
      <w:pPr>
        <w:spacing w:after="0" w:line="93"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In November 2025, we filed an automatic universal shelf registration statement on Form S-3, or the 2025 Shelf Registration Statement, with the SEC, which became effective upon filing. The 2025 Shelf Registration Statement permits us to offer and sell an indeterminate amount of common stock, preferred stock, debt securities, units and/or warrants from time to time pursuant to one or more offerings at prices and terms to be determined at the time of sale. The 2025 Shelf Registration Statement was filed to replace our prior universal shelf registration statement. Concurrently with the filing of the 2025 Shelf Registration Statement, we filed a new prospectus supplement pursuant to which shares of our common stock having an aggregate offering price of up to $200.0 million may be offered and sold from time to time under the ATM Sales Agreement. No shares were sold under the ATM Sales Agreement during the twelve months ended December 31, 2025.</w:t>
      </w:r>
    </w:p>
    <w:p>
      <w:pPr>
        <w:spacing w:after="0" w:line="86" w:lineRule="exact"/>
        <w:rPr>
          <w:sz w:val="20"/>
          <w:szCs w:val="20"/>
          <w:color w:val="auto"/>
        </w:rPr>
      </w:pPr>
    </w:p>
    <w:p>
      <w:pPr>
        <w:ind w:right="60" w:firstLine="490"/>
        <w:spacing w:after="0" w:line="268" w:lineRule="auto"/>
        <w:rPr>
          <w:sz w:val="20"/>
          <w:szCs w:val="20"/>
          <w:color w:val="auto"/>
        </w:rPr>
      </w:pPr>
      <w:r>
        <w:rPr>
          <w:rFonts w:ascii="Times New Roman" w:cs="Times New Roman" w:eastAsia="Times New Roman" w:hAnsi="Times New Roman"/>
          <w:sz w:val="20"/>
          <w:szCs w:val="20"/>
          <w:color w:val="auto"/>
        </w:rPr>
        <w:t>In October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All of the pre-funded warrants and accompanying common stock warrants issued to the Initial Private Placement Investor have been exercised.</w:t>
      </w:r>
    </w:p>
    <w:p>
      <w:pPr>
        <w:spacing w:after="0" w:line="77" w:lineRule="exact"/>
        <w:rPr>
          <w:sz w:val="20"/>
          <w:szCs w:val="20"/>
          <w:color w:val="auto"/>
        </w:rPr>
      </w:pPr>
    </w:p>
    <w:p>
      <w:pPr>
        <w:jc w:val="both"/>
        <w:ind w:right="280" w:firstLine="490"/>
        <w:spacing w:after="0" w:line="252" w:lineRule="auto"/>
        <w:rPr>
          <w:sz w:val="20"/>
          <w:szCs w:val="20"/>
          <w:color w:val="auto"/>
        </w:rPr>
      </w:pPr>
      <w:r>
        <w:rPr>
          <w:rFonts w:ascii="Times New Roman" w:cs="Times New Roman" w:eastAsia="Times New Roman" w:hAnsi="Times New Roman"/>
          <w:sz w:val="20"/>
          <w:szCs w:val="20"/>
          <w:color w:val="auto"/>
        </w:rPr>
        <w:t>Similarly, on October 18, 2021, we issued to New Enterprise Associates 16, L.P., or NEA, in a private placement, 1,851,852 shares of our common stock and accompanying warrants to purchase an aggregate of 3,703,704 shares of our common stock. As of March 12, 2026, warrants issued to NEA to purchase 1,851,852 shares of common stock remained outstanding.</w:t>
      </w:r>
    </w:p>
    <w:p>
      <w:pPr>
        <w:spacing w:after="0" w:line="74"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19"/>
          <w:szCs w:val="19"/>
          <w:color w:val="auto"/>
        </w:rPr>
        <w:t>Similarly, on April 11, 2022, we issued to several purchasers in a private placement, or the April 2022 Private Placement, (i) an aggregate of 4,580,526 shares of our common stock and (ii) 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Securities Exchange Act of 1934, as amended, or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w:t>
      </w:r>
    </w:p>
    <w:p>
      <w:pPr>
        <w:sectPr>
          <w:pgSz w:w="12240" w:h="15840" w:orient="portrait"/>
          <w:cols w:equalWidth="0" w:num="1">
            <w:col w:w="9900"/>
          </w:cols>
          <w:pgMar w:left="1160" w:top="1132" w:right="1180" w:bottom="175"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9900"/>
          </w:cols>
          <w:pgMar w:left="1160" w:top="1132" w:right="1180" w:bottom="175" w:gutter="0" w:footer="0" w:header="0"/>
          <w:type w:val="continuous"/>
        </w:sectPr>
      </w:pPr>
    </w:p>
    <w:bookmarkStart w:id="81" w:name="page82"/>
    <w:bookmarkEnd w:id="81"/>
    <w:p>
      <w:pPr>
        <w:ind w:right="300"/>
        <w:spacing w:after="0" w:line="258" w:lineRule="auto"/>
        <w:rPr>
          <w:sz w:val="20"/>
          <w:szCs w:val="20"/>
          <w:color w:val="auto"/>
        </w:rPr>
      </w:pPr>
      <w:r>
        <w:rPr>
          <w:rFonts w:ascii="Times New Roman" w:cs="Times New Roman" w:eastAsia="Times New Roman" w:hAnsi="Times New Roman"/>
          <w:sz w:val="20"/>
          <w:szCs w:val="20"/>
          <w:color w:val="auto"/>
        </w:rPr>
        <w:t>percentage may in no event exceed 19.99%. We refer to such percentage limitations as the 2022 Private Placement Beneficial Ownership Limitations. As of March 12, 2026, pre-funded warrants that we issued and sold in the April 2022 Private Placement to purchase 12,531,332 shares of common stock remained outstanding.</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Similarly, on September 27, 2022, we issued and sold an aggregate of 14,252,670 shares of our common stock, and, in lieu of common stock to certain investors, pre-funded warrants to purchase 14,247,330 shares of common stock, in a public offering, or the September 2022 Offering.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w:t>
      </w:r>
    </w:p>
    <w:p>
      <w:pPr>
        <w:spacing w:after="0" w:line="7" w:lineRule="exact"/>
        <w:rPr>
          <w:sz w:val="20"/>
          <w:szCs w:val="20"/>
          <w:color w:val="auto"/>
        </w:rPr>
      </w:pPr>
    </w:p>
    <w:p>
      <w:pPr>
        <w:jc w:val="both"/>
        <w:ind w:right="80"/>
        <w:spacing w:after="0" w:line="244" w:lineRule="auto"/>
        <w:rPr>
          <w:sz w:val="20"/>
          <w:szCs w:val="20"/>
          <w:color w:val="auto"/>
        </w:rPr>
      </w:pPr>
      <w:r>
        <w:rPr>
          <w:rFonts w:ascii="Times New Roman" w:cs="Times New Roman" w:eastAsia="Times New Roman" w:hAnsi="Times New Roman"/>
          <w:sz w:val="20"/>
          <w:szCs w:val="20"/>
          <w:color w:val="auto"/>
        </w:rPr>
        <w:t>19.99%. We refer to such percentage limitations as the September 2022 Offering Beneficial Ownership Limitations. As of March 12, 2026, pre-funded warrants that we issued and sold in the September 2022 Offering to purchase 4,717,616 shares of common stock remained outstanding.</w:t>
      </w:r>
    </w:p>
    <w:p>
      <w:pPr>
        <w:spacing w:after="0" w:line="81" w:lineRule="exact"/>
        <w:rPr>
          <w:sz w:val="20"/>
          <w:szCs w:val="20"/>
          <w:color w:val="auto"/>
        </w:rPr>
      </w:pPr>
    </w:p>
    <w:p>
      <w:pPr>
        <w:jc w:val="both"/>
        <w:ind w:firstLine="490"/>
        <w:spacing w:after="0" w:line="249" w:lineRule="auto"/>
        <w:rPr>
          <w:sz w:val="20"/>
          <w:szCs w:val="20"/>
          <w:color w:val="auto"/>
        </w:rPr>
      </w:pPr>
      <w:r>
        <w:rPr>
          <w:rFonts w:ascii="Times New Roman" w:cs="Times New Roman" w:eastAsia="Times New Roman" w:hAnsi="Times New Roman"/>
          <w:sz w:val="20"/>
          <w:szCs w:val="20"/>
          <w:color w:val="auto"/>
        </w:rPr>
        <w:t>Sales of substantial amounts of shares of our common stock or other securities by our stockholders, by us under the 2025 Shelf Registration Statement, whether pursuant to the ATM Sales Agreement or otherwise, by the private placement investors or through any other means could also lower the market price of our common stock, make it more difficult for you to sell your shares at a price that you desire and impair our ability to raise capital through the sale of equity or equity-related securities.</w:t>
      </w:r>
    </w:p>
    <w:p>
      <w:pPr>
        <w:spacing w:after="0" w:line="58"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20"/>
          <w:szCs w:val="20"/>
          <w:b w:val="1"/>
          <w:bCs w:val="1"/>
          <w:i w:val="1"/>
          <w:iCs w:val="1"/>
          <w:color w:val="auto"/>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spacing w:after="0" w:line="81"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As part of our October 2021 private placements, we issued to NEA warrants to purchase an aggregate of 3,703,704 shares of our common stock at an exercise price of $1.37 per share. Of the common stock warrants issued to NEA, warrants to purchase an aggregate of 1,851,852 shares of our common stock would have expired on April 18, 2025 and warrants to purchase an aggregate of 1,851,852 shares of our common stock will expire on October 18, 2028. On April 17, 2025, NEA exercised all of the warrants that would have expired on April 18, 2025. None of the accompanying common stock warrants issued to NEA in the private placement that expire on October 18, 2028 have been exercised. We issued pre-funded warrants to purchase up to an aggregate of 24,379,673 shares of our common stock to the purchasers in the April 2022 Private Placement, of which pre-funded warrants to purchase 12,531,332 shares of common stock remained outstanding as of March 12, 2026. Finally, we issued pre-funded warrants to purchase up to an aggregate of 14,247,330 shares of our common stock at an exercise price of $ 0.001 per share to certain purchasers in the September 2022 Offering, of which pre-funded warrants to purchase 4,717,616 shares of common stock remained outstanding as of March 12, 2026.</w:t>
      </w:r>
    </w:p>
    <w:p>
      <w:pPr>
        <w:spacing w:after="0" w:line="89"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As discussed above,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spacing w:after="0" w:line="92"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Furthermore, in the event of a sale of our company, whether by merger, sale of all or substantially all of our assets or otherwise, the holders of warrants would be entitled to receive, with respect to each share of common stock issuable upon</w:t>
      </w:r>
    </w:p>
    <w:p>
      <w:pPr>
        <w:sectPr>
          <w:pgSz w:w="12240" w:h="15840" w:orient="portrait"/>
          <w:cols w:equalWidth="0" w:num="1">
            <w:col w:w="9920"/>
          </w:cols>
          <w:pgMar w:left="1160" w:top="1132" w:right="1160" w:bottom="175" w:gutter="0" w:footer="0" w:header="0"/>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9920"/>
          </w:cols>
          <w:pgMar w:left="1160" w:top="1132" w:right="1160" w:bottom="175" w:gutter="0" w:footer="0" w:header="0"/>
          <w:type w:val="continuous"/>
        </w:sectPr>
      </w:pPr>
    </w:p>
    <w:bookmarkStart w:id="82" w:name="page83"/>
    <w:bookmarkEnd w:id="82"/>
    <w:p>
      <w:pPr>
        <w:ind w:left="8" w:right="40"/>
        <w:spacing w:after="0" w:line="260" w:lineRule="auto"/>
        <w:rPr>
          <w:sz w:val="20"/>
          <w:szCs w:val="20"/>
          <w:color w:val="auto"/>
        </w:rPr>
      </w:pPr>
      <w:r>
        <w:rPr>
          <w:rFonts w:ascii="Times New Roman" w:cs="Times New Roman" w:eastAsia="Times New Roman" w:hAnsi="Times New Roman"/>
          <w:sz w:val="19"/>
          <w:szCs w:val="19"/>
          <w:color w:val="auto"/>
        </w:rPr>
        <w:t>exercise of the warrants then held by them and the same amount and kind of securities, cash or property as they would have been entitled to receive if such securities had been converted into or exercised for shares of our common stock immediately prior to such sale of our company. In addition, pursuant to the terms of the common stock warrants issued to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NEA may be entitled to receive a significantly larger portion of the total proceeds distributable to our stockholders than it would if it exercised the warrants immediately prior to the transaction, and our stockholders could receive significantly less than they otherwise would in such a transaction.</w:t>
      </w:r>
    </w:p>
    <w:p>
      <w:pPr>
        <w:spacing w:after="0" w:line="67" w:lineRule="exact"/>
        <w:rPr>
          <w:sz w:val="20"/>
          <w:szCs w:val="20"/>
          <w:color w:val="auto"/>
        </w:rPr>
      </w:pPr>
    </w:p>
    <w:p>
      <w:pPr>
        <w:ind w:left="8" w:right="480" w:firstLine="490"/>
        <w:spacing w:after="0" w:line="277" w:lineRule="auto"/>
        <w:rPr>
          <w:sz w:val="20"/>
          <w:szCs w:val="20"/>
          <w:color w:val="auto"/>
        </w:rPr>
      </w:pPr>
      <w:r>
        <w:rPr>
          <w:rFonts w:ascii="Times New Roman" w:cs="Times New Roman" w:eastAsia="Times New Roman" w:hAnsi="Times New Roman"/>
          <w:sz w:val="20"/>
          <w:szCs w:val="20"/>
          <w:color w:val="auto"/>
        </w:rPr>
        <w:t>Given the amount and terms of these warrants, we may find it more difficult to raise additional equity capital on favorable terms or at all while these warrants are outstanding.</w:t>
      </w:r>
    </w:p>
    <w:p>
      <w:pPr>
        <w:spacing w:after="0" w:line="30" w:lineRule="exact"/>
        <w:rPr>
          <w:sz w:val="20"/>
          <w:szCs w:val="20"/>
          <w:color w:val="auto"/>
        </w:rPr>
      </w:pPr>
    </w:p>
    <w:p>
      <w:pPr>
        <w:jc w:val="both"/>
        <w:ind w:left="8" w:right="24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Ownership of our common stock is concentrated among our executive officers and directors and their affiliates, who have significant influence over our business, which may prevent new investors from influencing significant corporate decisions.</w:t>
      </w:r>
    </w:p>
    <w:p>
      <w:pPr>
        <w:spacing w:after="0" w:line="81" w:lineRule="exact"/>
        <w:rPr>
          <w:sz w:val="20"/>
          <w:szCs w:val="20"/>
          <w:color w:val="auto"/>
        </w:rPr>
      </w:pPr>
    </w:p>
    <w:p>
      <w:pPr>
        <w:ind w:left="8" w:right="100" w:firstLine="490"/>
        <w:spacing w:after="0" w:line="252" w:lineRule="auto"/>
        <w:rPr>
          <w:sz w:val="20"/>
          <w:szCs w:val="20"/>
          <w:color w:val="auto"/>
        </w:rPr>
      </w:pPr>
      <w:r>
        <w:rPr>
          <w:rFonts w:ascii="Times New Roman" w:cs="Times New Roman" w:eastAsia="Times New Roman" w:hAnsi="Times New Roman"/>
          <w:sz w:val="20"/>
          <w:szCs w:val="20"/>
          <w:color w:val="auto"/>
        </w:rPr>
        <w:t>Our executive officers and directors and their respective affiliates, beneficially own, in the aggregate, shares representing approximately 15.3% of our common stock as of March 12, 2026. As a result, our executive officers and directors and their affiliates acting together may be able to significantly influence all matters submitted to our stockholders for approval, as well as our management and affairs. This concentration of ownership control may:</w:t>
      </w:r>
    </w:p>
    <w:p>
      <w:pPr>
        <w:spacing w:after="0" w:line="88" w:lineRule="exact"/>
        <w:rPr>
          <w:sz w:val="20"/>
          <w:szCs w:val="20"/>
          <w:color w:val="auto"/>
        </w:rPr>
      </w:pPr>
    </w:p>
    <w:p>
      <w:pPr>
        <w:ind w:left="488" w:hanging="488"/>
        <w:spacing w:after="0"/>
        <w:tabs>
          <w:tab w:leader="none" w:pos="488"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delay, defer or prevent a change in control;</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entrench our management or the board of directors; or</w:t>
      </w:r>
    </w:p>
    <w:p>
      <w:pPr>
        <w:spacing w:after="0" w:line="133" w:lineRule="exact"/>
        <w:rPr>
          <w:rFonts w:ascii="Arial" w:cs="Arial" w:eastAsia="Arial" w:hAnsi="Arial"/>
          <w:sz w:val="20"/>
          <w:szCs w:val="20"/>
          <w:color w:val="auto"/>
        </w:rPr>
      </w:pPr>
    </w:p>
    <w:p>
      <w:pPr>
        <w:ind w:left="488" w:right="120" w:hanging="488"/>
        <w:spacing w:after="0" w:line="276" w:lineRule="auto"/>
        <w:tabs>
          <w:tab w:leader="none" w:pos="488"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impede a merger, consolidation, takeover, sale, other business combination or other significant corporate transaction involving us that other stockholders may desire.</w:t>
      </w:r>
    </w:p>
    <w:p>
      <w:pPr>
        <w:spacing w:after="0" w:line="50" w:lineRule="exact"/>
        <w:rPr>
          <w:sz w:val="20"/>
          <w:szCs w:val="20"/>
          <w:color w:val="auto"/>
        </w:rPr>
      </w:pPr>
    </w:p>
    <w:p>
      <w:pPr>
        <w:ind w:left="8" w:right="140" w:firstLine="490"/>
        <w:spacing w:after="0" w:line="252" w:lineRule="auto"/>
        <w:rPr>
          <w:sz w:val="20"/>
          <w:szCs w:val="20"/>
          <w:color w:val="auto"/>
        </w:rPr>
      </w:pPr>
      <w:r>
        <w:rPr>
          <w:rFonts w:ascii="Times New Roman" w:cs="Times New Roman" w:eastAsia="Times New Roman" w:hAnsi="Times New Roman"/>
          <w:sz w:val="20"/>
          <w:szCs w:val="20"/>
          <w:color w:val="auto"/>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spacing w:after="0" w:line="55" w:lineRule="exact"/>
        <w:rPr>
          <w:sz w:val="20"/>
          <w:szCs w:val="20"/>
          <w:color w:val="auto"/>
        </w:rPr>
      </w:pPr>
    </w:p>
    <w:p>
      <w:pPr>
        <w:ind w:left="8" w:right="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do not anticipate paying any cash dividends on our capital stock in the foreseeable future. Accordingly, stockholders must rely on appreciation in the price of our common stock, if any, for any return on their investment.</w:t>
      </w:r>
    </w:p>
    <w:p>
      <w:pPr>
        <w:spacing w:after="0" w:line="68" w:lineRule="exact"/>
        <w:rPr>
          <w:sz w:val="20"/>
          <w:szCs w:val="20"/>
          <w:color w:val="auto"/>
        </w:rPr>
      </w:pPr>
    </w:p>
    <w:p>
      <w:pPr>
        <w:ind w:left="8" w:right="120" w:firstLine="490"/>
        <w:spacing w:after="0" w:line="249"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and we do not intend to do so in the foreseeable future. We currently plan to retain all of our future earnings, if any, to finance the operation, development and growth of our product pipeline and business.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spacing w:after="0" w:line="58" w:lineRule="exact"/>
        <w:rPr>
          <w:sz w:val="20"/>
          <w:szCs w:val="20"/>
          <w:color w:val="auto"/>
        </w:rPr>
      </w:pPr>
    </w:p>
    <w:p>
      <w:pPr>
        <w:ind w:left="8"/>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and the reduced disclosure requirements applicable to us may make our common stock less attractive to investors.</w:t>
      </w:r>
    </w:p>
    <w:p>
      <w:pPr>
        <w:spacing w:after="0" w:line="60" w:lineRule="exact"/>
        <w:rPr>
          <w:sz w:val="20"/>
          <w:szCs w:val="20"/>
          <w:color w:val="auto"/>
        </w:rPr>
      </w:pPr>
    </w:p>
    <w:p>
      <w:pPr>
        <w:ind w:left="8" w:firstLine="490"/>
        <w:spacing w:after="0" w:line="245" w:lineRule="auto"/>
        <w:rPr>
          <w:sz w:val="20"/>
          <w:szCs w:val="20"/>
          <w:color w:val="auto"/>
        </w:rPr>
      </w:pPr>
      <w:r>
        <w:rPr>
          <w:rFonts w:ascii="Times New Roman" w:cs="Times New Roman" w:eastAsia="Times New Roman" w:hAnsi="Times New Roman"/>
          <w:sz w:val="20"/>
          <w:szCs w:val="20"/>
          <w:color w:val="auto"/>
        </w:rPr>
        <w:t xml:space="preserve">We </w:t>
      </w:r>
      <w:r>
        <w:rPr>
          <w:rFonts w:ascii="Times New Roman" w:cs="Times New Roman" w:eastAsia="Times New Roman" w:hAnsi="Times New Roman"/>
          <w:sz w:val="19"/>
          <w:szCs w:val="19"/>
          <w:color w:val="auto"/>
        </w:rPr>
        <w:t>are a “smaller reporting company.” We will continue to be a “smaller reporting company” so long as (i)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market value of our stock held by non-affiliates is less than $250.0 million as of the most recently completed second fiscal quarter or (ii) our annual revenue is less than $ 100.0 million during the most recently completed fiscal year and the market value of our stock held by non-affiliates is less than $700.0 million as of the most recently completed second fiscal quarter. We remain a smaller reporting company as of June 30, 2025. Smaller reporting companies are permitted to provide simplified executive compensation disclosure in their filings; and they have certain other decreased disclosure obligations in their SEC filings, including, among other things, only being required to provide two years of audited financial statements in annual reports. For as long as we continue to be a smaller reporting company, we expect that we will take advantage of the reduced disclosure obligations available to us as a result of such classification. Decreased disclosure in our SEC filings as a result of our having availed ourselves of scaled disclosure may make it harder for investors to analyze our results of operations and financial prospects.</w:t>
      </w:r>
    </w:p>
    <w:p>
      <w:pPr>
        <w:spacing w:after="0" w:line="286" w:lineRule="exact"/>
        <w:rPr>
          <w:sz w:val="20"/>
          <w:szCs w:val="20"/>
          <w:color w:val="auto"/>
        </w:rPr>
      </w:pPr>
    </w:p>
    <w:p>
      <w:pPr>
        <w:ind w:left="8" w:right="6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incur increased costs as a result of operating as a public company and our management is required to devote substantial time to compliance initiatives and corporate governance practices.</w:t>
      </w:r>
    </w:p>
    <w:p>
      <w:pPr>
        <w:spacing w:after="0" w:line="68" w:lineRule="exact"/>
        <w:rPr>
          <w:sz w:val="20"/>
          <w:szCs w:val="20"/>
          <w:color w:val="auto"/>
        </w:rPr>
      </w:pPr>
    </w:p>
    <w:p>
      <w:pPr>
        <w:ind w:left="8" w:right="40" w:firstLine="490"/>
        <w:spacing w:after="0" w:line="263" w:lineRule="auto"/>
        <w:rPr>
          <w:sz w:val="20"/>
          <w:szCs w:val="20"/>
          <w:color w:val="auto"/>
        </w:rPr>
      </w:pPr>
      <w:r>
        <w:rPr>
          <w:rFonts w:ascii="Times New Roman" w:cs="Times New Roman" w:eastAsia="Times New Roman" w:hAnsi="Times New Roman"/>
          <w:sz w:val="19"/>
          <w:szCs w:val="19"/>
          <w:color w:val="auto"/>
        </w:rPr>
        <w:t>As a public company and particularly since we ceased being an “emerging growth company”, we have incurred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w:t>
      </w:r>
    </w:p>
    <w:p>
      <w:pPr>
        <w:sectPr>
          <w:pgSz w:w="12240" w:h="15840" w:orient="portrait"/>
          <w:cols w:equalWidth="0" w:num="1">
            <w:col w:w="9928"/>
          </w:cols>
          <w:pgMar w:left="1152" w:top="1132" w:right="1160" w:bottom="175" w:gutter="0" w:footer="0" w:header="0"/>
        </w:sectPr>
      </w:pPr>
    </w:p>
    <w:p>
      <w:pPr>
        <w:spacing w:after="0" w:line="20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9928"/>
          </w:cols>
          <w:pgMar w:left="1152" w:top="1132" w:right="1160" w:bottom="175" w:gutter="0" w:footer="0" w:header="0"/>
          <w:type w:val="continuous"/>
        </w:sectPr>
      </w:pPr>
    </w:p>
    <w:bookmarkStart w:id="83" w:name="page84"/>
    <w:bookmarkEnd w:id="83"/>
    <w:p>
      <w:pPr>
        <w:ind w:right="20"/>
        <w:spacing w:after="0" w:line="242" w:lineRule="auto"/>
        <w:rPr>
          <w:sz w:val="20"/>
          <w:szCs w:val="20"/>
          <w:color w:val="auto"/>
        </w:rPr>
      </w:pPr>
      <w:r>
        <w:rPr>
          <w:rFonts w:ascii="Times New Roman" w:cs="Times New Roman" w:eastAsia="Times New Roman" w:hAnsi="Times New Roman"/>
          <w:sz w:val="20"/>
          <w:szCs w:val="20"/>
          <w:color w:val="auto"/>
        </w:rPr>
        <w:t>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p>
    <w:p>
      <w:pPr>
        <w:spacing w:after="0" w:line="71"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proper and effective internal controls, our ability to produce accurate financial statements on a timely basis could be impaired.</w:t>
      </w:r>
    </w:p>
    <w:p>
      <w:pPr>
        <w:spacing w:after="0" w:line="6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are subject to the reporting requirements of the Exchange Act, the Sarbanes-Oxley Act of 2002, or SOX, and the rules and regulations of the Nasdaq Stock Market. The Sarbanes-Oxley Act of 2002 requires, among other things, that we maintain effective disclosure controls and procedures and internal control over financial reporting. Pursuant to SOX Section 404, or SOX 404(b), we are required to furnish annual reports by our management on our internal control over financial reporting. However, until such time as we are no longer a “smaller reporting company” with less than $100 million in annual revenue and subsequently qualify as an accelerated filer or a large accelerated filer, we will continue to not be required to include an attestation report on internal control over financial reporting issued by our independent registered public accounting firm. To achieve compliance with SOX 404(b)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404(b)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spacing w:after="0" w:line="67" w:lineRule="exact"/>
        <w:rPr>
          <w:sz w:val="20"/>
          <w:szCs w:val="20"/>
          <w:color w:val="auto"/>
        </w:rPr>
      </w:pPr>
    </w:p>
    <w:p>
      <w:pPr>
        <w:ind w:right="9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We might not be able to utilize a significant portion of our net operating loss carryforwards and research and development tax credit carryforwards.</w:t>
      </w:r>
    </w:p>
    <w:p>
      <w:pPr>
        <w:spacing w:after="0" w:line="68"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As of December 31, 2025, we had federal and state net operating loss carryforwards of $238.3 million and federal research and development tax credit carryforwards of $8.5 million, which if not utilized generally will begin to expire in 2031 and 2032, respectively. These net operating loss and research and development tax credit carryforwards could expire unused and be unavailable to offset future income tax liabilities. In general, under Sections 382 and 383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 and research and development tax credit carryforwards to offset future taxable income. We previously completed a Section 382 analysis, and due to multiple historical ownership changes, all of our net operating loss carryforwards as of December 31, 2022, and research and development tax credits were subject to limitation. If a further ownership change occurs, our ability to use our tax attributes might be further limited. In addition to potential Sections 382 and 383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spacing w:after="0" w:line="92" w:lineRule="exact"/>
        <w:rPr>
          <w:sz w:val="20"/>
          <w:szCs w:val="20"/>
          <w:color w:val="auto"/>
        </w:rPr>
      </w:pPr>
    </w:p>
    <w:p>
      <w:pPr>
        <w:jc w:val="both"/>
        <w:ind w:right="120" w:firstLine="490"/>
        <w:spacing w:after="0" w:line="278" w:lineRule="auto"/>
        <w:rPr>
          <w:sz w:val="20"/>
          <w:szCs w:val="20"/>
          <w:color w:val="auto"/>
        </w:rPr>
      </w:pPr>
      <w:r>
        <w:rPr>
          <w:rFonts w:ascii="Times New Roman" w:cs="Times New Roman" w:eastAsia="Times New Roman" w:hAnsi="Times New Roman"/>
          <w:sz w:val="19"/>
          <w:szCs w:val="19"/>
          <w:color w:val="auto"/>
        </w:rPr>
        <w:t>Under current law, the deduction for net operating losses arising in taxable years beginning after December 31, 2017 is limited to 80% of current-year taxable income (although such net operating losses may be carried forward indefinitely). There is also a risk that due to regulatory changes, such as suspensions on the use of net operating losses or other</w:t>
      </w:r>
    </w:p>
    <w:p>
      <w:pPr>
        <w:sectPr>
          <w:pgSz w:w="12240" w:h="15840" w:orient="portrait"/>
          <w:cols w:equalWidth="0" w:num="1">
            <w:col w:w="9940"/>
          </w:cols>
          <w:pgMar w:left="1160" w:top="1132" w:right="1140" w:bottom="175" w:gutter="0" w:footer="0" w:header="0"/>
        </w:sect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9940"/>
          </w:cols>
          <w:pgMar w:left="1160" w:top="1132" w:right="1140" w:bottom="175" w:gutter="0" w:footer="0" w:header="0"/>
          <w:type w:val="continuous"/>
        </w:sectPr>
      </w:pPr>
    </w:p>
    <w:bookmarkStart w:id="84" w:name="page85"/>
    <w:bookmarkEnd w:id="84"/>
    <w:p>
      <w:pPr>
        <w:ind w:left="8" w:right="120"/>
        <w:spacing w:after="0" w:line="252" w:lineRule="auto"/>
        <w:rPr>
          <w:sz w:val="20"/>
          <w:szCs w:val="20"/>
          <w:color w:val="auto"/>
        </w:rPr>
      </w:pPr>
      <w:r>
        <w:rPr>
          <w:rFonts w:ascii="Times New Roman" w:cs="Times New Roman" w:eastAsia="Times New Roman" w:hAnsi="Times New Roman"/>
          <w:sz w:val="20"/>
          <w:szCs w:val="20"/>
          <w:color w:val="auto"/>
        </w:rPr>
        <w:t>unforeseen reasons, our existing net operating losses could expire or otherwise become unavailable to offset future income tax liabilities. In addition, state net operating losses generated in one state cannot be used to offset income generated in another state. For these reasons, even if we attain profitability, we may be unable to use a material portion of our net operating losses and other tax attributes.</w:t>
      </w:r>
    </w:p>
    <w:p>
      <w:pPr>
        <w:spacing w:after="0" w:line="74" w:lineRule="exact"/>
        <w:rPr>
          <w:sz w:val="20"/>
          <w:szCs w:val="20"/>
          <w:color w:val="auto"/>
        </w:rPr>
      </w:pPr>
    </w:p>
    <w:p>
      <w:pPr>
        <w:ind w:left="8" w:right="66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or in their implementation or interpretation may adversely affect our business and financial condition.</w:t>
      </w:r>
    </w:p>
    <w:p>
      <w:pPr>
        <w:spacing w:after="0" w:line="49" w:lineRule="exact"/>
        <w:rPr>
          <w:sz w:val="20"/>
          <w:szCs w:val="20"/>
          <w:color w:val="auto"/>
        </w:rPr>
      </w:pPr>
    </w:p>
    <w:p>
      <w:pPr>
        <w:ind w:left="8" w:right="40" w:firstLine="490"/>
        <w:spacing w:after="0" w:line="242" w:lineRule="auto"/>
        <w:rPr>
          <w:sz w:val="20"/>
          <w:szCs w:val="20"/>
          <w:color w:val="auto"/>
        </w:rPr>
      </w:pPr>
      <w:r>
        <w:rPr>
          <w:rFonts w:ascii="Times New Roman" w:cs="Times New Roman" w:eastAsia="Times New Roman" w:hAnsi="Times New Roman"/>
          <w:sz w:val="20"/>
          <w:szCs w:val="20"/>
          <w:color w:val="auto"/>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certain exceptions. Thus, the excise tax could apply to certain transactions that are not traditional stock repurchases.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spacing w:after="0" w:line="92" w:lineRule="exact"/>
        <w:rPr>
          <w:sz w:val="20"/>
          <w:szCs w:val="20"/>
          <w:color w:val="auto"/>
        </w:rPr>
      </w:pPr>
    </w:p>
    <w:p>
      <w:pPr>
        <w:ind w:left="8" w:right="8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Provisions in our organizational documents and under Delaware law may prevent or frustrate attempts by our stockholders to change our management or hinder efforts to acquire a controlling interest in us.</w:t>
      </w:r>
    </w:p>
    <w:p>
      <w:pPr>
        <w:spacing w:after="0" w:line="49" w:lineRule="exact"/>
        <w:rPr>
          <w:sz w:val="20"/>
          <w:szCs w:val="20"/>
          <w:color w:val="auto"/>
        </w:rPr>
      </w:pPr>
    </w:p>
    <w:p>
      <w:pPr>
        <w:ind w:left="8" w:right="160" w:firstLine="490"/>
        <w:spacing w:after="0" w:line="261" w:lineRule="auto"/>
        <w:rPr>
          <w:sz w:val="20"/>
          <w:szCs w:val="20"/>
          <w:color w:val="auto"/>
        </w:rPr>
      </w:pPr>
      <w:r>
        <w:rPr>
          <w:rFonts w:ascii="Times New Roman" w:cs="Times New Roman" w:eastAsia="Times New Roman" w:hAnsi="Times New Roman"/>
          <w:sz w:val="19"/>
          <w:szCs w:val="19"/>
          <w:color w:val="auto"/>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1" w:lineRule="exact"/>
        <w:rPr>
          <w:sz w:val="20"/>
          <w:szCs w:val="20"/>
          <w:color w:val="auto"/>
        </w:rPr>
      </w:pPr>
    </w:p>
    <w:p>
      <w:pPr>
        <w:ind w:left="488" w:hanging="488"/>
        <w:spacing w:after="0"/>
        <w:tabs>
          <w:tab w:leader="none" w:pos="488"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 classified board of directors such that all members of the board are not elected at one time;</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allow the authorized number of our directors to be changed only by resolution of our board of directors;</w:t>
      </w:r>
    </w:p>
    <w:p>
      <w:pPr>
        <w:spacing w:after="0" w:line="133" w:lineRule="exact"/>
        <w:rPr>
          <w:rFonts w:ascii="Arial" w:cs="Arial" w:eastAsia="Arial" w:hAnsi="Arial"/>
          <w:sz w:val="20"/>
          <w:szCs w:val="20"/>
          <w:color w:val="auto"/>
        </w:rPr>
      </w:pPr>
    </w:p>
    <w:p>
      <w:pPr>
        <w:ind w:left="488" w:hanging="488"/>
        <w:spacing w:after="0"/>
        <w:tabs>
          <w:tab w:leader="none" w:pos="488"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limit the manner in which stockholders can remove directors from the board;</w:t>
      </w:r>
    </w:p>
    <w:p>
      <w:pPr>
        <w:spacing w:after="0" w:line="133" w:lineRule="exact"/>
        <w:rPr>
          <w:rFonts w:ascii="Arial" w:cs="Arial" w:eastAsia="Arial" w:hAnsi="Arial"/>
          <w:sz w:val="20"/>
          <w:szCs w:val="20"/>
          <w:color w:val="auto"/>
        </w:rPr>
      </w:pPr>
    </w:p>
    <w:p>
      <w:pPr>
        <w:ind w:left="488" w:right="140" w:hanging="488"/>
        <w:spacing w:after="0" w:line="276" w:lineRule="auto"/>
        <w:tabs>
          <w:tab w:leader="none" w:pos="488"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advance notice requirements for nominations for election to the board of directors or for proposing matters that can be acted on at stockholder meetings;</w:t>
      </w:r>
    </w:p>
    <w:p>
      <w:pPr>
        <w:spacing w:after="0" w:line="64" w:lineRule="exact"/>
        <w:rPr>
          <w:rFonts w:ascii="Arial" w:cs="Arial" w:eastAsia="Arial" w:hAnsi="Arial"/>
          <w:sz w:val="20"/>
          <w:szCs w:val="20"/>
          <w:color w:val="auto"/>
        </w:rPr>
      </w:pPr>
    </w:p>
    <w:p>
      <w:pPr>
        <w:ind w:left="488" w:right="400" w:hanging="488"/>
        <w:spacing w:after="0" w:line="276" w:lineRule="auto"/>
        <w:tabs>
          <w:tab w:leader="none" w:pos="488"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that stockholder actions must be effected at a duly called stockholder meeting and prohibit actions by our stockholders by written consent;</w:t>
      </w:r>
    </w:p>
    <w:p>
      <w:pPr>
        <w:spacing w:after="0" w:line="64" w:lineRule="exact"/>
        <w:rPr>
          <w:rFonts w:ascii="Arial" w:cs="Arial" w:eastAsia="Arial" w:hAnsi="Arial"/>
          <w:sz w:val="20"/>
          <w:szCs w:val="20"/>
          <w:color w:val="auto"/>
        </w:rPr>
      </w:pPr>
    </w:p>
    <w:p>
      <w:pPr>
        <w:ind w:left="488" w:hanging="488"/>
        <w:spacing w:after="0"/>
        <w:tabs>
          <w:tab w:leader="none" w:pos="488"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limit who may call a special meeting of stockholders;</w:t>
      </w:r>
    </w:p>
    <w:p>
      <w:pPr>
        <w:spacing w:after="0" w:line="133" w:lineRule="exact"/>
        <w:rPr>
          <w:rFonts w:ascii="Arial" w:cs="Arial" w:eastAsia="Arial" w:hAnsi="Arial"/>
          <w:sz w:val="20"/>
          <w:szCs w:val="20"/>
          <w:color w:val="auto"/>
        </w:rPr>
      </w:pPr>
    </w:p>
    <w:p>
      <w:pPr>
        <w:ind w:left="488" w:right="500" w:hanging="488"/>
        <w:spacing w:after="0" w:line="258" w:lineRule="auto"/>
        <w:tabs>
          <w:tab w:leader="none" w:pos="488"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1" w:lineRule="exact"/>
        <w:rPr>
          <w:rFonts w:ascii="Arial" w:cs="Arial" w:eastAsia="Arial" w:hAnsi="Arial"/>
          <w:sz w:val="20"/>
          <w:szCs w:val="20"/>
          <w:color w:val="auto"/>
        </w:rPr>
      </w:pPr>
    </w:p>
    <w:p>
      <w:pPr>
        <w:ind w:left="488" w:right="260" w:hanging="488"/>
        <w:spacing w:after="0" w:line="276" w:lineRule="auto"/>
        <w:tabs>
          <w:tab w:leader="none" w:pos="488"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the approval of the holders of at least 75% of the votes that all our stockholders would be entitled to cast to amend or repeal certain provisions of our certificate of incorporation or bylaws.</w:t>
      </w:r>
    </w:p>
    <w:p>
      <w:pPr>
        <w:spacing w:after="0" w:line="50" w:lineRule="exact"/>
        <w:rPr>
          <w:sz w:val="20"/>
          <w:szCs w:val="20"/>
          <w:color w:val="auto"/>
        </w:rPr>
      </w:pPr>
    </w:p>
    <w:p>
      <w:pPr>
        <w:ind w:left="8" w:firstLine="490"/>
        <w:spacing w:after="0" w:line="261" w:lineRule="auto"/>
        <w:rPr>
          <w:sz w:val="20"/>
          <w:szCs w:val="20"/>
          <w:color w:val="auto"/>
        </w:rPr>
      </w:pPr>
      <w:r>
        <w:rPr>
          <w:rFonts w:ascii="Times New Roman" w:cs="Times New Roman" w:eastAsia="Times New Roman" w:hAnsi="Times New Roman"/>
          <w:sz w:val="19"/>
          <w:szCs w:val="19"/>
          <w:color w:val="auto"/>
        </w:rPr>
        <w:t>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w:t>
      </w:r>
    </w:p>
    <w:p>
      <w:pPr>
        <w:sectPr>
          <w:pgSz w:w="12240" w:h="15840" w:orient="portrait"/>
          <w:cols w:equalWidth="0" w:num="1">
            <w:col w:w="9928"/>
          </w:cols>
          <w:pgMar w:left="1152" w:top="1132" w:right="1160" w:bottom="175"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9928"/>
          </w:cols>
          <w:pgMar w:left="1152" w:top="1132" w:right="1160" w:bottom="175" w:gutter="0" w:footer="0" w:header="0"/>
          <w:type w:val="continuous"/>
        </w:sectPr>
      </w:pPr>
    </w:p>
    <w:bookmarkStart w:id="85" w:name="page86"/>
    <w:bookmarkEnd w:id="85"/>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making tender offers for our common stock, including transactions that may be in your best interests. These provisions may also prevent changes in our management or limit the price that investors are willing to pay for our stock.</w:t>
      </w:r>
    </w:p>
    <w:p>
      <w:pPr>
        <w:spacing w:after="0" w:line="49"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9"/>
          <w:szCs w:val="19"/>
          <w:b w:val="1"/>
          <w:bCs w:val="1"/>
          <w:i w:val="1"/>
          <w:iCs w:val="1"/>
          <w:color w:val="auto"/>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w:t>
      </w:r>
    </w:p>
    <w:p>
      <w:pPr>
        <w:spacing w:after="0" w:line="2"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20"/>
          <w:szCs w:val="20"/>
          <w:b w:val="1"/>
          <w:bCs w:val="1"/>
          <w:i w:val="1"/>
          <w:iCs w:val="1"/>
          <w:color w:val="auto"/>
        </w:rPr>
        <w:t>These choice of forum provisions could limit our stockholders’ ability to obtain a favorable judicial forum for disputes with us or our directors, officers or employees.</w:t>
      </w:r>
    </w:p>
    <w:p>
      <w:pPr>
        <w:spacing w:after="0" w:line="77" w:lineRule="exact"/>
        <w:rPr>
          <w:sz w:val="20"/>
          <w:szCs w:val="20"/>
          <w:color w:val="auto"/>
        </w:rPr>
      </w:pPr>
    </w:p>
    <w:p>
      <w:pPr>
        <w:ind w:right="40" w:firstLine="490"/>
        <w:spacing w:after="0" w:line="242" w:lineRule="auto"/>
        <w:rPr>
          <w:sz w:val="20"/>
          <w:szCs w:val="20"/>
          <w:color w:val="auto"/>
        </w:rPr>
      </w:pPr>
      <w:r>
        <w:rPr>
          <w:rFonts w:ascii="Times New Roman" w:cs="Times New Roman" w:eastAsia="Times New Roman" w:hAnsi="Times New Roman"/>
          <w:sz w:val="20"/>
          <w:szCs w:val="20"/>
          <w:color w:val="auto"/>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spacing w:after="0" w:line="93"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6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the continued listing requirements of Nasdaq, our common stock may be delisted and the price of our common stock and our ability to access the capital markets could be negatively impacted.</w:t>
      </w:r>
    </w:p>
    <w:p>
      <w:pPr>
        <w:spacing w:after="0" w:line="6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Our common stock is currently listed for trading on Nasdaq. We must satisfy Nasdaq’s continued listing requirements, including, among other things, a minimum closing bid price of $1.00 per share, or the Bid Price Requirement,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spacing w:after="0" w:line="8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4" w:lineRule="exact"/>
        <w:rPr>
          <w:sz w:val="20"/>
          <w:szCs w:val="20"/>
          <w:color w:val="auto"/>
        </w:rPr>
      </w:pPr>
    </w:p>
    <w:p>
      <w:pPr>
        <w:ind w:right="320" w:firstLine="490"/>
        <w:spacing w:after="0" w:line="305" w:lineRule="auto"/>
        <w:rPr>
          <w:sz w:val="20"/>
          <w:szCs w:val="20"/>
          <w:color w:val="auto"/>
        </w:rPr>
      </w:pPr>
      <w:r>
        <w:rPr>
          <w:rFonts w:ascii="Times New Roman" w:cs="Times New Roman" w:eastAsia="Times New Roman" w:hAnsi="Times New Roman"/>
          <w:sz w:val="19"/>
          <w:szCs w:val="19"/>
          <w:color w:val="auto"/>
        </w:rPr>
        <w:t>We have certain processes for assessing, identifying and managing cybersecurity risks, which are built into our overall risk management program and information technology function and are designed to help protect our information</w:t>
      </w:r>
    </w:p>
    <w:p>
      <w:pPr>
        <w:sectPr>
          <w:pgSz w:w="12240" w:h="15840" w:orient="portrait"/>
          <w:cols w:equalWidth="0" w:num="1">
            <w:col w:w="9920"/>
          </w:cols>
          <w:pgMar w:left="1160" w:top="1132" w:right="1160" w:bottom="175" w:gutter="0" w:footer="0" w:header="0"/>
        </w:sect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9920"/>
          </w:cols>
          <w:pgMar w:left="1160" w:top="1132" w:right="1160" w:bottom="175" w:gutter="0" w:footer="0" w:header="0"/>
          <w:type w:val="continuous"/>
        </w:sectPr>
      </w:pPr>
    </w:p>
    <w:bookmarkStart w:id="86" w:name="page87"/>
    <w:bookmarkEnd w:id="86"/>
    <w:p>
      <w:pPr>
        <w:ind w:right="40"/>
        <w:spacing w:after="0" w:line="249" w:lineRule="auto"/>
        <w:rPr>
          <w:sz w:val="20"/>
          <w:szCs w:val="20"/>
          <w:color w:val="auto"/>
        </w:rPr>
      </w:pPr>
      <w:r>
        <w:rPr>
          <w:rFonts w:ascii="Times New Roman" w:cs="Times New Roman" w:eastAsia="Times New Roman" w:hAnsi="Times New Roman"/>
          <w:sz w:val="20"/>
          <w:szCs w:val="20"/>
          <w:color w:val="auto"/>
        </w:rPr>
        <w:t>assets and operations from cyber threats, protect employee and patient information from unauthorized access or attack, as well as secure our networks and systems. Such processes include physical, procedural and technical safeguards, and routine review of our operations to identify risks and enhance our practices. We engage certain external parties, including consultants and computer security firms, to enhance our cybersecurity oversight. We consider the internal risk oversight programs of third-party service providers when engaging them in order to help protect us from any related vulnerabilities.</w:t>
      </w:r>
    </w:p>
    <w:p>
      <w:pPr>
        <w:spacing w:after="0" w:line="77" w:lineRule="exact"/>
        <w:rPr>
          <w:sz w:val="20"/>
          <w:szCs w:val="20"/>
          <w:color w:val="auto"/>
        </w:rPr>
      </w:pPr>
    </w:p>
    <w:p>
      <w:pPr>
        <w:ind w:right="280" w:firstLine="490"/>
        <w:spacing w:after="0" w:line="277" w:lineRule="auto"/>
        <w:rPr>
          <w:sz w:val="20"/>
          <w:szCs w:val="20"/>
          <w:color w:val="auto"/>
        </w:rPr>
      </w:pPr>
      <w:r>
        <w:rPr>
          <w:rFonts w:ascii="Times New Roman" w:cs="Times New Roman" w:eastAsia="Times New Roman" w:hAnsi="Times New Roman"/>
          <w:sz w:val="20"/>
          <w:szCs w:val="20"/>
          <w:color w:val="auto"/>
        </w:rPr>
        <w:t>Our board of directors does not believe that there are currently any known risks from cybersecurity threats that are reasonably likely to materially affect us or our business strategy, results of operations or financial condition.</w:t>
      </w:r>
    </w:p>
    <w:p>
      <w:pPr>
        <w:spacing w:after="0" w:line="49" w:lineRule="exact"/>
        <w:rPr>
          <w:sz w:val="20"/>
          <w:szCs w:val="20"/>
          <w:color w:val="auto"/>
        </w:rPr>
      </w:pPr>
    </w:p>
    <w:p>
      <w:pPr>
        <w:ind w:right="120" w:firstLine="490"/>
        <w:spacing w:after="0" w:line="252" w:lineRule="auto"/>
        <w:rPr>
          <w:sz w:val="20"/>
          <w:szCs w:val="20"/>
          <w:color w:val="auto"/>
        </w:rPr>
      </w:pPr>
      <w:r>
        <w:rPr>
          <w:rFonts w:ascii="Times New Roman" w:cs="Times New Roman" w:eastAsia="Times New Roman" w:hAnsi="Times New Roman"/>
          <w:sz w:val="20"/>
          <w:szCs w:val="20"/>
          <w:color w:val="auto"/>
        </w:rPr>
        <w:t>The audit committee of our board of directors provides direct oversight over cybersecurity risk and provides updates to the board of directors regarding such oversight. The audit committee receives periodic updates from management regarding cybersecurity matters and is notified between such updates regarding significant new cybersecurity threats or incidents.</w:t>
      </w:r>
    </w:p>
    <w:p>
      <w:pPr>
        <w:spacing w:after="0" w:line="74"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We have also established a Cybersecurity Committee that meets on a quarterly basis to review and agree on actions to address cybersecurity risks. The Cybersecurity Committee is led by our chief information officer, or CIO, who is a part-time consultant, and includes our chief executive officer and chief financial officer. Our CIO, who reports to our chief financial officer, is responsible for the strategic leadership of our cybersecurity programs, identification of cybersecurity risks and the mitigation plans that address these risks. With over 25 years of experience in information technology, the CIO works alongside individuals across other functions, such as clinical operations, legal and quality compliance, to establish and implement our cybersecurity strategy. Our CIO has a bachelor’s degree in Technology and an M.B.A. along with over 10 years of experience in information technology in the life sciences industry.</w:t>
      </w:r>
    </w:p>
    <w:p>
      <w:pPr>
        <w:spacing w:after="0" w:line="82"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In an effort to deter and detect cyber threats, we annually provide all employees, including part-time and temporary employees, with a data protection, cybersecurity training and compliance program, which covers timely and relevant topics, including social engineering, phishing, password protection, confidential data protection, use of artificial information and machine learning applications, and asset use, and educates employees on the importance of reporting all incidents immediately. We conduct frequent phishing simulations requiring employees to identify and report simulated phishing emails. We also use technology-based tools to mitigate cybersecurity risks and to bolster our employee-based cybersecurity programs.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4" w:lineRule="exact"/>
        <w:rPr>
          <w:sz w:val="20"/>
          <w:szCs w:val="20"/>
          <w:color w:val="auto"/>
        </w:rPr>
      </w:pPr>
    </w:p>
    <w:p>
      <w:pPr>
        <w:ind w:right="20" w:firstLine="490"/>
        <w:spacing w:after="0" w:line="252" w:lineRule="auto"/>
        <w:rPr>
          <w:sz w:val="20"/>
          <w:szCs w:val="20"/>
          <w:color w:val="auto"/>
        </w:rPr>
      </w:pPr>
      <w:r>
        <w:rPr>
          <w:rFonts w:ascii="Times New Roman" w:cs="Times New Roman" w:eastAsia="Times New Roman" w:hAnsi="Times New Roman"/>
          <w:sz w:val="20"/>
          <w:szCs w:val="20"/>
          <w:color w:val="auto"/>
        </w:rPr>
        <w:t>Our headquarters is currently located in New Haven, Connecticut, and consists of approximately 12,500 square feet of leased office space under a lease that expires in February 2028 and under which we have an option to extend the lease by a five-year term. We believe that our existing facilities are adequate for our current needs; however, we may require additional space and facilities as our business expands.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are not subject to any material legal proceedings.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20"/>
          </w:cols>
          <w:pgMar w:left="1160" w:top="1132"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920"/>
          </w:cols>
          <w:pgMar w:left="1160" w:top="1132" w:right="1160" w:bottom="175" w:gutter="0" w:footer="0" w:header="0"/>
          <w:type w:val="continuous"/>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20"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common stock is listed on the Nasdaq Stock Market LLC under the symbol “TRVI.”</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w:t>
      </w:r>
    </w:p>
    <w:p>
      <w:pPr>
        <w:spacing w:after="0" w:line="120"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As of March 12, 2026, there were approximately 17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2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have never declared or paid cash dividends on our common stock and we do not intend to pay any cash dividends in the foreseeable future. We currently intend to retain all available funds and any future earnings to finance the operation, development and growth of our business.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w:t>
      </w:r>
    </w:p>
    <w:p>
      <w:pPr>
        <w:spacing w:after="0" w:line="120"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The information concerning our equity compensation plan is incorporated by reference from the information in our Proxy Statement for our 2026 Annual Meeting of Stockholders, which we will file with the SEC within 120 days of the end of the fiscal year to which this Annual Report on Form 10-K relates.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Some of the statements contained in this discussion and analysis or set forth elsewhere in this Annual Report on Form 10-K, including information with respect to our plans and strategy for our business, constitute forward-looking statements within the meaning of Section 27A of the Securities Act of 1933, as amended, or the Securities Act,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Annual Report on Form 10-K, particularly including those risks identified in Part I-Item 1A “Risk Factors” and our other filings with the SEC.</w:t>
      </w:r>
    </w:p>
    <w:p>
      <w:pPr>
        <w:spacing w:after="0" w:line="67" w:lineRule="exact"/>
        <w:rPr>
          <w:sz w:val="20"/>
          <w:szCs w:val="20"/>
          <w:color w:val="auto"/>
        </w:rPr>
      </w:pPr>
    </w:p>
    <w:p>
      <w:pPr>
        <w:ind w:right="20" w:firstLine="490"/>
        <w:spacing w:after="0" w:line="220" w:lineRule="auto"/>
        <w:rPr>
          <w:sz w:val="20"/>
          <w:szCs w:val="20"/>
          <w:color w:val="auto"/>
        </w:rPr>
      </w:pPr>
      <w:r>
        <w:rPr>
          <w:rFonts w:ascii="Times New Roman" w:cs="Times New Roman" w:eastAsia="Times New Roman" w:hAnsi="Times New Roman"/>
          <w:sz w:val="20"/>
          <w:szCs w:val="20"/>
          <w:i w:val="1"/>
          <w:iCs w:val="1"/>
          <w:color w:val="auto"/>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Annual Report on Form 10-K. Statements made herein are as of the date of the filing of this Annual Report on Form 10-K with the SEC and should not be relied upon as of any subsequent date. Even if our results of operations, financial condition and liquidity, and the development of the industry in which we operate are consistent with the forward-looking statements contained in this Annual Report on Form 10-K,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74" w:lineRule="exact"/>
        <w:rPr>
          <w:sz w:val="20"/>
          <w:szCs w:val="20"/>
          <w:color w:val="auto"/>
        </w:rPr>
      </w:pPr>
    </w:p>
    <w:p>
      <w:pPr>
        <w:ind w:right="140" w:firstLine="490"/>
        <w:spacing w:after="0" w:line="251" w:lineRule="auto"/>
        <w:rPr>
          <w:sz w:val="20"/>
          <w:szCs w:val="20"/>
          <w:color w:val="auto"/>
        </w:rPr>
      </w:pPr>
      <w:r>
        <w:rPr>
          <w:rFonts w:ascii="Times New Roman" w:cs="Times New Roman" w:eastAsia="Times New Roman" w:hAnsi="Times New Roman"/>
          <w:sz w:val="20"/>
          <w:szCs w:val="20"/>
          <w:i w:val="1"/>
          <w:iCs w:val="1"/>
          <w:color w:val="auto"/>
        </w:rPr>
        <w:t>We caution readers not to place undue reliance on any forward-looking statements made by us, which speak only as of the date they are made.</w:t>
      </w:r>
    </w:p>
    <w:p>
      <w:pPr>
        <w:sectPr>
          <w:pgSz w:w="12240" w:h="15840" w:orient="portrait"/>
          <w:cols w:equalWidth="0" w:num="1">
            <w:col w:w="9920"/>
          </w:cols>
          <w:pgMar w:left="1160" w:top="1358"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9920"/>
          </w:cols>
          <w:pgMar w:left="1160" w:top="1358" w:right="1160" w:bottom="175"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0" w:lineRule="exact"/>
        <w:rPr>
          <w:sz w:val="20"/>
          <w:szCs w:val="20"/>
          <w:color w:val="auto"/>
        </w:rPr>
      </w:pPr>
    </w:p>
    <w:p>
      <w:pPr>
        <w:jc w:val="both"/>
        <w:ind w:right="640" w:firstLine="490"/>
        <w:spacing w:after="0" w:line="262" w:lineRule="auto"/>
        <w:rPr>
          <w:sz w:val="20"/>
          <w:szCs w:val="20"/>
          <w:color w:val="auto"/>
        </w:rPr>
      </w:pPr>
      <w:r>
        <w:rPr>
          <w:rFonts w:ascii="Times New Roman" w:cs="Times New Roman" w:eastAsia="Times New Roman" w:hAnsi="Times New Roman"/>
          <w:sz w:val="19"/>
          <w:szCs w:val="19"/>
          <w:color w:val="auto"/>
        </w:rPr>
        <w:t>We are a clinical-stage biopharmaceutical company focused on the development and commercialization of the investigational therapy Haduvio (oral nalbuphine ER) for the treatment of chronic cough in patients with idiopathic pulmonary fibrosis, or IPF, non-IPF interstitial lung disease, or non-IPF ILD, and refractory chronic cough, or RCC.</w:t>
      </w:r>
    </w:p>
    <w:p>
      <w:pPr>
        <w:spacing w:after="0" w:line="2"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0"/>
          <w:szCs w:val="20"/>
          <w:color w:val="auto"/>
        </w:rPr>
        <w:t xml:space="preserve">Haduvio is an oral extended-release formulation of nalbuphine. Haduvio acts on the cough reflex arc both centrally and peripherally as a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appa receptor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gonist and a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u receptor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ntagonist (“KAMA”), targeting opioid receptors that play a key role in controlling chronic cough. The kappa- and mu-opioid receptors are known to be critical mediators of</w:t>
      </w:r>
    </w:p>
    <w:p>
      <w:pPr>
        <w:spacing w:after="0" w:line="242" w:lineRule="auto"/>
        <w:rPr>
          <w:sz w:val="20"/>
          <w:szCs w:val="20"/>
          <w:color w:val="auto"/>
        </w:rPr>
      </w:pPr>
      <w:r>
        <w:rPr>
          <w:rFonts w:ascii="Times New Roman" w:cs="Times New Roman" w:eastAsia="Times New Roman" w:hAnsi="Times New Roman"/>
          <w:sz w:val="20"/>
          <w:szCs w:val="20"/>
          <w:color w:val="auto"/>
        </w:rPr>
        <w:t>cough. Nalbuphine has been approved and marketed as an injectable for pain indications for decades in the United States, or the U.S., and Europe. Nalbuphine’s mechanism of action also mitigates the risk of abuse associated with mu-opioid agonists because it antagonizes, or blocks, the mu-opioid receptor. Parenteral nalbuphine is not scheduled as a controlled substance by the U.S. Drug Enforcement Agency and in most of Europe.</w:t>
      </w:r>
    </w:p>
    <w:p>
      <w:pPr>
        <w:spacing w:after="0" w:line="70" w:lineRule="exact"/>
        <w:rPr>
          <w:sz w:val="20"/>
          <w:szCs w:val="20"/>
          <w:color w:val="auto"/>
        </w:rPr>
      </w:pPr>
    </w:p>
    <w:p>
      <w:pPr>
        <w:ind w:right="400" w:firstLine="49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IPF-related chronic cough Program. </w:t>
      </w:r>
      <w:r>
        <w:rPr>
          <w:rFonts w:ascii="Times New Roman" w:cs="Times New Roman" w:eastAsia="Times New Roman" w:hAnsi="Times New Roman"/>
          <w:sz w:val="20"/>
          <w:szCs w:val="20"/>
          <w:color w:val="auto"/>
        </w:rPr>
        <w:t>We are developing Haduvio for the treatment of IPF-related chronic cough,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which is a progressive fibrosing interstitial lung disease associated with high mortality rates.</w:t>
      </w:r>
    </w:p>
    <w:p>
      <w:pPr>
        <w:spacing w:after="0" w:line="64"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In June 2025, we announced positive topline results from our Phase 2b CORAL trial, which was a dose-ranging study evaluating the efficacy, safety and tolerability of Haduvio for IPF-related chronic cough. The Phase 2b CORAL trial was a randomized, double-blind, placebo-controlled, parallel-arm design that evaluated three different dose groups of Haduvio (108 mg BID, 54 mg BID and 27 mg BID) as compared to placebo. The primary efficacy endpoint for the trial was the relative change in 24-hour cough frequency (coughs per hour) for the modified intent-to-treat, or mITT, population at the end of Week 6 versus Baseline for Haduvio compared to placebo, as measured via an objective cough monitor. The mITT population consists of all randomized patients who received at least one dose of study drug or placebo (n=165). The primary efficacy endpoint in the Phase 2b CORAL trial was achieved, demonstrating statistically significant reductions in 24-hour cough frequency across all dose groups at Week 6. The 108 mg BID, 54 mg BID and 27 mg BID dose groups achieved statistically significant reductions from Baseline of 60.2% (p&lt;0.0001), 53.4% (p&lt;0.0001), and 47.9% (p&lt;0.01), respectively, compared to a placebo reduction from Baseline of 16.9%.</w:t>
      </w:r>
    </w:p>
    <w:p>
      <w:pPr>
        <w:spacing w:after="0" w:line="89"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We have completed an End-of-Phase 2 meeting with the FDA. At the meeting, we gained overall alignment on the plan for the remaining clinical studies to potentially support an NDA submission for nalbuphine ER, including two pivotal Phase 3 clinical trials and agreement on the remaining Phase 1 clinical studies. The Phase 3 trials will run in parallel, and we remain on track to initiate the first Phase 3 trial in the second quarter of 2026 and the second Phase 3 trial in the second half of 2026. The first of the two Phase 3 trials is planned to enroll approximately 300 patients and have 52 weeks of fixed dosing with nalbuphine ER 54 mg twice-a-day (BID), with the primary endpoint at 24 weeks of fixed dosing. The second Phase 3 trial is planned to enroll approximately 130 patients and have 12 weeks of fixed</w:t>
      </w:r>
    </w:p>
    <w:p>
      <w:pPr>
        <w:spacing w:after="0" w:line="1"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0"/>
          <w:szCs w:val="20"/>
          <w:color w:val="auto"/>
        </w:rPr>
        <w:t>dosing with nalbuphine ER 54 mg BID. The primary efficacy endpoint for both trials will be the relative change from Baseline in 24-hour cough frequency (coughs per hour), as determined by an objective cough monitor, for nalbuphine ER compared with placebo. These trial designs are subject to final review of the protocols by the FDA.</w:t>
      </w:r>
    </w:p>
    <w:p>
      <w:pPr>
        <w:spacing w:after="0" w:line="81" w:lineRule="exact"/>
        <w:rPr>
          <w:sz w:val="20"/>
          <w:szCs w:val="20"/>
          <w:color w:val="auto"/>
        </w:rPr>
      </w:pPr>
    </w:p>
    <w:p>
      <w:pPr>
        <w:jc w:val="both"/>
        <w:ind w:right="160" w:firstLine="49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Non-IPF ILD-related Chronic Cough Program. </w:t>
      </w:r>
      <w:r>
        <w:rPr>
          <w:rFonts w:ascii="Times New Roman" w:cs="Times New Roman" w:eastAsia="Times New Roman" w:hAnsi="Times New Roman"/>
          <w:sz w:val="20"/>
          <w:szCs w:val="20"/>
          <w:color w:val="auto"/>
        </w:rPr>
        <w:t>We also plan to develop Haduvio for the treatment of non-IPF ILD-related chronic cough. We plan to initiate an adaptive design Phase 2b clinical trial for the treatment of patients with non-IPF ILD-related chronic cough in the second half of 2026, subject to review of the protocol for the trial by the FDA.</w:t>
      </w:r>
    </w:p>
    <w:p>
      <w:pPr>
        <w:spacing w:after="0" w:line="54" w:lineRule="exact"/>
        <w:rPr>
          <w:sz w:val="20"/>
          <w:szCs w:val="20"/>
          <w:color w:val="auto"/>
        </w:rPr>
      </w:pPr>
    </w:p>
    <w:p>
      <w:pPr>
        <w:jc w:val="both"/>
        <w:ind w:right="40" w:firstLine="490"/>
        <w:spacing w:after="0" w:line="232" w:lineRule="auto"/>
        <w:rPr>
          <w:sz w:val="20"/>
          <w:szCs w:val="20"/>
          <w:color w:val="auto"/>
        </w:rPr>
      </w:pPr>
      <w:r>
        <w:rPr>
          <w:rFonts w:ascii="Times New Roman" w:cs="Times New Roman" w:eastAsia="Times New Roman" w:hAnsi="Times New Roman"/>
          <w:sz w:val="20"/>
          <w:szCs w:val="20"/>
          <w:i w:val="1"/>
          <w:iCs w:val="1"/>
          <w:color w:val="auto"/>
        </w:rPr>
        <w:t xml:space="preserve">RCC Program. </w:t>
      </w:r>
      <w:r>
        <w:rPr>
          <w:rFonts w:ascii="Times New Roman" w:cs="Times New Roman" w:eastAsia="Times New Roman" w:hAnsi="Times New Roman"/>
          <w:sz w:val="20"/>
          <w:szCs w:val="20"/>
          <w:color w:val="auto"/>
        </w:rPr>
        <w:t>We are developing Haduvio for the treatment of RCC, which affects approximately 2-3 million adults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the U.S. and is related to biological changes in the central and peripheral nervous systems that lower the threshold of the cough reflex. It is highly disruptive and accompanied by a wide range of complications, ranging from urinary incontinence in females to sleep disruption and social embarrassment that causes significant social and economic burden for patients and those around them.</w:t>
      </w:r>
    </w:p>
    <w:p>
      <w:pPr>
        <w:spacing w:after="0" w:line="82"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In March 2025, we announced positive topline data from our Phase 2a clinical trial of Haduvio for the treatment of patients with RCC, which we refer to as the Phase 2a RIVER trial. The Phase 2a RIVER trial was a randomized, double-blind, placebo-controlled, two-treatment, two-period, crossover study that was designed to evaluate the efficacy, safety, tolerability and dosing of Haduvio for the treatment of patients with RCC. The primary endpoint of the trial was the mean change in 24-hour cough frequency, as determined by an objective cough monitor, for the full analysis set population. In the trial, Haduvio met the primary endpoint at Day 21 with a statistically significant reduction in the objective 24-hour cough frequency of 67% from Baseline and 57% from Baseline on a placebo-adjusted basis (p&lt;0.0001). Planned analyses of all pre-specified secondary endpoints, including patient reported endpoints, at the end of treatment were also statistically significant. The safety results of the trial were generally consistent with the known safety profile of Haduvio from previous trials in other patient populations and there were no serious adverse events reported in the trial.</w:t>
      </w:r>
    </w:p>
    <w:p>
      <w:pPr>
        <w:spacing w:after="0" w:line="67" w:lineRule="exact"/>
        <w:rPr>
          <w:sz w:val="20"/>
          <w:szCs w:val="20"/>
          <w:color w:val="auto"/>
        </w:rPr>
      </w:pPr>
    </w:p>
    <w:p>
      <w:pPr>
        <w:ind w:right="200" w:firstLine="490"/>
        <w:spacing w:after="0" w:line="239" w:lineRule="auto"/>
        <w:rPr>
          <w:sz w:val="20"/>
          <w:szCs w:val="20"/>
          <w:color w:val="auto"/>
        </w:rPr>
      </w:pPr>
      <w:r>
        <w:rPr>
          <w:rFonts w:ascii="Times New Roman" w:cs="Times New Roman" w:eastAsia="Times New Roman" w:hAnsi="Times New Roman"/>
          <w:sz w:val="20"/>
          <w:szCs w:val="20"/>
          <w:color w:val="auto"/>
        </w:rPr>
        <w:t>We expect to initiate a Phase 2b trial of Haduvio for the treatment of patients with RCC in the second quarter of 2026, which we are planning to conduct in the United Kingdom, Canada, and possibly other European countries. The trial is subject to final review of the protocol by regulatory authorities.</w:t>
      </w:r>
    </w:p>
    <w:p>
      <w:pPr>
        <w:sectPr>
          <w:pgSz w:w="12240" w:h="15840" w:orient="portrait"/>
          <w:cols w:equalWidth="0" w:num="1">
            <w:col w:w="9940"/>
          </w:cols>
          <w:pgMar w:left="1160" w:top="1109" w:right="1140" w:bottom="175" w:gutter="0" w:footer="0" w:header="0"/>
        </w:sect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9940"/>
          </w:cols>
          <w:pgMar w:left="1160" w:top="1109" w:right="1140" w:bottom="175" w:gutter="0" w:footer="0" w:header="0"/>
          <w:type w:val="continuous"/>
        </w:sectPr>
      </w:pPr>
    </w:p>
    <w:bookmarkStart w:id="89" w:name="page90"/>
    <w:bookmarkEnd w:id="89"/>
    <w:p>
      <w:pPr>
        <w:jc w:val="both"/>
        <w:ind w:right="120" w:firstLine="49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Other NDA Supportive Studies. </w:t>
      </w:r>
      <w:r>
        <w:rPr>
          <w:rFonts w:ascii="Times New Roman" w:cs="Times New Roman" w:eastAsia="Times New Roman" w:hAnsi="Times New Roman"/>
          <w:sz w:val="20"/>
          <w:szCs w:val="20"/>
          <w:color w:val="auto"/>
        </w:rPr>
        <w:t>We also plan to continue to progress and advance NDA supportive studies necessary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 regulatory approval, including Phase 1 clinical studies such as completing our respiratory safety study, and conducting drug-drug interaction, food effect, and hepatic and renal impairment studies.</w:t>
      </w:r>
    </w:p>
    <w:p>
      <w:pPr>
        <w:spacing w:after="0" w:line="54" w:lineRule="exact"/>
        <w:rPr>
          <w:sz w:val="20"/>
          <w:szCs w:val="20"/>
          <w:color w:val="auto"/>
        </w:rPr>
      </w:pPr>
    </w:p>
    <w:p>
      <w:pPr>
        <w:ind w:right="20" w:firstLine="490"/>
        <w:spacing w:after="0" w:line="229" w:lineRule="auto"/>
        <w:rPr>
          <w:sz w:val="20"/>
          <w:szCs w:val="20"/>
          <w:color w:val="auto"/>
        </w:rPr>
      </w:pPr>
      <w:r>
        <w:rPr>
          <w:rFonts w:ascii="Times New Roman" w:cs="Times New Roman" w:eastAsia="Times New Roman" w:hAnsi="Times New Roman"/>
          <w:sz w:val="20"/>
          <w:szCs w:val="20"/>
          <w:color w:val="auto"/>
        </w:rPr>
        <w:t>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December 31, 2025, we had an accumulated deficit of $329.8 million, primarily as a result of research and development and general and administrative expenses. We do not expect to generate product revenue unless and until we obtain marketing approval for and commercialize Haduvio for the treatment of chronic cough in patients with IPF, non-IPF ILD, or RCC and we can provide no assurance that we will ever generate significant revenue or profits.</w:t>
      </w:r>
    </w:p>
    <w:p>
      <w:pPr>
        <w:spacing w:after="0" w:line="67" w:lineRule="exact"/>
        <w:rPr>
          <w:sz w:val="20"/>
          <w:szCs w:val="20"/>
          <w:color w:val="auto"/>
        </w:rPr>
      </w:pPr>
    </w:p>
    <w:p>
      <w:pPr>
        <w:ind w:firstLine="490"/>
        <w:spacing w:after="0" w:line="235" w:lineRule="auto"/>
        <w:rPr>
          <w:sz w:val="20"/>
          <w:szCs w:val="20"/>
          <w:color w:val="auto"/>
        </w:rPr>
      </w:pPr>
      <w:r>
        <w:rPr>
          <w:rFonts w:ascii="Times New Roman" w:cs="Times New Roman" w:eastAsia="Times New Roman" w:hAnsi="Times New Roman"/>
          <w:sz w:val="20"/>
          <w:szCs w:val="20"/>
          <w:color w:val="auto"/>
        </w:rPr>
        <w:t>As of December 31, 2025, we had cash, cash equivalents and marketable securities of $188.3 million. We believe that our existing cash, cash equivalents and marketable securities will enable us to fund our operating expenses and capital expenditure requirements for at least 12 months from the date of issuance of the Consolidated Financial Statements included in this Annual Report on Form 10-K.</w:t>
      </w:r>
    </w:p>
    <w:p>
      <w:pPr>
        <w:spacing w:after="0" w:line="81"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trials we are conducting and plan to conduct for Haduvio including our planned Phase 3 trials for the treatment of IPF-related chronic cough, our planned adaptive design Phase 2b clinical trial of Haduvio for the treatment of non-IPF ILD-related chronic cough, our planned Phase 2b clinical trial of Haduvio for the treatment of patients with RCC, and any supportive studies necessary for regulatory approval.</w:t>
      </w:r>
    </w:p>
    <w:p>
      <w:pPr>
        <w:spacing w:after="0" w:line="80"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We will need substantial additional funding to support our continuing operations and pursue development and commercialization of Haduvio. Until such time that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sectPr>
          <w:pgSz w:w="12240" w:h="15840" w:orient="portrait"/>
          <w:cols w:equalWidth="0" w:num="1">
            <w:col w:w="9940"/>
          </w:cols>
          <w:pgMar w:left="1160" w:top="1132" w:right="11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9940"/>
          </w:cols>
          <w:pgMar w:left="1160" w:top="1132" w:right="1140" w:bottom="175"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Components of Operating Results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For the periods presented, all of our research and development expenses consist of expenses incurred in connection with the development of Haduvio. These expenses include personnel-related costs, including stock-based compensation, consulting costs, fees paid to contract research organizations, or CROs, to conduct certain research and development activities on our behalf, contract manufacturing costs and fees paid to other vendors that provide goods and services related to our clinical trials.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spacing w:after="0" w:line="67" w:lineRule="exact"/>
        <w:rPr>
          <w:sz w:val="20"/>
          <w:szCs w:val="20"/>
          <w:color w:val="auto"/>
        </w:rPr>
      </w:pPr>
    </w:p>
    <w:p>
      <w:pPr>
        <w:ind w:firstLine="490"/>
        <w:spacing w:after="0" w:line="227" w:lineRule="auto"/>
        <w:rPr>
          <w:sz w:val="20"/>
          <w:szCs w:val="20"/>
          <w:color w:val="auto"/>
        </w:rPr>
      </w:pPr>
      <w:r>
        <w:rPr>
          <w:rFonts w:ascii="Times New Roman" w:cs="Times New Roman" w:eastAsia="Times New Roman" w:hAnsi="Times New Roman"/>
          <w:sz w:val="20"/>
          <w:szCs w:val="20"/>
          <w:color w:val="auto"/>
        </w:rPr>
        <w:t>We expect our research and development expenses to increase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99" w:lineRule="exact"/>
        <w:rPr>
          <w:sz w:val="20"/>
          <w:szCs w:val="20"/>
          <w:color w:val="auto"/>
        </w:rPr>
      </w:pPr>
    </w:p>
    <w:p>
      <w:pPr>
        <w:ind w:right="80" w:firstLine="490"/>
        <w:spacing w:after="0" w:line="235" w:lineRule="auto"/>
        <w:rPr>
          <w:sz w:val="20"/>
          <w:szCs w:val="20"/>
          <w:color w:val="auto"/>
        </w:rPr>
      </w:pPr>
      <w:r>
        <w:rPr>
          <w:rFonts w:ascii="Times New Roman" w:cs="Times New Roman" w:eastAsia="Times New Roman" w:hAnsi="Times New Roman"/>
          <w:sz w:val="20"/>
          <w:szCs w:val="20"/>
          <w:color w:val="auto"/>
        </w:rPr>
        <w:t>General and administrative expenses consist principally of personnel-related costs, including stock-based compensation for personnel in executive, finance, commercial and other administrative functions; professional fees for legal, information technology, consulting and accounting services; as well as rent and other general operating expenses not otherwise classified as research and development expenses.</w:t>
      </w:r>
    </w:p>
    <w:p>
      <w:pPr>
        <w:spacing w:after="0" w:line="81" w:lineRule="exact"/>
        <w:rPr>
          <w:sz w:val="20"/>
          <w:szCs w:val="20"/>
          <w:color w:val="auto"/>
        </w:rPr>
      </w:pPr>
    </w:p>
    <w:p>
      <w:pPr>
        <w:ind w:right="300" w:firstLine="490"/>
        <w:spacing w:after="0" w:line="252" w:lineRule="auto"/>
        <w:rPr>
          <w:sz w:val="20"/>
          <w:szCs w:val="20"/>
          <w:color w:val="auto"/>
        </w:rPr>
      </w:pPr>
      <w:r>
        <w:rPr>
          <w:rFonts w:ascii="Times New Roman" w:cs="Times New Roman" w:eastAsia="Times New Roman" w:hAnsi="Times New Roman"/>
          <w:sz w:val="20"/>
          <w:szCs w:val="20"/>
          <w:color w:val="auto"/>
        </w:rPr>
        <w:t>We anticipate that our general and administrative expenses will increase as a result of increased personnel costs, including stock-based compensation and expanded infrastructure. We also anticipate that our general and administrative expenses will increase as we expect to continue to incur increased costs as we continue to prepare for compliance with Section 404 of the Sarbanes-Oxley Act of 2002, or SOX 404(b).</w:t>
      </w:r>
    </w:p>
    <w:p>
      <w:pPr>
        <w:spacing w:after="0" w:line="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Interest Income, Net</w:t>
      </w:r>
    </w:p>
    <w:p>
      <w:pPr>
        <w:spacing w:after="0" w:line="103" w:lineRule="exact"/>
        <w:rPr>
          <w:sz w:val="20"/>
          <w:szCs w:val="20"/>
          <w:color w:val="auto"/>
        </w:rPr>
      </w:pPr>
    </w:p>
    <w:p>
      <w:pPr>
        <w:ind w:right="220" w:firstLine="490"/>
        <w:spacing w:after="0" w:line="258" w:lineRule="auto"/>
        <w:rPr>
          <w:sz w:val="20"/>
          <w:szCs w:val="20"/>
          <w:color w:val="auto"/>
        </w:rPr>
      </w:pPr>
      <w:r>
        <w:rPr>
          <w:rFonts w:ascii="Times New Roman" w:cs="Times New Roman" w:eastAsia="Times New Roman" w:hAnsi="Times New Roman"/>
          <w:sz w:val="20"/>
          <w:szCs w:val="20"/>
          <w:color w:val="auto"/>
        </w:rPr>
        <w:t>Interest income, net consists of interest earned primarily on our cash, cash equivalents and marketable securities as well as accretion of discounts/amortization of premiums on purchases of marketable securities.</w:t>
      </w:r>
    </w:p>
    <w:p>
      <w:pPr>
        <w:spacing w:after="0" w:line="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Other Income, Net</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Other income, net consists of foreign currency transaction gains and losses.</w:t>
      </w:r>
    </w:p>
    <w:p>
      <w:pPr>
        <w:spacing w:after="0" w:line="1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Interest expense consists of the interest expense associated with our finance lease.</w:t>
      </w:r>
    </w:p>
    <w:p>
      <w:pPr>
        <w:sectPr>
          <w:pgSz w:w="12240" w:h="15840" w:orient="portrait"/>
          <w:cols w:equalWidth="0" w:num="1">
            <w:col w:w="9900"/>
          </w:cols>
          <w:pgMar w:left="1160" w:top="1128" w:right="11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9900"/>
          </w:cols>
          <w:pgMar w:left="1160" w:top="1128" w:right="1180" w:bottom="175"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2024</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periods indicated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0" w:type="dxa"/>
            <w:vAlign w:val="bottom"/>
            <w:gridSpan w:val="7"/>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80" w:type="dxa"/>
            <w:vAlign w:val="bottom"/>
          </w:tcPr>
          <w:p>
            <w:pPr>
              <w:spacing w:after="0"/>
              <w:rPr>
                <w:sz w:val="17"/>
                <w:szCs w:val="17"/>
                <w:color w:val="auto"/>
              </w:rPr>
            </w:pPr>
          </w:p>
        </w:tc>
        <w:tc>
          <w:tcPr>
            <w:tcW w:w="920" w:type="dxa"/>
            <w:vAlign w:val="bottom"/>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5"/>
        </w:trPr>
        <w:tc>
          <w:tcPr>
            <w:tcW w:w="5780" w:type="dxa"/>
            <w:vAlign w:val="bottom"/>
            <w:vMerge w:val="continue"/>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80" w:type="dxa"/>
            <w:vAlign w:val="bottom"/>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33,478</w:t>
            </w:r>
          </w:p>
        </w:tc>
        <w:tc>
          <w:tcPr>
            <w:tcW w:w="340" w:type="dxa"/>
            <w:vAlign w:val="bottom"/>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39,377</w:t>
            </w:r>
          </w:p>
        </w:tc>
        <w:tc>
          <w:tcPr>
            <w:tcW w:w="220" w:type="dxa"/>
            <w:vAlign w:val="bottom"/>
            <w:shd w:val="clear" w:color="auto" w:fill="D5EEEE"/>
          </w:tcPr>
          <w:p>
            <w:pPr>
              <w:spacing w:after="0"/>
              <w:rPr>
                <w:sz w:val="20"/>
                <w:szCs w:val="20"/>
                <w:color w:val="auto"/>
              </w:rPr>
            </w:pPr>
          </w:p>
        </w:tc>
        <w:tc>
          <w:tcPr>
            <w:tcW w:w="220" w:type="dxa"/>
            <w:vAlign w:val="bottom"/>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(5,899)</w:t>
            </w: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15,850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3,703</w:t>
            </w:r>
          </w:p>
        </w:tc>
        <w:tc>
          <w:tcPr>
            <w:tcW w:w="0" w:type="dxa"/>
            <w:vAlign w:val="bottom"/>
          </w:tcPr>
          <w:p>
            <w:pPr>
              <w:spacing w:after="0"/>
              <w:rPr>
                <w:sz w:val="1"/>
                <w:szCs w:val="1"/>
                <w:color w:val="auto"/>
              </w:rPr>
            </w:pPr>
          </w:p>
        </w:tc>
      </w:tr>
      <w:tr>
        <w:trPr>
          <w:trHeight w:val="225"/>
        </w:trPr>
        <w:tc>
          <w:tcPr>
            <w:tcW w:w="5780" w:type="dxa"/>
            <w:vAlign w:val="bottom"/>
            <w:tcBorders>
              <w:top w:val="single" w:sz="8" w:color="D5EEEE"/>
            </w:tcBorders>
            <w:shd w:val="clear" w:color="auto" w:fill="D5EEEE"/>
          </w:tcPr>
          <w:p>
            <w:pPr>
              <w:ind w:left="400"/>
              <w:spacing w:after="0" w:line="225" w:lineRule="exact"/>
              <w:rPr>
                <w:sz w:val="20"/>
                <w:szCs w:val="20"/>
                <w:color w:val="auto"/>
              </w:rPr>
            </w:pPr>
            <w:r>
              <w:rPr>
                <w:rFonts w:ascii="Times New Roman" w:cs="Times New Roman" w:eastAsia="Times New Roman" w:hAnsi="Times New Roman"/>
                <w:sz w:val="20"/>
                <w:szCs w:val="20"/>
                <w:color w:val="auto"/>
              </w:rPr>
              <w:t>Total operating expenses</w:t>
            </w:r>
          </w:p>
        </w:tc>
        <w:tc>
          <w:tcPr>
            <w:tcW w:w="280" w:type="dxa"/>
            <w:vAlign w:val="bottom"/>
            <w:tcBorders>
              <w:top w:val="single" w:sz="8" w:color="auto"/>
              <w:bottom w:val="single" w:sz="8" w:color="auto"/>
            </w:tcBorders>
            <w:shd w:val="clear" w:color="auto" w:fill="D5EEEE"/>
          </w:tcPr>
          <w:p>
            <w:pPr>
              <w:spacing w:after="0"/>
              <w:rPr>
                <w:sz w:val="19"/>
                <w:szCs w:val="19"/>
                <w:color w:val="auto"/>
              </w:rPr>
            </w:pPr>
          </w:p>
        </w:tc>
        <w:tc>
          <w:tcPr>
            <w:tcW w:w="92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49,328</w:t>
            </w:r>
          </w:p>
        </w:tc>
        <w:tc>
          <w:tcPr>
            <w:tcW w:w="160" w:type="dxa"/>
            <w:vAlign w:val="bottom"/>
            <w:tcBorders>
              <w:top w:val="single" w:sz="8" w:color="D5EEEE"/>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spacing w:after="0"/>
              <w:rPr>
                <w:sz w:val="19"/>
                <w:szCs w:val="19"/>
                <w:color w:val="auto"/>
              </w:rPr>
            </w:pPr>
          </w:p>
        </w:tc>
        <w:tc>
          <w:tcPr>
            <w:tcW w:w="260" w:type="dxa"/>
            <w:vAlign w:val="bottom"/>
            <w:tcBorders>
              <w:top w:val="single" w:sz="8" w:color="auto"/>
              <w:bottom w:val="single" w:sz="8" w:color="auto"/>
            </w:tcBorders>
            <w:shd w:val="clear" w:color="auto" w:fill="D5EEEE"/>
          </w:tcPr>
          <w:p>
            <w:pPr>
              <w:spacing w:after="0"/>
              <w:rPr>
                <w:sz w:val="19"/>
                <w:szCs w:val="19"/>
                <w:color w:val="auto"/>
              </w:rPr>
            </w:pPr>
          </w:p>
        </w:tc>
        <w:tc>
          <w:tcPr>
            <w:tcW w:w="94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51,524</w:t>
            </w:r>
          </w:p>
        </w:tc>
        <w:tc>
          <w:tcPr>
            <w:tcW w:w="220" w:type="dxa"/>
            <w:vAlign w:val="bottom"/>
            <w:tcBorders>
              <w:top w:val="single" w:sz="8" w:color="D5EEEE"/>
            </w:tcBorders>
            <w:shd w:val="clear" w:color="auto" w:fill="D5EEEE"/>
          </w:tcPr>
          <w:p>
            <w:pPr>
              <w:spacing w:after="0"/>
              <w:rPr>
                <w:sz w:val="19"/>
                <w:szCs w:val="19"/>
                <w:color w:val="auto"/>
              </w:rPr>
            </w:pPr>
          </w:p>
        </w:tc>
        <w:tc>
          <w:tcPr>
            <w:tcW w:w="220" w:type="dxa"/>
            <w:vAlign w:val="bottom"/>
            <w:tcBorders>
              <w:top w:val="single" w:sz="8" w:color="auto"/>
              <w:bottom w:val="single" w:sz="8" w:color="auto"/>
            </w:tcBorders>
            <w:shd w:val="clear" w:color="auto" w:fill="D5EEEE"/>
          </w:tcPr>
          <w:p>
            <w:pPr>
              <w:spacing w:after="0"/>
              <w:rPr>
                <w:sz w:val="19"/>
                <w:szCs w:val="19"/>
                <w:color w:val="auto"/>
              </w:rPr>
            </w:pPr>
          </w:p>
        </w:tc>
        <w:tc>
          <w:tcPr>
            <w:tcW w:w="98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(2,196)</w:t>
            </w:r>
          </w:p>
        </w:tc>
        <w:tc>
          <w:tcPr>
            <w:tcW w:w="80" w:type="dxa"/>
            <w:vAlign w:val="bottom"/>
            <w:tcBorders>
              <w:top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Loss from operations</w:t>
            </w:r>
          </w:p>
        </w:tc>
        <w:tc>
          <w:tcPr>
            <w:tcW w:w="280" w:type="dxa"/>
            <w:vAlign w:val="bottom"/>
          </w:tcPr>
          <w:p>
            <w:pPr>
              <w:spacing w:after="0"/>
              <w:rPr>
                <w:sz w:val="19"/>
                <w:szCs w:val="19"/>
                <w:color w:val="auto"/>
              </w:rPr>
            </w:pPr>
          </w:p>
        </w:tc>
        <w:tc>
          <w:tcPr>
            <w:tcW w:w="9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(49,328)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(51,524)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2,196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280" w:type="dxa"/>
            <w:vAlign w:val="bottom"/>
            <w:shd w:val="clear" w:color="auto" w:fill="D5EEEE"/>
          </w:tcPr>
          <w:p>
            <w:pPr>
              <w:spacing w:after="0"/>
              <w:rPr>
                <w:sz w:val="20"/>
                <w:szCs w:val="20"/>
                <w:color w:val="auto"/>
              </w:rPr>
            </w:pPr>
          </w:p>
        </w:tc>
        <w:tc>
          <w:tcPr>
            <w:tcW w:w="92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94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220" w:type="dxa"/>
            <w:vAlign w:val="bottom"/>
            <w:shd w:val="clear" w:color="auto" w:fill="D5EEEE"/>
          </w:tcPr>
          <w:p>
            <w:pPr>
              <w:spacing w:after="0"/>
              <w:rPr>
                <w:sz w:val="20"/>
                <w:szCs w:val="20"/>
                <w:color w:val="auto"/>
              </w:rPr>
            </w:pPr>
          </w:p>
        </w:tc>
        <w:tc>
          <w:tcPr>
            <w:tcW w:w="98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 net</w:t>
            </w:r>
          </w:p>
        </w:tc>
        <w:tc>
          <w:tcPr>
            <w:tcW w:w="2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6,536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2,934</w:t>
            </w:r>
          </w:p>
        </w:tc>
        <w:tc>
          <w:tcPr>
            <w:tcW w:w="0" w:type="dxa"/>
            <w:vAlign w:val="bottom"/>
          </w:tcPr>
          <w:p>
            <w:pPr>
              <w:spacing w:after="0"/>
              <w:rPr>
                <w:sz w:val="1"/>
                <w:szCs w:val="1"/>
                <w:color w:val="auto"/>
              </w:rPr>
            </w:pPr>
          </w:p>
        </w:tc>
      </w:tr>
      <w:tr>
        <w:trPr>
          <w:trHeight w:val="230"/>
        </w:trPr>
        <w:tc>
          <w:tcPr>
            <w:tcW w:w="57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Other expense, net</w:t>
            </w:r>
          </w:p>
        </w:tc>
        <w:tc>
          <w:tcPr>
            <w:tcW w:w="280" w:type="dxa"/>
            <w:vAlign w:val="bottom"/>
            <w:shd w:val="clear" w:color="auto" w:fill="D5EEEE"/>
          </w:tcPr>
          <w:p>
            <w:pPr>
              <w:spacing w:after="0"/>
              <w:rPr>
                <w:sz w:val="20"/>
                <w:szCs w:val="20"/>
                <w:color w:val="auto"/>
              </w:rPr>
            </w:pPr>
          </w:p>
        </w:tc>
        <w:tc>
          <w:tcPr>
            <w:tcW w:w="108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116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(15)</w:t>
            </w:r>
          </w:p>
        </w:tc>
        <w:tc>
          <w:tcPr>
            <w:tcW w:w="220" w:type="dxa"/>
            <w:vAlign w:val="bottom"/>
            <w:shd w:val="clear" w:color="auto" w:fill="D5EEEE"/>
          </w:tcPr>
          <w:p>
            <w:pPr>
              <w:spacing w:after="0"/>
              <w:rPr>
                <w:sz w:val="20"/>
                <w:szCs w:val="20"/>
                <w:color w:val="auto"/>
              </w:rPr>
            </w:pPr>
          </w:p>
        </w:tc>
        <w:tc>
          <w:tcPr>
            <w:tcW w:w="10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30"/>
        </w:trPr>
        <w:tc>
          <w:tcPr>
            <w:tcW w:w="5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w:t>
            </w: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25"/>
        </w:trPr>
        <w:tc>
          <w:tcPr>
            <w:tcW w:w="5780" w:type="dxa"/>
            <w:vAlign w:val="bottom"/>
            <w:tcBorders>
              <w:top w:val="single" w:sz="8" w:color="D5EEEE"/>
            </w:tcBorders>
            <w:shd w:val="clear" w:color="auto" w:fill="D5EEEE"/>
          </w:tcPr>
          <w:p>
            <w:pPr>
              <w:ind w:left="400"/>
              <w:spacing w:after="0" w:line="225" w:lineRule="exact"/>
              <w:rPr>
                <w:sz w:val="20"/>
                <w:szCs w:val="20"/>
                <w:color w:val="auto"/>
              </w:rPr>
            </w:pPr>
            <w:r>
              <w:rPr>
                <w:rFonts w:ascii="Times New Roman" w:cs="Times New Roman" w:eastAsia="Times New Roman" w:hAnsi="Times New Roman"/>
                <w:sz w:val="20"/>
                <w:szCs w:val="20"/>
                <w:color w:val="auto"/>
              </w:rPr>
              <w:t>Total other income, net</w:t>
            </w:r>
          </w:p>
        </w:tc>
        <w:tc>
          <w:tcPr>
            <w:tcW w:w="280" w:type="dxa"/>
            <w:vAlign w:val="bottom"/>
            <w:tcBorders>
              <w:top w:val="single" w:sz="8" w:color="auto"/>
              <w:bottom w:val="single" w:sz="8" w:color="auto"/>
            </w:tcBorders>
            <w:shd w:val="clear" w:color="auto" w:fill="D5EEEE"/>
          </w:tcPr>
          <w:p>
            <w:pPr>
              <w:spacing w:after="0"/>
              <w:rPr>
                <w:sz w:val="19"/>
                <w:szCs w:val="19"/>
                <w:color w:val="auto"/>
              </w:rPr>
            </w:pPr>
          </w:p>
        </w:tc>
        <w:tc>
          <w:tcPr>
            <w:tcW w:w="92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6,505</w:t>
            </w:r>
          </w:p>
        </w:tc>
        <w:tc>
          <w:tcPr>
            <w:tcW w:w="160" w:type="dxa"/>
            <w:vAlign w:val="bottom"/>
            <w:tcBorders>
              <w:top w:val="single" w:sz="8" w:color="D5EEEE"/>
            </w:tcBorders>
            <w:shd w:val="clear" w:color="auto" w:fill="D5EEEE"/>
          </w:tcPr>
          <w:p>
            <w:pPr>
              <w:spacing w:after="0"/>
              <w:rPr>
                <w:sz w:val="19"/>
                <w:szCs w:val="19"/>
                <w:color w:val="auto"/>
              </w:rPr>
            </w:pPr>
          </w:p>
        </w:tc>
        <w:tc>
          <w:tcPr>
            <w:tcW w:w="80" w:type="dxa"/>
            <w:vAlign w:val="bottom"/>
            <w:tcBorders>
              <w:top w:val="single" w:sz="8" w:color="D5EEEE"/>
            </w:tcBorders>
            <w:shd w:val="clear" w:color="auto" w:fill="D5EEEE"/>
          </w:tcPr>
          <w:p>
            <w:pPr>
              <w:spacing w:after="0"/>
              <w:rPr>
                <w:sz w:val="19"/>
                <w:szCs w:val="19"/>
                <w:color w:val="auto"/>
              </w:rPr>
            </w:pPr>
          </w:p>
        </w:tc>
        <w:tc>
          <w:tcPr>
            <w:tcW w:w="260" w:type="dxa"/>
            <w:vAlign w:val="bottom"/>
            <w:tcBorders>
              <w:top w:val="single" w:sz="8" w:color="auto"/>
              <w:bottom w:val="single" w:sz="8" w:color="auto"/>
            </w:tcBorders>
            <w:shd w:val="clear" w:color="auto" w:fill="D5EEEE"/>
          </w:tcPr>
          <w:p>
            <w:pPr>
              <w:spacing w:after="0"/>
              <w:rPr>
                <w:sz w:val="19"/>
                <w:szCs w:val="19"/>
                <w:color w:val="auto"/>
              </w:rPr>
            </w:pPr>
          </w:p>
        </w:tc>
        <w:tc>
          <w:tcPr>
            <w:tcW w:w="94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3,583</w:t>
            </w:r>
          </w:p>
        </w:tc>
        <w:tc>
          <w:tcPr>
            <w:tcW w:w="220" w:type="dxa"/>
            <w:vAlign w:val="bottom"/>
            <w:tcBorders>
              <w:top w:val="single" w:sz="8" w:color="D5EEEE"/>
            </w:tcBorders>
            <w:shd w:val="clear" w:color="auto" w:fill="D5EEEE"/>
          </w:tcPr>
          <w:p>
            <w:pPr>
              <w:spacing w:after="0"/>
              <w:rPr>
                <w:sz w:val="19"/>
                <w:szCs w:val="19"/>
                <w:color w:val="auto"/>
              </w:rPr>
            </w:pPr>
          </w:p>
        </w:tc>
        <w:tc>
          <w:tcPr>
            <w:tcW w:w="220" w:type="dxa"/>
            <w:vAlign w:val="bottom"/>
            <w:tcBorders>
              <w:top w:val="single" w:sz="8" w:color="auto"/>
              <w:bottom w:val="single" w:sz="8" w:color="auto"/>
            </w:tcBorders>
            <w:shd w:val="clear" w:color="auto" w:fill="D5EEEE"/>
          </w:tcPr>
          <w:p>
            <w:pPr>
              <w:spacing w:after="0"/>
              <w:rPr>
                <w:sz w:val="19"/>
                <w:szCs w:val="19"/>
                <w:color w:val="auto"/>
              </w:rPr>
            </w:pPr>
          </w:p>
        </w:tc>
        <w:tc>
          <w:tcPr>
            <w:tcW w:w="98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2,922</w:t>
            </w:r>
          </w:p>
        </w:tc>
        <w:tc>
          <w:tcPr>
            <w:tcW w:w="80" w:type="dxa"/>
            <w:vAlign w:val="bottom"/>
            <w:tcBorders>
              <w:top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8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Loss before income taxes</w:t>
            </w:r>
          </w:p>
        </w:tc>
        <w:tc>
          <w:tcPr>
            <w:tcW w:w="280" w:type="dxa"/>
            <w:vAlign w:val="bottom"/>
          </w:tcPr>
          <w:p>
            <w:pPr>
              <w:spacing w:after="0"/>
              <w:rPr>
                <w:sz w:val="19"/>
                <w:szCs w:val="19"/>
                <w:color w:val="auto"/>
              </w:rPr>
            </w:pPr>
          </w:p>
        </w:tc>
        <w:tc>
          <w:tcPr>
            <w:tcW w:w="9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(42,823)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(47,941)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5,118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7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Income tax benefit</w:t>
            </w:r>
          </w:p>
        </w:tc>
        <w:tc>
          <w:tcPr>
            <w:tcW w:w="280" w:type="dxa"/>
            <w:vAlign w:val="bottom"/>
            <w:shd w:val="clear" w:color="auto" w:fill="D5EEEE"/>
          </w:tcPr>
          <w:p>
            <w:pPr>
              <w:spacing w:after="0"/>
              <w:rPr>
                <w:sz w:val="21"/>
                <w:szCs w:val="21"/>
                <w:color w:val="auto"/>
              </w:rPr>
            </w:pPr>
          </w:p>
        </w:tc>
        <w:tc>
          <w:tcPr>
            <w:tcW w:w="108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(64)</w:t>
            </w:r>
          </w:p>
        </w:tc>
        <w:tc>
          <w:tcPr>
            <w:tcW w:w="8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116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(30)</w:t>
            </w:r>
          </w:p>
        </w:tc>
        <w:tc>
          <w:tcPr>
            <w:tcW w:w="220" w:type="dxa"/>
            <w:vAlign w:val="bottom"/>
            <w:shd w:val="clear" w:color="auto" w:fill="D5EEEE"/>
          </w:tcPr>
          <w:p>
            <w:pPr>
              <w:spacing w:after="0"/>
              <w:rPr>
                <w:sz w:val="21"/>
                <w:szCs w:val="21"/>
                <w:color w:val="auto"/>
              </w:rPr>
            </w:pPr>
          </w:p>
        </w:tc>
        <w:tc>
          <w:tcPr>
            <w:tcW w:w="10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05"/>
        </w:trPr>
        <w:tc>
          <w:tcPr>
            <w:tcW w:w="5780" w:type="dxa"/>
            <w:vAlign w:val="bottom"/>
            <w:tcBorders>
              <w:top w:val="single" w:sz="8" w:color="D5EEEE"/>
            </w:tcBorders>
          </w:tcPr>
          <w:p>
            <w:pPr>
              <w:spacing w:after="0" w:line="205" w:lineRule="exact"/>
              <w:rPr>
                <w:sz w:val="20"/>
                <w:szCs w:val="20"/>
                <w:color w:val="auto"/>
              </w:rPr>
            </w:pPr>
            <w:r>
              <w:rPr>
                <w:rFonts w:ascii="Times New Roman" w:cs="Times New Roman" w:eastAsia="Times New Roman" w:hAnsi="Times New Roman"/>
                <w:sz w:val="20"/>
                <w:szCs w:val="20"/>
                <w:color w:val="auto"/>
              </w:rPr>
              <w:t>Net loss</w:t>
            </w:r>
          </w:p>
        </w:tc>
        <w:tc>
          <w:tcPr>
            <w:tcW w:w="280" w:type="dxa"/>
            <w:vAlign w:val="bottom"/>
            <w:tcBorders>
              <w:top w:val="single" w:sz="8" w:color="auto"/>
              <w:bottom w:val="single" w:sz="8" w:color="auto"/>
            </w:tcBorders>
          </w:tcPr>
          <w:p>
            <w:pPr>
              <w:jc w:val="right"/>
              <w:ind w:right="8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(42,759)</w:t>
            </w:r>
          </w:p>
        </w:tc>
        <w:tc>
          <w:tcPr>
            <w:tcW w:w="160" w:type="dxa"/>
            <w:vAlign w:val="bottom"/>
            <w:tcBorders>
              <w:top w:val="single" w:sz="8" w:color="D5EEEE"/>
            </w:tcBorders>
          </w:tcPr>
          <w:p>
            <w:pPr>
              <w:spacing w:after="0"/>
              <w:rPr>
                <w:sz w:val="17"/>
                <w:szCs w:val="17"/>
                <w:color w:val="auto"/>
              </w:rPr>
            </w:pPr>
          </w:p>
        </w:tc>
        <w:tc>
          <w:tcPr>
            <w:tcW w:w="80" w:type="dxa"/>
            <w:vAlign w:val="bottom"/>
            <w:tcBorders>
              <w:top w:val="single" w:sz="8" w:color="D5EEEE"/>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(47,911)</w:t>
            </w:r>
          </w:p>
        </w:tc>
        <w:tc>
          <w:tcPr>
            <w:tcW w:w="220" w:type="dxa"/>
            <w:vAlign w:val="bottom"/>
            <w:tcBorders>
              <w:top w:val="single" w:sz="8" w:color="D5EEEE"/>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2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top w:val="single" w:sz="8" w:color="auto"/>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5,152</w:t>
            </w:r>
          </w:p>
        </w:tc>
        <w:tc>
          <w:tcPr>
            <w:tcW w:w="80" w:type="dxa"/>
            <w:vAlign w:val="bottom"/>
            <w:tcBorders>
              <w:top w:val="single" w:sz="8" w:color="D5EE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-2124710</wp:posOffset>
            </wp:positionV>
            <wp:extent cx="261620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extLst>
                    </a:blip>
                    <a:srcRect/>
                    <a:stretch>
                      <a:fillRect/>
                    </a:stretch>
                  </pic:blipFill>
                  <pic:spPr bwMode="auto">
                    <a:xfrm>
                      <a:off x="0" y="0"/>
                      <a:ext cx="2616200" cy="38100"/>
                    </a:xfrm>
                    <a:prstGeom prst="rect">
                      <a:avLst/>
                    </a:prstGeom>
                    <a:noFill/>
                  </pic:spPr>
                </pic:pic>
              </a:graphicData>
            </a:graphic>
          </wp:anchor>
        </w:drawing>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research and development expenses for the periods indicated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5"/>
        </w:trPr>
        <w:tc>
          <w:tcPr>
            <w:tcW w:w="4280" w:type="dxa"/>
            <w:vAlign w:val="bottom"/>
            <w:tcBorders>
              <w:top w:val="single" w:sz="8" w:color="D5EEEE"/>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Clinical development expenses</w:t>
            </w:r>
          </w:p>
        </w:tc>
        <w:tc>
          <w:tcPr>
            <w:tcW w:w="860" w:type="dxa"/>
            <w:vAlign w:val="bottom"/>
            <w:tcBorders>
              <w:top w:val="single" w:sz="8" w:color="D5EEEE"/>
            </w:tcBorders>
            <w:shd w:val="clear" w:color="auto" w:fill="D5EEEE"/>
          </w:tcPr>
          <w:p>
            <w:pPr>
              <w:spacing w:after="0"/>
              <w:rPr>
                <w:sz w:val="19"/>
                <w:szCs w:val="19"/>
                <w:color w:val="auto"/>
              </w:rPr>
            </w:pPr>
          </w:p>
        </w:tc>
        <w:tc>
          <w:tcPr>
            <w:tcW w:w="320" w:type="dxa"/>
            <w:vAlign w:val="bottom"/>
            <w:tcBorders>
              <w:top w:val="single" w:sz="8" w:color="auto"/>
            </w:tcBorders>
            <w:shd w:val="clear" w:color="auto" w:fill="D5EEEE"/>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22,940</w:t>
            </w:r>
          </w:p>
        </w:tc>
        <w:tc>
          <w:tcPr>
            <w:tcW w:w="40" w:type="dxa"/>
            <w:vAlign w:val="bottom"/>
            <w:tcBorders>
              <w:top w:val="single" w:sz="8" w:color="D5EEEE"/>
            </w:tcBorders>
            <w:shd w:val="clear" w:color="auto" w:fill="D5EEEE"/>
          </w:tcPr>
          <w:p>
            <w:pPr>
              <w:spacing w:after="0"/>
              <w:rPr>
                <w:sz w:val="19"/>
                <w:szCs w:val="19"/>
                <w:color w:val="auto"/>
              </w:rPr>
            </w:pPr>
          </w:p>
        </w:tc>
        <w:tc>
          <w:tcPr>
            <w:tcW w:w="220" w:type="dxa"/>
            <w:vAlign w:val="bottom"/>
            <w:tcBorders>
              <w:top w:val="single" w:sz="8" w:color="D5EEEE"/>
            </w:tcBorders>
            <w:shd w:val="clear" w:color="auto" w:fill="D5EEEE"/>
          </w:tcPr>
          <w:p>
            <w:pPr>
              <w:spacing w:after="0"/>
              <w:rPr>
                <w:sz w:val="19"/>
                <w:szCs w:val="19"/>
                <w:color w:val="auto"/>
              </w:rPr>
            </w:pPr>
          </w:p>
        </w:tc>
        <w:tc>
          <w:tcPr>
            <w:tcW w:w="320" w:type="dxa"/>
            <w:vAlign w:val="bottom"/>
            <w:tcBorders>
              <w:top w:val="single" w:sz="8" w:color="auto"/>
            </w:tcBorders>
            <w:shd w:val="clear" w:color="auto" w:fill="D5EEEE"/>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31,675</w:t>
            </w:r>
          </w:p>
        </w:tc>
        <w:tc>
          <w:tcPr>
            <w:tcW w:w="240" w:type="dxa"/>
            <w:vAlign w:val="bottom"/>
            <w:tcBorders>
              <w:top w:val="single" w:sz="8" w:color="D5EEEE"/>
            </w:tcBorders>
            <w:shd w:val="clear" w:color="auto" w:fill="D5EEEE"/>
          </w:tcPr>
          <w:p>
            <w:pPr>
              <w:spacing w:after="0"/>
              <w:rPr>
                <w:sz w:val="19"/>
                <w:szCs w:val="19"/>
                <w:color w:val="auto"/>
              </w:rPr>
            </w:pPr>
          </w:p>
        </w:tc>
        <w:tc>
          <w:tcPr>
            <w:tcW w:w="280" w:type="dxa"/>
            <w:vAlign w:val="bottom"/>
            <w:tcBorders>
              <w:top w:val="single" w:sz="8" w:color="auto"/>
            </w:tcBorders>
            <w:shd w:val="clear" w:color="auto" w:fill="D5EEEE"/>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(8,735)</w:t>
            </w:r>
          </w:p>
        </w:tc>
        <w:tc>
          <w:tcPr>
            <w:tcW w:w="80" w:type="dxa"/>
            <w:vAlign w:val="bottom"/>
            <w:tcBorders>
              <w:top w:val="single" w:sz="8" w:color="D5EEEE"/>
            </w:tcBorders>
            <w:shd w:val="clear" w:color="auto" w:fill="D5EEEE"/>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Personnel and related expenses</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5,698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2,079</w:t>
            </w:r>
          </w:p>
        </w:tc>
        <w:tc>
          <w:tcPr>
            <w:tcW w:w="80" w:type="dxa"/>
            <w:vAlign w:val="bottom"/>
          </w:tcPr>
          <w:p>
            <w:pPr>
              <w:spacing w:after="0"/>
              <w:rPr>
                <w:sz w:val="20"/>
                <w:szCs w:val="20"/>
                <w:color w:val="auto"/>
              </w:rPr>
            </w:pPr>
          </w:p>
        </w:tc>
      </w:tr>
      <w:tr>
        <w:trPr>
          <w:trHeight w:val="230"/>
        </w:trPr>
        <w:tc>
          <w:tcPr>
            <w:tcW w:w="42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Stock-based compensation expenses</w:t>
            </w:r>
          </w:p>
        </w:tc>
        <w:tc>
          <w:tcPr>
            <w:tcW w:w="86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120" w:type="dxa"/>
            <w:vAlign w:val="bottom"/>
            <w:gridSpan w:val="2"/>
            <w:shd w:val="clear" w:color="auto" w:fill="D5EEEE"/>
          </w:tcPr>
          <w:p>
            <w:pPr>
              <w:jc w:val="right"/>
              <w:ind w:right="40"/>
              <w:spacing w:after="0"/>
              <w:rPr>
                <w:sz w:val="20"/>
                <w:szCs w:val="20"/>
                <w:color w:val="auto"/>
              </w:rPr>
            </w:pPr>
            <w:r>
              <w:rPr>
                <w:rFonts w:ascii="Times New Roman" w:cs="Times New Roman" w:eastAsia="Times New Roman" w:hAnsi="Times New Roman"/>
                <w:sz w:val="20"/>
                <w:szCs w:val="20"/>
                <w:color w:val="auto"/>
              </w:rPr>
              <w:t>2,241</w:t>
            </w:r>
          </w:p>
        </w:tc>
        <w:tc>
          <w:tcPr>
            <w:tcW w:w="2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320" w:type="dxa"/>
            <w:vAlign w:val="bottom"/>
            <w:gridSpan w:val="2"/>
            <w:shd w:val="clear" w:color="auto" w:fill="D5EEEE"/>
          </w:tcPr>
          <w:p>
            <w:pPr>
              <w:jc w:val="right"/>
              <w:ind w:right="240"/>
              <w:spacing w:after="0"/>
              <w:rPr>
                <w:sz w:val="20"/>
                <w:szCs w:val="20"/>
                <w:color w:val="auto"/>
              </w:rPr>
            </w:pPr>
            <w:r>
              <w:rPr>
                <w:rFonts w:ascii="Times New Roman" w:cs="Times New Roman" w:eastAsia="Times New Roman" w:hAnsi="Times New Roman"/>
                <w:sz w:val="20"/>
                <w:szCs w:val="20"/>
                <w:color w:val="auto"/>
              </w:rPr>
              <w:t>1,443</w:t>
            </w:r>
          </w:p>
        </w:tc>
        <w:tc>
          <w:tcPr>
            <w:tcW w:w="280" w:type="dxa"/>
            <w:vAlign w:val="bottom"/>
            <w:shd w:val="clear" w:color="auto" w:fill="D5EEEE"/>
          </w:tcPr>
          <w:p>
            <w:pPr>
              <w:spacing w:after="0"/>
              <w:rPr>
                <w:sz w:val="20"/>
                <w:szCs w:val="20"/>
                <w:color w:val="auto"/>
              </w:rPr>
            </w:pPr>
          </w:p>
        </w:tc>
        <w:tc>
          <w:tcPr>
            <w:tcW w:w="120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798</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Other research and development expenses</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520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561</w:t>
            </w:r>
          </w:p>
        </w:tc>
        <w:tc>
          <w:tcPr>
            <w:tcW w:w="2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w:t>
            </w:r>
          </w:p>
        </w:tc>
      </w:tr>
      <w:tr>
        <w:trPr>
          <w:trHeight w:val="245"/>
        </w:trPr>
        <w:tc>
          <w:tcPr>
            <w:tcW w:w="4280" w:type="dxa"/>
            <w:vAlign w:val="bottom"/>
            <w:tcBorders>
              <w:top w:val="single" w:sz="8" w:color="D5EEEE"/>
              <w:bottom w:val="single" w:sz="8" w:color="D5EEEE"/>
            </w:tcBorders>
            <w:shd w:val="clear" w:color="auto" w:fill="D5EEEE"/>
          </w:tcPr>
          <w:p>
            <w:pPr>
              <w:ind w:left="100"/>
              <w:spacing w:after="0" w:line="225" w:lineRule="exact"/>
              <w:rPr>
                <w:sz w:val="20"/>
                <w:szCs w:val="20"/>
                <w:color w:val="auto"/>
              </w:rPr>
            </w:pPr>
            <w:r>
              <w:rPr>
                <w:rFonts w:ascii="Times New Roman" w:cs="Times New Roman" w:eastAsia="Times New Roman" w:hAnsi="Times New Roman"/>
                <w:sz w:val="20"/>
                <w:szCs w:val="20"/>
                <w:color w:val="auto"/>
              </w:rPr>
              <w:t>Total research and development expenses</w:t>
            </w:r>
          </w:p>
        </w:tc>
        <w:tc>
          <w:tcPr>
            <w:tcW w:w="860" w:type="dxa"/>
            <w:vAlign w:val="bottom"/>
            <w:tcBorders>
              <w:top w:val="single" w:sz="8" w:color="D5EEEE"/>
              <w:bottom w:val="single" w:sz="8" w:color="D5EEEE"/>
            </w:tcBorders>
            <w:shd w:val="clear" w:color="auto" w:fill="D5EEEE"/>
          </w:tcPr>
          <w:p>
            <w:pPr>
              <w:spacing w:after="0"/>
              <w:rPr>
                <w:sz w:val="21"/>
                <w:szCs w:val="21"/>
                <w:color w:val="auto"/>
              </w:rPr>
            </w:pPr>
          </w:p>
        </w:tc>
        <w:tc>
          <w:tcPr>
            <w:tcW w:w="320" w:type="dxa"/>
            <w:vAlign w:val="bottom"/>
            <w:tcBorders>
              <w:top w:val="single" w:sz="8" w:color="auto"/>
              <w:bottom w:val="single" w:sz="8" w:color="auto"/>
            </w:tcBorders>
            <w:shd w:val="clear" w:color="auto" w:fill="D5EEEE"/>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33,478</w:t>
            </w:r>
          </w:p>
        </w:tc>
        <w:tc>
          <w:tcPr>
            <w:tcW w:w="40" w:type="dxa"/>
            <w:vAlign w:val="bottom"/>
            <w:tcBorders>
              <w:top w:val="single" w:sz="8" w:color="D5EEEE"/>
              <w:bottom w:val="single" w:sz="8" w:color="D5EEEE"/>
            </w:tcBorders>
            <w:shd w:val="clear" w:color="auto" w:fill="D5EEEE"/>
          </w:tcPr>
          <w:p>
            <w:pPr>
              <w:spacing w:after="0"/>
              <w:rPr>
                <w:sz w:val="21"/>
                <w:szCs w:val="21"/>
                <w:color w:val="auto"/>
              </w:rPr>
            </w:pPr>
          </w:p>
        </w:tc>
        <w:tc>
          <w:tcPr>
            <w:tcW w:w="220" w:type="dxa"/>
            <w:vAlign w:val="bottom"/>
            <w:tcBorders>
              <w:top w:val="single" w:sz="8" w:color="D5EEEE"/>
              <w:bottom w:val="single" w:sz="8" w:color="D5EEEE"/>
            </w:tcBorders>
            <w:shd w:val="clear" w:color="auto" w:fill="D5EEEE"/>
          </w:tcPr>
          <w:p>
            <w:pPr>
              <w:spacing w:after="0"/>
              <w:rPr>
                <w:sz w:val="21"/>
                <w:szCs w:val="21"/>
                <w:color w:val="auto"/>
              </w:rPr>
            </w:pPr>
          </w:p>
        </w:tc>
        <w:tc>
          <w:tcPr>
            <w:tcW w:w="320" w:type="dxa"/>
            <w:vAlign w:val="bottom"/>
            <w:tcBorders>
              <w:top w:val="single" w:sz="8" w:color="auto"/>
              <w:bottom w:val="single" w:sz="8" w:color="auto"/>
            </w:tcBorders>
            <w:shd w:val="clear" w:color="auto" w:fill="D5EEEE"/>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39,377</w:t>
            </w:r>
          </w:p>
        </w:tc>
        <w:tc>
          <w:tcPr>
            <w:tcW w:w="240" w:type="dxa"/>
            <w:vAlign w:val="bottom"/>
            <w:tcBorders>
              <w:top w:val="single" w:sz="8" w:color="D5EEEE"/>
              <w:bottom w:val="single" w:sz="8" w:color="D5EEEE"/>
            </w:tcBorders>
            <w:shd w:val="clear" w:color="auto" w:fill="D5EEEE"/>
          </w:tcPr>
          <w:p>
            <w:pPr>
              <w:spacing w:after="0"/>
              <w:rPr>
                <w:sz w:val="21"/>
                <w:szCs w:val="21"/>
                <w:color w:val="auto"/>
              </w:rPr>
            </w:pPr>
          </w:p>
        </w:tc>
        <w:tc>
          <w:tcPr>
            <w:tcW w:w="280" w:type="dxa"/>
            <w:vAlign w:val="bottom"/>
            <w:tcBorders>
              <w:top w:val="single" w:sz="8" w:color="auto"/>
              <w:bottom w:val="single" w:sz="8" w:color="auto"/>
            </w:tcBorders>
            <w:shd w:val="clear" w:color="auto" w:fill="D5EEEE"/>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(5,899)</w:t>
            </w:r>
          </w:p>
        </w:tc>
        <w:tc>
          <w:tcPr>
            <w:tcW w:w="80" w:type="dxa"/>
            <w:vAlign w:val="bottom"/>
            <w:tcBorders>
              <w:top w:val="single" w:sz="8" w:color="D5EEEE"/>
              <w:bottom w:val="single" w:sz="8" w:color="D5EEEE"/>
            </w:tcBorders>
            <w:shd w:val="clear" w:color="auto" w:fill="D5EEEE"/>
          </w:tcPr>
          <w:p>
            <w:pPr>
              <w:spacing w:after="0"/>
              <w:rPr>
                <w:sz w:val="21"/>
                <w:szCs w:val="21"/>
                <w:color w:val="auto"/>
              </w:rPr>
            </w:pPr>
          </w:p>
        </w:tc>
      </w:tr>
      <w:tr>
        <w:trPr>
          <w:trHeight w:val="20"/>
        </w:trPr>
        <w:tc>
          <w:tcPr>
            <w:tcW w:w="4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-917575</wp:posOffset>
            </wp:positionV>
            <wp:extent cx="302768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extLst>
                    </a:blip>
                    <a:srcRect/>
                    <a:stretch>
                      <a:fillRect/>
                    </a:stretch>
                  </pic:blipFill>
                  <pic:spPr bwMode="auto">
                    <a:xfrm>
                      <a:off x="0" y="0"/>
                      <a:ext cx="3027680" cy="38100"/>
                    </a:xfrm>
                    <a:prstGeom prst="rect">
                      <a:avLst/>
                    </a:prstGeom>
                    <a:noFill/>
                  </pic:spPr>
                </pic:pic>
              </a:graphicData>
            </a:graphic>
          </wp:anchor>
        </w:drawing>
      </w:r>
    </w:p>
    <w:p>
      <w:pPr>
        <w:spacing w:after="0" w:line="81"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Research and development expenses for the year ended December 31, 2025 decreased to $33.5 million from $39.4 million for the corresponding period in 2024, primarily due to decreased clinical development expenses for our HAP study, our Phase 2a RIVER trial, and our Phase 2b CORAL trial, all of which were actively enrolling patients in the prior year period, partially offset by increased costs incurred associated with our recently completed Phase 1 drug-drug interaction study. This overall decrease was partially offset by an increase in personnel related expenses due to increased headcount along with a corresponding increase in stock-based compensation expense.</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4" w:lineRule="exact"/>
        <w:rPr>
          <w:sz w:val="20"/>
          <w:szCs w:val="20"/>
          <w:color w:val="auto"/>
        </w:rPr>
      </w:pPr>
    </w:p>
    <w:p>
      <w:pPr>
        <w:ind w:right="300" w:firstLine="490"/>
        <w:spacing w:after="0" w:line="265" w:lineRule="auto"/>
        <w:rPr>
          <w:sz w:val="20"/>
          <w:szCs w:val="20"/>
          <w:color w:val="auto"/>
        </w:rPr>
      </w:pPr>
      <w:r>
        <w:rPr>
          <w:rFonts w:ascii="Times New Roman" w:cs="Times New Roman" w:eastAsia="Times New Roman" w:hAnsi="Times New Roman"/>
          <w:sz w:val="19"/>
          <w:szCs w:val="19"/>
          <w:color w:val="auto"/>
        </w:rPr>
        <w:t>General and administrative expenses for the year ended December 31, 2025 increased to $15.9 million from $12.1 million for the corresponding period in 2024, primarily due to an increase in outside services and professional fees, personnel related expenses and stock-based compensation. The increased outside services and professional fees were primarily due to increased costs as we continue to prepare for compliance with SOX 404(b). The increased personnel related expenses and stock-based compensation were primarily due to severance costs along with increased headcount.</w:t>
      </w:r>
    </w:p>
    <w:p>
      <w:pPr>
        <w:spacing w:after="0" w:line="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Other Income, Net</w:t>
      </w:r>
    </w:p>
    <w:p>
      <w:pPr>
        <w:spacing w:after="0" w:line="114" w:lineRule="exact"/>
        <w:rPr>
          <w:sz w:val="20"/>
          <w:szCs w:val="20"/>
          <w:color w:val="auto"/>
        </w:rPr>
      </w:pPr>
    </w:p>
    <w:p>
      <w:pPr>
        <w:ind w:right="200" w:firstLine="490"/>
        <w:spacing w:after="0" w:line="258" w:lineRule="auto"/>
        <w:rPr>
          <w:sz w:val="20"/>
          <w:szCs w:val="20"/>
          <w:color w:val="auto"/>
        </w:rPr>
      </w:pPr>
      <w:r>
        <w:rPr>
          <w:rFonts w:ascii="Times New Roman" w:cs="Times New Roman" w:eastAsia="Times New Roman" w:hAnsi="Times New Roman"/>
          <w:sz w:val="20"/>
          <w:szCs w:val="20"/>
          <w:color w:val="auto"/>
        </w:rPr>
        <w:t>Other income, net for the year ended December 31, 2025 was $6.5 million compared to other income, net of $3.6 million for the corresponding period in 2024. The change was primarily due to an increase in interest income from higher invested cash equivalent and marketable securities balances.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0" w:lineRule="exact"/>
        <w:rPr>
          <w:sz w:val="20"/>
          <w:szCs w:val="20"/>
          <w:color w:val="auto"/>
        </w:rPr>
      </w:pPr>
    </w:p>
    <w:p>
      <w:pPr>
        <w:ind w:right="180" w:firstLine="490"/>
        <w:spacing w:after="0" w:line="277" w:lineRule="auto"/>
        <w:rPr>
          <w:sz w:val="20"/>
          <w:szCs w:val="20"/>
          <w:color w:val="auto"/>
        </w:rPr>
      </w:pPr>
      <w:r>
        <w:rPr>
          <w:rFonts w:ascii="Times New Roman" w:cs="Times New Roman" w:eastAsia="Times New Roman" w:hAnsi="Times New Roman"/>
          <w:sz w:val="20"/>
          <w:szCs w:val="20"/>
          <w:color w:val="auto"/>
        </w:rPr>
        <w:t>Since our inception, we have not generated any revenue and have incurred significant operating losses and negative cash flows from our operations.</w:t>
      </w:r>
    </w:p>
    <w:p>
      <w:pPr>
        <w:spacing w:after="0" w:line="45" w:lineRule="exact"/>
        <w:rPr>
          <w:sz w:val="20"/>
          <w:szCs w:val="20"/>
          <w:color w:val="auto"/>
        </w:rPr>
      </w:pPr>
    </w:p>
    <w:p>
      <w:pPr>
        <w:ind w:right="100" w:firstLine="490"/>
        <w:spacing w:after="0" w:line="264" w:lineRule="auto"/>
        <w:rPr>
          <w:sz w:val="20"/>
          <w:szCs w:val="20"/>
          <w:color w:val="auto"/>
        </w:rPr>
      </w:pPr>
      <w:r>
        <w:rPr>
          <w:rFonts w:ascii="Times New Roman" w:cs="Times New Roman" w:eastAsia="Times New Roman" w:hAnsi="Times New Roman"/>
          <w:sz w:val="19"/>
          <w:szCs w:val="19"/>
          <w:color w:val="auto"/>
        </w:rPr>
        <w:t>On June 5, 2025, we issued and sold 17,400,000 shares of our common stock to the public in an underwritten offering, or the June 2025 Offering, at an offering price of $5.75 per share of common stock pursuant to an underwriting agreement with Morgan Stanley &amp; Co. LLC, Leerink Partners LLC, Stifel, Nicolaus &amp; Company, Incorporated and Cantor Fitzgerald &amp; Co., as representatives of the several underwriters. In connection with the offering, we also granted the</w:t>
      </w:r>
    </w:p>
    <w:p>
      <w:pPr>
        <w:sectPr>
          <w:pgSz w:w="12240" w:h="15840" w:orient="portrait"/>
          <w:cols w:equalWidth="0" w:num="1">
            <w:col w:w="9920"/>
          </w:cols>
          <w:pgMar w:left="1160" w:top="1128" w:right="1160" w:bottom="175" w:gutter="0" w:footer="0" w:header="0"/>
        </w:sectPr>
      </w:pP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9920"/>
          </w:cols>
          <w:pgMar w:left="1160" w:top="1128" w:right="1160" w:bottom="175" w:gutter="0" w:footer="0" w:header="0"/>
          <w:type w:val="continuous"/>
        </w:sectPr>
      </w:pPr>
    </w:p>
    <w:bookmarkStart w:id="92" w:name="page93"/>
    <w:bookmarkEnd w:id="92"/>
    <w:p>
      <w:pPr>
        <w:ind w:right="100"/>
        <w:spacing w:after="0" w:line="273" w:lineRule="auto"/>
        <w:rPr>
          <w:sz w:val="20"/>
          <w:szCs w:val="20"/>
          <w:color w:val="auto"/>
        </w:rPr>
      </w:pPr>
      <w:r>
        <w:rPr>
          <w:rFonts w:ascii="Times New Roman" w:cs="Times New Roman" w:eastAsia="Times New Roman" w:hAnsi="Times New Roman"/>
          <w:sz w:val="19"/>
          <w:szCs w:val="19"/>
          <w:color w:val="auto"/>
        </w:rPr>
        <w:t>underwriters a 30 -day option to purchase up to an additional 2,610,000 shares of common stock at the price to the public, less underwriting discounts and commissions. The underwriters option was exercised in full and settled in cash, concurrent with the offering. The June 2025 Offering resulted in aggregate gross proceeds to us of approximately $115.1 million.</w:t>
      </w:r>
    </w:p>
    <w:p>
      <w:pPr>
        <w:spacing w:after="0" w:line="5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On December 17, 2024, we issued and sold 12,500,000 shares of our common stock to certain investors in an underwritten registered direct offering, or the December 2024 Offering, at an offering price of $4.00 per share of common stock pursuant to an underwriting agreement with Leerink Partners LLC, Stifel, Nicolaus &amp; Company, Incorporated, and Oppenheimer &amp; Co. Inc, as representatives of the several underwriters. The December 2024 Offering resulted in aggregate gross proceeds to us of approximately $50.0 million.</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June 2023, we filed with the SEC a universal shelf registration statement on Form S-3, or the 2023 Shelf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Registration Statement, which allowed us to offer and sell up to $200.0 million of common stock, preferred stock, debt</w:t>
      </w:r>
    </w:p>
    <w:p>
      <w:pPr>
        <w:spacing w:after="0"/>
        <w:rPr>
          <w:sz w:val="20"/>
          <w:szCs w:val="20"/>
          <w:color w:val="auto"/>
        </w:rPr>
      </w:pPr>
      <w:r>
        <w:rPr>
          <w:rFonts w:ascii="Times New Roman" w:cs="Times New Roman" w:eastAsia="Times New Roman" w:hAnsi="Times New Roman"/>
          <w:sz w:val="20"/>
          <w:szCs w:val="20"/>
          <w:color w:val="auto"/>
        </w:rPr>
        <w:t>securities, units and/or warrants from time to time pursuant to one or more offerings at prices and terms to be determined at</w:t>
      </w:r>
    </w:p>
    <w:p>
      <w:pPr>
        <w:spacing w:after="0"/>
        <w:rPr>
          <w:sz w:val="20"/>
          <w:szCs w:val="20"/>
          <w:color w:val="auto"/>
        </w:rPr>
      </w:pPr>
      <w:r>
        <w:rPr>
          <w:rFonts w:ascii="Times New Roman" w:cs="Times New Roman" w:eastAsia="Times New Roman" w:hAnsi="Times New Roman"/>
          <w:sz w:val="20"/>
          <w:szCs w:val="20"/>
          <w:color w:val="auto"/>
        </w:rPr>
        <w:t>the time of sale. The 2023 Shelf Registration Statement was declared effective on August 15, 2023. Further, in June 2023,</w:t>
      </w:r>
    </w:p>
    <w:p>
      <w:pPr>
        <w:spacing w:after="0"/>
        <w:rPr>
          <w:sz w:val="20"/>
          <w:szCs w:val="20"/>
          <w:color w:val="auto"/>
        </w:rPr>
      </w:pPr>
      <w:r>
        <w:rPr>
          <w:rFonts w:ascii="Times New Roman" w:cs="Times New Roman" w:eastAsia="Times New Roman" w:hAnsi="Times New Roman"/>
          <w:sz w:val="20"/>
          <w:szCs w:val="20"/>
          <w:color w:val="auto"/>
        </w:rPr>
        <w:t>we entered into a new sales agreement with Leerink Partners, LLC (formerly SVB Securities LLC), which we refer to as</w:t>
      </w:r>
    </w:p>
    <w:p>
      <w:pPr>
        <w:spacing w:after="0"/>
        <w:rPr>
          <w:sz w:val="20"/>
          <w:szCs w:val="20"/>
          <w:color w:val="auto"/>
        </w:rPr>
      </w:pPr>
      <w:r>
        <w:rPr>
          <w:rFonts w:ascii="Times New Roman" w:cs="Times New Roman" w:eastAsia="Times New Roman" w:hAnsi="Times New Roman"/>
          <w:sz w:val="20"/>
          <w:szCs w:val="20"/>
          <w:color w:val="auto"/>
        </w:rPr>
        <w:t>the ATM Sales Agreement, under which we may issue and sell shares of common stock, from time to time by any method</w:t>
      </w:r>
    </w:p>
    <w:p>
      <w:pPr>
        <w:spacing w:after="0"/>
        <w:rPr>
          <w:sz w:val="20"/>
          <w:szCs w:val="20"/>
          <w:color w:val="auto"/>
        </w:rPr>
      </w:pPr>
      <w:r>
        <w:rPr>
          <w:rFonts w:ascii="Times New Roman" w:cs="Times New Roman" w:eastAsia="Times New Roman" w:hAnsi="Times New Roman"/>
          <w:sz w:val="20"/>
          <w:szCs w:val="20"/>
          <w:color w:val="auto"/>
        </w:rPr>
        <w:t>that is deemed an “at-the-market” offering as defined in Rule 415(a)(4) under the Securities Act. We are not obligated to</w:t>
      </w:r>
    </w:p>
    <w:p>
      <w:pPr>
        <w:spacing w:after="0"/>
        <w:rPr>
          <w:sz w:val="20"/>
          <w:szCs w:val="20"/>
          <w:color w:val="auto"/>
        </w:rPr>
      </w:pPr>
      <w:r>
        <w:rPr>
          <w:rFonts w:ascii="Times New Roman" w:cs="Times New Roman" w:eastAsia="Times New Roman" w:hAnsi="Times New Roman"/>
          <w:sz w:val="20"/>
          <w:szCs w:val="20"/>
          <w:color w:val="auto"/>
        </w:rPr>
        <w:t>make any sales of our common stock under the ATM Sales Agreement. We filed a prospectus under the 2023 Shelf</w:t>
      </w:r>
    </w:p>
    <w:p>
      <w:pPr>
        <w:spacing w:after="0"/>
        <w:rPr>
          <w:sz w:val="20"/>
          <w:szCs w:val="20"/>
          <w:color w:val="auto"/>
        </w:rPr>
      </w:pPr>
      <w:r>
        <w:rPr>
          <w:rFonts w:ascii="Times New Roman" w:cs="Times New Roman" w:eastAsia="Times New Roman" w:hAnsi="Times New Roman"/>
          <w:sz w:val="20"/>
          <w:szCs w:val="20"/>
          <w:color w:val="auto"/>
        </w:rPr>
        <w:t>Registration Statement for the offer and sale of shares of our common stock having an aggregate offering price of up to</w:t>
      </w:r>
    </w:p>
    <w:p>
      <w:pPr>
        <w:spacing w:after="0"/>
        <w:rPr>
          <w:sz w:val="20"/>
          <w:szCs w:val="20"/>
          <w:color w:val="auto"/>
        </w:rPr>
      </w:pPr>
      <w:r>
        <w:rPr>
          <w:rFonts w:ascii="Times New Roman" w:cs="Times New Roman" w:eastAsia="Times New Roman" w:hAnsi="Times New Roman"/>
          <w:sz w:val="20"/>
          <w:szCs w:val="20"/>
          <w:color w:val="auto"/>
        </w:rPr>
        <w:t>$75.0 million pursuant to the ATM Sales Agreement. In accordance with the terms of the ATM Sales Agreement, the sales</w:t>
      </w:r>
    </w:p>
    <w:p>
      <w:pPr>
        <w:spacing w:after="0"/>
        <w:rPr>
          <w:sz w:val="20"/>
          <w:szCs w:val="20"/>
          <w:color w:val="auto"/>
        </w:rPr>
      </w:pPr>
      <w:r>
        <w:rPr>
          <w:rFonts w:ascii="Times New Roman" w:cs="Times New Roman" w:eastAsia="Times New Roman" w:hAnsi="Times New Roman"/>
          <w:sz w:val="20"/>
          <w:szCs w:val="20"/>
          <w:color w:val="auto"/>
        </w:rPr>
        <w:t>agreement we had entered into with SVB Securities LLC in 2020 terminated upon effectiveness of the 2023 Shelf</w:t>
      </w:r>
    </w:p>
    <w:p>
      <w:pPr>
        <w:spacing w:after="0"/>
        <w:rPr>
          <w:sz w:val="20"/>
          <w:szCs w:val="20"/>
          <w:color w:val="auto"/>
        </w:rPr>
      </w:pPr>
      <w:r>
        <w:rPr>
          <w:rFonts w:ascii="Times New Roman" w:cs="Times New Roman" w:eastAsia="Times New Roman" w:hAnsi="Times New Roman"/>
          <w:sz w:val="20"/>
          <w:szCs w:val="20"/>
          <w:color w:val="auto"/>
        </w:rPr>
        <w:t>Registration Statement, at which point we were no longer able to issue and sell shares of our common stock under such</w:t>
      </w:r>
    </w:p>
    <w:p>
      <w:pPr>
        <w:spacing w:after="0"/>
        <w:rPr>
          <w:sz w:val="20"/>
          <w:szCs w:val="20"/>
          <w:color w:val="auto"/>
        </w:rPr>
      </w:pPr>
      <w:r>
        <w:rPr>
          <w:rFonts w:ascii="Times New Roman" w:cs="Times New Roman" w:eastAsia="Times New Roman" w:hAnsi="Times New Roman"/>
          <w:sz w:val="20"/>
          <w:szCs w:val="20"/>
          <w:color w:val="auto"/>
        </w:rPr>
        <w:t>prior sales agreement.</w:t>
      </w:r>
    </w:p>
    <w:p>
      <w:pPr>
        <w:spacing w:after="0" w:line="92"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In November 2025, we filed an automatic universal shelf registration statement on Form S-3, or the 2025 Shelf Registration Statement, with the SEC, which became effective upon filing. The 2025 Shelf Registration Statement permits us to offer and sell an indeterminate amount of common stock, preferred stock, debt securities, units and/or warrants from time to time pursuant to one or more offerings at prices and terms to be determined at the time of sale. The 2025 Shelf Registration Statement was filed to replace our prior universal shelf registration statement. Concurrently with the filing of the 2025 Shelf Registration Statement, we filed a new prospectus supplement pursuant to which shares of our common stock having an aggregate offering price of up to $200.0 million may be offered and sold from time to time under the ATM Sales Agreement. No shares were sold under the ATM Sales Agreement during the twelve months ended December 31, 2025.</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cash flows for each of the periods presented below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00" w:type="dxa"/>
            <w:vAlign w:val="bottom"/>
            <w:gridSpan w:val="7"/>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8"/>
        </w:trPr>
        <w:tc>
          <w:tcPr>
            <w:tcW w:w="4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5"/>
        </w:trPr>
        <w:tc>
          <w:tcPr>
            <w:tcW w:w="4900" w:type="dxa"/>
            <w:vAlign w:val="bottom"/>
            <w:tcBorders>
              <w:top w:val="single" w:sz="8" w:color="D5EEEE"/>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20" w:type="dxa"/>
            <w:vAlign w:val="bottom"/>
          </w:tcPr>
          <w:p>
            <w:pPr>
              <w:spacing w:after="0"/>
              <w:rPr>
                <w:sz w:val="19"/>
                <w:szCs w:val="19"/>
                <w:color w:val="auto"/>
              </w:rPr>
            </w:pPr>
          </w:p>
        </w:tc>
        <w:tc>
          <w:tcPr>
            <w:tcW w:w="320" w:type="dxa"/>
            <w:vAlign w:val="bottom"/>
            <w:tcBorders>
              <w:top w:val="single" w:sz="8" w:color="auto"/>
            </w:tcBorders>
            <w:shd w:val="clear" w:color="auto" w:fill="D5EEEE"/>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(42,089)</w:t>
            </w:r>
          </w:p>
        </w:tc>
        <w:tc>
          <w:tcPr>
            <w:tcW w:w="260" w:type="dxa"/>
            <w:vAlign w:val="bottom"/>
            <w:tcBorders>
              <w:top w:val="single" w:sz="8" w:color="D5EEEE"/>
            </w:tcBorders>
            <w:shd w:val="clear" w:color="auto" w:fill="D5EEEE"/>
          </w:tcPr>
          <w:p>
            <w:pPr>
              <w:spacing w:after="0"/>
              <w:rPr>
                <w:sz w:val="19"/>
                <w:szCs w:val="19"/>
                <w:color w:val="auto"/>
              </w:rPr>
            </w:pPr>
          </w:p>
        </w:tc>
        <w:tc>
          <w:tcPr>
            <w:tcW w:w="340" w:type="dxa"/>
            <w:vAlign w:val="bottom"/>
            <w:tcBorders>
              <w:top w:val="single" w:sz="8" w:color="auto"/>
            </w:tcBorders>
            <w:shd w:val="clear" w:color="auto" w:fill="D5EEEE"/>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(38,256)</w:t>
            </w:r>
          </w:p>
        </w:tc>
        <w:tc>
          <w:tcPr>
            <w:tcW w:w="16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D5EEEE"/>
            </w:tcBorders>
            <w:shd w:val="clear" w:color="auto" w:fill="D5EEEE"/>
          </w:tcPr>
          <w:p>
            <w:pPr>
              <w:spacing w:after="0"/>
              <w:rPr>
                <w:sz w:val="19"/>
                <w:szCs w:val="19"/>
                <w:color w:val="auto"/>
              </w:rPr>
            </w:pPr>
          </w:p>
        </w:tc>
        <w:tc>
          <w:tcPr>
            <w:tcW w:w="300" w:type="dxa"/>
            <w:vAlign w:val="bottom"/>
            <w:tcBorders>
              <w:top w:val="single" w:sz="8" w:color="auto"/>
            </w:tcBorders>
            <w:shd w:val="clear" w:color="auto" w:fill="D5EEEE"/>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(3,833)</w:t>
            </w:r>
          </w:p>
        </w:tc>
        <w:tc>
          <w:tcPr>
            <w:tcW w:w="80" w:type="dxa"/>
            <w:vAlign w:val="bottom"/>
            <w:tcBorders>
              <w:top w:val="single" w:sz="8" w:color="D5EEEE"/>
            </w:tcBorders>
            <w:shd w:val="clear" w:color="auto" w:fill="D5EEEE"/>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(94,107)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(72,579)</w:t>
            </w:r>
          </w:p>
        </w:tc>
        <w:tc>
          <w:tcPr>
            <w:tcW w:w="80" w:type="dxa"/>
            <w:vAlign w:val="bottom"/>
          </w:tcPr>
          <w:p>
            <w:pPr>
              <w:spacing w:after="0"/>
              <w:rPr>
                <w:sz w:val="20"/>
                <w:szCs w:val="20"/>
                <w:color w:val="auto"/>
              </w:rPr>
            </w:pPr>
          </w:p>
        </w:tc>
      </w:tr>
      <w:tr>
        <w:trPr>
          <w:trHeight w:val="230"/>
        </w:trPr>
        <w:tc>
          <w:tcPr>
            <w:tcW w:w="49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20" w:type="dxa"/>
            <w:vAlign w:val="bottom"/>
            <w:shd w:val="clear" w:color="auto" w:fill="D5EEEE"/>
          </w:tcPr>
          <w:p>
            <w:pPr>
              <w:spacing w:after="0"/>
              <w:rPr>
                <w:sz w:val="20"/>
                <w:szCs w:val="20"/>
                <w:color w:val="auto"/>
              </w:rPr>
            </w:pPr>
          </w:p>
        </w:tc>
        <w:tc>
          <w:tcPr>
            <w:tcW w:w="320" w:type="dxa"/>
            <w:vAlign w:val="bottom"/>
            <w:shd w:val="clear" w:color="auto" w:fill="D5EEEE"/>
          </w:tcPr>
          <w:p>
            <w:pPr>
              <w:spacing w:after="0"/>
              <w:rPr>
                <w:sz w:val="20"/>
                <w:szCs w:val="20"/>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121,013</w:t>
            </w:r>
          </w:p>
        </w:tc>
        <w:tc>
          <w:tcPr>
            <w:tcW w:w="260" w:type="dxa"/>
            <w:vAlign w:val="bottom"/>
            <w:shd w:val="clear" w:color="auto" w:fill="D5EEEE"/>
          </w:tcPr>
          <w:p>
            <w:pPr>
              <w:spacing w:after="0"/>
              <w:rPr>
                <w:sz w:val="20"/>
                <w:szCs w:val="20"/>
                <w:color w:val="auto"/>
              </w:rPr>
            </w:pPr>
          </w:p>
        </w:tc>
        <w:tc>
          <w:tcPr>
            <w:tcW w:w="340" w:type="dxa"/>
            <w:vAlign w:val="bottom"/>
            <w:shd w:val="clear" w:color="auto" w:fill="D5EEEE"/>
          </w:tcPr>
          <w:p>
            <w:pPr>
              <w:spacing w:after="0"/>
              <w:rPr>
                <w:sz w:val="20"/>
                <w:szCs w:val="20"/>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61,484</w:t>
            </w:r>
          </w:p>
        </w:tc>
        <w:tc>
          <w:tcPr>
            <w:tcW w:w="16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300" w:type="dxa"/>
            <w:vAlign w:val="bottom"/>
            <w:shd w:val="clear" w:color="auto" w:fill="D5EEEE"/>
          </w:tcPr>
          <w:p>
            <w:pPr>
              <w:spacing w:after="0"/>
              <w:rPr>
                <w:sz w:val="20"/>
                <w:szCs w:val="20"/>
                <w:color w:val="auto"/>
              </w:rPr>
            </w:pPr>
          </w:p>
        </w:tc>
        <w:tc>
          <w:tcPr>
            <w:tcW w:w="118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59,529</w:t>
            </w:r>
          </w:p>
        </w:tc>
      </w:tr>
      <w:tr>
        <w:trPr>
          <w:trHeight w:val="225"/>
        </w:trPr>
        <w:tc>
          <w:tcPr>
            <w:tcW w:w="490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Net (decrease) increase in cash and cash equivalents</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(15,183)</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1,700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(16,883)</w:t>
            </w:r>
          </w:p>
        </w:tc>
        <w:tc>
          <w:tcPr>
            <w:tcW w:w="8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-801370</wp:posOffset>
            </wp:positionV>
            <wp:extent cx="317182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extLst>
                    </a:blip>
                    <a:srcRect/>
                    <a:stretch>
                      <a:fillRect/>
                    </a:stretch>
                  </pic:blipFill>
                  <pic:spPr bwMode="auto">
                    <a:xfrm>
                      <a:off x="0" y="0"/>
                      <a:ext cx="3171825" cy="38100"/>
                    </a:xfrm>
                    <a:prstGeom prst="rect">
                      <a:avLst/>
                    </a:prstGeom>
                    <a:noFill/>
                  </pic:spPr>
                </pic:pic>
              </a:graphicData>
            </a:graphic>
          </wp:anchor>
        </w:drawing>
      </w:r>
    </w:p>
    <w:p>
      <w:pPr>
        <w:spacing w:after="0" w:line="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11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During the year ended December 31, 2025, operating activities used $42.1 million of net cash, resulting from our net loss of $42.8 million and changes in our operating assets and liabilities of $3.5 million partially offset by net non-cash charges of $ 4.2 million. Changes in our operating assets and liabilities for the year ended December 31, 2025 consisted primarily of a $1.5 million increase in prepaid expenses and other current assets, a $1.4 million decrease in accrued expenses and other liabilities and a $0.6 million decrease in accounts payable. The increase in prepaid expenses and other current assets was primarily due to an increase in accrued interest and dividends receivable from our higher invested cash equivalent and marketable securities balances, as well as an increase in deposits related to our clinical trial work performed by our CROs. The decrease in accrued expenses and other liabilities was primarily due to a decrease in accruals for clinical development and clinical trial work performed by our CROs. The decrease in accounts payable was primarily due to the timing of vendor invoices. The non-cash charges consisted primarily of stock-based compensation expense of $5.2 million, and a $0.4 million change in value of our operating lease right-of-use assets and liabilities, which were partially offset by $1.6 million of accretion of our available-for-sale marketable securities.</w:t>
      </w:r>
    </w:p>
    <w:p>
      <w:pPr>
        <w:spacing w:after="0" w:line="86" w:lineRule="exact"/>
        <w:rPr>
          <w:sz w:val="20"/>
          <w:szCs w:val="20"/>
          <w:color w:val="auto"/>
        </w:rPr>
      </w:pPr>
    </w:p>
    <w:p>
      <w:pPr>
        <w:ind w:right="100" w:firstLine="490"/>
        <w:spacing w:after="0" w:line="277" w:lineRule="auto"/>
        <w:rPr>
          <w:sz w:val="20"/>
          <w:szCs w:val="20"/>
          <w:color w:val="auto"/>
        </w:rPr>
      </w:pPr>
      <w:r>
        <w:rPr>
          <w:rFonts w:ascii="Times New Roman" w:cs="Times New Roman" w:eastAsia="Times New Roman" w:hAnsi="Times New Roman"/>
          <w:sz w:val="20"/>
          <w:szCs w:val="20"/>
          <w:color w:val="auto"/>
        </w:rPr>
        <w:t>During the year ended December 31, 2024, operating activities used $38.3 million of net cash, resulting from our net loss of $47.9 million partially offset by changes in our operating assets and liabilities of $6.8 million and net non-cash</w:t>
      </w:r>
    </w:p>
    <w:p>
      <w:pPr>
        <w:sectPr>
          <w:pgSz w:w="12240" w:h="15840" w:orient="portrait"/>
          <w:cols w:equalWidth="0" w:num="1">
            <w:col w:w="9920"/>
          </w:cols>
          <w:pgMar w:left="1160" w:top="1128" w:right="1160" w:bottom="175"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9920"/>
          </w:cols>
          <w:pgMar w:left="1160" w:top="1128" w:right="1160" w:bottom="175" w:gutter="0" w:footer="0" w:header="0"/>
          <w:type w:val="continuous"/>
        </w:sectPr>
      </w:pPr>
    </w:p>
    <w:bookmarkStart w:id="93" w:name="page94"/>
    <w:bookmarkEnd w:id="93"/>
    <w:p>
      <w:pPr>
        <w:ind w:left="15"/>
        <w:spacing w:after="0" w:line="244" w:lineRule="auto"/>
        <w:rPr>
          <w:sz w:val="20"/>
          <w:szCs w:val="20"/>
          <w:color w:val="auto"/>
        </w:rPr>
      </w:pPr>
      <w:r>
        <w:rPr>
          <w:rFonts w:ascii="Times New Roman" w:cs="Times New Roman" w:eastAsia="Times New Roman" w:hAnsi="Times New Roman"/>
          <w:sz w:val="20"/>
          <w:szCs w:val="20"/>
          <w:color w:val="auto"/>
        </w:rPr>
        <w:t>charges of $ 2.8 million. Changes in our operating assets and liabilities for the year ended December 31, 2024 consisted primarily of a $2.7 million decrease in prepaid expenses and other current assets, a $2.6 million increase in accrued expenses and other liabilities and a $ 1.6 million increase in accounts payable. The decrease in prepaid expenses and other current assets was primarily due to a decrease in prepayments related to our clinical trial work performed by our CROs. The increase in accrued expenses and other liabilities was primarily due to an increase in accruals for clinical development and clinical trial work performed by our CROs. The increase in accounts payable was primarily due to the timing of vendor invoices. The non-cash charges consisted primarily of stock-based compensation expense of $3.6 million, a $0.5 million change in value of our operating lease right-of-use assets, which were partially offset by $1.4 million of accretion of our available-for-sale marketable securities.</w:t>
      </w:r>
    </w:p>
    <w:p>
      <w:pPr>
        <w:spacing w:after="0" w:line="88" w:lineRule="exact"/>
        <w:rPr>
          <w:sz w:val="20"/>
          <w:szCs w:val="20"/>
          <w:color w:val="auto"/>
        </w:rPr>
      </w:pPr>
    </w:p>
    <w:p>
      <w:pPr>
        <w:ind w:left="495"/>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8" w:lineRule="exact"/>
        <w:rPr>
          <w:sz w:val="20"/>
          <w:szCs w:val="20"/>
          <w:color w:val="auto"/>
        </w:rPr>
      </w:pPr>
    </w:p>
    <w:p>
      <w:pPr>
        <w:ind w:left="15" w:right="60" w:firstLine="49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net cash used in investing activities was $ 94.1 million, primarily related to $170.7 million of purchases of available-for-sale marketable securities partially offset by $76.6 million of proceeds from maturities of available-for-sale marketable securities.</w:t>
      </w:r>
    </w:p>
    <w:p>
      <w:pPr>
        <w:spacing w:after="0" w:line="68" w:lineRule="exact"/>
        <w:rPr>
          <w:sz w:val="20"/>
          <w:szCs w:val="20"/>
          <w:color w:val="auto"/>
        </w:rPr>
      </w:pPr>
    </w:p>
    <w:p>
      <w:pPr>
        <w:ind w:left="15" w:right="320" w:firstLine="49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2024, net cash used in investing activities was $21.5 million, consisting of $98.5 million of purchases of available-for-sale marketable securities, partially offset by $77.0 million of proceeds from maturities of available-for-sale marketable securities.</w:t>
      </w:r>
    </w:p>
    <w:p>
      <w:pPr>
        <w:spacing w:after="0" w:line="70" w:lineRule="exact"/>
        <w:rPr>
          <w:sz w:val="20"/>
          <w:szCs w:val="20"/>
          <w:color w:val="auto"/>
        </w:rPr>
      </w:pPr>
    </w:p>
    <w:p>
      <w:pPr>
        <w:ind w:left="495"/>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8" w:lineRule="exact"/>
        <w:rPr>
          <w:sz w:val="20"/>
          <w:szCs w:val="20"/>
          <w:color w:val="auto"/>
        </w:rPr>
      </w:pPr>
    </w:p>
    <w:p>
      <w:pPr>
        <w:ind w:left="15" w:right="20" w:firstLine="49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2025, net cash provided by financing activities was $121.0 million, primarily consisting of cash proceeds of $108.2 million, net of commissions from sales of our common stock in our June 2025 Offering, $10.8 million from the exercise of warrants, $2.1 million from the exercise of stock options and $0.7 million from the disgorgement of short swing profits from a beneficial owner of our common stock, partially offset by $0.8 million in payments of offering costs related to the June 2025 and December 2024 Offerings.</w:t>
      </w:r>
    </w:p>
    <w:p>
      <w:pPr>
        <w:spacing w:after="0" w:line="77" w:lineRule="exact"/>
        <w:rPr>
          <w:sz w:val="20"/>
          <w:szCs w:val="20"/>
          <w:color w:val="auto"/>
        </w:rPr>
      </w:pPr>
    </w:p>
    <w:p>
      <w:pPr>
        <w:ind w:left="15" w:right="80" w:firstLine="490"/>
        <w:spacing w:after="0" w:line="252" w:lineRule="auto"/>
        <w:rPr>
          <w:sz w:val="20"/>
          <w:szCs w:val="20"/>
          <w:color w:val="auto"/>
        </w:rPr>
      </w:pPr>
      <w:r>
        <w:rPr>
          <w:rFonts w:ascii="Times New Roman" w:cs="Times New Roman" w:eastAsia="Times New Roman" w:hAnsi="Times New Roman"/>
          <w:sz w:val="20"/>
          <w:szCs w:val="20"/>
          <w:color w:val="auto"/>
        </w:rPr>
        <w:t>During the year ended December 31, 2024, net cash provided by financing activities was $61.5 million, consisting of cash proceeds of $47.0 million, net of commissions from sales of our common stock in our December 2024 Offering, cash proceeds of $14.1 million, net of commissions from sales of our common stock under the ATM Sales Agreement, $0.4 million of cash proceeds from the exercise of stock options.</w:t>
      </w:r>
    </w:p>
    <w:p>
      <w:pPr>
        <w:spacing w:after="0" w:line="74" w:lineRule="exact"/>
        <w:rPr>
          <w:sz w:val="20"/>
          <w:szCs w:val="20"/>
          <w:color w:val="auto"/>
        </w:rPr>
      </w:pPr>
    </w:p>
    <w:p>
      <w:pPr>
        <w:ind w:left="495"/>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120" w:lineRule="exact"/>
        <w:rPr>
          <w:sz w:val="20"/>
          <w:szCs w:val="20"/>
          <w:color w:val="auto"/>
        </w:rPr>
      </w:pPr>
    </w:p>
    <w:p>
      <w:pPr>
        <w:ind w:left="15" w:right="60" w:firstLine="490"/>
        <w:spacing w:after="0" w:line="258" w:lineRule="auto"/>
        <w:rPr>
          <w:sz w:val="20"/>
          <w:szCs w:val="20"/>
          <w:color w:val="auto"/>
        </w:rPr>
      </w:pPr>
      <w:r>
        <w:rPr>
          <w:rFonts w:ascii="Times New Roman" w:cs="Times New Roman" w:eastAsia="Times New Roman" w:hAnsi="Times New Roman"/>
          <w:sz w:val="20"/>
          <w:szCs w:val="20"/>
          <w:color w:val="auto"/>
        </w:rPr>
        <w:t>We expect to incur substantial expenditures in the foreseeable future as we advance Haduvio through clinical development, the regulatory approval process and, if approved, commercial launch activities. Specifically, in the near term, we expect to incur substantial expenses relating to:</w:t>
      </w:r>
    </w:p>
    <w:p>
      <w:pPr>
        <w:spacing w:after="0" w:line="71" w:lineRule="exact"/>
        <w:rPr>
          <w:sz w:val="20"/>
          <w:szCs w:val="20"/>
          <w:color w:val="auto"/>
        </w:rPr>
      </w:pPr>
    </w:p>
    <w:p>
      <w:pPr>
        <w:ind w:left="375" w:hanging="368"/>
        <w:spacing w:after="0"/>
        <w:tabs>
          <w:tab w:leader="none" w:pos="375"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planned Phase 3 trials and any additional trials of Haduvio for the treatment of IPF-related chronic cough;</w:t>
      </w:r>
    </w:p>
    <w:p>
      <w:pPr>
        <w:spacing w:after="0" w:line="120" w:lineRule="exact"/>
        <w:rPr>
          <w:rFonts w:ascii="Arial" w:cs="Arial" w:eastAsia="Arial" w:hAnsi="Arial"/>
          <w:sz w:val="20"/>
          <w:szCs w:val="20"/>
          <w:color w:val="auto"/>
        </w:rPr>
      </w:pPr>
    </w:p>
    <w:p>
      <w:pPr>
        <w:ind w:left="375" w:right="300" w:hanging="368"/>
        <w:spacing w:after="0" w:line="263" w:lineRule="auto"/>
        <w:tabs>
          <w:tab w:leader="none" w:pos="375"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planned adaptive design Phase 2b clinical trial and any additional trials of Haduvio for the treatment of non-IPF ILD-related chronic cough;</w:t>
      </w:r>
    </w:p>
    <w:p>
      <w:pPr>
        <w:spacing w:after="0" w:line="62" w:lineRule="exact"/>
        <w:rPr>
          <w:rFonts w:ascii="Arial" w:cs="Arial" w:eastAsia="Arial" w:hAnsi="Arial"/>
          <w:sz w:val="20"/>
          <w:szCs w:val="20"/>
          <w:color w:val="auto"/>
        </w:rPr>
      </w:pPr>
    </w:p>
    <w:p>
      <w:pPr>
        <w:ind w:left="375" w:hanging="368"/>
        <w:spacing w:after="0"/>
        <w:tabs>
          <w:tab w:leader="none" w:pos="375"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planned Phase 2b clinical trial and any additional trials of Haduvio for the treatment of patients with RCC;</w:t>
      </w:r>
    </w:p>
    <w:p>
      <w:pPr>
        <w:spacing w:after="0" w:line="120" w:lineRule="exact"/>
        <w:rPr>
          <w:rFonts w:ascii="Arial" w:cs="Arial" w:eastAsia="Arial" w:hAnsi="Arial"/>
          <w:sz w:val="20"/>
          <w:szCs w:val="20"/>
          <w:color w:val="auto"/>
        </w:rPr>
      </w:pPr>
    </w:p>
    <w:p>
      <w:pPr>
        <w:ind w:left="375" w:hanging="368"/>
        <w:spacing w:after="0"/>
        <w:tabs>
          <w:tab w:leader="none" w:pos="375"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planned Phase 1 NDA supportive studies.</w:t>
      </w:r>
    </w:p>
    <w:p>
      <w:pPr>
        <w:spacing w:after="0" w:line="117" w:lineRule="exact"/>
        <w:rPr>
          <w:sz w:val="20"/>
          <w:szCs w:val="20"/>
          <w:color w:val="auto"/>
        </w:rPr>
      </w:pPr>
    </w:p>
    <w:p>
      <w:pPr>
        <w:ind w:left="495"/>
        <w:spacing w:after="0"/>
        <w:rPr>
          <w:sz w:val="20"/>
          <w:szCs w:val="20"/>
          <w:color w:val="auto"/>
        </w:rPr>
      </w:pPr>
      <w:r>
        <w:rPr>
          <w:rFonts w:ascii="Times New Roman" w:cs="Times New Roman" w:eastAsia="Times New Roman" w:hAnsi="Times New Roman"/>
          <w:sz w:val="20"/>
          <w:szCs w:val="20"/>
          <w:color w:val="auto"/>
        </w:rPr>
        <w:t>In addition, we may incur additional expenses:</w:t>
      </w:r>
    </w:p>
    <w:p>
      <w:pPr>
        <w:spacing w:after="0" w:line="123" w:lineRule="exact"/>
        <w:rPr>
          <w:sz w:val="20"/>
          <w:szCs w:val="20"/>
          <w:color w:val="auto"/>
        </w:rPr>
      </w:pPr>
    </w:p>
    <w:p>
      <w:pPr>
        <w:ind w:left="375" w:hanging="368"/>
        <w:spacing w:after="0"/>
        <w:tabs>
          <w:tab w:leader="none" w:pos="375"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if we determine to conduct additional clinical trials of Haduvio for other indications; and</w:t>
      </w:r>
    </w:p>
    <w:p>
      <w:pPr>
        <w:spacing w:after="0" w:line="120" w:lineRule="exact"/>
        <w:rPr>
          <w:rFonts w:ascii="Arial" w:cs="Arial" w:eastAsia="Arial" w:hAnsi="Arial"/>
          <w:sz w:val="20"/>
          <w:szCs w:val="20"/>
          <w:color w:val="auto"/>
        </w:rPr>
      </w:pPr>
    </w:p>
    <w:p>
      <w:pPr>
        <w:ind w:left="375" w:right="200" w:hanging="368"/>
        <w:spacing w:after="0" w:line="263" w:lineRule="auto"/>
        <w:tabs>
          <w:tab w:leader="none" w:pos="375"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if we acquire or in-license rights to or develop other potential product candidates or technologies and seek regulatory and marketing approvals for Haduvio or any future product candidate that successfully completes clinical trials.</w:t>
      </w:r>
    </w:p>
    <w:p>
      <w:pPr>
        <w:spacing w:after="0" w:line="60" w:lineRule="exact"/>
        <w:rPr>
          <w:sz w:val="20"/>
          <w:szCs w:val="20"/>
          <w:color w:val="auto"/>
        </w:rPr>
      </w:pPr>
    </w:p>
    <w:p>
      <w:pPr>
        <w:ind w:left="15" w:right="520" w:firstLine="490"/>
        <w:spacing w:after="0" w:line="277" w:lineRule="auto"/>
        <w:rPr>
          <w:sz w:val="20"/>
          <w:szCs w:val="20"/>
          <w:color w:val="auto"/>
        </w:rPr>
      </w:pPr>
      <w:r>
        <w:rPr>
          <w:rFonts w:ascii="Times New Roman" w:cs="Times New Roman" w:eastAsia="Times New Roman" w:hAnsi="Times New Roman"/>
          <w:sz w:val="20"/>
          <w:szCs w:val="20"/>
          <w:color w:val="auto"/>
        </w:rPr>
        <w:t>We expect to continue to incur costs associated with operating as a public company, including significant legal, accounting, information technology, investor relations and other expenses.</w:t>
      </w:r>
    </w:p>
    <w:p>
      <w:pPr>
        <w:spacing w:after="0" w:line="49" w:lineRule="exact"/>
        <w:rPr>
          <w:sz w:val="20"/>
          <w:szCs w:val="20"/>
          <w:color w:val="auto"/>
        </w:rPr>
      </w:pPr>
    </w:p>
    <w:p>
      <w:pPr>
        <w:ind w:left="15" w:right="100" w:firstLine="490"/>
        <w:spacing w:after="0" w:line="249" w:lineRule="auto"/>
        <w:rPr>
          <w:sz w:val="20"/>
          <w:szCs w:val="20"/>
          <w:color w:val="auto"/>
        </w:rPr>
      </w:pPr>
      <w:r>
        <w:rPr>
          <w:rFonts w:ascii="Times New Roman" w:cs="Times New Roman" w:eastAsia="Times New Roman" w:hAnsi="Times New Roman"/>
          <w:sz w:val="20"/>
          <w:szCs w:val="20"/>
          <w:color w:val="auto"/>
        </w:rPr>
        <w:t>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w:t>
      </w:r>
    </w:p>
    <w:p>
      <w:pPr>
        <w:spacing w:after="0" w:line="80" w:lineRule="exact"/>
        <w:rPr>
          <w:sz w:val="20"/>
          <w:szCs w:val="20"/>
          <w:color w:val="auto"/>
        </w:rPr>
      </w:pPr>
    </w:p>
    <w:p>
      <w:pPr>
        <w:ind w:left="375" w:right="80" w:hanging="375"/>
        <w:spacing w:after="0" w:line="244" w:lineRule="auto"/>
        <w:tabs>
          <w:tab w:leader="none" w:pos="375"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the scope, progress, timing, costs and results of clinical trials of Haduvio, including our </w:t>
      </w:r>
      <w:r>
        <w:rPr>
          <w:rFonts w:ascii="Times New Roman" w:cs="Times New Roman" w:eastAsia="Times New Roman" w:hAnsi="Times New Roman"/>
          <w:sz w:val="19"/>
          <w:szCs w:val="19"/>
          <w:color w:val="auto"/>
        </w:rPr>
        <w:t>planned Phase 3 trials</w:t>
      </w:r>
      <w:r>
        <w:rPr>
          <w:rFonts w:ascii="Times New Roman" w:cs="Times New Roman" w:eastAsia="Times New Roman" w:hAnsi="Times New Roman"/>
          <w:sz w:val="20"/>
          <w:szCs w:val="20"/>
          <w:color w:val="auto"/>
        </w:rPr>
        <w:t xml:space="preserve"> of Haduvio for the treatment of IPF-related chronic cough, </w:t>
      </w:r>
      <w:r>
        <w:rPr>
          <w:rFonts w:ascii="Times New Roman" w:cs="Times New Roman" w:eastAsia="Times New Roman" w:hAnsi="Times New Roman"/>
          <w:sz w:val="19"/>
          <w:szCs w:val="19"/>
          <w:color w:val="auto"/>
        </w:rPr>
        <w:t>our planned adaptive design Phase 2b clinical trial of Haduvio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for the treatment of non-IPF ILD-related chronic cough, our planned Phase 2b clinical trial for the treatment of RCC,</w:t>
      </w:r>
    </w:p>
    <w:p>
      <w:pPr>
        <w:sectPr>
          <w:pgSz w:w="12240" w:h="15840" w:orient="portrait"/>
          <w:cols w:equalWidth="0" w:num="1">
            <w:col w:w="9935"/>
          </w:cols>
          <w:pgMar w:left="1145" w:top="1132" w:right="1160" w:bottom="175" w:gutter="0" w:footer="0" w:header="0"/>
        </w:sectPr>
      </w:pPr>
    </w:p>
    <w:p>
      <w:pPr>
        <w:spacing w:after="0" w:line="314"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9935"/>
          </w:cols>
          <w:pgMar w:left="1145" w:top="1132" w:right="1160" w:bottom="175" w:gutter="0" w:footer="0" w:header="0"/>
          <w:type w:val="continuous"/>
        </w:sectPr>
      </w:pPr>
    </w:p>
    <w:bookmarkStart w:id="94" w:name="page95"/>
    <w:bookmarkEnd w:id="94"/>
    <w:p>
      <w:pPr>
        <w:ind w:left="375" w:right="280"/>
        <w:spacing w:after="0" w:line="263" w:lineRule="auto"/>
        <w:rPr>
          <w:sz w:val="20"/>
          <w:szCs w:val="20"/>
          <w:color w:val="auto"/>
        </w:rPr>
      </w:pPr>
      <w:r>
        <w:rPr>
          <w:rFonts w:ascii="Times New Roman" w:cs="Times New Roman" w:eastAsia="Times New Roman" w:hAnsi="Times New Roman"/>
          <w:sz w:val="20"/>
          <w:szCs w:val="20"/>
          <w:color w:val="auto"/>
        </w:rPr>
        <w:t>and our planned Phase 1 NDA supportive studies, as well as trials for any future product candidates and the costs of seeking regulatory approvals;</w:t>
      </w:r>
    </w:p>
    <w:p>
      <w:pPr>
        <w:spacing w:after="0" w:line="63" w:lineRule="exact"/>
        <w:rPr>
          <w:sz w:val="20"/>
          <w:szCs w:val="20"/>
          <w:color w:val="auto"/>
        </w:rPr>
      </w:pPr>
    </w:p>
    <w:p>
      <w:pPr>
        <w:ind w:left="375" w:right="180" w:hanging="375"/>
        <w:spacing w:after="0" w:line="263" w:lineRule="auto"/>
        <w:tabs>
          <w:tab w:leader="none" w:pos="375"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characteristics of indications for which we seek to develop Haduvio or any future product candidates and their respective development requirements;</w:t>
      </w:r>
    </w:p>
    <w:p>
      <w:pPr>
        <w:spacing w:after="0" w:line="62" w:lineRule="exact"/>
        <w:rPr>
          <w:rFonts w:ascii="Arial" w:cs="Arial" w:eastAsia="Arial" w:hAnsi="Arial"/>
          <w:sz w:val="20"/>
          <w:szCs w:val="20"/>
          <w:color w:val="auto"/>
        </w:rPr>
      </w:pPr>
    </w:p>
    <w:p>
      <w:pPr>
        <w:ind w:left="375" w:right="220" w:hanging="375"/>
        <w:spacing w:after="0" w:line="263" w:lineRule="auto"/>
        <w:tabs>
          <w:tab w:leader="none" w:pos="375"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to manufacture necessary quantities of Haduvio or any future product candidate for clinical development in connection with regulatory submissions;</w:t>
      </w:r>
    </w:p>
    <w:p>
      <w:pPr>
        <w:spacing w:after="0" w:line="62" w:lineRule="exact"/>
        <w:rPr>
          <w:rFonts w:ascii="Arial" w:cs="Arial" w:eastAsia="Arial" w:hAnsi="Arial"/>
          <w:sz w:val="20"/>
          <w:szCs w:val="20"/>
          <w:color w:val="auto"/>
        </w:rPr>
      </w:pPr>
    </w:p>
    <w:p>
      <w:pPr>
        <w:ind w:left="375" w:right="80" w:hanging="375"/>
        <w:spacing w:after="0" w:line="244" w:lineRule="auto"/>
        <w:tabs>
          <w:tab w:leader="none" w:pos="375"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commercialization activities for Haduvio for the treatment of IPF-related chronic cough, non-IPF ILD and RCC or for any future product candidates that receive marketing approval, if any, including the costs and timing of establishing product sales, marketing, distribution and manufacturing capabilities;</w:t>
      </w:r>
    </w:p>
    <w:p>
      <w:pPr>
        <w:spacing w:after="0" w:line="93" w:lineRule="exact"/>
        <w:rPr>
          <w:rFonts w:ascii="Arial" w:cs="Arial" w:eastAsia="Arial" w:hAnsi="Arial"/>
          <w:sz w:val="20"/>
          <w:szCs w:val="20"/>
          <w:color w:val="auto"/>
        </w:rPr>
      </w:pPr>
    </w:p>
    <w:p>
      <w:pPr>
        <w:ind w:left="375" w:hanging="375"/>
        <w:spacing w:after="0" w:line="276" w:lineRule="auto"/>
        <w:tabs>
          <w:tab w:leader="none" w:pos="375"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subject to receipt of marketing approvals, revenue, if any, received from commercial sales of Haduvio for the treatment of chronic cough in patients with IPF, non-IPF ILD </w:t>
      </w:r>
      <w:r>
        <w:rPr>
          <w:rFonts w:ascii="Times New Roman" w:cs="Times New Roman" w:eastAsia="Times New Roman" w:hAnsi="Times New Roman"/>
          <w:sz w:val="19"/>
          <w:szCs w:val="19"/>
          <w:color w:val="auto"/>
        </w:rPr>
        <w:t>or RCC</w:t>
      </w:r>
      <w:r>
        <w:rPr>
          <w:rFonts w:ascii="Times New Roman" w:cs="Times New Roman" w:eastAsia="Times New Roman" w:hAnsi="Times New Roman"/>
          <w:sz w:val="20"/>
          <w:szCs w:val="20"/>
          <w:color w:val="auto"/>
        </w:rPr>
        <w:t xml:space="preserve"> or from any future product candidates;</w:t>
      </w:r>
    </w:p>
    <w:p>
      <w:pPr>
        <w:spacing w:after="0" w:line="64" w:lineRule="exact"/>
        <w:rPr>
          <w:rFonts w:ascii="Arial" w:cs="Arial" w:eastAsia="Arial" w:hAnsi="Arial"/>
          <w:sz w:val="20"/>
          <w:szCs w:val="20"/>
          <w:color w:val="auto"/>
        </w:rPr>
      </w:pPr>
    </w:p>
    <w:p>
      <w:pPr>
        <w:ind w:left="375" w:right="20" w:hanging="375"/>
        <w:spacing w:after="0" w:line="258" w:lineRule="auto"/>
        <w:tabs>
          <w:tab w:leader="none" w:pos="375"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identify potential collaborators for Haduvio for the treatment of chronic cough in patients with IPF, non-IPF ILD or RCC or for any future product candidates, and the terms and timing of any collaboration agreement that we may establish for the development and any commercialization of such product candidates;</w:t>
      </w:r>
    </w:p>
    <w:p>
      <w:pPr>
        <w:spacing w:after="0" w:line="81" w:lineRule="exact"/>
        <w:rPr>
          <w:rFonts w:ascii="Arial" w:cs="Arial" w:eastAsia="Arial" w:hAnsi="Arial"/>
          <w:sz w:val="20"/>
          <w:szCs w:val="20"/>
          <w:color w:val="auto"/>
        </w:rPr>
      </w:pPr>
    </w:p>
    <w:p>
      <w:pPr>
        <w:ind w:left="375" w:right="160" w:hanging="375"/>
        <w:spacing w:after="0" w:line="276" w:lineRule="auto"/>
        <w:tabs>
          <w:tab w:leader="none" w:pos="375"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acquire or in-license rights to other potential product candidates or technologies and the terms and timing of any such acquisition or licensing arrangements;</w:t>
      </w:r>
    </w:p>
    <w:p>
      <w:pPr>
        <w:spacing w:after="0" w:line="64" w:lineRule="exact"/>
        <w:rPr>
          <w:rFonts w:ascii="Arial" w:cs="Arial" w:eastAsia="Arial" w:hAnsi="Arial"/>
          <w:sz w:val="20"/>
          <w:szCs w:val="20"/>
          <w:color w:val="auto"/>
        </w:rPr>
      </w:pPr>
    </w:p>
    <w:p>
      <w:pPr>
        <w:ind w:left="375" w:right="20" w:hanging="375"/>
        <w:spacing w:after="0" w:line="252" w:lineRule="auto"/>
        <w:tabs>
          <w:tab w:leader="none" w:pos="375"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our potential obligation to make milestone payments to Keenova Therapeutics plc, or Keenova, which would become due upon the successful completion of the first Phase 3 clinical trial of a licensed product candidate and the marketing approval of a licensed product in the U.S., as well as our potential obligations to pay Keenova royalties on the net sales of the product;</w:t>
      </w:r>
    </w:p>
    <w:p>
      <w:pPr>
        <w:spacing w:after="0" w:line="87" w:lineRule="exact"/>
        <w:rPr>
          <w:rFonts w:ascii="Arial" w:cs="Arial" w:eastAsia="Arial" w:hAnsi="Arial"/>
          <w:sz w:val="20"/>
          <w:szCs w:val="20"/>
          <w:color w:val="auto"/>
        </w:rPr>
      </w:pPr>
    </w:p>
    <w:p>
      <w:pPr>
        <w:ind w:left="375" w:right="200" w:hanging="375"/>
        <w:spacing w:after="0" w:line="276" w:lineRule="auto"/>
        <w:tabs>
          <w:tab w:leader="none" w:pos="375"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our headcount growth and associated costs as we expand our research and development activities and medical affairs activities and establish a commercial infrastructure;</w:t>
      </w:r>
    </w:p>
    <w:p>
      <w:pPr>
        <w:spacing w:after="0" w:line="64" w:lineRule="exact"/>
        <w:rPr>
          <w:rFonts w:ascii="Arial" w:cs="Arial" w:eastAsia="Arial" w:hAnsi="Arial"/>
          <w:sz w:val="20"/>
          <w:szCs w:val="20"/>
          <w:color w:val="auto"/>
        </w:rPr>
      </w:pPr>
    </w:p>
    <w:p>
      <w:pPr>
        <w:ind w:left="375" w:right="900" w:hanging="375"/>
        <w:spacing w:after="0" w:line="276" w:lineRule="auto"/>
        <w:tabs>
          <w:tab w:leader="none" w:pos="375"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preparing, filing and prosecuting patent applications, maintaining, expanding and protecting our intellectual property rights and defending against intellectual property-related claims;</w:t>
      </w:r>
    </w:p>
    <w:p>
      <w:pPr>
        <w:spacing w:after="0" w:line="64" w:lineRule="exact"/>
        <w:rPr>
          <w:rFonts w:ascii="Arial" w:cs="Arial" w:eastAsia="Arial" w:hAnsi="Arial"/>
          <w:sz w:val="20"/>
          <w:szCs w:val="20"/>
          <w:color w:val="auto"/>
        </w:rPr>
      </w:pPr>
    </w:p>
    <w:p>
      <w:pPr>
        <w:ind w:left="375" w:hanging="375"/>
        <w:spacing w:after="0"/>
        <w:tabs>
          <w:tab w:leader="none" w:pos="375"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competing technologies and market developments;</w:t>
      </w:r>
    </w:p>
    <w:p>
      <w:pPr>
        <w:spacing w:after="0" w:line="133" w:lineRule="exact"/>
        <w:rPr>
          <w:rFonts w:ascii="Arial" w:cs="Arial" w:eastAsia="Arial" w:hAnsi="Arial"/>
          <w:sz w:val="20"/>
          <w:szCs w:val="20"/>
          <w:color w:val="auto"/>
        </w:rPr>
      </w:pPr>
    </w:p>
    <w:p>
      <w:pPr>
        <w:ind w:left="375" w:hanging="368"/>
        <w:spacing w:after="0"/>
        <w:tabs>
          <w:tab w:leader="none" w:pos="375"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and maintain healthcare coverage and adequate reimbursement for our products; and</w:t>
      </w:r>
    </w:p>
    <w:p>
      <w:pPr>
        <w:spacing w:after="0" w:line="133" w:lineRule="exact"/>
        <w:rPr>
          <w:rFonts w:ascii="Arial" w:cs="Arial" w:eastAsia="Arial" w:hAnsi="Arial"/>
          <w:sz w:val="20"/>
          <w:szCs w:val="20"/>
          <w:color w:val="auto"/>
        </w:rPr>
      </w:pPr>
    </w:p>
    <w:p>
      <w:pPr>
        <w:ind w:left="375" w:hanging="375"/>
        <w:spacing w:after="0"/>
        <w:tabs>
          <w:tab w:leader="none" w:pos="375"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operating as a public company.</w:t>
      </w:r>
    </w:p>
    <w:p>
      <w:pPr>
        <w:spacing w:after="0" w:line="119" w:lineRule="exact"/>
        <w:rPr>
          <w:sz w:val="20"/>
          <w:szCs w:val="20"/>
          <w:color w:val="auto"/>
        </w:rPr>
      </w:pPr>
    </w:p>
    <w:p>
      <w:pPr>
        <w:ind w:left="15" w:right="20" w:firstLine="490"/>
        <w:spacing w:after="0" w:line="246" w:lineRule="auto"/>
        <w:rPr>
          <w:sz w:val="20"/>
          <w:szCs w:val="20"/>
          <w:color w:val="auto"/>
        </w:rPr>
      </w:pPr>
      <w:r>
        <w:rPr>
          <w:rFonts w:ascii="Times New Roman" w:cs="Times New Roman" w:eastAsia="Times New Roman" w:hAnsi="Times New Roman"/>
          <w:sz w:val="20"/>
          <w:szCs w:val="20"/>
          <w:color w:val="auto"/>
        </w:rPr>
        <w:t>We believe that our existing cash, cash equivalents and marketable securities, will enable us to fund our operating expenses and capital expenditure requirements into 2028. We expect these resources will enable us to fund our planned Phase 3 trials of Haduvio for the treatment of IPF-related chronic cough, our planned adaptive design Phase 2b clinical trial in non-IPF ILD-related chronic cough, our planned Phase 2b clinical trial in RCC, and our planned Phase 1 NDA supportive studies. However, these resources will not be sufficient for us to fund Haduvio for any indication or any future product candidates through regulatory approval, and we will need to raise substantial additional capital to complete the development and commercialization of Haduvio and any future product candidates.</w:t>
      </w:r>
    </w:p>
    <w:p>
      <w:pPr>
        <w:spacing w:after="0" w:line="80" w:lineRule="exact"/>
        <w:rPr>
          <w:sz w:val="20"/>
          <w:szCs w:val="20"/>
          <w:color w:val="auto"/>
        </w:rPr>
      </w:pPr>
    </w:p>
    <w:p>
      <w:pPr>
        <w:ind w:left="15" w:right="60" w:firstLine="490"/>
        <w:spacing w:after="0" w:line="249" w:lineRule="auto"/>
        <w:rPr>
          <w:sz w:val="20"/>
          <w:szCs w:val="20"/>
          <w:color w:val="auto"/>
        </w:rPr>
      </w:pPr>
      <w:r>
        <w:rPr>
          <w:rFonts w:ascii="Times New Roman" w:cs="Times New Roman" w:eastAsia="Times New Roman" w:hAnsi="Times New Roman"/>
          <w:sz w:val="20"/>
          <w:szCs w:val="20"/>
          <w:color w:val="auto"/>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spacing w:after="0" w:line="77" w:lineRule="exact"/>
        <w:rPr>
          <w:sz w:val="20"/>
          <w:szCs w:val="20"/>
          <w:color w:val="auto"/>
        </w:rPr>
      </w:pPr>
    </w:p>
    <w:p>
      <w:pPr>
        <w:ind w:left="15" w:firstLine="490"/>
        <w:spacing w:after="0" w:line="244" w:lineRule="auto"/>
        <w:rPr>
          <w:sz w:val="20"/>
          <w:szCs w:val="20"/>
          <w:color w:val="auto"/>
        </w:rPr>
      </w:pPr>
      <w:r>
        <w:rPr>
          <w:rFonts w:ascii="Times New Roman" w:cs="Times New Roman" w:eastAsia="Times New Roman" w:hAnsi="Times New Roman"/>
          <w:sz w:val="20"/>
          <w:szCs w:val="20"/>
          <w:color w:val="auto"/>
        </w:rPr>
        <w:t>We do not have any committed external source of funds. 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patients with IPF, non-IPF ILD or RCC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w:t>
      </w:r>
    </w:p>
    <w:p>
      <w:pPr>
        <w:sectPr>
          <w:pgSz w:w="12240" w:h="15840" w:orient="portrait"/>
          <w:cols w:equalWidth="0" w:num="1">
            <w:col w:w="9915"/>
          </w:cols>
          <w:pgMar w:left="1145" w:top="1121" w:right="1180" w:bottom="175"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9915"/>
          </w:cols>
          <w:pgMar w:left="1145" w:top="1121" w:right="1180" w:bottom="175" w:gutter="0" w:footer="0" w:header="0"/>
          <w:type w:val="continuous"/>
        </w:sectPr>
      </w:pPr>
    </w:p>
    <w:bookmarkStart w:id="95" w:name="page96"/>
    <w:bookmarkEnd w:id="95"/>
    <w:p>
      <w:pPr>
        <w:ind w:right="140"/>
        <w:spacing w:after="0" w:line="277" w:lineRule="auto"/>
        <w:rPr>
          <w:sz w:val="20"/>
          <w:szCs w:val="20"/>
          <w:color w:val="auto"/>
        </w:rPr>
      </w:pPr>
      <w:r>
        <w:rPr>
          <w:rFonts w:ascii="Times New Roman" w:cs="Times New Roman" w:eastAsia="Times New Roman" w:hAnsi="Times New Roman"/>
          <w:sz w:val="20"/>
          <w:szCs w:val="20"/>
          <w:color w:val="auto"/>
        </w:rPr>
        <w:t>ability to oversee the development of our product candidates. Any debt financing that we seek or additional equity that we raise may contain terms that could adversely affect our common stockholders.</w:t>
      </w:r>
    </w:p>
    <w:p>
      <w:pPr>
        <w:spacing w:after="0" w:line="49" w:lineRule="exact"/>
        <w:rPr>
          <w:sz w:val="20"/>
          <w:szCs w:val="20"/>
          <w:color w:val="auto"/>
        </w:rPr>
      </w:pPr>
    </w:p>
    <w:p>
      <w:pPr>
        <w:ind w:right="200" w:firstLine="490"/>
        <w:spacing w:after="0" w:line="252" w:lineRule="auto"/>
        <w:rPr>
          <w:sz w:val="20"/>
          <w:szCs w:val="20"/>
          <w:color w:val="auto"/>
        </w:rPr>
      </w:pPr>
      <w:r>
        <w:rPr>
          <w:rFonts w:ascii="Times New Roman" w:cs="Times New Roman" w:eastAsia="Times New Roman" w:hAnsi="Times New Roman"/>
          <w:sz w:val="20"/>
          <w:szCs w:val="20"/>
          <w:color w:val="auto"/>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Contractual Obligations and Commitments</w:t>
      </w:r>
    </w:p>
    <w:p>
      <w:pPr>
        <w:spacing w:after="0" w:line="124" w:lineRule="exact"/>
        <w:rPr>
          <w:sz w:val="20"/>
          <w:szCs w:val="20"/>
          <w:color w:val="auto"/>
        </w:rPr>
      </w:pPr>
    </w:p>
    <w:p>
      <w:pPr>
        <w:ind w:right="80" w:firstLine="490"/>
        <w:spacing w:after="0" w:line="252" w:lineRule="auto"/>
        <w:rPr>
          <w:sz w:val="20"/>
          <w:szCs w:val="20"/>
          <w:color w:val="auto"/>
        </w:rPr>
      </w:pPr>
      <w:r>
        <w:rPr>
          <w:rFonts w:ascii="Times New Roman" w:cs="Times New Roman" w:eastAsia="Times New Roman" w:hAnsi="Times New Roman"/>
          <w:sz w:val="20"/>
          <w:szCs w:val="20"/>
          <w:color w:val="auto"/>
        </w:rPr>
        <w:t>A significant portion of our development activities are outsourced to third parties under agreements, including with CROs and contract manufacturers in connection with the production of clinical trial materials. The contracts are cancelable at any time by us, generally upon 45 to 60 days' prior written notice to the CRO, and therefore we believe that our non-cancelable obligations under these agreements are not material.</w:t>
      </w:r>
    </w:p>
    <w:p>
      <w:pPr>
        <w:spacing w:after="0" w:line="74" w:lineRule="exact"/>
        <w:rPr>
          <w:sz w:val="20"/>
          <w:szCs w:val="20"/>
          <w:color w:val="auto"/>
        </w:rPr>
      </w:pPr>
    </w:p>
    <w:p>
      <w:pPr>
        <w:ind w:right="680" w:firstLine="490"/>
        <w:spacing w:after="0" w:line="277" w:lineRule="auto"/>
        <w:rPr>
          <w:sz w:val="20"/>
          <w:szCs w:val="20"/>
          <w:color w:val="auto"/>
        </w:rPr>
      </w:pPr>
      <w:r>
        <w:rPr>
          <w:rFonts w:ascii="Times New Roman" w:cs="Times New Roman" w:eastAsia="Times New Roman" w:hAnsi="Times New Roman"/>
          <w:sz w:val="20"/>
          <w:szCs w:val="20"/>
          <w:color w:val="auto"/>
        </w:rPr>
        <w:t>For information related to our future commitments relating to our lease and licensing agreements, see Note 5, “Leases” and Note 12, “Collaborative and Licensing Agreements” of our Consolidated Financial Statements.</w:t>
      </w:r>
    </w:p>
    <w:p>
      <w:pPr>
        <w:spacing w:after="0" w:line="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color w:val="auto"/>
        </w:rPr>
        <w:t>Critical Accounting Policies and Use of Estimates</w:t>
      </w:r>
    </w:p>
    <w:p>
      <w:pPr>
        <w:spacing w:after="0" w:line="124" w:lineRule="exact"/>
        <w:rPr>
          <w:sz w:val="20"/>
          <w:szCs w:val="20"/>
          <w:color w:val="auto"/>
        </w:rPr>
      </w:pPr>
    </w:p>
    <w:p>
      <w:pPr>
        <w:ind w:right="120" w:firstLine="490"/>
        <w:spacing w:after="0" w:line="245" w:lineRule="auto"/>
        <w:rPr>
          <w:sz w:val="20"/>
          <w:szCs w:val="20"/>
          <w:color w:val="auto"/>
        </w:rPr>
      </w:pPr>
      <w:r>
        <w:rPr>
          <w:rFonts w:ascii="Times New Roman" w:cs="Times New Roman" w:eastAsia="Times New Roman" w:hAnsi="Times New Roman"/>
          <w:sz w:val="20"/>
          <w:szCs w:val="20"/>
          <w:color w:val="auto"/>
        </w:rPr>
        <w:t>Our Consolidated Financial Statements have been prepared in accordance with U.S. generally accepted accounting principles.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2"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We believe that the estimates and assumptions involved in the accounting policy described below may have the greatest potential impact on our Consolidated Financial Statements and, therefore, consider this to be our critical accounting policy.</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20" w:lineRule="exact"/>
        <w:rPr>
          <w:sz w:val="20"/>
          <w:szCs w:val="20"/>
          <w:color w:val="auto"/>
        </w:rPr>
      </w:pPr>
    </w:p>
    <w:p>
      <w:pPr>
        <w:jc w:val="both"/>
        <w:ind w:right="180" w:firstLine="490"/>
        <w:spacing w:after="0" w:line="258" w:lineRule="auto"/>
        <w:rPr>
          <w:sz w:val="20"/>
          <w:szCs w:val="20"/>
          <w:color w:val="auto"/>
        </w:rPr>
      </w:pPr>
      <w:r>
        <w:rPr>
          <w:rFonts w:ascii="Times New Roman" w:cs="Times New Roman" w:eastAsia="Times New Roman" w:hAnsi="Times New Roman"/>
          <w:sz w:val="20"/>
          <w:szCs w:val="20"/>
          <w:color w:val="auto"/>
        </w:rPr>
        <w:t>Research and development costs are expensed as incurred. Nonrefundable advance payments for goods or services that will be used or rendered for future research and development activities are deferred and capitalized and recognized as an expense as the goods are delivered or the related services are performed.</w:t>
      </w:r>
    </w:p>
    <w:p>
      <w:pPr>
        <w:spacing w:after="0" w:line="68" w:lineRule="exact"/>
        <w:rPr>
          <w:sz w:val="20"/>
          <w:szCs w:val="20"/>
          <w:color w:val="auto"/>
        </w:rPr>
      </w:pPr>
    </w:p>
    <w:p>
      <w:pPr>
        <w:ind w:right="20" w:firstLine="490"/>
        <w:spacing w:after="0" w:line="260" w:lineRule="auto"/>
        <w:rPr>
          <w:sz w:val="20"/>
          <w:szCs w:val="20"/>
          <w:color w:val="auto"/>
        </w:rPr>
      </w:pPr>
      <w:r>
        <w:rPr>
          <w:rFonts w:ascii="Times New Roman" w:cs="Times New Roman" w:eastAsia="Times New Roman" w:hAnsi="Times New Roman"/>
          <w:sz w:val="19"/>
          <w:szCs w:val="19"/>
          <w:color w:val="auto"/>
        </w:rPr>
        <w:t>We have entered into agreements with CROs, contract manufacturing organizations and other companies that provide services in connection with our research and development activities. Our research and development expenses as well as prepaid and accrued expenses related to these agreements, are estimated based on the level of services performed, progress of the studies, including the phase or completion of events, timing of payments made, and contracted costs. The estimated costs of research and development provided, but not yet invoiced, are included in accrued expenses on our consolidated balance sheet. If the actual timing of the performance of services or the level of effort varies from the original estimates, we will adjust the accrual accordingly. Payments made to CROs, contract manufacturing organizations and other companies under these arrangements in advance of the performance of the related services are recorded as prepaid expenses.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24" w:lineRule="exact"/>
        <w:rPr>
          <w:sz w:val="20"/>
          <w:szCs w:val="20"/>
          <w:color w:val="auto"/>
        </w:rPr>
      </w:pPr>
    </w:p>
    <w:p>
      <w:pPr>
        <w:ind w:right="340" w:firstLine="490"/>
        <w:spacing w:after="0" w:line="277" w:lineRule="auto"/>
        <w:rPr>
          <w:sz w:val="20"/>
          <w:szCs w:val="20"/>
          <w:color w:val="auto"/>
        </w:rPr>
      </w:pPr>
      <w:r>
        <w:rPr>
          <w:rFonts w:ascii="Times New Roman" w:cs="Times New Roman" w:eastAsia="Times New Roman" w:hAnsi="Times New Roman"/>
          <w:sz w:val="20"/>
          <w:szCs w:val="20"/>
          <w:color w:val="auto"/>
        </w:rPr>
        <w:t>The financial statements required to be filed pursuant to this Item 8 are appended to this report. An index of those financial statements is found in Item 15 of Part IV of this Annual Report on Form 10-K.</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4" w:lineRule="exact"/>
        <w:rPr>
          <w:sz w:val="20"/>
          <w:szCs w:val="20"/>
          <w:color w:val="auto"/>
        </w:rPr>
      </w:pPr>
    </w:p>
    <w:p>
      <w:pPr>
        <w:ind w:right="300" w:firstLine="490"/>
        <w:spacing w:after="0" w:line="305" w:lineRule="auto"/>
        <w:rPr>
          <w:sz w:val="20"/>
          <w:szCs w:val="20"/>
          <w:color w:val="auto"/>
        </w:rPr>
      </w:pPr>
      <w:r>
        <w:rPr>
          <w:rFonts w:ascii="Times New Roman" w:cs="Times New Roman" w:eastAsia="Times New Roman" w:hAnsi="Times New Roman"/>
          <w:sz w:val="19"/>
          <w:szCs w:val="19"/>
          <w:color w:val="auto"/>
        </w:rPr>
        <w:t>Our management, with the participation of our Chief Executive Officer and Chief Financial Officer, evaluated the effectiveness of our disclosure controls and procedures as defined in Rules 13a-15(e) and 15d-15(e) under the Securities</w:t>
      </w:r>
    </w:p>
    <w:p>
      <w:pPr>
        <w:sectPr>
          <w:pgSz w:w="12240" w:h="15840" w:orient="portrait"/>
          <w:cols w:equalWidth="0" w:num="1">
            <w:col w:w="9920"/>
          </w:cols>
          <w:pgMar w:left="1160" w:top="1132" w:right="1160" w:bottom="175"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9920"/>
          </w:cols>
          <w:pgMar w:left="1160" w:top="1132" w:right="1160" w:bottom="175" w:gutter="0" w:footer="0" w:header="0"/>
          <w:type w:val="continuous"/>
        </w:sectPr>
      </w:pPr>
    </w:p>
    <w:bookmarkStart w:id="96" w:name="page97"/>
    <w:bookmarkEnd w:id="96"/>
    <w:p>
      <w:pPr>
        <w:ind w:right="20"/>
        <w:spacing w:after="0" w:line="243" w:lineRule="auto"/>
        <w:rPr>
          <w:sz w:val="20"/>
          <w:szCs w:val="20"/>
          <w:color w:val="auto"/>
        </w:rPr>
      </w:pPr>
      <w:r>
        <w:rPr>
          <w:rFonts w:ascii="Times New Roman" w:cs="Times New Roman" w:eastAsia="Times New Roman" w:hAnsi="Times New Roman"/>
          <w:sz w:val="20"/>
          <w:szCs w:val="20"/>
          <w:color w:val="auto"/>
        </w:rPr>
        <w:t>Exchange Act of 1934, as amended, or the Exchange Act, as of December 31, 2025.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December 31, 2025, our Chief Executive Officer and Chief Financial Officer concluded that, as of such date, our disclosure controls and procedures were effective at the reasonable assurance level.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24"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ind w:right="240" w:firstLine="490"/>
        <w:spacing w:after="0" w:line="249"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Chief Executive Officer and Chief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 over financial reporting was effective as of December 31, 2025.</w:t>
      </w:r>
    </w:p>
    <w:p>
      <w:pPr>
        <w:spacing w:after="0" w:line="77"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20"/>
          <w:szCs w:val="20"/>
          <w:color w:val="auto"/>
        </w:rPr>
        <w:t>This Annual Report on Form 10-K does not include an attestation report of our independent registered public accounting firm regarding internal control over financial reporting as we are a non-accelerated filer and a “smaller reporting company”, as defined in Rule 12b-2 under the Exchange Act.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4" w:lineRule="exact"/>
        <w:rPr>
          <w:sz w:val="20"/>
          <w:szCs w:val="20"/>
          <w:color w:val="auto"/>
        </w:rPr>
      </w:pPr>
    </w:p>
    <w:p>
      <w:pPr>
        <w:ind w:right="300" w:firstLine="490"/>
        <w:spacing w:after="0" w:line="258" w:lineRule="auto"/>
        <w:rPr>
          <w:sz w:val="20"/>
          <w:szCs w:val="20"/>
          <w:color w:val="auto"/>
        </w:rPr>
      </w:pPr>
      <w:r>
        <w:rPr>
          <w:rFonts w:ascii="Times New Roman" w:cs="Times New Roman" w:eastAsia="Times New Roman" w:hAnsi="Times New Roman"/>
          <w:sz w:val="20"/>
          <w:szCs w:val="20"/>
          <w:color w:val="auto"/>
        </w:rPr>
        <w:t>No change in our internal control over financial reporting (as defined in Rules 13a-15(f) and 15d-15(f) under the Exchange Act) occurred during the three months ended December 31, 2025 that has materially affected, or is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 Director and Officer Trading Arrangements</w:t>
      </w:r>
    </w:p>
    <w:p>
      <w:pPr>
        <w:spacing w:after="0" w:line="118" w:lineRule="exact"/>
        <w:rPr>
          <w:sz w:val="20"/>
          <w:szCs w:val="20"/>
          <w:color w:val="auto"/>
        </w:rPr>
      </w:pPr>
    </w:p>
    <w:p>
      <w:pPr>
        <w:ind w:right="320" w:firstLine="490"/>
        <w:spacing w:after="0" w:line="305" w:lineRule="auto"/>
        <w:rPr>
          <w:sz w:val="20"/>
          <w:szCs w:val="20"/>
          <w:color w:val="auto"/>
        </w:rPr>
      </w:pPr>
      <w:r>
        <w:rPr>
          <w:rFonts w:ascii="Times New Roman" w:cs="Times New Roman" w:eastAsia="Times New Roman" w:hAnsi="Times New Roman"/>
          <w:sz w:val="19"/>
          <w:szCs w:val="19"/>
          <w:color w:val="auto"/>
        </w:rPr>
        <w:t>During the three months ended December 31, 2025, none of our directors or officers adopted or terminated a Rule 10b5-1 trading arrangement or a non-Rule 10b5-1 trading arrangement (as defined in Item 408(c) of Regulation S-K).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10 will be included in our Definitive Proxy Statement to be filed with the SEC with respect to our 2026 Annual Meeting of Stockholders and is incorporated herein by reference.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11 will be included in our Definitive Proxy Statement to be filed with the SEC with respect to our 2026 Annual Meeting of Stockholders and is incorporated herein by reference.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24"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12 will be included in our Definitive Proxy Statement to be filed with the SEC with respect to our 2026 Annual Meeting of Stockholders and is incorporated herein by reference.</w:t>
      </w:r>
    </w:p>
    <w:p>
      <w:pPr>
        <w:sectPr>
          <w:pgSz w:w="12240" w:h="15840" w:orient="portrait"/>
          <w:cols w:equalWidth="0" w:num="1">
            <w:col w:w="9920"/>
          </w:cols>
          <w:pgMar w:left="1160" w:top="1132" w:right="1160" w:bottom="175"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9920"/>
          </w:cols>
          <w:pgMar w:left="1160" w:top="1132" w:right="1160" w:bottom="175"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13 will be included in our Definitive Proxy Statement to be filed with the SEC with respect to our 2026 Annual Meeting of Stockholders and is incorporated herein by reference.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4" w:lineRule="exact"/>
        <w:rPr>
          <w:sz w:val="20"/>
          <w:szCs w:val="20"/>
          <w:color w:val="auto"/>
        </w:rPr>
      </w:pPr>
    </w:p>
    <w:p>
      <w:pPr>
        <w:ind w:firstLine="490"/>
        <w:spacing w:after="0" w:line="277" w:lineRule="auto"/>
        <w:rPr>
          <w:sz w:val="20"/>
          <w:szCs w:val="20"/>
          <w:color w:val="auto"/>
        </w:rPr>
      </w:pPr>
      <w:r>
        <w:rPr>
          <w:rFonts w:ascii="Times New Roman" w:cs="Times New Roman" w:eastAsia="Times New Roman" w:hAnsi="Times New Roman"/>
          <w:sz w:val="20"/>
          <w:szCs w:val="20"/>
          <w:color w:val="auto"/>
        </w:rPr>
        <w:t>The information required by this Item 14 will be included in our Definitive Proxy Statement to be filed with the SEC with respect to our 2026 Annual Meeting of Stockholders and is incorporated herein by reference.</w:t>
      </w:r>
    </w:p>
    <w:p>
      <w:pPr>
        <w:sectPr>
          <w:pgSz w:w="12240" w:h="15840" w:orient="portrait"/>
          <w:cols w:equalWidth="0" w:num="1">
            <w:col w:w="9840"/>
          </w:cols>
          <w:pgMar w:left="1160" w:top="1128" w:right="12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9840"/>
          </w:cols>
          <w:pgMar w:left="1160" w:top="1128" w:right="1240" w:bottom="175"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74"/>
        </w:trPr>
        <w:tc>
          <w:tcPr>
            <w:tcW w:w="9260" w:type="dxa"/>
            <w:vAlign w:val="bottom"/>
          </w:tcPr>
          <w:p>
            <w:pPr>
              <w:ind w:left="456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660" w:type="dxa"/>
            <w:vAlign w:val="bottom"/>
          </w:tcPr>
          <w:p>
            <w:pPr>
              <w:spacing w:after="0"/>
              <w:rPr>
                <w:sz w:val="23"/>
                <w:szCs w:val="23"/>
                <w:color w:val="auto"/>
              </w:rPr>
            </w:pPr>
          </w:p>
        </w:tc>
      </w:tr>
      <w:tr>
        <w:trPr>
          <w:trHeight w:val="327"/>
        </w:trPr>
        <w:tc>
          <w:tcPr>
            <w:tcW w:w="9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tc>
        <w:tc>
          <w:tcPr>
            <w:tcW w:w="660" w:type="dxa"/>
            <w:vAlign w:val="bottom"/>
          </w:tcPr>
          <w:p>
            <w:pPr>
              <w:spacing w:after="0"/>
              <w:rPr>
                <w:sz w:val="24"/>
                <w:szCs w:val="24"/>
                <w:color w:val="auto"/>
              </w:rPr>
            </w:pPr>
          </w:p>
        </w:tc>
      </w:tr>
      <w:tr>
        <w:trPr>
          <w:trHeight w:val="327"/>
        </w:trPr>
        <w:tc>
          <w:tcPr>
            <w:tcW w:w="9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 Financial Statements</w:t>
            </w:r>
          </w:p>
        </w:tc>
        <w:tc>
          <w:tcPr>
            <w:tcW w:w="660" w:type="dxa"/>
            <w:vAlign w:val="bottom"/>
          </w:tcPr>
          <w:p>
            <w:pPr>
              <w:spacing w:after="0"/>
              <w:rPr>
                <w:sz w:val="24"/>
                <w:szCs w:val="24"/>
                <w:color w:val="auto"/>
              </w:rPr>
            </w:pPr>
          </w:p>
        </w:tc>
      </w:tr>
      <w:tr>
        <w:trPr>
          <w:trHeight w:val="323"/>
        </w:trPr>
        <w:tc>
          <w:tcPr>
            <w:tcW w:w="926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following Consolidated Financial Statements are filed as part of this Annual Report on Form 10-K.</w:t>
            </w:r>
          </w:p>
        </w:tc>
        <w:tc>
          <w:tcPr>
            <w:tcW w:w="660" w:type="dxa"/>
            <w:vAlign w:val="bottom"/>
          </w:tcPr>
          <w:p>
            <w:pPr>
              <w:spacing w:after="0"/>
              <w:rPr>
                <w:sz w:val="24"/>
                <w:szCs w:val="24"/>
                <w:color w:val="auto"/>
              </w:rPr>
            </w:pPr>
          </w:p>
        </w:tc>
      </w:tr>
      <w:tr>
        <w:trPr>
          <w:trHeight w:val="117"/>
        </w:trPr>
        <w:tc>
          <w:tcPr>
            <w:tcW w:w="92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230"/>
        </w:trPr>
        <w:tc>
          <w:tcPr>
            <w:tcW w:w="92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00042)</w:t>
            </w:r>
          </w:p>
        </w:tc>
        <w:tc>
          <w:tcPr>
            <w:tcW w:w="660" w:type="dxa"/>
            <w:vAlign w:val="bottom"/>
            <w:shd w:val="clear" w:color="auto" w:fill="D5EEEE"/>
          </w:tcPr>
          <w:p>
            <w:pPr>
              <w:ind w:left="240"/>
              <w:spacing w:after="0"/>
              <w:rPr>
                <w:sz w:val="20"/>
                <w:szCs w:val="20"/>
                <w:color w:val="auto"/>
              </w:rPr>
            </w:pPr>
            <w:r>
              <w:rPr>
                <w:rFonts w:ascii="Times New Roman" w:cs="Times New Roman" w:eastAsia="Times New Roman" w:hAnsi="Times New Roman"/>
                <w:sz w:val="20"/>
                <w:szCs w:val="20"/>
                <w:color w:val="auto"/>
              </w:rPr>
              <w:t>F-2</w:t>
            </w:r>
          </w:p>
        </w:tc>
      </w:tr>
      <w:tr>
        <w:trPr>
          <w:trHeight w:val="475"/>
        </w:trPr>
        <w:tc>
          <w:tcPr>
            <w:tcW w:w="92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Consolidated Financial Statements</w:t>
            </w:r>
          </w:p>
        </w:tc>
        <w:tc>
          <w:tcPr>
            <w:tcW w:w="660" w:type="dxa"/>
            <w:vAlign w:val="bottom"/>
          </w:tcPr>
          <w:p>
            <w:pPr>
              <w:spacing w:after="0"/>
              <w:rPr>
                <w:sz w:val="24"/>
                <w:szCs w:val="24"/>
                <w:color w:val="auto"/>
              </w:rPr>
            </w:pPr>
          </w:p>
        </w:tc>
      </w:tr>
      <w:tr>
        <w:trPr>
          <w:trHeight w:val="230"/>
        </w:trPr>
        <w:tc>
          <w:tcPr>
            <w:tcW w:w="92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660" w:type="dxa"/>
            <w:vAlign w:val="bottom"/>
            <w:shd w:val="clear" w:color="auto" w:fill="D5EEEE"/>
          </w:tcPr>
          <w:p>
            <w:pPr>
              <w:ind w:left="240"/>
              <w:spacing w:after="0"/>
              <w:rPr>
                <w:sz w:val="20"/>
                <w:szCs w:val="20"/>
                <w:color w:val="auto"/>
              </w:rPr>
            </w:pPr>
            <w:r>
              <w:rPr>
                <w:rFonts w:ascii="Times New Roman" w:cs="Times New Roman" w:eastAsia="Times New Roman" w:hAnsi="Times New Roman"/>
                <w:sz w:val="20"/>
                <w:szCs w:val="20"/>
                <w:color w:val="auto"/>
              </w:rPr>
              <w:t>F-4</w:t>
            </w:r>
          </w:p>
        </w:tc>
      </w:tr>
      <w:tr>
        <w:trPr>
          <w:trHeight w:val="23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F-5</w:t>
            </w:r>
          </w:p>
        </w:tc>
      </w:tr>
      <w:tr>
        <w:trPr>
          <w:trHeight w:val="230"/>
        </w:trPr>
        <w:tc>
          <w:tcPr>
            <w:tcW w:w="92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w:t>
            </w:r>
          </w:p>
        </w:tc>
        <w:tc>
          <w:tcPr>
            <w:tcW w:w="660" w:type="dxa"/>
            <w:vAlign w:val="bottom"/>
            <w:shd w:val="clear" w:color="auto" w:fill="D5EEEE"/>
          </w:tcPr>
          <w:p>
            <w:pPr>
              <w:ind w:left="240"/>
              <w:spacing w:after="0"/>
              <w:rPr>
                <w:sz w:val="20"/>
                <w:szCs w:val="20"/>
                <w:color w:val="auto"/>
              </w:rPr>
            </w:pPr>
            <w:r>
              <w:rPr>
                <w:rFonts w:ascii="Times New Roman" w:cs="Times New Roman" w:eastAsia="Times New Roman" w:hAnsi="Times New Roman"/>
                <w:sz w:val="20"/>
                <w:szCs w:val="20"/>
                <w:color w:val="auto"/>
              </w:rPr>
              <w:t>F-6</w:t>
            </w:r>
          </w:p>
        </w:tc>
      </w:tr>
      <w:tr>
        <w:trPr>
          <w:trHeight w:val="230"/>
        </w:trPr>
        <w:tc>
          <w:tcPr>
            <w:tcW w:w="92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6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F-7</w:t>
            </w:r>
          </w:p>
        </w:tc>
      </w:tr>
      <w:tr>
        <w:trPr>
          <w:trHeight w:val="230"/>
        </w:trPr>
        <w:tc>
          <w:tcPr>
            <w:tcW w:w="92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660" w:type="dxa"/>
            <w:vAlign w:val="bottom"/>
            <w:shd w:val="clear" w:color="auto" w:fill="D5EEEE"/>
          </w:tcPr>
          <w:p>
            <w:pPr>
              <w:ind w:left="240"/>
              <w:spacing w:after="0"/>
              <w:rPr>
                <w:sz w:val="20"/>
                <w:szCs w:val="20"/>
                <w:color w:val="auto"/>
              </w:rPr>
            </w:pPr>
            <w:r>
              <w:rPr>
                <w:rFonts w:ascii="Times New Roman" w:cs="Times New Roman" w:eastAsia="Times New Roman" w:hAnsi="Times New Roman"/>
                <w:sz w:val="20"/>
                <w:szCs w:val="20"/>
                <w:color w:val="auto"/>
              </w:rPr>
              <w:t>F-8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Financial Statement Schedules:</w:t>
      </w:r>
    </w:p>
    <w:p>
      <w:pPr>
        <w:spacing w:after="0" w:line="101" w:lineRule="exact"/>
        <w:rPr>
          <w:sz w:val="20"/>
          <w:szCs w:val="20"/>
          <w:color w:val="auto"/>
        </w:rPr>
      </w:pPr>
    </w:p>
    <w:p>
      <w:pPr>
        <w:jc w:val="both"/>
        <w:ind w:right="140" w:firstLine="490"/>
        <w:spacing w:after="0" w:line="253" w:lineRule="auto"/>
        <w:rPr>
          <w:sz w:val="20"/>
          <w:szCs w:val="20"/>
          <w:color w:val="auto"/>
        </w:rPr>
      </w:pPr>
      <w:r>
        <w:rPr>
          <w:rFonts w:ascii="Times New Roman" w:cs="Times New Roman" w:eastAsia="Times New Roman" w:hAnsi="Times New Roman"/>
          <w:sz w:val="20"/>
          <w:szCs w:val="20"/>
          <w:color w:val="auto"/>
        </w:rPr>
        <w:t>All financial statement schedules have been omitted because they are not applicable, not required or the information required is shown in the financial statements or the notes thereto.</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Exhibits.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is a list of exhibits filed as part of this Annual Report on Form 10-K.</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8780" w:type="dxa"/>
            <w:vAlign w:val="bottom"/>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1"/>
        </w:trPr>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7"/>
                <w:szCs w:val="17"/>
                <w:color w:val="auto"/>
              </w:rPr>
            </w:pPr>
          </w:p>
        </w:tc>
        <w:tc>
          <w:tcPr>
            <w:tcW w:w="8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04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3.1</w:t>
            </w:r>
          </w:p>
        </w:tc>
        <w:tc>
          <w:tcPr>
            <w:tcW w:w="100" w:type="dxa"/>
            <w:vAlign w:val="bottom"/>
            <w:shd w:val="clear" w:color="auto" w:fill="D5EEEE"/>
          </w:tcPr>
          <w:p>
            <w:pPr>
              <w:spacing w:after="0"/>
              <w:rPr>
                <w:sz w:val="16"/>
                <w:szCs w:val="16"/>
                <w:color w:val="auto"/>
              </w:rPr>
            </w:pPr>
          </w:p>
        </w:tc>
        <w:tc>
          <w:tcPr>
            <w:tcW w:w="878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Restated Certificate of Incorporation of Trevi Therapeutics, Inc., as amended (incorporated by reference to</w:t>
            </w:r>
          </w:p>
        </w:tc>
        <w:tc>
          <w:tcPr>
            <w:tcW w:w="0" w:type="dxa"/>
            <w:vAlign w:val="bottom"/>
          </w:tcPr>
          <w:p>
            <w:pPr>
              <w:spacing w:after="0"/>
              <w:rPr>
                <w:sz w:val="1"/>
                <w:szCs w:val="1"/>
                <w:color w:val="auto"/>
              </w:rPr>
            </w:pPr>
          </w:p>
        </w:tc>
      </w:tr>
      <w:tr>
        <w:trPr>
          <w:trHeight w:val="217"/>
        </w:trPr>
        <w:tc>
          <w:tcPr>
            <w:tcW w:w="104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8780" w:type="dxa"/>
            <w:vAlign w:val="bottom"/>
            <w:shd w:val="clear" w:color="auto" w:fill="D5EEEE"/>
          </w:tcPr>
          <w:p>
            <w:pPr>
              <w:spacing w:after="0" w:line="217" w:lineRule="exact"/>
              <w:rPr>
                <w:sz w:val="20"/>
                <w:szCs w:val="20"/>
                <w:color w:val="auto"/>
              </w:rPr>
            </w:pPr>
            <w:r>
              <w:rPr>
                <w:rFonts w:ascii="Times New Roman" w:cs="Times New Roman" w:eastAsia="Times New Roman" w:hAnsi="Times New Roman"/>
                <w:sz w:val="20"/>
                <w:szCs w:val="20"/>
                <w:color w:val="auto"/>
              </w:rPr>
              <w:t>Exhibit 3.1 to the Registrant’s Quarterly Report on Form 10-Q (File No. 001-38886) filed with the SEC on</w:t>
            </w:r>
          </w:p>
        </w:tc>
        <w:tc>
          <w:tcPr>
            <w:tcW w:w="0" w:type="dxa"/>
            <w:vAlign w:val="bottom"/>
          </w:tcPr>
          <w:p>
            <w:pPr>
              <w:spacing w:after="0"/>
              <w:rPr>
                <w:sz w:val="1"/>
                <w:szCs w:val="1"/>
                <w:color w:val="auto"/>
              </w:rPr>
            </w:pPr>
          </w:p>
        </w:tc>
      </w:tr>
      <w:tr>
        <w:trPr>
          <w:trHeight w:val="247"/>
        </w:trPr>
        <w:tc>
          <w:tcPr>
            <w:tcW w:w="10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87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August 10, 2023)</w:t>
            </w:r>
          </w:p>
        </w:tc>
        <w:tc>
          <w:tcPr>
            <w:tcW w:w="0" w:type="dxa"/>
            <w:vAlign w:val="bottom"/>
          </w:tcPr>
          <w:p>
            <w:pPr>
              <w:spacing w:after="0"/>
              <w:rPr>
                <w:sz w:val="1"/>
                <w:szCs w:val="1"/>
                <w:color w:val="auto"/>
              </w:rPr>
            </w:pPr>
          </w:p>
        </w:tc>
      </w:tr>
      <w:tr>
        <w:trPr>
          <w:trHeight w:val="186"/>
        </w:trPr>
        <w:tc>
          <w:tcPr>
            <w:tcW w:w="104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3.2</w:t>
            </w:r>
          </w:p>
        </w:tc>
        <w:tc>
          <w:tcPr>
            <w:tcW w:w="100" w:type="dxa"/>
            <w:vAlign w:val="bottom"/>
          </w:tcPr>
          <w:p>
            <w:pPr>
              <w:spacing w:after="0"/>
              <w:rPr>
                <w:sz w:val="16"/>
                <w:szCs w:val="16"/>
                <w:color w:val="auto"/>
              </w:rPr>
            </w:pPr>
          </w:p>
        </w:tc>
        <w:tc>
          <w:tcPr>
            <w:tcW w:w="878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Amended and Restated Bylaws of Trevi Therapeutics, Inc. (incorporated by reference to Exhibit 3.1 to the</w:t>
            </w: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Registrant’s Current Report on Form 8-K (File No. 001-38886) filed with the SEC on April 14, 2023)</w:t>
            </w:r>
          </w:p>
        </w:tc>
        <w:tc>
          <w:tcPr>
            <w:tcW w:w="0" w:type="dxa"/>
            <w:vAlign w:val="bottom"/>
          </w:tcPr>
          <w:p>
            <w:pPr>
              <w:spacing w:after="0"/>
              <w:rPr>
                <w:sz w:val="1"/>
                <w:szCs w:val="1"/>
                <w:color w:val="auto"/>
              </w:rPr>
            </w:pPr>
          </w:p>
        </w:tc>
      </w:tr>
      <w:tr>
        <w:trPr>
          <w:trHeight w:val="186"/>
        </w:trPr>
        <w:tc>
          <w:tcPr>
            <w:tcW w:w="104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4.1</w:t>
            </w:r>
          </w:p>
        </w:tc>
        <w:tc>
          <w:tcPr>
            <w:tcW w:w="100" w:type="dxa"/>
            <w:vAlign w:val="bottom"/>
            <w:shd w:val="clear" w:color="auto" w:fill="D5EEEE"/>
          </w:tcPr>
          <w:p>
            <w:pPr>
              <w:spacing w:after="0"/>
              <w:rPr>
                <w:sz w:val="16"/>
                <w:szCs w:val="16"/>
                <w:color w:val="auto"/>
              </w:rPr>
            </w:pPr>
          </w:p>
        </w:tc>
        <w:tc>
          <w:tcPr>
            <w:tcW w:w="878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Specimen Stock Certificate evidencing the shares of common stock (incorporated by reference to Exhibit 4.1</w:t>
            </w:r>
          </w:p>
        </w:tc>
        <w:tc>
          <w:tcPr>
            <w:tcW w:w="0" w:type="dxa"/>
            <w:vAlign w:val="bottom"/>
          </w:tcPr>
          <w:p>
            <w:pPr>
              <w:spacing w:after="0"/>
              <w:rPr>
                <w:sz w:val="1"/>
                <w:szCs w:val="1"/>
                <w:color w:val="auto"/>
              </w:rPr>
            </w:pPr>
          </w:p>
        </w:tc>
      </w:tr>
      <w:tr>
        <w:trPr>
          <w:trHeight w:val="217"/>
        </w:trPr>
        <w:tc>
          <w:tcPr>
            <w:tcW w:w="104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8780" w:type="dxa"/>
            <w:vAlign w:val="bottom"/>
            <w:shd w:val="clear" w:color="auto" w:fill="D5EEEE"/>
          </w:tcPr>
          <w:p>
            <w:pPr>
              <w:spacing w:after="0" w:line="217" w:lineRule="exact"/>
              <w:rPr>
                <w:sz w:val="20"/>
                <w:szCs w:val="20"/>
                <w:color w:val="auto"/>
              </w:rPr>
            </w:pPr>
            <w:r>
              <w:rPr>
                <w:rFonts w:ascii="Times New Roman" w:cs="Times New Roman" w:eastAsia="Times New Roman" w:hAnsi="Times New Roman"/>
                <w:sz w:val="20"/>
                <w:szCs w:val="20"/>
                <w:color w:val="auto"/>
              </w:rPr>
              <w:t>to the Registrant’s Registration Statement on Form S-1 (File No. 333-230745) filed with the SEC on April 5,</w:t>
            </w:r>
          </w:p>
        </w:tc>
        <w:tc>
          <w:tcPr>
            <w:tcW w:w="0" w:type="dxa"/>
            <w:vAlign w:val="bottom"/>
          </w:tcPr>
          <w:p>
            <w:pPr>
              <w:spacing w:after="0"/>
              <w:rPr>
                <w:sz w:val="1"/>
                <w:szCs w:val="1"/>
                <w:color w:val="auto"/>
              </w:rPr>
            </w:pPr>
          </w:p>
        </w:tc>
      </w:tr>
      <w:tr>
        <w:trPr>
          <w:trHeight w:val="247"/>
        </w:trPr>
        <w:tc>
          <w:tcPr>
            <w:tcW w:w="1040" w:type="dxa"/>
            <w:vAlign w:val="bottom"/>
            <w:shd w:val="clear" w:color="auto" w:fill="D5EEEE"/>
          </w:tcPr>
          <w:p>
            <w:pPr>
              <w:spacing w:after="0"/>
              <w:rPr>
                <w:sz w:val="21"/>
                <w:szCs w:val="21"/>
                <w:color w:val="auto"/>
              </w:rPr>
            </w:pPr>
          </w:p>
        </w:tc>
        <w:tc>
          <w:tcPr>
            <w:tcW w:w="8880" w:type="dxa"/>
            <w:vAlign w:val="bottom"/>
            <w:gridSpan w:val="2"/>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2019)</w:t>
            </w:r>
          </w:p>
        </w:tc>
        <w:tc>
          <w:tcPr>
            <w:tcW w:w="0" w:type="dxa"/>
            <w:vAlign w:val="bottom"/>
          </w:tcPr>
          <w:p>
            <w:pPr>
              <w:spacing w:after="0"/>
              <w:rPr>
                <w:sz w:val="1"/>
                <w:szCs w:val="1"/>
                <w:color w:val="auto"/>
              </w:rPr>
            </w:pPr>
          </w:p>
        </w:tc>
      </w:tr>
      <w:tr>
        <w:trPr>
          <w:trHeight w:val="186"/>
        </w:trPr>
        <w:tc>
          <w:tcPr>
            <w:tcW w:w="104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4.2</w:t>
            </w:r>
          </w:p>
        </w:tc>
        <w:tc>
          <w:tcPr>
            <w:tcW w:w="100" w:type="dxa"/>
            <w:vAlign w:val="bottom"/>
          </w:tcPr>
          <w:p>
            <w:pPr>
              <w:spacing w:after="0"/>
              <w:rPr>
                <w:sz w:val="16"/>
                <w:szCs w:val="16"/>
                <w:color w:val="auto"/>
              </w:rPr>
            </w:pPr>
          </w:p>
        </w:tc>
        <w:tc>
          <w:tcPr>
            <w:tcW w:w="878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Description of Registrant’s Securities (incorporated by reference to Exhibit 4.2 to the Registrant’s Annual</w:t>
            </w: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Report on Form 10-K (File No. 001-38886) filed with the SEC on March 20, 2024)</w:t>
            </w:r>
          </w:p>
        </w:tc>
        <w:tc>
          <w:tcPr>
            <w:tcW w:w="0" w:type="dxa"/>
            <w:vAlign w:val="bottom"/>
          </w:tcPr>
          <w:p>
            <w:pPr>
              <w:spacing w:after="0"/>
              <w:rPr>
                <w:sz w:val="1"/>
                <w:szCs w:val="1"/>
                <w:color w:val="auto"/>
              </w:rPr>
            </w:pPr>
          </w:p>
        </w:tc>
      </w:tr>
      <w:tr>
        <w:trPr>
          <w:trHeight w:val="186"/>
        </w:trPr>
        <w:tc>
          <w:tcPr>
            <w:tcW w:w="104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4.3</w:t>
            </w:r>
          </w:p>
        </w:tc>
        <w:tc>
          <w:tcPr>
            <w:tcW w:w="100" w:type="dxa"/>
            <w:vAlign w:val="bottom"/>
            <w:shd w:val="clear" w:color="auto" w:fill="D5EEEE"/>
          </w:tcPr>
          <w:p>
            <w:pPr>
              <w:spacing w:after="0"/>
              <w:rPr>
                <w:sz w:val="16"/>
                <w:szCs w:val="16"/>
                <w:color w:val="auto"/>
              </w:rPr>
            </w:pPr>
          </w:p>
        </w:tc>
        <w:tc>
          <w:tcPr>
            <w:tcW w:w="878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Form of 7-Year Common Stock Warrant dated October 18, 2021 (incorporated by reference to Exhibit 4.1 to</w:t>
            </w:r>
          </w:p>
        </w:tc>
        <w:tc>
          <w:tcPr>
            <w:tcW w:w="0" w:type="dxa"/>
            <w:vAlign w:val="bottom"/>
          </w:tcPr>
          <w:p>
            <w:pPr>
              <w:spacing w:after="0"/>
              <w:rPr>
                <w:sz w:val="1"/>
                <w:szCs w:val="1"/>
                <w:color w:val="auto"/>
              </w:rPr>
            </w:pPr>
          </w:p>
        </w:tc>
      </w:tr>
      <w:tr>
        <w:trPr>
          <w:trHeight w:val="247"/>
        </w:trPr>
        <w:tc>
          <w:tcPr>
            <w:tcW w:w="10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87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the Registrant’s Current Report on Form 8-K (File No. 001-38886) filed with the SEC on October 19, 2021)</w:t>
            </w:r>
          </w:p>
        </w:tc>
        <w:tc>
          <w:tcPr>
            <w:tcW w:w="0" w:type="dxa"/>
            <w:vAlign w:val="bottom"/>
          </w:tcPr>
          <w:p>
            <w:pPr>
              <w:spacing w:after="0"/>
              <w:rPr>
                <w:sz w:val="1"/>
                <w:szCs w:val="1"/>
                <w:color w:val="auto"/>
              </w:rPr>
            </w:pPr>
          </w:p>
        </w:tc>
      </w:tr>
      <w:tr>
        <w:trPr>
          <w:trHeight w:val="186"/>
        </w:trPr>
        <w:tc>
          <w:tcPr>
            <w:tcW w:w="104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4.4</w:t>
            </w:r>
          </w:p>
        </w:tc>
        <w:tc>
          <w:tcPr>
            <w:tcW w:w="100" w:type="dxa"/>
            <w:vAlign w:val="bottom"/>
          </w:tcPr>
          <w:p>
            <w:pPr>
              <w:spacing w:after="0"/>
              <w:rPr>
                <w:sz w:val="16"/>
                <w:szCs w:val="16"/>
                <w:color w:val="auto"/>
              </w:rPr>
            </w:pPr>
          </w:p>
        </w:tc>
        <w:tc>
          <w:tcPr>
            <w:tcW w:w="878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Form of 3.5-Year Common Stock Warrant dated October 18, 2021 (incorporated by reference to Exhibit 4.2</w:t>
            </w: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78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to the Registrant’s Current Report on Form 8-K (File No. 001-38886) filed with the SEC on October 19,</w:t>
            </w: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88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2021)</w:t>
            </w:r>
          </w:p>
        </w:tc>
        <w:tc>
          <w:tcPr>
            <w:tcW w:w="0" w:type="dxa"/>
            <w:vAlign w:val="bottom"/>
          </w:tcPr>
          <w:p>
            <w:pPr>
              <w:spacing w:after="0"/>
              <w:rPr>
                <w:sz w:val="1"/>
                <w:szCs w:val="1"/>
                <w:color w:val="auto"/>
              </w:rPr>
            </w:pPr>
          </w:p>
        </w:tc>
      </w:tr>
      <w:tr>
        <w:trPr>
          <w:trHeight w:val="186"/>
        </w:trPr>
        <w:tc>
          <w:tcPr>
            <w:tcW w:w="104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4.5</w:t>
            </w:r>
          </w:p>
        </w:tc>
        <w:tc>
          <w:tcPr>
            <w:tcW w:w="100" w:type="dxa"/>
            <w:vAlign w:val="bottom"/>
            <w:shd w:val="clear" w:color="auto" w:fill="D5EEEE"/>
          </w:tcPr>
          <w:p>
            <w:pPr>
              <w:spacing w:after="0"/>
              <w:rPr>
                <w:sz w:val="16"/>
                <w:szCs w:val="16"/>
                <w:color w:val="auto"/>
              </w:rPr>
            </w:pPr>
          </w:p>
        </w:tc>
        <w:tc>
          <w:tcPr>
            <w:tcW w:w="878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Form of Pre-Funded Warrant (incorporated by reference to Exhibit 4.1 to the Registrant’s Current Report on</w:t>
            </w:r>
          </w:p>
        </w:tc>
        <w:tc>
          <w:tcPr>
            <w:tcW w:w="0" w:type="dxa"/>
            <w:vAlign w:val="bottom"/>
          </w:tcPr>
          <w:p>
            <w:pPr>
              <w:spacing w:after="0"/>
              <w:rPr>
                <w:sz w:val="1"/>
                <w:szCs w:val="1"/>
                <w:color w:val="auto"/>
              </w:rPr>
            </w:pPr>
          </w:p>
        </w:tc>
      </w:tr>
      <w:tr>
        <w:trPr>
          <w:trHeight w:val="247"/>
        </w:trPr>
        <w:tc>
          <w:tcPr>
            <w:tcW w:w="10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87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Form 8-K (File No. 001-38886) filed with the SEC on April 7, 2022)</w:t>
            </w:r>
          </w:p>
        </w:tc>
        <w:tc>
          <w:tcPr>
            <w:tcW w:w="0" w:type="dxa"/>
            <w:vAlign w:val="bottom"/>
          </w:tcPr>
          <w:p>
            <w:pPr>
              <w:spacing w:after="0"/>
              <w:rPr>
                <w:sz w:val="1"/>
                <w:szCs w:val="1"/>
                <w:color w:val="auto"/>
              </w:rPr>
            </w:pPr>
          </w:p>
        </w:tc>
      </w:tr>
      <w:tr>
        <w:trPr>
          <w:trHeight w:val="186"/>
        </w:trPr>
        <w:tc>
          <w:tcPr>
            <w:tcW w:w="104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4.6</w:t>
            </w:r>
          </w:p>
        </w:tc>
        <w:tc>
          <w:tcPr>
            <w:tcW w:w="100" w:type="dxa"/>
            <w:vAlign w:val="bottom"/>
          </w:tcPr>
          <w:p>
            <w:pPr>
              <w:spacing w:after="0"/>
              <w:rPr>
                <w:sz w:val="16"/>
                <w:szCs w:val="16"/>
                <w:color w:val="auto"/>
              </w:rPr>
            </w:pPr>
          </w:p>
        </w:tc>
        <w:tc>
          <w:tcPr>
            <w:tcW w:w="878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Form of Pre-Funded Warrant (incorporated by reference to Exhibit 4.1 to the Registrant’s Current Report on</w:t>
            </w: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Form 8-K (File No. 001-38886) filed with the SEC on September 23, 2022)</w:t>
            </w:r>
          </w:p>
        </w:tc>
        <w:tc>
          <w:tcPr>
            <w:tcW w:w="0" w:type="dxa"/>
            <w:vAlign w:val="bottom"/>
          </w:tcPr>
          <w:p>
            <w:pPr>
              <w:spacing w:after="0"/>
              <w:rPr>
                <w:sz w:val="1"/>
                <w:szCs w:val="1"/>
                <w:color w:val="auto"/>
              </w:rPr>
            </w:pPr>
          </w:p>
        </w:tc>
      </w:tr>
      <w:tr>
        <w:trPr>
          <w:trHeight w:val="186"/>
        </w:trPr>
        <w:tc>
          <w:tcPr>
            <w:tcW w:w="104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10.1</w:t>
            </w:r>
          </w:p>
        </w:tc>
        <w:tc>
          <w:tcPr>
            <w:tcW w:w="100" w:type="dxa"/>
            <w:vAlign w:val="bottom"/>
            <w:shd w:val="clear" w:color="auto" w:fill="D5EEEE"/>
          </w:tcPr>
          <w:p>
            <w:pPr>
              <w:spacing w:after="0"/>
              <w:rPr>
                <w:sz w:val="16"/>
                <w:szCs w:val="16"/>
                <w:color w:val="auto"/>
              </w:rPr>
            </w:pPr>
          </w:p>
        </w:tc>
        <w:tc>
          <w:tcPr>
            <w:tcW w:w="878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Second Amended and Restated Investors’ Rights Agreement dated as of July 14, 2017 (incorporated by</w:t>
            </w:r>
          </w:p>
        </w:tc>
        <w:tc>
          <w:tcPr>
            <w:tcW w:w="0" w:type="dxa"/>
            <w:vAlign w:val="bottom"/>
          </w:tcPr>
          <w:p>
            <w:pPr>
              <w:spacing w:after="0"/>
              <w:rPr>
                <w:sz w:val="1"/>
                <w:szCs w:val="1"/>
                <w:color w:val="auto"/>
              </w:rPr>
            </w:pPr>
          </w:p>
        </w:tc>
      </w:tr>
      <w:tr>
        <w:trPr>
          <w:trHeight w:val="217"/>
        </w:trPr>
        <w:tc>
          <w:tcPr>
            <w:tcW w:w="104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8780" w:type="dxa"/>
            <w:vAlign w:val="bottom"/>
            <w:shd w:val="clear" w:color="auto" w:fill="D5EEEE"/>
          </w:tcPr>
          <w:p>
            <w:pPr>
              <w:spacing w:after="0" w:line="217" w:lineRule="exact"/>
              <w:rPr>
                <w:sz w:val="20"/>
                <w:szCs w:val="20"/>
                <w:color w:val="auto"/>
              </w:rPr>
            </w:pPr>
            <w:r>
              <w:rPr>
                <w:rFonts w:ascii="Times New Roman" w:cs="Times New Roman" w:eastAsia="Times New Roman" w:hAnsi="Times New Roman"/>
                <w:sz w:val="20"/>
                <w:szCs w:val="20"/>
                <w:color w:val="auto"/>
              </w:rPr>
              <w:t>reference to Exhibit 10.1 to the Registrant’s Registration Statement on Form S-1 (File No. 333-230745) filed</w:t>
            </w:r>
          </w:p>
        </w:tc>
        <w:tc>
          <w:tcPr>
            <w:tcW w:w="0" w:type="dxa"/>
            <w:vAlign w:val="bottom"/>
          </w:tcPr>
          <w:p>
            <w:pPr>
              <w:spacing w:after="0"/>
              <w:rPr>
                <w:sz w:val="1"/>
                <w:szCs w:val="1"/>
                <w:color w:val="auto"/>
              </w:rPr>
            </w:pPr>
          </w:p>
        </w:tc>
      </w:tr>
      <w:tr>
        <w:trPr>
          <w:trHeight w:val="247"/>
        </w:trPr>
        <w:tc>
          <w:tcPr>
            <w:tcW w:w="10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87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with the SEC on April 5, 2019)</w:t>
            </w:r>
          </w:p>
        </w:tc>
        <w:tc>
          <w:tcPr>
            <w:tcW w:w="0" w:type="dxa"/>
            <w:vAlign w:val="bottom"/>
          </w:tcPr>
          <w:p>
            <w:pPr>
              <w:spacing w:after="0"/>
              <w:rPr>
                <w:sz w:val="1"/>
                <w:szCs w:val="1"/>
                <w:color w:val="auto"/>
              </w:rPr>
            </w:pPr>
          </w:p>
        </w:tc>
      </w:tr>
      <w:tr>
        <w:trPr>
          <w:trHeight w:val="186"/>
        </w:trPr>
        <w:tc>
          <w:tcPr>
            <w:tcW w:w="104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10.2+</w:t>
            </w:r>
          </w:p>
        </w:tc>
        <w:tc>
          <w:tcPr>
            <w:tcW w:w="100" w:type="dxa"/>
            <w:vAlign w:val="bottom"/>
          </w:tcPr>
          <w:p>
            <w:pPr>
              <w:spacing w:after="0"/>
              <w:rPr>
                <w:sz w:val="16"/>
                <w:szCs w:val="16"/>
                <w:color w:val="auto"/>
              </w:rPr>
            </w:pPr>
          </w:p>
        </w:tc>
        <w:tc>
          <w:tcPr>
            <w:tcW w:w="878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2012 Stock Incentive Plan, as amended (incorporated by reference to Exhibit 10.2 to the Registrant’s</w:t>
            </w: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on Form S-1 (File No. 333-230745) filed with the SEC on April 5, 2019)</w:t>
            </w:r>
          </w:p>
        </w:tc>
        <w:tc>
          <w:tcPr>
            <w:tcW w:w="0" w:type="dxa"/>
            <w:vAlign w:val="bottom"/>
          </w:tcPr>
          <w:p>
            <w:pPr>
              <w:spacing w:after="0"/>
              <w:rPr>
                <w:sz w:val="1"/>
                <w:szCs w:val="1"/>
                <w:color w:val="auto"/>
              </w:rPr>
            </w:pPr>
          </w:p>
        </w:tc>
      </w:tr>
      <w:tr>
        <w:trPr>
          <w:trHeight w:val="186"/>
        </w:trPr>
        <w:tc>
          <w:tcPr>
            <w:tcW w:w="104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10.3+</w:t>
            </w:r>
          </w:p>
        </w:tc>
        <w:tc>
          <w:tcPr>
            <w:tcW w:w="100" w:type="dxa"/>
            <w:vAlign w:val="bottom"/>
            <w:shd w:val="clear" w:color="auto" w:fill="D5EEEE"/>
          </w:tcPr>
          <w:p>
            <w:pPr>
              <w:spacing w:after="0"/>
              <w:rPr>
                <w:sz w:val="16"/>
                <w:szCs w:val="16"/>
                <w:color w:val="auto"/>
              </w:rPr>
            </w:pPr>
          </w:p>
        </w:tc>
        <w:tc>
          <w:tcPr>
            <w:tcW w:w="878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Form of Nonstatutory Stock Option Agreement under the 2012 Stock Incentive Plan (incorporated by</w:t>
            </w:r>
          </w:p>
        </w:tc>
        <w:tc>
          <w:tcPr>
            <w:tcW w:w="0" w:type="dxa"/>
            <w:vAlign w:val="bottom"/>
          </w:tcPr>
          <w:p>
            <w:pPr>
              <w:spacing w:after="0"/>
              <w:rPr>
                <w:sz w:val="1"/>
                <w:szCs w:val="1"/>
                <w:color w:val="auto"/>
              </w:rPr>
            </w:pPr>
          </w:p>
        </w:tc>
      </w:tr>
      <w:tr>
        <w:trPr>
          <w:trHeight w:val="217"/>
        </w:trPr>
        <w:tc>
          <w:tcPr>
            <w:tcW w:w="104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8780" w:type="dxa"/>
            <w:vAlign w:val="bottom"/>
            <w:shd w:val="clear" w:color="auto" w:fill="D5EEEE"/>
          </w:tcPr>
          <w:p>
            <w:pPr>
              <w:spacing w:after="0" w:line="217" w:lineRule="exact"/>
              <w:rPr>
                <w:sz w:val="20"/>
                <w:szCs w:val="20"/>
                <w:color w:val="auto"/>
              </w:rPr>
            </w:pPr>
            <w:r>
              <w:rPr>
                <w:rFonts w:ascii="Times New Roman" w:cs="Times New Roman" w:eastAsia="Times New Roman" w:hAnsi="Times New Roman"/>
                <w:sz w:val="20"/>
                <w:szCs w:val="20"/>
                <w:color w:val="auto"/>
              </w:rPr>
              <w:t>reference to Exhibit 10.3 to the Registrant’s Registration Statement on Form S-1 (File No. 333-230745) filed</w:t>
            </w:r>
          </w:p>
        </w:tc>
        <w:tc>
          <w:tcPr>
            <w:tcW w:w="0" w:type="dxa"/>
            <w:vAlign w:val="bottom"/>
          </w:tcPr>
          <w:p>
            <w:pPr>
              <w:spacing w:after="0"/>
              <w:rPr>
                <w:sz w:val="1"/>
                <w:szCs w:val="1"/>
                <w:color w:val="auto"/>
              </w:rPr>
            </w:pPr>
          </w:p>
        </w:tc>
      </w:tr>
      <w:tr>
        <w:trPr>
          <w:trHeight w:val="247"/>
        </w:trPr>
        <w:tc>
          <w:tcPr>
            <w:tcW w:w="10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87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with the SEC on April 5, 2019)</w:t>
            </w:r>
          </w:p>
        </w:tc>
        <w:tc>
          <w:tcPr>
            <w:tcW w:w="0" w:type="dxa"/>
            <w:vAlign w:val="bottom"/>
          </w:tcPr>
          <w:p>
            <w:pPr>
              <w:spacing w:after="0"/>
              <w:rPr>
                <w:sz w:val="1"/>
                <w:szCs w:val="1"/>
                <w:color w:val="auto"/>
              </w:rPr>
            </w:pPr>
          </w:p>
        </w:tc>
      </w:tr>
      <w:tr>
        <w:trPr>
          <w:trHeight w:val="186"/>
        </w:trPr>
        <w:tc>
          <w:tcPr>
            <w:tcW w:w="104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16"/>
                <w:szCs w:val="16"/>
                <w:color w:val="auto"/>
              </w:rPr>
            </w:pPr>
          </w:p>
        </w:tc>
        <w:tc>
          <w:tcPr>
            <w:tcW w:w="878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2019 Stock Incentive Plan (incorporated by reference to Exhibit 10.4 to the Registrant’s Registration</w:t>
            </w: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Statement on Form S-1 (File No. 333-230745) filed with the SEC on April 5, 2019)</w:t>
            </w:r>
          </w:p>
        </w:tc>
        <w:tc>
          <w:tcPr>
            <w:tcW w:w="0" w:type="dxa"/>
            <w:vAlign w:val="bottom"/>
          </w:tcPr>
          <w:p>
            <w:pPr>
              <w:spacing w:after="0"/>
              <w:rPr>
                <w:sz w:val="1"/>
                <w:szCs w:val="1"/>
                <w:color w:val="auto"/>
              </w:rPr>
            </w:pPr>
          </w:p>
        </w:tc>
      </w:tr>
      <w:tr>
        <w:trPr>
          <w:trHeight w:val="186"/>
        </w:trPr>
        <w:tc>
          <w:tcPr>
            <w:tcW w:w="104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10.5+</w:t>
            </w:r>
          </w:p>
        </w:tc>
        <w:tc>
          <w:tcPr>
            <w:tcW w:w="100" w:type="dxa"/>
            <w:vAlign w:val="bottom"/>
            <w:shd w:val="clear" w:color="auto" w:fill="D5EEEE"/>
          </w:tcPr>
          <w:p>
            <w:pPr>
              <w:spacing w:after="0"/>
              <w:rPr>
                <w:sz w:val="16"/>
                <w:szCs w:val="16"/>
                <w:color w:val="auto"/>
              </w:rPr>
            </w:pPr>
          </w:p>
        </w:tc>
        <w:tc>
          <w:tcPr>
            <w:tcW w:w="878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Form of Stock Option Agreement under the 2019 Stock Incentive Plan (incorporated by reference to Exhibit</w:t>
            </w:r>
          </w:p>
        </w:tc>
        <w:tc>
          <w:tcPr>
            <w:tcW w:w="0" w:type="dxa"/>
            <w:vAlign w:val="bottom"/>
          </w:tcPr>
          <w:p>
            <w:pPr>
              <w:spacing w:after="0"/>
              <w:rPr>
                <w:sz w:val="1"/>
                <w:szCs w:val="1"/>
                <w:color w:val="auto"/>
              </w:rPr>
            </w:pPr>
          </w:p>
        </w:tc>
      </w:tr>
      <w:tr>
        <w:trPr>
          <w:trHeight w:val="217"/>
        </w:trPr>
        <w:tc>
          <w:tcPr>
            <w:tcW w:w="1040" w:type="dxa"/>
            <w:vAlign w:val="bottom"/>
            <w:shd w:val="clear" w:color="auto" w:fill="D5EEEE"/>
          </w:tcPr>
          <w:p>
            <w:pPr>
              <w:spacing w:after="0"/>
              <w:rPr>
                <w:sz w:val="18"/>
                <w:szCs w:val="18"/>
                <w:color w:val="auto"/>
              </w:rPr>
            </w:pPr>
          </w:p>
        </w:tc>
        <w:tc>
          <w:tcPr>
            <w:tcW w:w="100" w:type="dxa"/>
            <w:vAlign w:val="bottom"/>
            <w:shd w:val="clear" w:color="auto" w:fill="D5EEEE"/>
          </w:tcPr>
          <w:p>
            <w:pPr>
              <w:spacing w:after="0"/>
              <w:rPr>
                <w:sz w:val="18"/>
                <w:szCs w:val="18"/>
                <w:color w:val="auto"/>
              </w:rPr>
            </w:pPr>
          </w:p>
        </w:tc>
        <w:tc>
          <w:tcPr>
            <w:tcW w:w="8780" w:type="dxa"/>
            <w:vAlign w:val="bottom"/>
            <w:shd w:val="clear" w:color="auto" w:fill="D5EEEE"/>
          </w:tcPr>
          <w:p>
            <w:pPr>
              <w:spacing w:after="0" w:line="217" w:lineRule="exact"/>
              <w:rPr>
                <w:sz w:val="20"/>
                <w:szCs w:val="20"/>
                <w:color w:val="auto"/>
              </w:rPr>
            </w:pPr>
            <w:r>
              <w:rPr>
                <w:rFonts w:ascii="Times New Roman" w:cs="Times New Roman" w:eastAsia="Times New Roman" w:hAnsi="Times New Roman"/>
                <w:sz w:val="20"/>
                <w:szCs w:val="20"/>
                <w:color w:val="auto"/>
              </w:rPr>
              <w:t>10.5 to the Registrant’s Registration Statement on Form S-1 (File No. 333-230745) filed with the SEC on</w:t>
            </w:r>
          </w:p>
        </w:tc>
        <w:tc>
          <w:tcPr>
            <w:tcW w:w="0" w:type="dxa"/>
            <w:vAlign w:val="bottom"/>
          </w:tcPr>
          <w:p>
            <w:pPr>
              <w:spacing w:after="0"/>
              <w:rPr>
                <w:sz w:val="1"/>
                <w:szCs w:val="1"/>
                <w:color w:val="auto"/>
              </w:rPr>
            </w:pPr>
          </w:p>
        </w:tc>
      </w:tr>
      <w:tr>
        <w:trPr>
          <w:trHeight w:val="247"/>
        </w:trPr>
        <w:tc>
          <w:tcPr>
            <w:tcW w:w="10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87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April 5, 2019)</w:t>
            </w:r>
          </w:p>
        </w:tc>
        <w:tc>
          <w:tcPr>
            <w:tcW w:w="0" w:type="dxa"/>
            <w:vAlign w:val="bottom"/>
          </w:tcPr>
          <w:p>
            <w:pPr>
              <w:spacing w:after="0"/>
              <w:rPr>
                <w:sz w:val="1"/>
                <w:szCs w:val="1"/>
                <w:color w:val="auto"/>
              </w:rPr>
            </w:pPr>
          </w:p>
        </w:tc>
      </w:tr>
      <w:tr>
        <w:trPr>
          <w:trHeight w:val="186"/>
        </w:trPr>
        <w:tc>
          <w:tcPr>
            <w:tcW w:w="104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10.6+</w:t>
            </w:r>
          </w:p>
        </w:tc>
        <w:tc>
          <w:tcPr>
            <w:tcW w:w="100" w:type="dxa"/>
            <w:vAlign w:val="bottom"/>
          </w:tcPr>
          <w:p>
            <w:pPr>
              <w:spacing w:after="0"/>
              <w:rPr>
                <w:sz w:val="16"/>
                <w:szCs w:val="16"/>
                <w:color w:val="auto"/>
              </w:rPr>
            </w:pPr>
          </w:p>
        </w:tc>
        <w:tc>
          <w:tcPr>
            <w:tcW w:w="878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2019 Employee Stock Purchase Plan (incorporated by reference to Exhibit 10.6 to the Registrant’s</w:t>
            </w:r>
          </w:p>
        </w:tc>
        <w:tc>
          <w:tcPr>
            <w:tcW w:w="0" w:type="dxa"/>
            <w:vAlign w:val="bottom"/>
          </w:tcPr>
          <w:p>
            <w:pPr>
              <w:spacing w:after="0"/>
              <w:rPr>
                <w:sz w:val="1"/>
                <w:szCs w:val="1"/>
                <w:color w:val="auto"/>
              </w:rPr>
            </w:pPr>
          </w:p>
        </w:tc>
      </w:tr>
      <w:tr>
        <w:trPr>
          <w:trHeight w:val="247"/>
        </w:trPr>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Registration Statement on Form S-1 (File No. 333-230745) filed with the SEC on April 5, 2019)</w:t>
            </w:r>
          </w:p>
        </w:tc>
        <w:tc>
          <w:tcPr>
            <w:tcW w:w="0" w:type="dxa"/>
            <w:vAlign w:val="bottom"/>
          </w:tcPr>
          <w:p>
            <w:pPr>
              <w:spacing w:after="0"/>
              <w:rPr>
                <w:sz w:val="1"/>
                <w:szCs w:val="1"/>
                <w:color w:val="auto"/>
              </w:rPr>
            </w:pPr>
          </w:p>
        </w:tc>
      </w:tr>
      <w:tr>
        <w:trPr>
          <w:trHeight w:val="274"/>
        </w:trPr>
        <w:tc>
          <w:tcPr>
            <w:tcW w:w="104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10.7*+</w:t>
            </w:r>
          </w:p>
        </w:tc>
        <w:tc>
          <w:tcPr>
            <w:tcW w:w="100" w:type="dxa"/>
            <w:vAlign w:val="bottom"/>
            <w:shd w:val="clear" w:color="auto" w:fill="D5EEEE"/>
          </w:tcPr>
          <w:p>
            <w:pPr>
              <w:spacing w:after="0"/>
              <w:rPr>
                <w:sz w:val="23"/>
                <w:szCs w:val="23"/>
                <w:color w:val="auto"/>
              </w:rPr>
            </w:pPr>
          </w:p>
        </w:tc>
        <w:tc>
          <w:tcPr>
            <w:tcW w:w="87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Non-Employee Director Compensation Policy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20"/>
          </w:cols>
          <w:pgMar w:left="1160" w:top="1109" w:right="1160" w:bottom="175"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9920"/>
          </w:cols>
          <w:pgMar w:left="1160" w:top="1109" w:right="1160" w:bottom="175" w:gutter="0" w:footer="0" w:header="0"/>
          <w:type w:val="continuous"/>
        </w:sectPr>
      </w:pPr>
    </w:p>
    <w:bookmarkStart w:id="99" w:name="page100"/>
    <w:bookmarkEnd w:id="99"/>
    <w:tbl>
      <w:tblPr>
        <w:tblLayout w:type="fixed"/>
        <w:tblInd w:w="8"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9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Trevi Therapeutics, Inc. Executive Separation Benefits and Retention Plan (incorporated by reference to</w:t>
            </w:r>
          </w:p>
        </w:tc>
      </w:tr>
      <w:tr>
        <w:trPr>
          <w:trHeight w:val="217"/>
        </w:trPr>
        <w:tc>
          <w:tcPr>
            <w:tcW w:w="840" w:type="dxa"/>
            <w:vAlign w:val="bottom"/>
          </w:tcPr>
          <w:p>
            <w:pPr>
              <w:spacing w:after="0"/>
              <w:rPr>
                <w:sz w:val="18"/>
                <w:szCs w:val="18"/>
                <w:color w:val="auto"/>
              </w:rPr>
            </w:pPr>
          </w:p>
        </w:tc>
        <w:tc>
          <w:tcPr>
            <w:tcW w:w="9080" w:type="dxa"/>
            <w:vAlign w:val="bottom"/>
          </w:tcPr>
          <w:p>
            <w:pPr>
              <w:ind w:left="300"/>
              <w:spacing w:after="0" w:line="217" w:lineRule="exact"/>
              <w:rPr>
                <w:sz w:val="20"/>
                <w:szCs w:val="20"/>
                <w:color w:val="auto"/>
              </w:rPr>
            </w:pPr>
            <w:r>
              <w:rPr>
                <w:rFonts w:ascii="Times New Roman" w:cs="Times New Roman" w:eastAsia="Times New Roman" w:hAnsi="Times New Roman"/>
                <w:sz w:val="20"/>
                <w:szCs w:val="20"/>
                <w:color w:val="auto"/>
              </w:rPr>
              <w:t>Exhibit 10.1 to the Registrant’s Current Report on Form 8-K (File No. 001-38886) filed with the SEC on</w:t>
            </w:r>
          </w:p>
        </w:tc>
      </w:tr>
      <w:tr>
        <w:trPr>
          <w:trHeight w:val="247"/>
        </w:trPr>
        <w:tc>
          <w:tcPr>
            <w:tcW w:w="840" w:type="dxa"/>
            <w:vAlign w:val="bottom"/>
          </w:tcPr>
          <w:p>
            <w:pPr>
              <w:spacing w:after="0"/>
              <w:rPr>
                <w:sz w:val="21"/>
                <w:szCs w:val="21"/>
                <w:color w:val="auto"/>
              </w:rPr>
            </w:pPr>
          </w:p>
        </w:tc>
        <w:tc>
          <w:tcPr>
            <w:tcW w:w="9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September 24, 2019)</w:t>
            </w:r>
          </w:p>
        </w:tc>
      </w:tr>
      <w:tr>
        <w:trPr>
          <w:trHeight w:val="186"/>
        </w:trPr>
        <w:tc>
          <w:tcPr>
            <w:tcW w:w="84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10.9+</w:t>
            </w:r>
          </w:p>
        </w:tc>
        <w:tc>
          <w:tcPr>
            <w:tcW w:w="9080" w:type="dxa"/>
            <w:vAlign w:val="bottom"/>
            <w:shd w:val="clear" w:color="auto" w:fill="D5EEEE"/>
          </w:tcPr>
          <w:p>
            <w:pPr>
              <w:ind w:left="300"/>
              <w:spacing w:after="0" w:line="186" w:lineRule="exact"/>
              <w:rPr>
                <w:sz w:val="20"/>
                <w:szCs w:val="20"/>
                <w:color w:val="auto"/>
              </w:rPr>
            </w:pPr>
            <w:r>
              <w:rPr>
                <w:rFonts w:ascii="Times New Roman" w:cs="Times New Roman" w:eastAsia="Times New Roman" w:hAnsi="Times New Roman"/>
                <w:sz w:val="20"/>
                <w:szCs w:val="20"/>
                <w:color w:val="auto"/>
              </w:rPr>
              <w:t>Employment Agreement, dated December 4, 2012, by and between the Registrant and Jennifer L. Good</w:t>
            </w:r>
          </w:p>
        </w:tc>
      </w:tr>
      <w:tr>
        <w:trPr>
          <w:trHeight w:val="217"/>
        </w:trPr>
        <w:tc>
          <w:tcPr>
            <w:tcW w:w="840" w:type="dxa"/>
            <w:vAlign w:val="bottom"/>
            <w:shd w:val="clear" w:color="auto" w:fill="D5EEEE"/>
          </w:tcPr>
          <w:p>
            <w:pPr>
              <w:spacing w:after="0"/>
              <w:rPr>
                <w:sz w:val="18"/>
                <w:szCs w:val="18"/>
                <w:color w:val="auto"/>
              </w:rPr>
            </w:pPr>
          </w:p>
        </w:tc>
        <w:tc>
          <w:tcPr>
            <w:tcW w:w="9080" w:type="dxa"/>
            <w:vAlign w:val="bottom"/>
            <w:shd w:val="clear" w:color="auto" w:fill="D5EEEE"/>
          </w:tcPr>
          <w:p>
            <w:pPr>
              <w:ind w:left="300"/>
              <w:spacing w:after="0" w:line="217" w:lineRule="exact"/>
              <w:rPr>
                <w:sz w:val="20"/>
                <w:szCs w:val="20"/>
                <w:color w:val="auto"/>
              </w:rPr>
            </w:pPr>
            <w:r>
              <w:rPr>
                <w:rFonts w:ascii="Times New Roman" w:cs="Times New Roman" w:eastAsia="Times New Roman" w:hAnsi="Times New Roman"/>
                <w:sz w:val="20"/>
                <w:szCs w:val="20"/>
                <w:color w:val="auto"/>
              </w:rPr>
              <w:t>(incorporated by reference to Exhibit 10.8 to the Registrant’s Registration Statement on Form S-1 (File No.</w:t>
            </w:r>
          </w:p>
        </w:tc>
      </w:tr>
      <w:tr>
        <w:trPr>
          <w:trHeight w:val="247"/>
        </w:trPr>
        <w:tc>
          <w:tcPr>
            <w:tcW w:w="840" w:type="dxa"/>
            <w:vAlign w:val="bottom"/>
            <w:shd w:val="clear" w:color="auto" w:fill="D5EEEE"/>
          </w:tcPr>
          <w:p>
            <w:pPr>
              <w:spacing w:after="0"/>
              <w:rPr>
                <w:sz w:val="21"/>
                <w:szCs w:val="21"/>
                <w:color w:val="auto"/>
              </w:rPr>
            </w:pPr>
          </w:p>
        </w:tc>
        <w:tc>
          <w:tcPr>
            <w:tcW w:w="9080" w:type="dxa"/>
            <w:vAlign w:val="bottom"/>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333-230745) filed with the SEC on April 5, 2019)</w:t>
            </w:r>
          </w:p>
        </w:tc>
      </w:tr>
      <w:tr>
        <w:trPr>
          <w:trHeight w:val="211"/>
        </w:trPr>
        <w:tc>
          <w:tcPr>
            <w:tcW w:w="8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10.10+</w:t>
            </w:r>
          </w:p>
        </w:tc>
        <w:tc>
          <w:tcPr>
            <w:tcW w:w="9080" w:type="dxa"/>
            <w:vAlign w:val="bottom"/>
          </w:tcPr>
          <w:p>
            <w:pPr>
              <w:ind w:left="300"/>
              <w:spacing w:after="0" w:line="210" w:lineRule="exact"/>
              <w:rPr>
                <w:sz w:val="20"/>
                <w:szCs w:val="20"/>
                <w:color w:val="auto"/>
              </w:rPr>
            </w:pPr>
            <w:r>
              <w:rPr>
                <w:rFonts w:ascii="Times New Roman" w:cs="Times New Roman" w:eastAsia="Times New Roman" w:hAnsi="Times New Roman"/>
                <w:sz w:val="20"/>
                <w:szCs w:val="20"/>
                <w:color w:val="auto"/>
              </w:rPr>
              <w:t>Offer Letter, dated as of September 27, 2024, by and between the Registrant and James Cassella, Ph.D.</w:t>
            </w:r>
          </w:p>
        </w:tc>
      </w:tr>
      <w:tr>
        <w:trPr>
          <w:trHeight w:val="230"/>
        </w:trPr>
        <w:tc>
          <w:tcPr>
            <w:tcW w:w="840" w:type="dxa"/>
            <w:vAlign w:val="bottom"/>
          </w:tcPr>
          <w:p>
            <w:pPr>
              <w:spacing w:after="0"/>
              <w:rPr>
                <w:sz w:val="20"/>
                <w:szCs w:val="20"/>
                <w:color w:val="auto"/>
              </w:rPr>
            </w:pPr>
          </w:p>
        </w:tc>
        <w:tc>
          <w:tcPr>
            <w:tcW w:w="9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(incorporated by reference to Exhibit 10.3 to the Registrant’s Quarterly Report on Form 10-Q (File No. 001</w:t>
            </w:r>
          </w:p>
        </w:tc>
      </w:tr>
      <w:tr>
        <w:trPr>
          <w:trHeight w:val="249"/>
        </w:trPr>
        <w:tc>
          <w:tcPr>
            <w:tcW w:w="840" w:type="dxa"/>
            <w:vAlign w:val="bottom"/>
          </w:tcPr>
          <w:p>
            <w:pPr>
              <w:spacing w:after="0"/>
              <w:rPr>
                <w:sz w:val="21"/>
                <w:szCs w:val="21"/>
                <w:color w:val="auto"/>
              </w:rPr>
            </w:pPr>
          </w:p>
        </w:tc>
        <w:tc>
          <w:tcPr>
            <w:tcW w:w="9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38886) filed with the SEC on November 6, 2024)</w:t>
            </w:r>
          </w:p>
        </w:tc>
      </w:tr>
      <w:tr>
        <w:trPr>
          <w:trHeight w:val="207"/>
        </w:trPr>
        <w:tc>
          <w:tcPr>
            <w:tcW w:w="840" w:type="dxa"/>
            <w:vAlign w:val="bottom"/>
            <w:shd w:val="clear" w:color="auto" w:fill="D5EEEE"/>
          </w:tcPr>
          <w:p>
            <w:pPr>
              <w:spacing w:after="0" w:line="207" w:lineRule="exact"/>
              <w:rPr>
                <w:sz w:val="20"/>
                <w:szCs w:val="20"/>
                <w:color w:val="auto"/>
              </w:rPr>
            </w:pPr>
            <w:r>
              <w:rPr>
                <w:rFonts w:ascii="Times New Roman" w:cs="Times New Roman" w:eastAsia="Times New Roman" w:hAnsi="Times New Roman"/>
                <w:sz w:val="20"/>
                <w:szCs w:val="20"/>
                <w:color w:val="auto"/>
              </w:rPr>
              <w:t>10.11+</w:t>
            </w:r>
          </w:p>
        </w:tc>
        <w:tc>
          <w:tcPr>
            <w:tcW w:w="9080" w:type="dxa"/>
            <w:vAlign w:val="bottom"/>
            <w:shd w:val="clear" w:color="auto" w:fill="D5EEEE"/>
          </w:tcPr>
          <w:p>
            <w:pPr>
              <w:ind w:left="300"/>
              <w:spacing w:after="0" w:line="207" w:lineRule="exact"/>
              <w:rPr>
                <w:sz w:val="20"/>
                <w:szCs w:val="20"/>
                <w:color w:val="auto"/>
              </w:rPr>
            </w:pPr>
            <w:r>
              <w:rPr>
                <w:rFonts w:ascii="Times New Roman" w:cs="Times New Roman" w:eastAsia="Times New Roman" w:hAnsi="Times New Roman"/>
                <w:sz w:val="20"/>
                <w:szCs w:val="20"/>
                <w:color w:val="auto"/>
              </w:rPr>
              <w:t>Offer Letter, dated as of December 1, 2025, by and between the Registrant and David Hastings</w:t>
            </w:r>
          </w:p>
        </w:tc>
      </w:tr>
      <w:tr>
        <w:trPr>
          <w:trHeight w:val="169"/>
        </w:trPr>
        <w:tc>
          <w:tcPr>
            <w:tcW w:w="8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10.12+</w:t>
            </w:r>
          </w:p>
        </w:tc>
        <w:tc>
          <w:tcPr>
            <w:tcW w:w="9080" w:type="dxa"/>
            <w:vAlign w:val="bottom"/>
          </w:tcPr>
          <w:p>
            <w:pPr>
              <w:ind w:left="300"/>
              <w:spacing w:after="0" w:line="169" w:lineRule="exact"/>
              <w:rPr>
                <w:sz w:val="20"/>
                <w:szCs w:val="20"/>
                <w:color w:val="auto"/>
              </w:rPr>
            </w:pPr>
            <w:r>
              <w:rPr>
                <w:rFonts w:ascii="Times New Roman" w:cs="Times New Roman" w:eastAsia="Times New Roman" w:hAnsi="Times New Roman"/>
                <w:sz w:val="19"/>
                <w:szCs w:val="19"/>
                <w:color w:val="auto"/>
              </w:rPr>
              <w:t>Form of Indemnification Agreement between the Registrant and each of its directors and executive officers</w:t>
            </w:r>
          </w:p>
        </w:tc>
      </w:tr>
      <w:tr>
        <w:trPr>
          <w:trHeight w:val="207"/>
        </w:trPr>
        <w:tc>
          <w:tcPr>
            <w:tcW w:w="840" w:type="dxa"/>
            <w:vAlign w:val="bottom"/>
          </w:tcPr>
          <w:p>
            <w:pPr>
              <w:spacing w:after="0"/>
              <w:rPr>
                <w:sz w:val="18"/>
                <w:szCs w:val="18"/>
                <w:color w:val="auto"/>
              </w:rPr>
            </w:pPr>
          </w:p>
        </w:tc>
        <w:tc>
          <w:tcPr>
            <w:tcW w:w="9080" w:type="dxa"/>
            <w:vAlign w:val="bottom"/>
          </w:tcPr>
          <w:p>
            <w:pPr>
              <w:ind w:left="300"/>
              <w:spacing w:after="0" w:line="207" w:lineRule="exact"/>
              <w:rPr>
                <w:sz w:val="20"/>
                <w:szCs w:val="20"/>
                <w:color w:val="auto"/>
              </w:rPr>
            </w:pPr>
            <w:r>
              <w:rPr>
                <w:rFonts w:ascii="Times New Roman" w:cs="Times New Roman" w:eastAsia="Times New Roman" w:hAnsi="Times New Roman"/>
                <w:sz w:val="20"/>
                <w:szCs w:val="20"/>
                <w:color w:val="auto"/>
              </w:rPr>
              <w:t>(incorporated by reference to Exhibit 10.12 to the Registrant’s Registration Statement on Form S-1 (File No.</w:t>
            </w:r>
          </w:p>
        </w:tc>
      </w:tr>
      <w:tr>
        <w:trPr>
          <w:trHeight w:val="245"/>
        </w:trPr>
        <w:tc>
          <w:tcPr>
            <w:tcW w:w="840" w:type="dxa"/>
            <w:vAlign w:val="bottom"/>
          </w:tcPr>
          <w:p>
            <w:pPr>
              <w:spacing w:after="0"/>
              <w:rPr>
                <w:sz w:val="21"/>
                <w:szCs w:val="21"/>
                <w:color w:val="auto"/>
              </w:rPr>
            </w:pPr>
          </w:p>
        </w:tc>
        <w:tc>
          <w:tcPr>
            <w:tcW w:w="9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333-230745) filed with the SEC on April 5, 2019)</w:t>
            </w:r>
          </w:p>
        </w:tc>
      </w:tr>
      <w:tr>
        <w:trPr>
          <w:trHeight w:val="169"/>
        </w:trPr>
        <w:tc>
          <w:tcPr>
            <w:tcW w:w="840" w:type="dxa"/>
            <w:vAlign w:val="bottom"/>
            <w:shd w:val="clear" w:color="auto" w:fill="D5EEEE"/>
          </w:tcPr>
          <w:p>
            <w:pPr>
              <w:spacing w:after="0" w:line="169" w:lineRule="exact"/>
              <w:rPr>
                <w:sz w:val="20"/>
                <w:szCs w:val="20"/>
                <w:color w:val="auto"/>
              </w:rPr>
            </w:pPr>
            <w:r>
              <w:rPr>
                <w:rFonts w:ascii="Times New Roman" w:cs="Times New Roman" w:eastAsia="Times New Roman" w:hAnsi="Times New Roman"/>
                <w:sz w:val="19"/>
                <w:szCs w:val="19"/>
                <w:color w:val="auto"/>
              </w:rPr>
              <w:t>10.13</w:t>
            </w:r>
          </w:p>
        </w:tc>
        <w:tc>
          <w:tcPr>
            <w:tcW w:w="9080" w:type="dxa"/>
            <w:vAlign w:val="bottom"/>
            <w:shd w:val="clear" w:color="auto" w:fill="D5EEEE"/>
          </w:tcPr>
          <w:p>
            <w:pPr>
              <w:ind w:left="300"/>
              <w:spacing w:after="0" w:line="169" w:lineRule="exact"/>
              <w:rPr>
                <w:sz w:val="20"/>
                <w:szCs w:val="20"/>
                <w:color w:val="auto"/>
              </w:rPr>
            </w:pPr>
            <w:r>
              <w:rPr>
                <w:rFonts w:ascii="Times New Roman" w:cs="Times New Roman" w:eastAsia="Times New Roman" w:hAnsi="Times New Roman"/>
                <w:sz w:val="19"/>
                <w:szCs w:val="19"/>
                <w:color w:val="auto"/>
              </w:rPr>
              <w:t>Indenture of Lease, dated February 6, 2013, by and between First Niagara Bank, N.A. and the Registrant</w:t>
            </w:r>
          </w:p>
        </w:tc>
      </w:tr>
      <w:tr>
        <w:trPr>
          <w:trHeight w:val="207"/>
        </w:trPr>
        <w:tc>
          <w:tcPr>
            <w:tcW w:w="840" w:type="dxa"/>
            <w:vAlign w:val="bottom"/>
            <w:shd w:val="clear" w:color="auto" w:fill="D5EEEE"/>
          </w:tcPr>
          <w:p>
            <w:pPr>
              <w:spacing w:after="0"/>
              <w:rPr>
                <w:sz w:val="18"/>
                <w:szCs w:val="18"/>
                <w:color w:val="auto"/>
              </w:rPr>
            </w:pPr>
          </w:p>
        </w:tc>
        <w:tc>
          <w:tcPr>
            <w:tcW w:w="9080" w:type="dxa"/>
            <w:vAlign w:val="bottom"/>
            <w:shd w:val="clear" w:color="auto" w:fill="D5EEEE"/>
          </w:tcPr>
          <w:p>
            <w:pPr>
              <w:ind w:left="300"/>
              <w:spacing w:after="0" w:line="207" w:lineRule="exact"/>
              <w:rPr>
                <w:sz w:val="20"/>
                <w:szCs w:val="20"/>
                <w:color w:val="auto"/>
              </w:rPr>
            </w:pPr>
            <w:r>
              <w:rPr>
                <w:rFonts w:ascii="Times New Roman" w:cs="Times New Roman" w:eastAsia="Times New Roman" w:hAnsi="Times New Roman"/>
                <w:sz w:val="20"/>
                <w:szCs w:val="20"/>
                <w:color w:val="auto"/>
              </w:rPr>
              <w:t>(incorporated by reference to Exhibit 10.13 to the Registrant’s Registration Statement on Form S-1 (File No.</w:t>
            </w:r>
          </w:p>
        </w:tc>
      </w:tr>
      <w:tr>
        <w:trPr>
          <w:trHeight w:val="245"/>
        </w:trPr>
        <w:tc>
          <w:tcPr>
            <w:tcW w:w="840" w:type="dxa"/>
            <w:vAlign w:val="bottom"/>
            <w:shd w:val="clear" w:color="auto" w:fill="D5EEEE"/>
          </w:tcPr>
          <w:p>
            <w:pPr>
              <w:spacing w:after="0"/>
              <w:rPr>
                <w:sz w:val="21"/>
                <w:szCs w:val="21"/>
                <w:color w:val="auto"/>
              </w:rPr>
            </w:pPr>
          </w:p>
        </w:tc>
        <w:tc>
          <w:tcPr>
            <w:tcW w:w="9080" w:type="dxa"/>
            <w:vAlign w:val="bottom"/>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333-230745) filed with the SEC on April 5, 2019)</w:t>
            </w:r>
          </w:p>
        </w:tc>
      </w:tr>
      <w:tr>
        <w:trPr>
          <w:trHeight w:val="169"/>
        </w:trPr>
        <w:tc>
          <w:tcPr>
            <w:tcW w:w="8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10.14</w:t>
            </w:r>
          </w:p>
        </w:tc>
        <w:tc>
          <w:tcPr>
            <w:tcW w:w="9080" w:type="dxa"/>
            <w:vAlign w:val="bottom"/>
          </w:tcPr>
          <w:p>
            <w:pPr>
              <w:ind w:left="300"/>
              <w:spacing w:after="0" w:line="169" w:lineRule="exact"/>
              <w:rPr>
                <w:sz w:val="20"/>
                <w:szCs w:val="20"/>
                <w:color w:val="auto"/>
              </w:rPr>
            </w:pPr>
            <w:r>
              <w:rPr>
                <w:rFonts w:ascii="Times New Roman" w:cs="Times New Roman" w:eastAsia="Times New Roman" w:hAnsi="Times New Roman"/>
                <w:sz w:val="19"/>
                <w:szCs w:val="19"/>
                <w:color w:val="auto"/>
              </w:rPr>
              <w:t>First Amendment to Lease, dated December 5, 2017, by and between the Registrant and 195 Church Street</w:t>
            </w:r>
          </w:p>
        </w:tc>
      </w:tr>
      <w:tr>
        <w:trPr>
          <w:trHeight w:val="207"/>
        </w:trPr>
        <w:tc>
          <w:tcPr>
            <w:tcW w:w="840" w:type="dxa"/>
            <w:vAlign w:val="bottom"/>
          </w:tcPr>
          <w:p>
            <w:pPr>
              <w:spacing w:after="0"/>
              <w:rPr>
                <w:sz w:val="18"/>
                <w:szCs w:val="18"/>
                <w:color w:val="auto"/>
              </w:rPr>
            </w:pPr>
          </w:p>
        </w:tc>
        <w:tc>
          <w:tcPr>
            <w:tcW w:w="9080" w:type="dxa"/>
            <w:vAlign w:val="bottom"/>
          </w:tcPr>
          <w:p>
            <w:pPr>
              <w:ind w:left="300"/>
              <w:spacing w:after="0" w:line="207" w:lineRule="exact"/>
              <w:rPr>
                <w:sz w:val="20"/>
                <w:szCs w:val="20"/>
                <w:color w:val="auto"/>
              </w:rPr>
            </w:pPr>
            <w:r>
              <w:rPr>
                <w:rFonts w:ascii="Times New Roman" w:cs="Times New Roman" w:eastAsia="Times New Roman" w:hAnsi="Times New Roman"/>
                <w:sz w:val="20"/>
                <w:szCs w:val="20"/>
                <w:color w:val="auto"/>
              </w:rPr>
              <w:t>Associates, LLC (incorporated by reference to Exhibit 10.14 to the Registrant’s Registration Statement on</w:t>
            </w:r>
          </w:p>
        </w:tc>
      </w:tr>
      <w:tr>
        <w:trPr>
          <w:trHeight w:val="245"/>
        </w:trPr>
        <w:tc>
          <w:tcPr>
            <w:tcW w:w="840" w:type="dxa"/>
            <w:vAlign w:val="bottom"/>
          </w:tcPr>
          <w:p>
            <w:pPr>
              <w:spacing w:after="0"/>
              <w:rPr>
                <w:sz w:val="21"/>
                <w:szCs w:val="21"/>
                <w:color w:val="auto"/>
              </w:rPr>
            </w:pPr>
          </w:p>
        </w:tc>
        <w:tc>
          <w:tcPr>
            <w:tcW w:w="9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Form S-1 (File No. 333-230745) filed with the SEC on April 5, 2019)</w:t>
            </w:r>
          </w:p>
        </w:tc>
      </w:tr>
      <w:tr>
        <w:trPr>
          <w:trHeight w:val="210"/>
        </w:trPr>
        <w:tc>
          <w:tcPr>
            <w:tcW w:w="840" w:type="dxa"/>
            <w:vAlign w:val="bottom"/>
            <w:shd w:val="clear" w:color="auto" w:fill="D5EEEE"/>
          </w:tcPr>
          <w:p>
            <w:pPr>
              <w:spacing w:after="0" w:line="210" w:lineRule="exact"/>
              <w:rPr>
                <w:sz w:val="20"/>
                <w:szCs w:val="20"/>
                <w:color w:val="auto"/>
              </w:rPr>
            </w:pPr>
            <w:r>
              <w:rPr>
                <w:rFonts w:ascii="Times New Roman" w:cs="Times New Roman" w:eastAsia="Times New Roman" w:hAnsi="Times New Roman"/>
                <w:sz w:val="20"/>
                <w:szCs w:val="20"/>
                <w:color w:val="auto"/>
              </w:rPr>
              <w:t>10.15</w:t>
            </w:r>
          </w:p>
        </w:tc>
        <w:tc>
          <w:tcPr>
            <w:tcW w:w="9080" w:type="dxa"/>
            <w:vAlign w:val="bottom"/>
            <w:shd w:val="clear" w:color="auto" w:fill="D5EEEE"/>
          </w:tcPr>
          <w:p>
            <w:pPr>
              <w:ind w:left="300"/>
              <w:spacing w:after="0" w:line="210" w:lineRule="exact"/>
              <w:rPr>
                <w:sz w:val="20"/>
                <w:szCs w:val="20"/>
                <w:color w:val="auto"/>
              </w:rPr>
            </w:pPr>
            <w:r>
              <w:rPr>
                <w:rFonts w:ascii="Times New Roman" w:cs="Times New Roman" w:eastAsia="Times New Roman" w:hAnsi="Times New Roman"/>
                <w:sz w:val="20"/>
                <w:szCs w:val="20"/>
                <w:color w:val="auto"/>
              </w:rPr>
              <w:t>Second Amendment to Lease, dated November 21, 2022, by and between the Registrant and 195 Church</w:t>
            </w:r>
          </w:p>
        </w:tc>
      </w:tr>
      <w:tr>
        <w:trPr>
          <w:trHeight w:val="230"/>
        </w:trPr>
        <w:tc>
          <w:tcPr>
            <w:tcW w:w="840" w:type="dxa"/>
            <w:vAlign w:val="bottom"/>
            <w:shd w:val="clear" w:color="auto" w:fill="D5EEEE"/>
          </w:tcPr>
          <w:p>
            <w:pPr>
              <w:spacing w:after="0"/>
              <w:rPr>
                <w:sz w:val="20"/>
                <w:szCs w:val="20"/>
                <w:color w:val="auto"/>
              </w:rPr>
            </w:pPr>
          </w:p>
        </w:tc>
        <w:tc>
          <w:tcPr>
            <w:tcW w:w="9080" w:type="dxa"/>
            <w:vAlign w:val="bottom"/>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Street Associates, LLC (incorporated by reference to Exhibit 10.16 to the Registrant’s Annual Report on</w:t>
            </w:r>
          </w:p>
        </w:tc>
      </w:tr>
      <w:tr>
        <w:trPr>
          <w:trHeight w:val="250"/>
        </w:trPr>
        <w:tc>
          <w:tcPr>
            <w:tcW w:w="840" w:type="dxa"/>
            <w:vAlign w:val="bottom"/>
            <w:shd w:val="clear" w:color="auto" w:fill="D5EEEE"/>
          </w:tcPr>
          <w:p>
            <w:pPr>
              <w:spacing w:after="0"/>
              <w:rPr>
                <w:sz w:val="21"/>
                <w:szCs w:val="21"/>
                <w:color w:val="auto"/>
              </w:rPr>
            </w:pPr>
          </w:p>
        </w:tc>
        <w:tc>
          <w:tcPr>
            <w:tcW w:w="9080" w:type="dxa"/>
            <w:vAlign w:val="bottom"/>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Form 10-K (File No. 001-38886) filed with the SEC on March 16, 2023)</w:t>
            </w:r>
          </w:p>
        </w:tc>
      </w:tr>
      <w:tr>
        <w:trPr>
          <w:trHeight w:val="169"/>
        </w:trPr>
        <w:tc>
          <w:tcPr>
            <w:tcW w:w="8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10.16†</w:t>
            </w:r>
          </w:p>
        </w:tc>
        <w:tc>
          <w:tcPr>
            <w:tcW w:w="9080" w:type="dxa"/>
            <w:vAlign w:val="bottom"/>
          </w:tcPr>
          <w:p>
            <w:pPr>
              <w:ind w:left="300"/>
              <w:spacing w:after="0" w:line="169" w:lineRule="exact"/>
              <w:rPr>
                <w:sz w:val="20"/>
                <w:szCs w:val="20"/>
                <w:color w:val="auto"/>
              </w:rPr>
            </w:pPr>
            <w:r>
              <w:rPr>
                <w:rFonts w:ascii="Times New Roman" w:cs="Times New Roman" w:eastAsia="Times New Roman" w:hAnsi="Times New Roman"/>
                <w:sz w:val="19"/>
                <w:szCs w:val="19"/>
                <w:color w:val="auto"/>
              </w:rPr>
              <w:t>Exclusive License Agreement, dated as of May 13, 2011, by and between the Registrant and Penwest</w:t>
            </w:r>
          </w:p>
        </w:tc>
      </w:tr>
      <w:tr>
        <w:trPr>
          <w:trHeight w:val="207"/>
        </w:trPr>
        <w:tc>
          <w:tcPr>
            <w:tcW w:w="840" w:type="dxa"/>
            <w:vAlign w:val="bottom"/>
          </w:tcPr>
          <w:p>
            <w:pPr>
              <w:spacing w:after="0"/>
              <w:rPr>
                <w:sz w:val="18"/>
                <w:szCs w:val="18"/>
                <w:color w:val="auto"/>
              </w:rPr>
            </w:pPr>
          </w:p>
        </w:tc>
        <w:tc>
          <w:tcPr>
            <w:tcW w:w="9080" w:type="dxa"/>
            <w:vAlign w:val="bottom"/>
          </w:tcPr>
          <w:p>
            <w:pPr>
              <w:ind w:left="300"/>
              <w:spacing w:after="0" w:line="207" w:lineRule="exact"/>
              <w:rPr>
                <w:sz w:val="20"/>
                <w:szCs w:val="20"/>
                <w:color w:val="auto"/>
              </w:rPr>
            </w:pPr>
            <w:r>
              <w:rPr>
                <w:rFonts w:ascii="Times New Roman" w:cs="Times New Roman" w:eastAsia="Times New Roman" w:hAnsi="Times New Roman"/>
                <w:sz w:val="20"/>
                <w:szCs w:val="20"/>
                <w:color w:val="auto"/>
              </w:rPr>
              <w:t>Pharmaceuticals Co. (incorporated by reference to Exhibit 10.15 to the Registrant’s Registration Statement</w:t>
            </w:r>
          </w:p>
        </w:tc>
      </w:tr>
      <w:tr>
        <w:trPr>
          <w:trHeight w:val="245"/>
        </w:trPr>
        <w:tc>
          <w:tcPr>
            <w:tcW w:w="840" w:type="dxa"/>
            <w:vAlign w:val="bottom"/>
          </w:tcPr>
          <w:p>
            <w:pPr>
              <w:spacing w:after="0"/>
              <w:rPr>
                <w:sz w:val="21"/>
                <w:szCs w:val="21"/>
                <w:color w:val="auto"/>
              </w:rPr>
            </w:pPr>
          </w:p>
        </w:tc>
        <w:tc>
          <w:tcPr>
            <w:tcW w:w="9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on Form S-1 (File No. 333-230745) filed with the SEC on April 5, 2019)</w:t>
            </w:r>
          </w:p>
        </w:tc>
      </w:tr>
      <w:tr>
        <w:trPr>
          <w:trHeight w:val="169"/>
        </w:trPr>
        <w:tc>
          <w:tcPr>
            <w:tcW w:w="840" w:type="dxa"/>
            <w:vAlign w:val="bottom"/>
            <w:shd w:val="clear" w:color="auto" w:fill="D5EEEE"/>
          </w:tcPr>
          <w:p>
            <w:pPr>
              <w:spacing w:after="0" w:line="169" w:lineRule="exact"/>
              <w:rPr>
                <w:sz w:val="20"/>
                <w:szCs w:val="20"/>
                <w:color w:val="auto"/>
              </w:rPr>
            </w:pPr>
            <w:r>
              <w:rPr>
                <w:rFonts w:ascii="Times New Roman" w:cs="Times New Roman" w:eastAsia="Times New Roman" w:hAnsi="Times New Roman"/>
                <w:sz w:val="19"/>
                <w:szCs w:val="19"/>
                <w:color w:val="auto"/>
              </w:rPr>
              <w:t>10.17</w:t>
            </w:r>
          </w:p>
        </w:tc>
        <w:tc>
          <w:tcPr>
            <w:tcW w:w="9080" w:type="dxa"/>
            <w:vAlign w:val="bottom"/>
            <w:shd w:val="clear" w:color="auto" w:fill="D5EEEE"/>
          </w:tcPr>
          <w:p>
            <w:pPr>
              <w:ind w:left="300"/>
              <w:spacing w:after="0" w:line="169" w:lineRule="exact"/>
              <w:rPr>
                <w:sz w:val="20"/>
                <w:szCs w:val="20"/>
                <w:color w:val="auto"/>
              </w:rPr>
            </w:pPr>
            <w:r>
              <w:rPr>
                <w:rFonts w:ascii="Times New Roman" w:cs="Times New Roman" w:eastAsia="Times New Roman" w:hAnsi="Times New Roman"/>
                <w:sz w:val="19"/>
                <w:szCs w:val="19"/>
                <w:color w:val="auto"/>
              </w:rPr>
              <w:t>Share Purchase Agreement, dated as of May 6, 2019, by and between the Registrant and New Enterprise</w:t>
            </w:r>
          </w:p>
        </w:tc>
      </w:tr>
      <w:tr>
        <w:trPr>
          <w:trHeight w:val="207"/>
        </w:trPr>
        <w:tc>
          <w:tcPr>
            <w:tcW w:w="840" w:type="dxa"/>
            <w:vAlign w:val="bottom"/>
            <w:shd w:val="clear" w:color="auto" w:fill="D5EEEE"/>
          </w:tcPr>
          <w:p>
            <w:pPr>
              <w:spacing w:after="0"/>
              <w:rPr>
                <w:sz w:val="18"/>
                <w:szCs w:val="18"/>
                <w:color w:val="auto"/>
              </w:rPr>
            </w:pPr>
          </w:p>
        </w:tc>
        <w:tc>
          <w:tcPr>
            <w:tcW w:w="9080" w:type="dxa"/>
            <w:vAlign w:val="bottom"/>
            <w:shd w:val="clear" w:color="auto" w:fill="D5EEEE"/>
          </w:tcPr>
          <w:p>
            <w:pPr>
              <w:ind w:left="300"/>
              <w:spacing w:after="0" w:line="207" w:lineRule="exact"/>
              <w:rPr>
                <w:sz w:val="20"/>
                <w:szCs w:val="20"/>
                <w:color w:val="auto"/>
              </w:rPr>
            </w:pPr>
            <w:r>
              <w:rPr>
                <w:rFonts w:ascii="Times New Roman" w:cs="Times New Roman" w:eastAsia="Times New Roman" w:hAnsi="Times New Roman"/>
                <w:sz w:val="20"/>
                <w:szCs w:val="20"/>
                <w:color w:val="auto"/>
              </w:rPr>
              <w:t>Associates 16, L.P. (incorporated by reference to Exhibit 10.17 to Amendment No. 3 to Registrant’s</w:t>
            </w:r>
          </w:p>
        </w:tc>
      </w:tr>
      <w:tr>
        <w:trPr>
          <w:trHeight w:val="245"/>
        </w:trPr>
        <w:tc>
          <w:tcPr>
            <w:tcW w:w="840" w:type="dxa"/>
            <w:vAlign w:val="bottom"/>
            <w:shd w:val="clear" w:color="auto" w:fill="D5EEEE"/>
          </w:tcPr>
          <w:p>
            <w:pPr>
              <w:spacing w:after="0"/>
              <w:rPr>
                <w:sz w:val="21"/>
                <w:szCs w:val="21"/>
                <w:color w:val="auto"/>
              </w:rPr>
            </w:pPr>
          </w:p>
        </w:tc>
        <w:tc>
          <w:tcPr>
            <w:tcW w:w="9080" w:type="dxa"/>
            <w:vAlign w:val="bottom"/>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Registration Statement on Form S-1 (File No. 333-230745) filed with the SEC on May 7, 2019)</w:t>
            </w:r>
          </w:p>
        </w:tc>
      </w:tr>
      <w:tr>
        <w:trPr>
          <w:trHeight w:val="169"/>
        </w:trPr>
        <w:tc>
          <w:tcPr>
            <w:tcW w:w="8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10.18</w:t>
            </w:r>
          </w:p>
        </w:tc>
        <w:tc>
          <w:tcPr>
            <w:tcW w:w="9080" w:type="dxa"/>
            <w:vAlign w:val="bottom"/>
          </w:tcPr>
          <w:p>
            <w:pPr>
              <w:ind w:left="300"/>
              <w:spacing w:after="0" w:line="169" w:lineRule="exact"/>
              <w:rPr>
                <w:sz w:val="20"/>
                <w:szCs w:val="20"/>
                <w:color w:val="auto"/>
              </w:rPr>
            </w:pPr>
            <w:r>
              <w:rPr>
                <w:rFonts w:ascii="Times New Roman" w:cs="Times New Roman" w:eastAsia="Times New Roman" w:hAnsi="Times New Roman"/>
                <w:sz w:val="19"/>
                <w:szCs w:val="19"/>
                <w:color w:val="auto"/>
              </w:rPr>
              <w:t>Form of Securities Purchase Agreement dated September 30, 2021 (incorporated by reference to Exhibit 99.1</w:t>
            </w:r>
          </w:p>
        </w:tc>
      </w:tr>
      <w:tr>
        <w:trPr>
          <w:trHeight w:val="245"/>
        </w:trPr>
        <w:tc>
          <w:tcPr>
            <w:tcW w:w="840" w:type="dxa"/>
            <w:vAlign w:val="bottom"/>
          </w:tcPr>
          <w:p>
            <w:pPr>
              <w:spacing w:after="0"/>
              <w:rPr>
                <w:sz w:val="21"/>
                <w:szCs w:val="21"/>
                <w:color w:val="auto"/>
              </w:rPr>
            </w:pPr>
          </w:p>
        </w:tc>
        <w:tc>
          <w:tcPr>
            <w:tcW w:w="90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9"/>
              </w:rPr>
              <w:t>to the Registrant’s Current Report on Form 8-K (File No. 001-38886) filed with the SEC on October 1, 2021)</w:t>
            </w:r>
          </w:p>
        </w:tc>
      </w:tr>
      <w:tr>
        <w:trPr>
          <w:trHeight w:val="169"/>
        </w:trPr>
        <w:tc>
          <w:tcPr>
            <w:tcW w:w="840" w:type="dxa"/>
            <w:vAlign w:val="bottom"/>
            <w:shd w:val="clear" w:color="auto" w:fill="D5EEEE"/>
          </w:tcPr>
          <w:p>
            <w:pPr>
              <w:spacing w:after="0" w:line="169" w:lineRule="exact"/>
              <w:rPr>
                <w:sz w:val="20"/>
                <w:szCs w:val="20"/>
                <w:color w:val="auto"/>
              </w:rPr>
            </w:pPr>
            <w:r>
              <w:rPr>
                <w:rFonts w:ascii="Times New Roman" w:cs="Times New Roman" w:eastAsia="Times New Roman" w:hAnsi="Times New Roman"/>
                <w:sz w:val="19"/>
                <w:szCs w:val="19"/>
                <w:color w:val="auto"/>
              </w:rPr>
              <w:t>10.19</w:t>
            </w:r>
          </w:p>
        </w:tc>
        <w:tc>
          <w:tcPr>
            <w:tcW w:w="9080" w:type="dxa"/>
            <w:vAlign w:val="bottom"/>
            <w:shd w:val="clear" w:color="auto" w:fill="D5EEEE"/>
          </w:tcPr>
          <w:p>
            <w:pPr>
              <w:ind w:left="300"/>
              <w:spacing w:after="0" w:line="169" w:lineRule="exact"/>
              <w:rPr>
                <w:sz w:val="20"/>
                <w:szCs w:val="20"/>
                <w:color w:val="auto"/>
              </w:rPr>
            </w:pPr>
            <w:r>
              <w:rPr>
                <w:rFonts w:ascii="Times New Roman" w:cs="Times New Roman" w:eastAsia="Times New Roman" w:hAnsi="Times New Roman"/>
                <w:sz w:val="19"/>
                <w:szCs w:val="19"/>
                <w:color w:val="auto"/>
              </w:rPr>
              <w:t>Form of Registration Rights Agreement dated September 30, 2021 (incorporated by reference to Exhibit 99.2</w:t>
            </w:r>
          </w:p>
        </w:tc>
      </w:tr>
      <w:tr>
        <w:trPr>
          <w:trHeight w:val="245"/>
        </w:trPr>
        <w:tc>
          <w:tcPr>
            <w:tcW w:w="840" w:type="dxa"/>
            <w:vAlign w:val="bottom"/>
            <w:shd w:val="clear" w:color="auto" w:fill="D5EEEE"/>
          </w:tcPr>
          <w:p>
            <w:pPr>
              <w:spacing w:after="0"/>
              <w:rPr>
                <w:sz w:val="21"/>
                <w:szCs w:val="21"/>
                <w:color w:val="auto"/>
              </w:rPr>
            </w:pPr>
          </w:p>
        </w:tc>
        <w:tc>
          <w:tcPr>
            <w:tcW w:w="9080" w:type="dxa"/>
            <w:vAlign w:val="bottom"/>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w w:val="99"/>
              </w:rPr>
              <w:t>to the Registrant’s Current Report on Form 8-K (File No. 001-38886) filed with the SEC on October 1, 2021)</w:t>
            </w:r>
          </w:p>
        </w:tc>
      </w:tr>
      <w:tr>
        <w:trPr>
          <w:trHeight w:val="169"/>
        </w:trPr>
        <w:tc>
          <w:tcPr>
            <w:tcW w:w="8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10.20</w:t>
            </w:r>
          </w:p>
        </w:tc>
        <w:tc>
          <w:tcPr>
            <w:tcW w:w="9080" w:type="dxa"/>
            <w:vAlign w:val="bottom"/>
          </w:tcPr>
          <w:p>
            <w:pPr>
              <w:ind w:left="300"/>
              <w:spacing w:after="0" w:line="169" w:lineRule="exact"/>
              <w:rPr>
                <w:sz w:val="20"/>
                <w:szCs w:val="20"/>
                <w:color w:val="auto"/>
              </w:rPr>
            </w:pPr>
            <w:r>
              <w:rPr>
                <w:rFonts w:ascii="Times New Roman" w:cs="Times New Roman" w:eastAsia="Times New Roman" w:hAnsi="Times New Roman"/>
                <w:sz w:val="19"/>
                <w:szCs w:val="19"/>
                <w:color w:val="auto"/>
              </w:rPr>
              <w:t>Form of Securities Purchase Agreement dated October 15, 2021 (incorporated by reference to Exhibit 99.1 to</w:t>
            </w:r>
          </w:p>
        </w:tc>
      </w:tr>
      <w:tr>
        <w:trPr>
          <w:trHeight w:val="245"/>
        </w:trPr>
        <w:tc>
          <w:tcPr>
            <w:tcW w:w="840" w:type="dxa"/>
            <w:vAlign w:val="bottom"/>
          </w:tcPr>
          <w:p>
            <w:pPr>
              <w:spacing w:after="0"/>
              <w:rPr>
                <w:sz w:val="21"/>
                <w:szCs w:val="21"/>
                <w:color w:val="auto"/>
              </w:rPr>
            </w:pPr>
          </w:p>
        </w:tc>
        <w:tc>
          <w:tcPr>
            <w:tcW w:w="9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the Registrant’s Current Report on Form 8-K (File No. 001-38886) filed with the SEC on October 19, 2021)</w:t>
            </w:r>
          </w:p>
        </w:tc>
      </w:tr>
      <w:tr>
        <w:trPr>
          <w:trHeight w:val="169"/>
        </w:trPr>
        <w:tc>
          <w:tcPr>
            <w:tcW w:w="840" w:type="dxa"/>
            <w:vAlign w:val="bottom"/>
            <w:shd w:val="clear" w:color="auto" w:fill="D5EEEE"/>
          </w:tcPr>
          <w:p>
            <w:pPr>
              <w:spacing w:after="0" w:line="169" w:lineRule="exact"/>
              <w:rPr>
                <w:sz w:val="20"/>
                <w:szCs w:val="20"/>
                <w:color w:val="auto"/>
              </w:rPr>
            </w:pPr>
            <w:r>
              <w:rPr>
                <w:rFonts w:ascii="Times New Roman" w:cs="Times New Roman" w:eastAsia="Times New Roman" w:hAnsi="Times New Roman"/>
                <w:sz w:val="19"/>
                <w:szCs w:val="19"/>
                <w:color w:val="auto"/>
              </w:rPr>
              <w:t>10.21</w:t>
            </w:r>
          </w:p>
        </w:tc>
        <w:tc>
          <w:tcPr>
            <w:tcW w:w="9080" w:type="dxa"/>
            <w:vAlign w:val="bottom"/>
            <w:shd w:val="clear" w:color="auto" w:fill="D5EEEE"/>
          </w:tcPr>
          <w:p>
            <w:pPr>
              <w:ind w:left="300"/>
              <w:spacing w:after="0" w:line="169" w:lineRule="exact"/>
              <w:rPr>
                <w:sz w:val="20"/>
                <w:szCs w:val="20"/>
                <w:color w:val="auto"/>
              </w:rPr>
            </w:pPr>
            <w:r>
              <w:rPr>
                <w:rFonts w:ascii="Times New Roman" w:cs="Times New Roman" w:eastAsia="Times New Roman" w:hAnsi="Times New Roman"/>
                <w:sz w:val="19"/>
                <w:szCs w:val="19"/>
                <w:color w:val="auto"/>
              </w:rPr>
              <w:t>Form of Registration Rights Agreement dated October 15, 2021 (incorporated by reference to Exhibit 99.2 to</w:t>
            </w:r>
          </w:p>
        </w:tc>
      </w:tr>
      <w:tr>
        <w:trPr>
          <w:trHeight w:val="245"/>
        </w:trPr>
        <w:tc>
          <w:tcPr>
            <w:tcW w:w="840" w:type="dxa"/>
            <w:vAlign w:val="bottom"/>
            <w:shd w:val="clear" w:color="auto" w:fill="D5EEEE"/>
          </w:tcPr>
          <w:p>
            <w:pPr>
              <w:spacing w:after="0"/>
              <w:rPr>
                <w:sz w:val="21"/>
                <w:szCs w:val="21"/>
                <w:color w:val="auto"/>
              </w:rPr>
            </w:pPr>
          </w:p>
        </w:tc>
        <w:tc>
          <w:tcPr>
            <w:tcW w:w="9080" w:type="dxa"/>
            <w:vAlign w:val="bottom"/>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the Registrant’s Current Report on Form 8-K (File No. 001-38886) filed with the SEC on October 19, 2021)</w:t>
            </w:r>
          </w:p>
        </w:tc>
      </w:tr>
      <w:tr>
        <w:trPr>
          <w:trHeight w:val="169"/>
        </w:trPr>
        <w:tc>
          <w:tcPr>
            <w:tcW w:w="8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10.22</w:t>
            </w:r>
          </w:p>
        </w:tc>
        <w:tc>
          <w:tcPr>
            <w:tcW w:w="9080" w:type="dxa"/>
            <w:vAlign w:val="bottom"/>
          </w:tcPr>
          <w:p>
            <w:pPr>
              <w:ind w:left="300"/>
              <w:spacing w:after="0" w:line="169" w:lineRule="exact"/>
              <w:rPr>
                <w:sz w:val="20"/>
                <w:szCs w:val="20"/>
                <w:color w:val="auto"/>
              </w:rPr>
            </w:pPr>
            <w:r>
              <w:rPr>
                <w:rFonts w:ascii="Times New Roman" w:cs="Times New Roman" w:eastAsia="Times New Roman" w:hAnsi="Times New Roman"/>
                <w:sz w:val="19"/>
                <w:szCs w:val="19"/>
                <w:color w:val="auto"/>
              </w:rPr>
              <w:t>Securities Purchase Agreement, dated April 6, 2022, by and among the Registrant and the Purchasers named</w:t>
            </w:r>
          </w:p>
        </w:tc>
      </w:tr>
      <w:tr>
        <w:trPr>
          <w:trHeight w:val="207"/>
        </w:trPr>
        <w:tc>
          <w:tcPr>
            <w:tcW w:w="840" w:type="dxa"/>
            <w:vAlign w:val="bottom"/>
          </w:tcPr>
          <w:p>
            <w:pPr>
              <w:spacing w:after="0"/>
              <w:rPr>
                <w:sz w:val="18"/>
                <w:szCs w:val="18"/>
                <w:color w:val="auto"/>
              </w:rPr>
            </w:pPr>
          </w:p>
        </w:tc>
        <w:tc>
          <w:tcPr>
            <w:tcW w:w="9080" w:type="dxa"/>
            <w:vAlign w:val="bottom"/>
          </w:tcPr>
          <w:p>
            <w:pPr>
              <w:ind w:left="300"/>
              <w:spacing w:after="0" w:line="207" w:lineRule="exact"/>
              <w:rPr>
                <w:sz w:val="20"/>
                <w:szCs w:val="20"/>
                <w:color w:val="auto"/>
              </w:rPr>
            </w:pPr>
            <w:r>
              <w:rPr>
                <w:rFonts w:ascii="Times New Roman" w:cs="Times New Roman" w:eastAsia="Times New Roman" w:hAnsi="Times New Roman"/>
                <w:sz w:val="20"/>
                <w:szCs w:val="20"/>
                <w:color w:val="auto"/>
              </w:rPr>
              <w:t>therein (incorporated by reference to Exhibit 99.1 to the Registrant’s Current Report on Form 8-K (File No.</w:t>
            </w:r>
          </w:p>
        </w:tc>
      </w:tr>
      <w:tr>
        <w:trPr>
          <w:trHeight w:val="245"/>
        </w:trPr>
        <w:tc>
          <w:tcPr>
            <w:tcW w:w="840" w:type="dxa"/>
            <w:vAlign w:val="bottom"/>
          </w:tcPr>
          <w:p>
            <w:pPr>
              <w:spacing w:after="0"/>
              <w:rPr>
                <w:sz w:val="21"/>
                <w:szCs w:val="21"/>
                <w:color w:val="auto"/>
              </w:rPr>
            </w:pPr>
          </w:p>
        </w:tc>
        <w:tc>
          <w:tcPr>
            <w:tcW w:w="9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001-38886) filed with the SEC on April 7, 2022)</w:t>
            </w:r>
          </w:p>
        </w:tc>
      </w:tr>
      <w:tr>
        <w:trPr>
          <w:trHeight w:val="169"/>
        </w:trPr>
        <w:tc>
          <w:tcPr>
            <w:tcW w:w="840" w:type="dxa"/>
            <w:vAlign w:val="bottom"/>
            <w:shd w:val="clear" w:color="auto" w:fill="D5EEEE"/>
          </w:tcPr>
          <w:p>
            <w:pPr>
              <w:spacing w:after="0" w:line="169" w:lineRule="exact"/>
              <w:rPr>
                <w:sz w:val="20"/>
                <w:szCs w:val="20"/>
                <w:color w:val="auto"/>
              </w:rPr>
            </w:pPr>
            <w:r>
              <w:rPr>
                <w:rFonts w:ascii="Times New Roman" w:cs="Times New Roman" w:eastAsia="Times New Roman" w:hAnsi="Times New Roman"/>
                <w:sz w:val="19"/>
                <w:szCs w:val="19"/>
                <w:color w:val="auto"/>
              </w:rPr>
              <w:t>10.23</w:t>
            </w:r>
          </w:p>
        </w:tc>
        <w:tc>
          <w:tcPr>
            <w:tcW w:w="9080" w:type="dxa"/>
            <w:vAlign w:val="bottom"/>
            <w:shd w:val="clear" w:color="auto" w:fill="D5EEEE"/>
          </w:tcPr>
          <w:p>
            <w:pPr>
              <w:ind w:left="300"/>
              <w:spacing w:after="0" w:line="169" w:lineRule="exact"/>
              <w:rPr>
                <w:sz w:val="20"/>
                <w:szCs w:val="20"/>
                <w:color w:val="auto"/>
              </w:rPr>
            </w:pPr>
            <w:r>
              <w:rPr>
                <w:rFonts w:ascii="Times New Roman" w:cs="Times New Roman" w:eastAsia="Times New Roman" w:hAnsi="Times New Roman"/>
                <w:sz w:val="19"/>
                <w:szCs w:val="19"/>
                <w:color w:val="auto"/>
              </w:rPr>
              <w:t>Registration Rights Agreement, dated April 6, 2022, by and among the Registrant and the Purchasers named</w:t>
            </w:r>
          </w:p>
        </w:tc>
      </w:tr>
      <w:tr>
        <w:trPr>
          <w:trHeight w:val="207"/>
        </w:trPr>
        <w:tc>
          <w:tcPr>
            <w:tcW w:w="840" w:type="dxa"/>
            <w:vAlign w:val="bottom"/>
            <w:shd w:val="clear" w:color="auto" w:fill="D5EEEE"/>
          </w:tcPr>
          <w:p>
            <w:pPr>
              <w:spacing w:after="0"/>
              <w:rPr>
                <w:sz w:val="18"/>
                <w:szCs w:val="18"/>
                <w:color w:val="auto"/>
              </w:rPr>
            </w:pPr>
          </w:p>
        </w:tc>
        <w:tc>
          <w:tcPr>
            <w:tcW w:w="9080" w:type="dxa"/>
            <w:vAlign w:val="bottom"/>
            <w:shd w:val="clear" w:color="auto" w:fill="D5EEEE"/>
          </w:tcPr>
          <w:p>
            <w:pPr>
              <w:ind w:left="300"/>
              <w:spacing w:after="0" w:line="207" w:lineRule="exact"/>
              <w:rPr>
                <w:sz w:val="20"/>
                <w:szCs w:val="20"/>
                <w:color w:val="auto"/>
              </w:rPr>
            </w:pPr>
            <w:r>
              <w:rPr>
                <w:rFonts w:ascii="Times New Roman" w:cs="Times New Roman" w:eastAsia="Times New Roman" w:hAnsi="Times New Roman"/>
                <w:sz w:val="20"/>
                <w:szCs w:val="20"/>
                <w:color w:val="auto"/>
              </w:rPr>
              <w:t>therein (incorporated by reference to Exhibit 99.2 to the Registrant’s Current Report on Form 8-K (File No.</w:t>
            </w:r>
          </w:p>
        </w:tc>
      </w:tr>
      <w:tr>
        <w:trPr>
          <w:trHeight w:val="245"/>
        </w:trPr>
        <w:tc>
          <w:tcPr>
            <w:tcW w:w="840" w:type="dxa"/>
            <w:vAlign w:val="bottom"/>
            <w:shd w:val="clear" w:color="auto" w:fill="D5EEEE"/>
          </w:tcPr>
          <w:p>
            <w:pPr>
              <w:spacing w:after="0"/>
              <w:rPr>
                <w:sz w:val="21"/>
                <w:szCs w:val="21"/>
                <w:color w:val="auto"/>
              </w:rPr>
            </w:pPr>
          </w:p>
        </w:tc>
        <w:tc>
          <w:tcPr>
            <w:tcW w:w="9080" w:type="dxa"/>
            <w:vAlign w:val="bottom"/>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001-38886) filed with the SEC on April 7, 2022)</w:t>
            </w:r>
          </w:p>
        </w:tc>
      </w:tr>
      <w:tr>
        <w:trPr>
          <w:trHeight w:val="207"/>
        </w:trPr>
        <w:tc>
          <w:tcPr>
            <w:tcW w:w="8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19.1*</w:t>
            </w:r>
          </w:p>
        </w:tc>
        <w:tc>
          <w:tcPr>
            <w:tcW w:w="9080" w:type="dxa"/>
            <w:vAlign w:val="bottom"/>
          </w:tcPr>
          <w:p>
            <w:pPr>
              <w:ind w:left="300"/>
              <w:spacing w:after="0" w:line="207" w:lineRule="exact"/>
              <w:rPr>
                <w:sz w:val="20"/>
                <w:szCs w:val="20"/>
                <w:color w:val="auto"/>
              </w:rPr>
            </w:pPr>
            <w:r>
              <w:rPr>
                <w:rFonts w:ascii="Times New Roman" w:cs="Times New Roman" w:eastAsia="Times New Roman" w:hAnsi="Times New Roman"/>
                <w:sz w:val="20"/>
                <w:szCs w:val="20"/>
                <w:color w:val="auto"/>
              </w:rPr>
              <w:t>Amended and Restated Insider Trading Policy</w:t>
            </w:r>
          </w:p>
        </w:tc>
      </w:tr>
      <w:tr>
        <w:trPr>
          <w:trHeight w:val="169"/>
        </w:trPr>
        <w:tc>
          <w:tcPr>
            <w:tcW w:w="840" w:type="dxa"/>
            <w:vAlign w:val="bottom"/>
            <w:shd w:val="clear" w:color="auto" w:fill="D5EEEE"/>
          </w:tcPr>
          <w:p>
            <w:pPr>
              <w:spacing w:after="0" w:line="169" w:lineRule="exact"/>
              <w:rPr>
                <w:sz w:val="20"/>
                <w:szCs w:val="20"/>
                <w:color w:val="auto"/>
              </w:rPr>
            </w:pPr>
            <w:r>
              <w:rPr>
                <w:rFonts w:ascii="Times New Roman" w:cs="Times New Roman" w:eastAsia="Times New Roman" w:hAnsi="Times New Roman"/>
                <w:sz w:val="19"/>
                <w:szCs w:val="19"/>
                <w:color w:val="auto"/>
              </w:rPr>
              <w:t>21.1</w:t>
            </w:r>
          </w:p>
        </w:tc>
        <w:tc>
          <w:tcPr>
            <w:tcW w:w="9080" w:type="dxa"/>
            <w:vAlign w:val="bottom"/>
            <w:shd w:val="clear" w:color="auto" w:fill="D5EEEE"/>
          </w:tcPr>
          <w:p>
            <w:pPr>
              <w:ind w:left="300"/>
              <w:spacing w:after="0" w:line="169" w:lineRule="exact"/>
              <w:rPr>
                <w:sz w:val="20"/>
                <w:szCs w:val="20"/>
                <w:color w:val="auto"/>
              </w:rPr>
            </w:pPr>
            <w:r>
              <w:rPr>
                <w:rFonts w:ascii="Times New Roman" w:cs="Times New Roman" w:eastAsia="Times New Roman" w:hAnsi="Times New Roman"/>
                <w:sz w:val="19"/>
                <w:szCs w:val="19"/>
                <w:color w:val="auto"/>
              </w:rPr>
              <w:t>List of Subsidiaries (incorporated by reference to Exhibit 21.1 to the Registrant’s Registration Statement on</w:t>
            </w:r>
          </w:p>
        </w:tc>
      </w:tr>
      <w:tr>
        <w:trPr>
          <w:trHeight w:val="301"/>
        </w:trPr>
        <w:tc>
          <w:tcPr>
            <w:tcW w:w="840" w:type="dxa"/>
            <w:vAlign w:val="bottom"/>
            <w:tcBorders>
              <w:bottom w:val="single" w:sz="8" w:color="D5EEEE"/>
            </w:tcBorders>
            <w:shd w:val="clear" w:color="auto" w:fill="D5EEEE"/>
          </w:tcPr>
          <w:p>
            <w:pPr>
              <w:spacing w:after="0"/>
              <w:rPr>
                <w:sz w:val="24"/>
                <w:szCs w:val="24"/>
                <w:color w:val="auto"/>
              </w:rPr>
            </w:pPr>
          </w:p>
        </w:tc>
        <w:tc>
          <w:tcPr>
            <w:tcW w:w="9080" w:type="dxa"/>
            <w:vAlign w:val="bottom"/>
            <w:tcBorders>
              <w:bottom w:val="single" w:sz="8" w:color="D5EEEE"/>
            </w:tcBorders>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Form S-1 (File No. 333-230745) filed with the SEC on April 5, 2019)</w:t>
            </w:r>
          </w:p>
        </w:tc>
      </w:tr>
      <w:tr>
        <w:trPr>
          <w:trHeight w:val="207"/>
        </w:trPr>
        <w:tc>
          <w:tcPr>
            <w:tcW w:w="8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23.1*</w:t>
            </w:r>
          </w:p>
        </w:tc>
        <w:tc>
          <w:tcPr>
            <w:tcW w:w="9080" w:type="dxa"/>
            <w:vAlign w:val="bottom"/>
          </w:tcPr>
          <w:p>
            <w:pPr>
              <w:ind w:left="300"/>
              <w:spacing w:after="0" w:line="207" w:lineRule="exact"/>
              <w:rPr>
                <w:sz w:val="20"/>
                <w:szCs w:val="20"/>
                <w:color w:val="auto"/>
              </w:rPr>
            </w:pPr>
            <w:r>
              <w:rPr>
                <w:rFonts w:ascii="Times New Roman" w:cs="Times New Roman" w:eastAsia="Times New Roman" w:hAnsi="Times New Roman"/>
                <w:sz w:val="20"/>
                <w:szCs w:val="20"/>
                <w:color w:val="auto"/>
              </w:rPr>
              <w:t>Consent of Ernst &amp; Young LLP, independent registered public accounting firm</w:t>
            </w:r>
          </w:p>
        </w:tc>
      </w:tr>
      <w:tr>
        <w:trPr>
          <w:trHeight w:val="169"/>
        </w:trPr>
        <w:tc>
          <w:tcPr>
            <w:tcW w:w="840" w:type="dxa"/>
            <w:vAlign w:val="bottom"/>
            <w:shd w:val="clear" w:color="auto" w:fill="D5EEEE"/>
          </w:tcPr>
          <w:p>
            <w:pPr>
              <w:spacing w:after="0" w:line="169" w:lineRule="exact"/>
              <w:rPr>
                <w:sz w:val="20"/>
                <w:szCs w:val="20"/>
                <w:color w:val="auto"/>
              </w:rPr>
            </w:pPr>
            <w:r>
              <w:rPr>
                <w:rFonts w:ascii="Times New Roman" w:cs="Times New Roman" w:eastAsia="Times New Roman" w:hAnsi="Times New Roman"/>
                <w:sz w:val="19"/>
                <w:szCs w:val="19"/>
                <w:color w:val="auto"/>
              </w:rPr>
              <w:t>31.1*</w:t>
            </w:r>
          </w:p>
        </w:tc>
        <w:tc>
          <w:tcPr>
            <w:tcW w:w="9080" w:type="dxa"/>
            <w:vAlign w:val="bottom"/>
            <w:shd w:val="clear" w:color="auto" w:fill="D5EEEE"/>
          </w:tcPr>
          <w:p>
            <w:pPr>
              <w:ind w:left="300"/>
              <w:spacing w:after="0" w:line="169" w:lineRule="exact"/>
              <w:rPr>
                <w:sz w:val="20"/>
                <w:szCs w:val="20"/>
                <w:color w:val="auto"/>
              </w:rPr>
            </w:pPr>
            <w:r>
              <w:rPr>
                <w:rFonts w:ascii="Times New Roman" w:cs="Times New Roman" w:eastAsia="Times New Roman" w:hAnsi="Times New Roman"/>
                <w:sz w:val="19"/>
                <w:szCs w:val="19"/>
                <w:color w:val="auto"/>
              </w:rPr>
              <w:t>Certification of Principal Executive Officer Pursuant to Rules 13a-14(a) and 15d-14(a) under the Securities</w:t>
            </w:r>
          </w:p>
        </w:tc>
      </w:tr>
      <w:tr>
        <w:trPr>
          <w:trHeight w:val="245"/>
        </w:trPr>
        <w:tc>
          <w:tcPr>
            <w:tcW w:w="840" w:type="dxa"/>
            <w:vAlign w:val="bottom"/>
            <w:shd w:val="clear" w:color="auto" w:fill="D5EEEE"/>
          </w:tcPr>
          <w:p>
            <w:pPr>
              <w:spacing w:after="0"/>
              <w:rPr>
                <w:sz w:val="21"/>
                <w:szCs w:val="21"/>
                <w:color w:val="auto"/>
              </w:rPr>
            </w:pPr>
          </w:p>
        </w:tc>
        <w:tc>
          <w:tcPr>
            <w:tcW w:w="9080" w:type="dxa"/>
            <w:vAlign w:val="bottom"/>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r>
      <w:tr>
        <w:trPr>
          <w:trHeight w:val="169"/>
        </w:trPr>
        <w:tc>
          <w:tcPr>
            <w:tcW w:w="8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auto"/>
              </w:rPr>
              <w:t>31.2*</w:t>
            </w:r>
          </w:p>
        </w:tc>
        <w:tc>
          <w:tcPr>
            <w:tcW w:w="9080" w:type="dxa"/>
            <w:vAlign w:val="bottom"/>
          </w:tcPr>
          <w:p>
            <w:pPr>
              <w:ind w:left="300"/>
              <w:spacing w:after="0" w:line="169" w:lineRule="exact"/>
              <w:rPr>
                <w:sz w:val="20"/>
                <w:szCs w:val="20"/>
                <w:color w:val="auto"/>
              </w:rPr>
            </w:pPr>
            <w:r>
              <w:rPr>
                <w:rFonts w:ascii="Times New Roman" w:cs="Times New Roman" w:eastAsia="Times New Roman" w:hAnsi="Times New Roman"/>
                <w:sz w:val="19"/>
                <w:szCs w:val="19"/>
                <w:color w:val="auto"/>
              </w:rPr>
              <w:t>Certification of Principal Financial Officer Pursuant to Rules 13a-14(a) and 15d-14(a) under the Securities</w:t>
            </w:r>
          </w:p>
        </w:tc>
      </w:tr>
      <w:tr>
        <w:trPr>
          <w:trHeight w:val="245"/>
        </w:trPr>
        <w:tc>
          <w:tcPr>
            <w:tcW w:w="840" w:type="dxa"/>
            <w:vAlign w:val="bottom"/>
          </w:tcPr>
          <w:p>
            <w:pPr>
              <w:spacing w:after="0"/>
              <w:rPr>
                <w:sz w:val="21"/>
                <w:szCs w:val="21"/>
                <w:color w:val="auto"/>
              </w:rPr>
            </w:pPr>
          </w:p>
        </w:tc>
        <w:tc>
          <w:tcPr>
            <w:tcW w:w="9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Exchange Act of 1934, as Adopted Pursuant to Section 302 of the Sarbanes-Oxley Act of 2002</w:t>
            </w:r>
          </w:p>
        </w:tc>
      </w:tr>
      <w:tr>
        <w:trPr>
          <w:trHeight w:val="186"/>
        </w:trPr>
        <w:tc>
          <w:tcPr>
            <w:tcW w:w="840" w:type="dxa"/>
            <w:vAlign w:val="bottom"/>
            <w:shd w:val="clear" w:color="auto" w:fill="D5EEEE"/>
          </w:tcPr>
          <w:p>
            <w:pPr>
              <w:spacing w:after="0" w:line="186" w:lineRule="exact"/>
              <w:rPr>
                <w:sz w:val="20"/>
                <w:szCs w:val="20"/>
                <w:color w:val="auto"/>
              </w:rPr>
            </w:pPr>
            <w:r>
              <w:rPr>
                <w:rFonts w:ascii="Times New Roman" w:cs="Times New Roman" w:eastAsia="Times New Roman" w:hAnsi="Times New Roman"/>
                <w:sz w:val="20"/>
                <w:szCs w:val="20"/>
                <w:color w:val="auto"/>
              </w:rPr>
              <w:t>32.1*</w:t>
            </w:r>
          </w:p>
        </w:tc>
        <w:tc>
          <w:tcPr>
            <w:tcW w:w="9080" w:type="dxa"/>
            <w:vAlign w:val="bottom"/>
            <w:shd w:val="clear" w:color="auto" w:fill="D5EEEE"/>
          </w:tcPr>
          <w:p>
            <w:pPr>
              <w:ind w:left="300"/>
              <w:spacing w:after="0" w:line="186" w:lineRule="exact"/>
              <w:rPr>
                <w:sz w:val="20"/>
                <w:szCs w:val="20"/>
                <w:color w:val="auto"/>
              </w:rPr>
            </w:pPr>
            <w:r>
              <w:rPr>
                <w:rFonts w:ascii="Times New Roman" w:cs="Times New Roman" w:eastAsia="Times New Roman" w:hAnsi="Times New Roman"/>
                <w:sz w:val="20"/>
                <w:szCs w:val="20"/>
                <w:color w:val="auto"/>
              </w:rPr>
              <w:t>Certification of Principal Executive Officer Pursuant to 18 U.S.C. Section 1350, as Adopted Pursuant to</w:t>
            </w:r>
          </w:p>
        </w:tc>
      </w:tr>
      <w:tr>
        <w:trPr>
          <w:trHeight w:val="247"/>
        </w:trPr>
        <w:tc>
          <w:tcPr>
            <w:tcW w:w="840" w:type="dxa"/>
            <w:vAlign w:val="bottom"/>
            <w:shd w:val="clear" w:color="auto" w:fill="D5EEEE"/>
          </w:tcPr>
          <w:p>
            <w:pPr>
              <w:spacing w:after="0"/>
              <w:rPr>
                <w:sz w:val="21"/>
                <w:szCs w:val="21"/>
                <w:color w:val="auto"/>
              </w:rPr>
            </w:pPr>
          </w:p>
        </w:tc>
        <w:tc>
          <w:tcPr>
            <w:tcW w:w="9080" w:type="dxa"/>
            <w:vAlign w:val="bottom"/>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186"/>
        </w:trPr>
        <w:tc>
          <w:tcPr>
            <w:tcW w:w="840" w:type="dxa"/>
            <w:vAlign w:val="bottom"/>
          </w:tcPr>
          <w:p>
            <w:pPr>
              <w:spacing w:after="0" w:line="186" w:lineRule="exact"/>
              <w:rPr>
                <w:sz w:val="20"/>
                <w:szCs w:val="20"/>
                <w:color w:val="auto"/>
              </w:rPr>
            </w:pPr>
            <w:r>
              <w:rPr>
                <w:rFonts w:ascii="Times New Roman" w:cs="Times New Roman" w:eastAsia="Times New Roman" w:hAnsi="Times New Roman"/>
                <w:sz w:val="20"/>
                <w:szCs w:val="20"/>
                <w:color w:val="auto"/>
              </w:rPr>
              <w:t>32.2*</w:t>
            </w:r>
          </w:p>
        </w:tc>
        <w:tc>
          <w:tcPr>
            <w:tcW w:w="9080" w:type="dxa"/>
            <w:vAlign w:val="bottom"/>
          </w:tcPr>
          <w:p>
            <w:pPr>
              <w:ind w:left="300"/>
              <w:spacing w:after="0" w:line="186" w:lineRule="exact"/>
              <w:rPr>
                <w:sz w:val="20"/>
                <w:szCs w:val="20"/>
                <w:color w:val="auto"/>
              </w:rPr>
            </w:pPr>
            <w:r>
              <w:rPr>
                <w:rFonts w:ascii="Times New Roman" w:cs="Times New Roman" w:eastAsia="Times New Roman" w:hAnsi="Times New Roman"/>
                <w:sz w:val="20"/>
                <w:szCs w:val="20"/>
                <w:color w:val="auto"/>
              </w:rPr>
              <w:t>Certification of Principal Financial Officer Pursuant to 18 U.S.C. Section 1350, as Adopted Pursuant to</w:t>
            </w:r>
          </w:p>
        </w:tc>
      </w:tr>
      <w:tr>
        <w:trPr>
          <w:trHeight w:val="247"/>
        </w:trPr>
        <w:tc>
          <w:tcPr>
            <w:tcW w:w="840" w:type="dxa"/>
            <w:vAlign w:val="bottom"/>
          </w:tcPr>
          <w:p>
            <w:pPr>
              <w:spacing w:after="0"/>
              <w:rPr>
                <w:sz w:val="21"/>
                <w:szCs w:val="21"/>
                <w:color w:val="auto"/>
              </w:rPr>
            </w:pPr>
          </w:p>
        </w:tc>
        <w:tc>
          <w:tcPr>
            <w:tcW w:w="90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0</wp:posOffset>
                </wp:positionV>
                <wp:extent cx="6309360" cy="27495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09360" cy="274955"/>
                        </a:xfrm>
                        <a:prstGeom prst="rect">
                          <a:avLst/>
                        </a:prstGeom>
                        <a:solidFill>
                          <a:srgbClr val="D5EEEE"/>
                        </a:solidFill>
                      </wps:spPr>
                      <wps:bodyPr/>
                    </wps:wsp>
                  </a:graphicData>
                </a:graphic>
              </wp:anchor>
            </w:drawing>
          </mc:Choice>
          <mc:Fallback>
            <w:pict>
              <v:rect id="Shape 16" o:spid="_x0000_s1041" style="position:absolute;margin-left:0pt;margin-top:0pt;width:496.8pt;height:21.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ind w:left="1148" w:right="440" w:hanging="1148"/>
        <w:spacing w:after="0" w:line="226" w:lineRule="auto"/>
        <w:tabs>
          <w:tab w:leader="none" w:pos="11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Dodd-Frank Compensation Recovery Policy (incorporated by reference to Exhibit 97 to the Registrant’s Annual Report on Form 10-K (File No. 001-38886) filed with the SEC on March 20, 2024)</w:t>
      </w:r>
    </w:p>
    <w:tbl>
      <w:tblPr>
        <w:tblLayout w:type="fixed"/>
        <w:tblInd w:w="8" w:type="dxa"/>
        <w:tblCellMar>
          <w:top w:w="0" w:type="dxa"/>
          <w:left w:w="0" w:type="dxa"/>
          <w:bottom w:w="0" w:type="dxa"/>
          <w:right w:w="0" w:type="dxa"/>
        </w:tblCellMar>
      </w:tblPr>
      <w:tr>
        <w:trPr>
          <w:trHeight w:val="217"/>
        </w:trPr>
        <w:tc>
          <w:tcPr>
            <w:tcW w:w="100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101.INS*</w:t>
            </w:r>
          </w:p>
        </w:tc>
        <w:tc>
          <w:tcPr>
            <w:tcW w:w="8920" w:type="dxa"/>
            <w:vAlign w:val="bottom"/>
          </w:tcPr>
          <w:p>
            <w:pPr>
              <w:ind w:left="140"/>
              <w:spacing w:after="0" w:line="217" w:lineRule="exact"/>
              <w:rPr>
                <w:sz w:val="20"/>
                <w:szCs w:val="20"/>
                <w:color w:val="auto"/>
              </w:rPr>
            </w:pPr>
            <w:r>
              <w:rPr>
                <w:rFonts w:ascii="Times New Roman" w:cs="Times New Roman" w:eastAsia="Times New Roman" w:hAnsi="Times New Roman"/>
                <w:sz w:val="20"/>
                <w:szCs w:val="20"/>
                <w:color w:val="auto"/>
              </w:rPr>
              <w:t>XBRL Instance Document</w:t>
            </w:r>
          </w:p>
        </w:tc>
      </w:tr>
      <w:tr>
        <w:trPr>
          <w:trHeight w:val="217"/>
        </w:trPr>
        <w:tc>
          <w:tcPr>
            <w:tcW w:w="1000" w:type="dxa"/>
            <w:vAlign w:val="bottom"/>
            <w:shd w:val="clear" w:color="auto" w:fill="D5EEEE"/>
          </w:tcPr>
          <w:p>
            <w:pPr>
              <w:spacing w:after="0" w:line="217" w:lineRule="exact"/>
              <w:rPr>
                <w:sz w:val="20"/>
                <w:szCs w:val="20"/>
                <w:color w:val="auto"/>
              </w:rPr>
            </w:pPr>
            <w:r>
              <w:rPr>
                <w:rFonts w:ascii="Times New Roman" w:cs="Times New Roman" w:eastAsia="Times New Roman" w:hAnsi="Times New Roman"/>
                <w:sz w:val="20"/>
                <w:szCs w:val="20"/>
                <w:color w:val="auto"/>
              </w:rPr>
              <w:t>101.SCH*</w:t>
            </w:r>
          </w:p>
        </w:tc>
        <w:tc>
          <w:tcPr>
            <w:tcW w:w="8920" w:type="dxa"/>
            <w:vAlign w:val="bottom"/>
            <w:shd w:val="clear" w:color="auto" w:fill="D5EEEE"/>
          </w:tcPr>
          <w:p>
            <w:pPr>
              <w:ind w:left="140"/>
              <w:spacing w:after="0" w:line="217" w:lineRule="exact"/>
              <w:rPr>
                <w:sz w:val="20"/>
                <w:szCs w:val="20"/>
                <w:color w:val="auto"/>
              </w:rPr>
            </w:pPr>
            <w:r>
              <w:rPr>
                <w:rFonts w:ascii="Times New Roman" w:cs="Times New Roman" w:eastAsia="Times New Roman" w:hAnsi="Times New Roman"/>
                <w:sz w:val="20"/>
                <w:szCs w:val="20"/>
                <w:color w:val="auto"/>
              </w:rPr>
              <w:t>XBRL Taxonomy Extension Schema Document</w:t>
            </w:r>
          </w:p>
        </w:tc>
      </w:tr>
      <w:tr>
        <w:trPr>
          <w:trHeight w:val="217"/>
        </w:trPr>
        <w:tc>
          <w:tcPr>
            <w:tcW w:w="100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101.CAL*</w:t>
            </w:r>
          </w:p>
        </w:tc>
        <w:tc>
          <w:tcPr>
            <w:tcW w:w="8920" w:type="dxa"/>
            <w:vAlign w:val="bottom"/>
          </w:tcPr>
          <w:p>
            <w:pPr>
              <w:ind w:left="140"/>
              <w:spacing w:after="0" w:line="217" w:lineRule="exact"/>
              <w:rPr>
                <w:sz w:val="20"/>
                <w:szCs w:val="20"/>
                <w:color w:val="auto"/>
              </w:rPr>
            </w:pPr>
            <w:r>
              <w:rPr>
                <w:rFonts w:ascii="Times New Roman" w:cs="Times New Roman" w:eastAsia="Times New Roman" w:hAnsi="Times New Roman"/>
                <w:sz w:val="20"/>
                <w:szCs w:val="20"/>
                <w:color w:val="auto"/>
              </w:rPr>
              <w:t>XBRL Taxonomy Extension Calculation Linkbase Document</w:t>
            </w:r>
          </w:p>
        </w:tc>
      </w:tr>
      <w:tr>
        <w:trPr>
          <w:trHeight w:val="217"/>
        </w:trPr>
        <w:tc>
          <w:tcPr>
            <w:tcW w:w="1000" w:type="dxa"/>
            <w:vAlign w:val="bottom"/>
            <w:shd w:val="clear" w:color="auto" w:fill="D5EEEE"/>
          </w:tcPr>
          <w:p>
            <w:pPr>
              <w:spacing w:after="0" w:line="217" w:lineRule="exact"/>
              <w:rPr>
                <w:sz w:val="20"/>
                <w:szCs w:val="20"/>
                <w:color w:val="auto"/>
              </w:rPr>
            </w:pPr>
            <w:r>
              <w:rPr>
                <w:rFonts w:ascii="Times New Roman" w:cs="Times New Roman" w:eastAsia="Times New Roman" w:hAnsi="Times New Roman"/>
                <w:sz w:val="20"/>
                <w:szCs w:val="20"/>
                <w:color w:val="auto"/>
              </w:rPr>
              <w:t>101.DEF*</w:t>
            </w:r>
          </w:p>
        </w:tc>
        <w:tc>
          <w:tcPr>
            <w:tcW w:w="8920" w:type="dxa"/>
            <w:vAlign w:val="bottom"/>
            <w:shd w:val="clear" w:color="auto" w:fill="D5EEEE"/>
          </w:tcPr>
          <w:p>
            <w:pPr>
              <w:ind w:left="140"/>
              <w:spacing w:after="0" w:line="217" w:lineRule="exact"/>
              <w:rPr>
                <w:sz w:val="20"/>
                <w:szCs w:val="20"/>
                <w:color w:val="auto"/>
              </w:rPr>
            </w:pPr>
            <w:r>
              <w:rPr>
                <w:rFonts w:ascii="Times New Roman" w:cs="Times New Roman" w:eastAsia="Times New Roman" w:hAnsi="Times New Roman"/>
                <w:sz w:val="20"/>
                <w:szCs w:val="20"/>
                <w:color w:val="auto"/>
              </w:rPr>
              <w:t>XBRL Taxonomy Extension Definition Linkbase Document</w:t>
            </w:r>
          </w:p>
        </w:tc>
      </w:tr>
      <w:tr>
        <w:trPr>
          <w:trHeight w:val="217"/>
        </w:trPr>
        <w:tc>
          <w:tcPr>
            <w:tcW w:w="100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101.LAB*</w:t>
            </w:r>
          </w:p>
        </w:tc>
        <w:tc>
          <w:tcPr>
            <w:tcW w:w="8920" w:type="dxa"/>
            <w:vAlign w:val="bottom"/>
          </w:tcPr>
          <w:p>
            <w:pPr>
              <w:ind w:left="140"/>
              <w:spacing w:after="0" w:line="217" w:lineRule="exact"/>
              <w:rPr>
                <w:sz w:val="20"/>
                <w:szCs w:val="20"/>
                <w:color w:val="auto"/>
              </w:rPr>
            </w:pPr>
            <w:r>
              <w:rPr>
                <w:rFonts w:ascii="Times New Roman" w:cs="Times New Roman" w:eastAsia="Times New Roman" w:hAnsi="Times New Roman"/>
                <w:sz w:val="20"/>
                <w:szCs w:val="20"/>
                <w:color w:val="auto"/>
              </w:rPr>
              <w:t>XBRL Taxonomy Extension Label Linkbase Document</w:t>
            </w:r>
          </w:p>
        </w:tc>
      </w:tr>
      <w:tr>
        <w:trPr>
          <w:trHeight w:val="217"/>
        </w:trPr>
        <w:tc>
          <w:tcPr>
            <w:tcW w:w="1000" w:type="dxa"/>
            <w:vAlign w:val="bottom"/>
            <w:shd w:val="clear" w:color="auto" w:fill="D5EEEE"/>
          </w:tcPr>
          <w:p>
            <w:pPr>
              <w:spacing w:after="0" w:line="217" w:lineRule="exact"/>
              <w:rPr>
                <w:sz w:val="20"/>
                <w:szCs w:val="20"/>
                <w:color w:val="auto"/>
              </w:rPr>
            </w:pPr>
            <w:r>
              <w:rPr>
                <w:rFonts w:ascii="Times New Roman" w:cs="Times New Roman" w:eastAsia="Times New Roman" w:hAnsi="Times New Roman"/>
                <w:sz w:val="20"/>
                <w:szCs w:val="20"/>
                <w:color w:val="auto"/>
              </w:rPr>
              <w:t>101.PRE*</w:t>
            </w:r>
          </w:p>
        </w:tc>
        <w:tc>
          <w:tcPr>
            <w:tcW w:w="8920" w:type="dxa"/>
            <w:vAlign w:val="bottom"/>
            <w:shd w:val="clear" w:color="auto" w:fill="D5EEEE"/>
          </w:tcPr>
          <w:p>
            <w:pPr>
              <w:ind w:left="140"/>
              <w:spacing w:after="0" w:line="217" w:lineRule="exact"/>
              <w:rPr>
                <w:sz w:val="20"/>
                <w:szCs w:val="20"/>
                <w:color w:val="auto"/>
              </w:rPr>
            </w:pPr>
            <w:r>
              <w:rPr>
                <w:rFonts w:ascii="Times New Roman" w:cs="Times New Roman" w:eastAsia="Times New Roman" w:hAnsi="Times New Roman"/>
                <w:sz w:val="20"/>
                <w:szCs w:val="20"/>
                <w:color w:val="auto"/>
              </w:rPr>
              <w:t>XBRL Taxonomy Extension Presentation Linkbase Document</w:t>
            </w:r>
          </w:p>
        </w:tc>
      </w:tr>
      <w:tr>
        <w:trPr>
          <w:trHeight w:val="268"/>
        </w:trPr>
        <w:tc>
          <w:tcPr>
            <w:tcW w:w="100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89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104 Cover Page Interactive Data File (formatted as Inline XBRL and contained in Exhibit 101)</w:t>
            </w:r>
          </w:p>
        </w:tc>
      </w:tr>
    </w:tbl>
    <w:p>
      <w:pPr>
        <w:spacing w:after="0" w:line="200" w:lineRule="exact"/>
        <w:rPr>
          <w:sz w:val="20"/>
          <w:szCs w:val="20"/>
          <w:color w:val="auto"/>
        </w:rPr>
      </w:pPr>
    </w:p>
    <w:p>
      <w:pPr>
        <w:sectPr>
          <w:pgSz w:w="12240" w:h="15840" w:orient="portrait"/>
          <w:cols w:equalWidth="0" w:num="1">
            <w:col w:w="9928"/>
          </w:cols>
          <w:pgMar w:left="1152" w:top="1108" w:right="1160" w:bottom="175" w:gutter="0" w:footer="0" w:header="0"/>
        </w:sectPr>
      </w:pPr>
    </w:p>
    <w:p>
      <w:pPr>
        <w:spacing w:after="0" w:line="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9928"/>
          </w:cols>
          <w:pgMar w:left="1152" w:top="1108" w:right="1160" w:bottom="175" w:gutter="0" w:footer="0" w:header="0"/>
          <w:type w:val="continuous"/>
        </w:sectPr>
      </w:pPr>
    </w:p>
    <w:bookmarkStart w:id="100" w:name="page101"/>
    <w:bookmarkEnd w:id="100"/>
    <w:p>
      <w:pPr>
        <w:ind w:left="8"/>
        <w:spacing w:after="0"/>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731520</wp:posOffset>
                </wp:positionH>
                <wp:positionV relativeFrom="page">
                  <wp:posOffset>835025</wp:posOffset>
                </wp:positionV>
                <wp:extent cx="128016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0160" cy="4763"/>
                        </a:xfrm>
                        <a:prstGeom prst="line">
                          <a:avLst/>
                        </a:prstGeom>
                        <a:solidFill>
                          <a:srgbClr val="FFFFFF"/>
                        </a:solidFill>
                        <a:ln w="635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7.6pt,65.75pt" to="158.4pt,65.75pt" o:allowincell="f" strokecolor="#000000" strokeweight="0.5pt">
                <w10:wrap anchorx="page" anchory="page"/>
              </v:line>
            </w:pict>
          </mc:Fallback>
        </mc:AlternateContent>
        <w:t>* Filed herewith.</w:t>
      </w:r>
    </w:p>
    <w:p>
      <w:pPr>
        <w:spacing w:after="0" w:line="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 Management contract or compensatory plan or arrangement.</w:t>
      </w:r>
    </w:p>
    <w:p>
      <w:pPr>
        <w:spacing w:after="0" w:line="17" w:lineRule="exact"/>
        <w:rPr>
          <w:sz w:val="20"/>
          <w:szCs w:val="20"/>
          <w:color w:val="auto"/>
        </w:rPr>
      </w:pPr>
    </w:p>
    <w:p>
      <w:pPr>
        <w:ind w:left="488" w:hanging="488"/>
        <w:spacing w:after="0" w:line="236" w:lineRule="auto"/>
        <w:tabs>
          <w:tab w:leader="none" w:pos="1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treatment has been granted as to certain portions, which portions have been omitted and filed separately with the Securities and Exchange Commission.</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4"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908"/>
          </w:cols>
          <w:pgMar w:left="1152" w:top="1321" w:right="118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9908"/>
          </w:cols>
          <w:pgMar w:left="1152" w:top="1321" w:right="1180" w:bottom="175"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4" w:lineRule="exact"/>
        <w:rPr>
          <w:sz w:val="20"/>
          <w:szCs w:val="20"/>
          <w:color w:val="auto"/>
        </w:rPr>
      </w:pPr>
    </w:p>
    <w:p>
      <w:pPr>
        <w:ind w:right="740" w:firstLine="49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21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TREVI THERAPEUTICS, INC.</w:t>
      </w:r>
    </w:p>
    <w:p>
      <w:pPr>
        <w:spacing w:after="0" w:line="260" w:lineRule="exact"/>
        <w:rPr>
          <w:sz w:val="20"/>
          <w:szCs w:val="20"/>
          <w:color w:val="auto"/>
        </w:rPr>
      </w:pPr>
    </w:p>
    <w:p>
      <w:pPr>
        <w:spacing w:after="0"/>
        <w:tabs>
          <w:tab w:leader="none" w:pos="4980" w:val="left"/>
          <w:tab w:leader="none" w:pos="6800" w:val="left"/>
        </w:tabs>
        <w:rPr>
          <w:sz w:val="20"/>
          <w:szCs w:val="20"/>
          <w:color w:val="auto"/>
        </w:rPr>
      </w:pPr>
      <w:r>
        <w:rPr>
          <w:rFonts w:ascii="Times New Roman" w:cs="Times New Roman" w:eastAsia="Times New Roman" w:hAnsi="Times New Roman"/>
          <w:sz w:val="20"/>
          <w:szCs w:val="20"/>
          <w:color w:val="auto"/>
        </w:rPr>
        <w:t>Date: March 17,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Jennifer L. Good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3376930</wp:posOffset>
                </wp:positionH>
                <wp:positionV relativeFrom="paragraph">
                  <wp:posOffset>13335</wp:posOffset>
                </wp:positionV>
                <wp:extent cx="292735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7350" cy="4763"/>
                        </a:xfrm>
                        <a:prstGeom prst="line">
                          <a:avLst/>
                        </a:prstGeom>
                        <a:solidFill>
                          <a:srgbClr val="FFFFFF"/>
                        </a:solidFill>
                        <a:ln w="3175">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5.9pt,1.05pt" to="496.4pt,1.05pt" o:allowincell="f" strokecolor="#000000" strokeweight="0.25pt"/>
            </w:pict>
          </mc:Fallback>
        </mc:AlternateContent>
      </w:r>
    </w:p>
    <w:p>
      <w:pPr>
        <w:spacing w:after="0" w:line="16"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20"/>
          <w:szCs w:val="20"/>
          <w:b w:val="1"/>
          <w:bCs w:val="1"/>
          <w:color w:val="auto"/>
        </w:rPr>
        <w:t>Jennifer L. Good</w:t>
      </w:r>
    </w:p>
    <w:p>
      <w:pPr>
        <w:spacing w:after="0" w:line="24"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20"/>
          <w:szCs w:val="20"/>
          <w:b w:val="1"/>
          <w:bCs w:val="1"/>
          <w:color w:val="auto"/>
        </w:rPr>
        <w:t>President and Chief Executive Officer</w:t>
      </w:r>
    </w:p>
    <w:p>
      <w:pPr>
        <w:spacing w:after="0" w:line="251" w:lineRule="exact"/>
        <w:rPr>
          <w:sz w:val="20"/>
          <w:szCs w:val="20"/>
          <w:color w:val="auto"/>
        </w:rPr>
      </w:pPr>
    </w:p>
    <w:p>
      <w:pPr>
        <w:ind w:right="80" w:firstLine="490"/>
        <w:spacing w:after="0" w:line="277"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00" w:type="dxa"/>
            <w:vAlign w:val="bottom"/>
          </w:tcPr>
          <w:p>
            <w:pPr>
              <w:spacing w:after="0"/>
              <w:rPr>
                <w:sz w:val="17"/>
                <w:szCs w:val="17"/>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00" w:type="dxa"/>
            <w:vAlign w:val="bottom"/>
          </w:tcPr>
          <w:p>
            <w:pPr>
              <w:spacing w:after="0"/>
              <w:rPr>
                <w:sz w:val="17"/>
                <w:szCs w:val="17"/>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353"/>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Jennifer L. Good</w:t>
            </w:r>
          </w:p>
        </w:tc>
        <w:tc>
          <w:tcPr>
            <w:tcW w:w="1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President and Chief Executive Officer, Director</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17, 2026</w:t>
            </w:r>
          </w:p>
        </w:tc>
      </w:tr>
      <w:tr>
        <w:trPr>
          <w:trHeight w:val="259"/>
        </w:trPr>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Jennifer L. Good</w:t>
            </w:r>
          </w:p>
        </w:tc>
        <w:tc>
          <w:tcPr>
            <w:tcW w:w="100" w:type="dxa"/>
            <w:vAlign w:val="bottom"/>
          </w:tcPr>
          <w:p>
            <w:pPr>
              <w:spacing w:after="0"/>
              <w:rPr>
                <w:sz w:val="22"/>
                <w:szCs w:val="22"/>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46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David C. Hastings</w:t>
            </w:r>
          </w:p>
        </w:tc>
        <w:tc>
          <w:tcPr>
            <w:tcW w:w="1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17, 2026</w:t>
            </w:r>
          </w:p>
        </w:tc>
      </w:tr>
      <w:tr>
        <w:trPr>
          <w:trHeight w:val="259"/>
        </w:trPr>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David C. Hastings</w:t>
            </w:r>
          </w:p>
        </w:tc>
        <w:tc>
          <w:tcPr>
            <w:tcW w:w="100" w:type="dxa"/>
            <w:vAlign w:val="bottom"/>
          </w:tcPr>
          <w:p>
            <w:pPr>
              <w:spacing w:after="0"/>
              <w:rPr>
                <w:sz w:val="22"/>
                <w:szCs w:val="22"/>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46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Christopher Galletta</w:t>
            </w:r>
          </w:p>
        </w:tc>
        <w:tc>
          <w:tcPr>
            <w:tcW w:w="1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Controller</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17, 2026</w:t>
            </w:r>
          </w:p>
        </w:tc>
      </w:tr>
      <w:tr>
        <w:trPr>
          <w:trHeight w:val="259"/>
        </w:trPr>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Christopher Galletta</w:t>
            </w:r>
          </w:p>
        </w:tc>
        <w:tc>
          <w:tcPr>
            <w:tcW w:w="100" w:type="dxa"/>
            <w:vAlign w:val="bottom"/>
          </w:tcPr>
          <w:p>
            <w:pPr>
              <w:spacing w:after="0"/>
              <w:rPr>
                <w:sz w:val="22"/>
                <w:szCs w:val="22"/>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(Principal Accounting Officer)</w:t>
            </w: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462"/>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David Meeker, M.D.</w:t>
            </w:r>
          </w:p>
        </w:tc>
        <w:tc>
          <w:tcPr>
            <w:tcW w:w="1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Chairman of the Board</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17, 2026</w:t>
            </w:r>
          </w:p>
        </w:tc>
      </w:tr>
      <w:tr>
        <w:trPr>
          <w:trHeight w:val="259"/>
        </w:trPr>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David Meeker, M.D.</w:t>
            </w:r>
          </w:p>
        </w:tc>
        <w:tc>
          <w:tcPr>
            <w:tcW w:w="10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646"/>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Dominick Colangelo</w:t>
            </w:r>
          </w:p>
        </w:tc>
        <w:tc>
          <w:tcPr>
            <w:tcW w:w="1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17, 2026</w:t>
            </w:r>
          </w:p>
        </w:tc>
      </w:tr>
      <w:tr>
        <w:trPr>
          <w:trHeight w:val="259"/>
        </w:trPr>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Dominick Colangelo</w:t>
            </w:r>
          </w:p>
        </w:tc>
        <w:tc>
          <w:tcPr>
            <w:tcW w:w="10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554"/>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Michael Heffernan</w:t>
            </w:r>
          </w:p>
        </w:tc>
        <w:tc>
          <w:tcPr>
            <w:tcW w:w="1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17, 2026</w:t>
            </w:r>
          </w:p>
        </w:tc>
      </w:tr>
      <w:tr>
        <w:trPr>
          <w:trHeight w:val="259"/>
        </w:trPr>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Michael Heffernan</w:t>
            </w:r>
          </w:p>
        </w:tc>
        <w:tc>
          <w:tcPr>
            <w:tcW w:w="10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554"/>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Edward Mathers</w:t>
            </w:r>
          </w:p>
        </w:tc>
        <w:tc>
          <w:tcPr>
            <w:tcW w:w="1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17, 2026</w:t>
            </w:r>
          </w:p>
        </w:tc>
      </w:tr>
      <w:tr>
        <w:trPr>
          <w:trHeight w:val="259"/>
        </w:trPr>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Edward Mathers</w:t>
            </w:r>
          </w:p>
        </w:tc>
        <w:tc>
          <w:tcPr>
            <w:tcW w:w="10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554"/>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Anne VanLent</w:t>
            </w:r>
          </w:p>
        </w:tc>
        <w:tc>
          <w:tcPr>
            <w:tcW w:w="100" w:type="dxa"/>
            <w:vAlign w:val="bottom"/>
          </w:tcPr>
          <w:p>
            <w:pPr>
              <w:spacing w:after="0"/>
              <w:rPr>
                <w:sz w:val="24"/>
                <w:szCs w:val="2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March 17, 2026</w:t>
            </w:r>
          </w:p>
        </w:tc>
      </w:tr>
      <w:tr>
        <w:trPr>
          <w:trHeight w:val="259"/>
        </w:trPr>
        <w:tc>
          <w:tcPr>
            <w:tcW w:w="3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Anne VanLent</w:t>
            </w:r>
          </w:p>
        </w:tc>
        <w:tc>
          <w:tcPr>
            <w:tcW w:w="10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r>
    </w:tbl>
    <w:p>
      <w:pPr>
        <w:spacing w:after="0" w:line="200" w:lineRule="exact"/>
        <w:rPr>
          <w:sz w:val="20"/>
          <w:szCs w:val="20"/>
          <w:color w:val="auto"/>
        </w:rPr>
      </w:pPr>
    </w:p>
    <w:p>
      <w:pPr>
        <w:sectPr>
          <w:pgSz w:w="12240" w:h="15840" w:orient="portrait"/>
          <w:cols w:equalWidth="0" w:num="1">
            <w:col w:w="9920"/>
          </w:cols>
          <w:pgMar w:left="1160" w:top="1128"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9920"/>
          </w:cols>
          <w:pgMar w:left="1160" w:top="1128" w:right="1160" w:bottom="175" w:gutter="0" w:footer="0" w:header="0"/>
          <w:type w:val="continuous"/>
        </w:sectPr>
      </w:pPr>
    </w:p>
    <w:bookmarkStart w:id="102" w:name="page103"/>
    <w:bookmarkEnd w:id="102"/>
    <w:p>
      <w:pPr>
        <w:ind w:left="3640"/>
        <w:spacing w:after="0"/>
        <w:rPr>
          <w:sz w:val="20"/>
          <w:szCs w:val="20"/>
          <w:color w:val="auto"/>
        </w:rPr>
      </w:pPr>
      <w:r>
        <w:rPr>
          <w:rFonts w:ascii="Times New Roman" w:cs="Times New Roman" w:eastAsia="Times New Roman" w:hAnsi="Times New Roman"/>
          <w:sz w:val="20"/>
          <w:szCs w:val="20"/>
          <w:b w:val="1"/>
          <w:bCs w:val="1"/>
          <w:color w:val="auto"/>
        </w:rPr>
        <w:t>Trevi Therapeutics, Inc.</w:t>
      </w:r>
    </w:p>
    <w:p>
      <w:pPr>
        <w:spacing w:after="0" w:line="12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12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Years Ended December 31, 2025 and 2024</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Contents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2460" w:type="dxa"/>
            <w:vAlign w:val="bottom"/>
            <w:shd w:val="clear" w:color="auto" w:fill="D5EEEE"/>
          </w:tcPr>
          <w:p>
            <w:pPr>
              <w:ind w:left="2200"/>
              <w:spacing w:after="0"/>
              <w:rPr>
                <w:sz w:val="20"/>
                <w:szCs w:val="20"/>
                <w:color w:val="auto"/>
              </w:rPr>
            </w:pPr>
            <w:r>
              <w:rPr>
                <w:rFonts w:ascii="Times New Roman" w:cs="Times New Roman" w:eastAsia="Times New Roman" w:hAnsi="Times New Roman"/>
                <w:sz w:val="20"/>
                <w:szCs w:val="20"/>
                <w:color w:val="auto"/>
                <w:w w:val="86"/>
              </w:rPr>
              <w:t>F-2</w:t>
            </w:r>
          </w:p>
        </w:tc>
      </w:tr>
      <w:tr>
        <w:trPr>
          <w:trHeight w:val="475"/>
        </w:trPr>
        <w:tc>
          <w:tcPr>
            <w:tcW w:w="686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Consolidated Financial Statements</w:t>
            </w:r>
          </w:p>
        </w:tc>
        <w:tc>
          <w:tcPr>
            <w:tcW w:w="2460" w:type="dxa"/>
            <w:vAlign w:val="bottom"/>
          </w:tcPr>
          <w:p>
            <w:pPr>
              <w:spacing w:after="0"/>
              <w:rPr>
                <w:sz w:val="24"/>
                <w:szCs w:val="24"/>
                <w:color w:val="auto"/>
              </w:rPr>
            </w:pPr>
          </w:p>
        </w:tc>
      </w:tr>
      <w:tr>
        <w:trPr>
          <w:trHeight w:val="230"/>
        </w:trPr>
        <w:tc>
          <w:tcPr>
            <w:tcW w:w="68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2460" w:type="dxa"/>
            <w:vAlign w:val="bottom"/>
            <w:shd w:val="clear" w:color="auto" w:fill="D5EEEE"/>
          </w:tcPr>
          <w:p>
            <w:pPr>
              <w:ind w:left="2200"/>
              <w:spacing w:after="0"/>
              <w:rPr>
                <w:sz w:val="20"/>
                <w:szCs w:val="20"/>
                <w:color w:val="auto"/>
              </w:rPr>
            </w:pPr>
            <w:r>
              <w:rPr>
                <w:rFonts w:ascii="Times New Roman" w:cs="Times New Roman" w:eastAsia="Times New Roman" w:hAnsi="Times New Roman"/>
                <w:sz w:val="20"/>
                <w:szCs w:val="20"/>
                <w:color w:val="auto"/>
                <w:w w:val="86"/>
              </w:rPr>
              <w:t>F-4</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w:t>
            </w:r>
          </w:p>
        </w:tc>
        <w:tc>
          <w:tcPr>
            <w:tcW w:w="2460" w:type="dxa"/>
            <w:vAlign w:val="bottom"/>
          </w:tcPr>
          <w:p>
            <w:pPr>
              <w:ind w:left="2200"/>
              <w:spacing w:after="0"/>
              <w:rPr>
                <w:sz w:val="20"/>
                <w:szCs w:val="20"/>
                <w:color w:val="auto"/>
              </w:rPr>
            </w:pPr>
            <w:r>
              <w:rPr>
                <w:rFonts w:ascii="Times New Roman" w:cs="Times New Roman" w:eastAsia="Times New Roman" w:hAnsi="Times New Roman"/>
                <w:sz w:val="20"/>
                <w:szCs w:val="20"/>
                <w:color w:val="auto"/>
                <w:w w:val="86"/>
              </w:rPr>
              <w:t>F-5</w:t>
            </w:r>
          </w:p>
        </w:tc>
      </w:tr>
      <w:tr>
        <w:trPr>
          <w:trHeight w:val="230"/>
        </w:trPr>
        <w:tc>
          <w:tcPr>
            <w:tcW w:w="68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w:t>
            </w:r>
          </w:p>
        </w:tc>
        <w:tc>
          <w:tcPr>
            <w:tcW w:w="2460" w:type="dxa"/>
            <w:vAlign w:val="bottom"/>
            <w:shd w:val="clear" w:color="auto" w:fill="D5EEEE"/>
          </w:tcPr>
          <w:p>
            <w:pPr>
              <w:ind w:left="2200"/>
              <w:spacing w:after="0"/>
              <w:rPr>
                <w:sz w:val="20"/>
                <w:szCs w:val="20"/>
                <w:color w:val="auto"/>
              </w:rPr>
            </w:pPr>
            <w:r>
              <w:rPr>
                <w:rFonts w:ascii="Times New Roman" w:cs="Times New Roman" w:eastAsia="Times New Roman" w:hAnsi="Times New Roman"/>
                <w:sz w:val="20"/>
                <w:szCs w:val="20"/>
                <w:color w:val="auto"/>
                <w:w w:val="86"/>
              </w:rPr>
              <w:t>F-6</w:t>
            </w: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2460" w:type="dxa"/>
            <w:vAlign w:val="bottom"/>
          </w:tcPr>
          <w:p>
            <w:pPr>
              <w:ind w:left="2200"/>
              <w:spacing w:after="0"/>
              <w:rPr>
                <w:sz w:val="20"/>
                <w:szCs w:val="20"/>
                <w:color w:val="auto"/>
              </w:rPr>
            </w:pPr>
            <w:r>
              <w:rPr>
                <w:rFonts w:ascii="Times New Roman" w:cs="Times New Roman" w:eastAsia="Times New Roman" w:hAnsi="Times New Roman"/>
                <w:sz w:val="20"/>
                <w:szCs w:val="20"/>
                <w:color w:val="auto"/>
                <w:w w:val="86"/>
              </w:rPr>
              <w:t>F-7</w:t>
            </w:r>
          </w:p>
        </w:tc>
      </w:tr>
      <w:tr>
        <w:trPr>
          <w:trHeight w:val="230"/>
        </w:trPr>
        <w:tc>
          <w:tcPr>
            <w:tcW w:w="68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2460" w:type="dxa"/>
            <w:vAlign w:val="bottom"/>
            <w:shd w:val="clear" w:color="auto" w:fill="D5EEEE"/>
          </w:tcPr>
          <w:p>
            <w:pPr>
              <w:ind w:left="2200"/>
              <w:spacing w:after="0"/>
              <w:rPr>
                <w:sz w:val="20"/>
                <w:szCs w:val="20"/>
                <w:color w:val="auto"/>
              </w:rPr>
            </w:pPr>
            <w:r>
              <w:rPr>
                <w:rFonts w:ascii="Times New Roman" w:cs="Times New Roman" w:eastAsia="Times New Roman" w:hAnsi="Times New Roman"/>
                <w:sz w:val="20"/>
                <w:szCs w:val="20"/>
                <w:color w:val="auto"/>
                <w:w w:val="86"/>
              </w:rPr>
              <w:t>F-8</w:t>
            </w:r>
          </w:p>
        </w:tc>
      </w:tr>
    </w:tbl>
    <w:p>
      <w:pPr>
        <w:spacing w:after="0" w:line="200" w:lineRule="exact"/>
        <w:rPr>
          <w:sz w:val="20"/>
          <w:szCs w:val="20"/>
          <w:color w:val="auto"/>
        </w:rPr>
      </w:pPr>
    </w:p>
    <w:p>
      <w:pPr>
        <w:sectPr>
          <w:pgSz w:w="12240" w:h="15840" w:orient="portrait"/>
          <w:cols w:equalWidth="0" w:num="1">
            <w:col w:w="9360"/>
          </w:cols>
          <w:pgMar w:left="1440" w:top="1128" w:right="14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360"/>
          </w:cols>
          <w:pgMar w:left="1440" w:top="1128" w:right="1440" w:bottom="175" w:gutter="0" w:footer="0" w:header="0"/>
          <w:type w:val="continuous"/>
        </w:sectPr>
      </w:pPr>
    </w:p>
    <w:bookmarkStart w:id="103" w:name="page104"/>
    <w:bookmarkEnd w:id="103"/>
    <w:p>
      <w:pPr>
        <w:ind w:left="24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Trevi Therapeutics,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Trevi Therapeutics, Inc. (the Company) as of December 31, 2025 and 2024, the related consolidated statements of comprehensive loss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8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1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 – Contract research organizations costs</w:t>
      </w:r>
    </w:p>
    <w:p>
      <w:pPr>
        <w:spacing w:after="0" w:line="158" w:lineRule="exact"/>
        <w:rPr>
          <w:sz w:val="20"/>
          <w:szCs w:val="20"/>
          <w:color w:val="auto"/>
        </w:rPr>
      </w:pPr>
    </w:p>
    <w:p>
      <w:pPr>
        <w:ind w:left="2400" w:right="100" w:hanging="2393"/>
        <w:spacing w:after="0" w:line="266" w:lineRule="auto"/>
        <w:tabs>
          <w:tab w:leader="none" w:pos="2380" w:val="left"/>
        </w:tabs>
        <w:rPr>
          <w:sz w:val="20"/>
          <w:szCs w:val="20"/>
          <w:color w:val="auto"/>
        </w:rPr>
      </w:pPr>
      <w:r>
        <w:rPr>
          <w:rFonts w:ascii="Times New Roman" w:cs="Times New Roman" w:eastAsia="Times New Roman" w:hAnsi="Times New Roman"/>
          <w:sz w:val="20"/>
          <w:szCs w:val="20"/>
          <w:i w:val="1"/>
          <w:iCs w:val="1"/>
          <w:color w:val="auto"/>
        </w:rPr>
        <w:t>Description of the Matter</w:t>
      </w:r>
      <w:r>
        <w:rPr>
          <w:sz w:val="20"/>
          <w:szCs w:val="20"/>
          <w:color w:val="auto"/>
        </w:rPr>
        <w:tab/>
      </w:r>
      <w:r>
        <w:rPr>
          <w:rFonts w:ascii="Times New Roman" w:cs="Times New Roman" w:eastAsia="Times New Roman" w:hAnsi="Times New Roman"/>
          <w:sz w:val="20"/>
          <w:szCs w:val="20"/>
          <w:color w:val="auto"/>
        </w:rPr>
        <w:t>As discussed in Note 2 to the consolidated financial statements, research and development costs are expensed as incurred. Research and development expenses include work performed by third party contract research organizations (“CROs”). These expenses are estimated based on the level of services performed, progress of the studies, including the phase or completion of events and contracted costs.</w:t>
      </w:r>
    </w:p>
    <w:p>
      <w:pPr>
        <w:sectPr>
          <w:pgSz w:w="12240" w:h="15840" w:orient="portrait"/>
          <w:cols w:equalWidth="0" w:num="1">
            <w:col w:w="9940"/>
          </w:cols>
          <w:pgMar w:left="1160" w:top="1128" w:right="114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940"/>
          </w:cols>
          <w:pgMar w:left="1160" w:top="1128" w:right="1140" w:bottom="175" w:gutter="0" w:footer="0" w:header="0"/>
          <w:type w:val="continuous"/>
        </w:sectPr>
      </w:pPr>
    </w:p>
    <w:bookmarkStart w:id="104" w:name="page105"/>
    <w:bookmarkEnd w:id="104"/>
    <w:p>
      <w:pPr>
        <w:ind w:left="2400" w:right="180"/>
        <w:spacing w:after="0" w:line="266" w:lineRule="auto"/>
        <w:rPr>
          <w:sz w:val="20"/>
          <w:szCs w:val="20"/>
          <w:color w:val="auto"/>
        </w:rPr>
      </w:pPr>
      <w:r>
        <w:rPr>
          <w:rFonts w:ascii="Times New Roman" w:cs="Times New Roman" w:eastAsia="Times New Roman" w:hAnsi="Times New Roman"/>
          <w:sz w:val="20"/>
          <w:szCs w:val="20"/>
          <w:color w:val="auto"/>
        </w:rPr>
        <w:t>Auditing the Company’s CRO costs was especially complex because the underlying data is accumulated from multiple sources and utilized various assumptions. Such assumptions, including the determination of the work that has been completed and measurement of progress during the reporting period, require judgment because the timing and pattern of vendor invoicing may not correspond to the level of services provided.</w:t>
      </w:r>
    </w:p>
    <w:p>
      <w:pPr>
        <w:spacing w:after="0" w:line="174"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0"/>
          <w:szCs w:val="20"/>
          <w:i w:val="1"/>
          <w:iCs w:val="1"/>
          <w:color w:val="auto"/>
        </w:rPr>
        <w:t>How We Addressed the</w:t>
      </w:r>
      <w:r>
        <w:rPr>
          <w:sz w:val="20"/>
          <w:szCs w:val="20"/>
          <w:color w:val="auto"/>
        </w:rPr>
        <w:tab/>
      </w:r>
      <w:r>
        <w:rPr>
          <w:rFonts w:ascii="Times New Roman" w:cs="Times New Roman" w:eastAsia="Times New Roman" w:hAnsi="Times New Roman"/>
          <w:sz w:val="20"/>
          <w:szCs w:val="20"/>
          <w:color w:val="auto"/>
        </w:rPr>
        <w:t>To test the CRO costs, our audit procedures included, among others, testing the accuracy and</w:t>
      </w:r>
    </w:p>
    <w:p>
      <w:pPr>
        <w:spacing w:after="0" w:line="28" w:lineRule="exact"/>
        <w:rPr>
          <w:sz w:val="20"/>
          <w:szCs w:val="20"/>
          <w:color w:val="auto"/>
        </w:rPr>
      </w:pPr>
    </w:p>
    <w:p>
      <w:pPr>
        <w:ind w:left="2400" w:hanging="2393"/>
        <w:spacing w:after="0" w:line="260" w:lineRule="auto"/>
        <w:tabs>
          <w:tab w:leader="none" w:pos="2380" w:val="left"/>
        </w:tabs>
        <w:rPr>
          <w:sz w:val="20"/>
          <w:szCs w:val="20"/>
          <w:color w:val="auto"/>
        </w:rPr>
      </w:pPr>
      <w:r>
        <w:rPr>
          <w:rFonts w:ascii="Times New Roman" w:cs="Times New Roman" w:eastAsia="Times New Roman" w:hAnsi="Times New Roman"/>
          <w:sz w:val="20"/>
          <w:szCs w:val="20"/>
          <w:i w:val="1"/>
          <w:iCs w:val="1"/>
          <w:color w:val="auto"/>
        </w:rPr>
        <w:t>Matter in Our Audit</w:t>
      </w:r>
      <w:r>
        <w:rPr>
          <w:sz w:val="20"/>
          <w:szCs w:val="20"/>
          <w:color w:val="auto"/>
        </w:rPr>
        <w:tab/>
      </w:r>
      <w:r>
        <w:rPr>
          <w:rFonts w:ascii="Times New Roman" w:cs="Times New Roman" w:eastAsia="Times New Roman" w:hAnsi="Times New Roman"/>
          <w:sz w:val="20"/>
          <w:szCs w:val="20"/>
          <w:color w:val="auto"/>
        </w:rPr>
        <w:t>completeness of the underlying data used in the estimates and evaluating the significant assumptions made by management. To test management inputs, we inspected a sample of the Company's contracts with third-party CROs to evaluate financial and other contractual terms, corroborated the progress and timelines of a sample of clinical trials with the Company’s internal personnel that oversee these activities, and obtained confirmation directly from CROs which included estimates of clinical trial costs incurred to date. We also examined, on a sample basis, invoices received from CROs through December 31, 2025 and invoices received from and cash disbursements made to CROs subsequent to December 31, 2025.</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17, 2026</w:t>
      </w:r>
    </w:p>
    <w:p>
      <w:pPr>
        <w:sectPr>
          <w:pgSz w:w="12240" w:h="15840" w:orient="portrait"/>
          <w:cols w:equalWidth="0" w:num="1">
            <w:col w:w="9880"/>
          </w:cols>
          <w:pgMar w:left="1160" w:top="1161" w:right="12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880"/>
          </w:cols>
          <w:pgMar w:left="1160" w:top="1161" w:right="1200" w:bottom="175"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0"/>
          <w:szCs w:val="20"/>
          <w:b w:val="1"/>
          <w:bCs w:val="1"/>
          <w:color w:val="auto"/>
        </w:rPr>
        <w:t>Trevi Therapeutics,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7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r>
              <w:rPr>
                <w:rFonts w:ascii="Times New Roman" w:cs="Times New Roman" w:eastAsia="Times New Roman" w:hAnsi="Times New Roman"/>
                <w:sz w:val="19"/>
                <w:szCs w:val="19"/>
                <w:color w:val="auto"/>
              </w:rPr>
              <w:t>Current assets: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7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1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18,914</w:t>
            </w:r>
          </w:p>
        </w:tc>
        <w:tc>
          <w:tcPr>
            <w:tcW w:w="260" w:type="dxa"/>
            <w:vAlign w:val="bottom"/>
            <w:shd w:val="clear" w:color="auto" w:fill="D5EEEE"/>
          </w:tcPr>
          <w:p>
            <w:pPr>
              <w:spacing w:after="0"/>
              <w:rPr>
                <w:sz w:val="20"/>
                <w:szCs w:val="20"/>
                <w:color w:val="auto"/>
              </w:rPr>
            </w:pP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34,097</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7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Marketable securities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169,346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73,525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7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Prepaid expenses</w:t>
            </w:r>
          </w:p>
        </w:tc>
        <w:tc>
          <w:tcPr>
            <w:tcW w:w="2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1,263</w:t>
            </w:r>
          </w:p>
        </w:tc>
        <w:tc>
          <w:tcPr>
            <w:tcW w:w="2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939</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700" w:type="dxa"/>
            <w:vAlign w:val="bottom"/>
            <w:tcBorders>
              <w:bottom w:val="single" w:sz="8" w:color="D5EEEE"/>
            </w:tcBorders>
          </w:tcPr>
          <w:p>
            <w:pPr>
              <w:ind w:left="200"/>
              <w:spacing w:after="0"/>
              <w:rPr>
                <w:sz w:val="20"/>
                <w:szCs w:val="20"/>
                <w:color w:val="auto"/>
              </w:rPr>
            </w:pPr>
            <w:r>
              <w:rPr>
                <w:rFonts w:ascii="Times New Roman" w:cs="Times New Roman" w:eastAsia="Times New Roman" w:hAnsi="Times New Roman"/>
                <w:sz w:val="19"/>
                <w:szCs w:val="19"/>
                <w:color w:val="auto"/>
              </w:rPr>
              <w:t>Other current assets</w:t>
            </w:r>
          </w:p>
        </w:tc>
        <w:tc>
          <w:tcPr>
            <w:tcW w:w="20" w:type="dxa"/>
            <w:vAlign w:val="bottom"/>
            <w:tcBorders>
              <w:bottom w:val="single" w:sz="8" w:color="D5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2,133</w:t>
            </w:r>
          </w:p>
        </w:tc>
        <w:tc>
          <w:tcPr>
            <w:tcW w:w="260" w:type="dxa"/>
            <w:vAlign w:val="bottom"/>
            <w:tcBorders>
              <w:bottom w:val="single" w:sz="8" w:color="D5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867</w:t>
            </w: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0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19"/>
                <w:szCs w:val="19"/>
                <w:color w:val="auto"/>
              </w:rPr>
              <w:t>Total current assets</w:t>
            </w:r>
          </w:p>
        </w:tc>
        <w:tc>
          <w:tcPr>
            <w:tcW w:w="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191,656</w:t>
            </w:r>
          </w:p>
        </w:tc>
        <w:tc>
          <w:tcPr>
            <w:tcW w:w="26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109,428</w:t>
            </w: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70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Property, equipment and leasehold improvements, net</w:t>
            </w:r>
          </w:p>
        </w:tc>
        <w:tc>
          <w:tcPr>
            <w:tcW w:w="2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178</w:t>
            </w:r>
          </w:p>
        </w:tc>
        <w:tc>
          <w:tcPr>
            <w:tcW w:w="2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157</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700" w:type="dxa"/>
            <w:vAlign w:val="bottom"/>
          </w:tcPr>
          <w:p>
            <w:pPr>
              <w:spacing w:after="0"/>
              <w:rPr>
                <w:sz w:val="20"/>
                <w:szCs w:val="20"/>
                <w:color w:val="auto"/>
              </w:rPr>
            </w:pPr>
            <w:r>
              <w:rPr>
                <w:rFonts w:ascii="Times New Roman" w:cs="Times New Roman" w:eastAsia="Times New Roman" w:hAnsi="Times New Roman"/>
                <w:sz w:val="19"/>
                <w:szCs w:val="19"/>
                <w:color w:val="auto"/>
              </w:rPr>
              <w:t>Other non-current assets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Finance lease right-of-use assets</w:t>
            </w:r>
          </w:p>
        </w:tc>
        <w:tc>
          <w:tcPr>
            <w:tcW w:w="2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1520" w:type="dxa"/>
            <w:vAlign w:val="bottom"/>
            <w:gridSpan w:val="2"/>
            <w:shd w:val="clear" w:color="auto" w:fill="D5EEEE"/>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shd w:val="clear" w:color="auto" w:fill="D5EEEE"/>
          </w:tcPr>
          <w:p>
            <w:pPr>
              <w:spacing w:after="0"/>
              <w:rPr>
                <w:sz w:val="21"/>
                <w:szCs w:val="21"/>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157</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700" w:type="dxa"/>
            <w:vAlign w:val="bottom"/>
            <w:tcBorders>
              <w:top w:val="single" w:sz="8" w:color="D5EEEE"/>
              <w:bottom w:val="single" w:sz="8" w:color="D5EEEE"/>
            </w:tcBorders>
          </w:tcPr>
          <w:p>
            <w:pPr>
              <w:ind w:left="400"/>
              <w:spacing w:after="0" w:line="207" w:lineRule="exact"/>
              <w:rPr>
                <w:sz w:val="20"/>
                <w:szCs w:val="20"/>
                <w:color w:val="auto"/>
              </w:rPr>
            </w:pPr>
            <w:r>
              <w:rPr>
                <w:rFonts w:ascii="Times New Roman" w:cs="Times New Roman" w:eastAsia="Times New Roman" w:hAnsi="Times New Roman"/>
                <w:sz w:val="19"/>
                <w:szCs w:val="19"/>
                <w:color w:val="auto"/>
              </w:rPr>
              <w:t>Total assets</w:t>
            </w:r>
          </w:p>
        </w:tc>
        <w:tc>
          <w:tcPr>
            <w:tcW w:w="20" w:type="dxa"/>
            <w:vAlign w:val="bottom"/>
            <w:tcBorders>
              <w:top w:val="single" w:sz="8" w:color="D5EEEE"/>
              <w:bottom w:val="single" w:sz="8" w:color="D5EEEE"/>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rPr>
              <w:t>193,439</w:t>
            </w:r>
          </w:p>
        </w:tc>
        <w:tc>
          <w:tcPr>
            <w:tcW w:w="260" w:type="dxa"/>
            <w:vAlign w:val="bottom"/>
            <w:tcBorders>
              <w:top w:val="single" w:sz="8" w:color="D5EEEE"/>
              <w:bottom w:val="single" w:sz="8" w:color="D5EEEE"/>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w w:val="83"/>
              </w:rPr>
              <w:t>$</w:t>
            </w:r>
          </w:p>
        </w:tc>
        <w:tc>
          <w:tcPr>
            <w:tcW w:w="126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rPr>
              <w:t>110,900</w:t>
            </w:r>
          </w:p>
        </w:tc>
        <w:tc>
          <w:tcPr>
            <w:tcW w:w="80" w:type="dxa"/>
            <w:vAlign w:val="bottom"/>
            <w:tcBorders>
              <w:top w:val="single" w:sz="8" w:color="D5EEEE"/>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b w:val="1"/>
                <w:bCs w:val="1"/>
                <w:color w:val="auto"/>
              </w:rPr>
              <w:t>Liabilities and stockholders’ equity</w:t>
            </w:r>
          </w:p>
        </w:tc>
        <w:tc>
          <w:tcPr>
            <w:tcW w:w="20" w:type="dxa"/>
            <w:vAlign w:val="bottom"/>
            <w:shd w:val="clear" w:color="auto" w:fill="D5EEEE"/>
          </w:tcPr>
          <w:p>
            <w:pPr>
              <w:spacing w:after="0"/>
              <w:rPr>
                <w:sz w:val="18"/>
                <w:szCs w:val="18"/>
                <w:color w:val="auto"/>
              </w:rPr>
            </w:pPr>
          </w:p>
        </w:tc>
        <w:tc>
          <w:tcPr>
            <w:tcW w:w="160" w:type="dxa"/>
            <w:vAlign w:val="bottom"/>
            <w:shd w:val="clear" w:color="auto" w:fill="D5EEEE"/>
          </w:tcPr>
          <w:p>
            <w:pPr>
              <w:spacing w:after="0"/>
              <w:rPr>
                <w:sz w:val="18"/>
                <w:szCs w:val="18"/>
                <w:color w:val="auto"/>
              </w:rPr>
            </w:pPr>
          </w:p>
        </w:tc>
        <w:tc>
          <w:tcPr>
            <w:tcW w:w="126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126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00" w:type="dxa"/>
            <w:vAlign w:val="bottom"/>
          </w:tcPr>
          <w:p>
            <w:pPr>
              <w:spacing w:after="0"/>
              <w:rPr>
                <w:sz w:val="20"/>
                <w:szCs w:val="20"/>
                <w:color w:val="auto"/>
              </w:rPr>
            </w:pPr>
            <w:r>
              <w:rPr>
                <w:rFonts w:ascii="Times New Roman" w:cs="Times New Roman" w:eastAsia="Times New Roman" w:hAnsi="Times New Roman"/>
                <w:sz w:val="19"/>
                <w:szCs w:val="19"/>
                <w:color w:val="auto"/>
              </w:rPr>
              <w:t>Current 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7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Accounts payable</w:t>
            </w:r>
          </w:p>
        </w:tc>
        <w:tc>
          <w:tcPr>
            <w:tcW w:w="1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3,911</w:t>
            </w:r>
          </w:p>
        </w:tc>
        <w:tc>
          <w:tcPr>
            <w:tcW w:w="260" w:type="dxa"/>
            <w:vAlign w:val="bottom"/>
            <w:shd w:val="clear" w:color="auto" w:fill="D5EEEE"/>
          </w:tcPr>
          <w:p>
            <w:pPr>
              <w:spacing w:after="0"/>
              <w:rPr>
                <w:sz w:val="20"/>
                <w:szCs w:val="20"/>
                <w:color w:val="auto"/>
              </w:rPr>
            </w:pPr>
          </w:p>
        </w:tc>
        <w:tc>
          <w:tcPr>
            <w:tcW w:w="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3,414</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7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Accrued expenses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5,531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7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2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307</w:t>
            </w:r>
          </w:p>
        </w:tc>
        <w:tc>
          <w:tcPr>
            <w:tcW w:w="2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254</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Finance lease liabilities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D5EEEE"/>
            </w:tcBorders>
            <w:shd w:val="clear" w:color="auto" w:fill="D5EEEE"/>
          </w:tcPr>
          <w:p>
            <w:pPr>
              <w:ind w:left="400"/>
              <w:spacing w:after="0"/>
              <w:rPr>
                <w:sz w:val="20"/>
                <w:szCs w:val="20"/>
                <w:color w:val="auto"/>
              </w:rPr>
            </w:pPr>
            <w:r>
              <w:rPr>
                <w:rFonts w:ascii="Times New Roman" w:cs="Times New Roman" w:eastAsia="Times New Roman" w:hAnsi="Times New Roman"/>
                <w:sz w:val="19"/>
                <w:szCs w:val="19"/>
                <w:color w:val="auto"/>
              </w:rPr>
              <w:t>Total current liabilities</w:t>
            </w:r>
          </w:p>
        </w:tc>
        <w:tc>
          <w:tcPr>
            <w:tcW w:w="20" w:type="dxa"/>
            <w:vAlign w:val="bottom"/>
            <w:tcBorders>
              <w:top w:val="single" w:sz="8" w:color="D5EEEE"/>
            </w:tcBorders>
            <w:shd w:val="clear" w:color="auto" w:fill="D5EEEE"/>
          </w:tcPr>
          <w:p>
            <w:pPr>
              <w:spacing w:after="0"/>
              <w:rPr>
                <w:sz w:val="19"/>
                <w:szCs w:val="19"/>
                <w:color w:val="auto"/>
              </w:rPr>
            </w:pPr>
          </w:p>
        </w:tc>
        <w:tc>
          <w:tcPr>
            <w:tcW w:w="160" w:type="dxa"/>
            <w:vAlign w:val="bottom"/>
            <w:tcBorders>
              <w:top w:val="single" w:sz="8" w:color="auto"/>
            </w:tcBorders>
            <w:shd w:val="clear" w:color="auto" w:fill="D5EEEE"/>
          </w:tcPr>
          <w:p>
            <w:pPr>
              <w:spacing w:after="0"/>
              <w:rPr>
                <w:sz w:val="19"/>
                <w:szCs w:val="19"/>
                <w:color w:val="auto"/>
              </w:rPr>
            </w:pPr>
          </w:p>
        </w:tc>
        <w:tc>
          <w:tcPr>
            <w:tcW w:w="12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9,749</w:t>
            </w:r>
          </w:p>
        </w:tc>
        <w:tc>
          <w:tcPr>
            <w:tcW w:w="260" w:type="dxa"/>
            <w:vAlign w:val="bottom"/>
            <w:tcBorders>
              <w:top w:val="single" w:sz="8" w:color="D5EEEE"/>
            </w:tcBorders>
            <w:shd w:val="clear" w:color="auto" w:fill="D5EEEE"/>
          </w:tcPr>
          <w:p>
            <w:pPr>
              <w:spacing w:after="0"/>
              <w:rPr>
                <w:sz w:val="19"/>
                <w:szCs w:val="19"/>
                <w:color w:val="auto"/>
              </w:rPr>
            </w:pPr>
          </w:p>
        </w:tc>
        <w:tc>
          <w:tcPr>
            <w:tcW w:w="180" w:type="dxa"/>
            <w:vAlign w:val="bottom"/>
            <w:tcBorders>
              <w:top w:val="single" w:sz="8" w:color="auto"/>
            </w:tcBorders>
            <w:shd w:val="clear" w:color="auto" w:fill="D5EEEE"/>
          </w:tcPr>
          <w:p>
            <w:pPr>
              <w:spacing w:after="0"/>
              <w:rPr>
                <w:sz w:val="19"/>
                <w:szCs w:val="19"/>
                <w:color w:val="auto"/>
              </w:rPr>
            </w:pPr>
          </w:p>
        </w:tc>
        <w:tc>
          <w:tcPr>
            <w:tcW w:w="12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10,509</w:t>
            </w:r>
          </w:p>
        </w:tc>
        <w:tc>
          <w:tcPr>
            <w:tcW w:w="80" w:type="dxa"/>
            <w:vAlign w:val="bottom"/>
            <w:tcBorders>
              <w:top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7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20" w:type="dxa"/>
            <w:vAlign w:val="bottom"/>
            <w:tcBorders>
              <w:bottom w:val="single" w:sz="8" w:color="D5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446</w:t>
            </w:r>
          </w:p>
        </w:tc>
        <w:tc>
          <w:tcPr>
            <w:tcW w:w="260" w:type="dxa"/>
            <w:vAlign w:val="bottom"/>
            <w:tcBorders>
              <w:bottom w:val="single" w:sz="8" w:color="D5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747</w:t>
            </w: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D5EEEE"/>
            </w:tcBorders>
            <w:shd w:val="clear" w:color="auto" w:fill="D5EEEE"/>
          </w:tcPr>
          <w:p>
            <w:pPr>
              <w:ind w:left="400"/>
              <w:spacing w:after="0"/>
              <w:rPr>
                <w:sz w:val="20"/>
                <w:szCs w:val="20"/>
                <w:color w:val="auto"/>
              </w:rPr>
            </w:pPr>
            <w:r>
              <w:rPr>
                <w:rFonts w:ascii="Times New Roman" w:cs="Times New Roman" w:eastAsia="Times New Roman" w:hAnsi="Times New Roman"/>
                <w:sz w:val="19"/>
                <w:szCs w:val="19"/>
                <w:color w:val="auto"/>
              </w:rPr>
              <w:t>Total liabilities</w:t>
            </w:r>
          </w:p>
        </w:tc>
        <w:tc>
          <w:tcPr>
            <w:tcW w:w="20" w:type="dxa"/>
            <w:vAlign w:val="bottom"/>
            <w:tcBorders>
              <w:bottom w:val="single" w:sz="8" w:color="D5EEEE"/>
            </w:tcBorders>
            <w:shd w:val="clear" w:color="auto" w:fill="D5EEEE"/>
          </w:tcPr>
          <w:p>
            <w:pPr>
              <w:spacing w:after="0"/>
              <w:rPr>
                <w:sz w:val="21"/>
                <w:szCs w:val="21"/>
                <w:color w:val="auto"/>
              </w:rPr>
            </w:pPr>
          </w:p>
        </w:tc>
        <w:tc>
          <w:tcPr>
            <w:tcW w:w="160" w:type="dxa"/>
            <w:vAlign w:val="bottom"/>
            <w:tcBorders>
              <w:bottom w:val="single" w:sz="8" w:color="auto"/>
            </w:tcBorders>
            <w:shd w:val="clear" w:color="auto" w:fill="D5EEEE"/>
          </w:tcPr>
          <w:p>
            <w:pPr>
              <w:spacing w:after="0"/>
              <w:rPr>
                <w:sz w:val="21"/>
                <w:szCs w:val="21"/>
                <w:color w:val="auto"/>
              </w:rPr>
            </w:pPr>
          </w:p>
        </w:tc>
        <w:tc>
          <w:tcPr>
            <w:tcW w:w="1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10,195</w:t>
            </w:r>
          </w:p>
        </w:tc>
        <w:tc>
          <w:tcPr>
            <w:tcW w:w="260" w:type="dxa"/>
            <w:vAlign w:val="bottom"/>
            <w:tcBorders>
              <w:bottom w:val="single" w:sz="8" w:color="D5EEEE"/>
            </w:tcBorders>
            <w:shd w:val="clear" w:color="auto" w:fill="D5EEEE"/>
          </w:tcPr>
          <w:p>
            <w:pPr>
              <w:spacing w:after="0"/>
              <w:rPr>
                <w:sz w:val="21"/>
                <w:szCs w:val="21"/>
                <w:color w:val="auto"/>
              </w:rPr>
            </w:pPr>
          </w:p>
        </w:tc>
        <w:tc>
          <w:tcPr>
            <w:tcW w:w="180" w:type="dxa"/>
            <w:vAlign w:val="bottom"/>
            <w:tcBorders>
              <w:bottom w:val="single" w:sz="8" w:color="auto"/>
            </w:tcBorders>
            <w:shd w:val="clear" w:color="auto" w:fill="D5EEEE"/>
          </w:tcPr>
          <w:p>
            <w:pPr>
              <w:spacing w:after="0"/>
              <w:rPr>
                <w:sz w:val="21"/>
                <w:szCs w:val="21"/>
                <w:color w:val="auto"/>
              </w:rPr>
            </w:pPr>
          </w:p>
        </w:tc>
        <w:tc>
          <w:tcPr>
            <w:tcW w:w="12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11,256</w:t>
            </w:r>
          </w:p>
        </w:tc>
        <w:tc>
          <w:tcPr>
            <w:tcW w:w="80" w:type="dxa"/>
            <w:vAlign w:val="bottom"/>
            <w:tcBorders>
              <w:bottom w:val="single" w:sz="8" w:color="D5EEEE"/>
            </w:tcBorders>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700" w:type="dxa"/>
            <w:vAlign w:val="bottom"/>
          </w:tcPr>
          <w:p>
            <w:pPr>
              <w:spacing w:after="0" w:line="207" w:lineRule="exact"/>
              <w:rPr>
                <w:sz w:val="20"/>
                <w:szCs w:val="20"/>
                <w:color w:val="auto"/>
              </w:rPr>
            </w:pPr>
            <w:r>
              <w:rPr>
                <w:rFonts w:ascii="Times New Roman" w:cs="Times New Roman" w:eastAsia="Times New Roman" w:hAnsi="Times New Roman"/>
                <w:sz w:val="19"/>
                <w:szCs w:val="19"/>
                <w:color w:val="auto"/>
              </w:rPr>
              <w:t>Commitments and contingencies (Note 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00" w:type="dxa"/>
            <w:vAlign w:val="bottom"/>
            <w:shd w:val="clear" w:color="auto" w:fill="D5EEEE"/>
          </w:tcPr>
          <w:p>
            <w:pPr>
              <w:spacing w:after="0"/>
              <w:rPr>
                <w:sz w:val="20"/>
                <w:szCs w:val="20"/>
                <w:color w:val="auto"/>
              </w:rPr>
            </w:pPr>
            <w:r>
              <w:rPr>
                <w:rFonts w:ascii="Times New Roman" w:cs="Times New Roman" w:eastAsia="Times New Roman" w:hAnsi="Times New Roman"/>
                <w:sz w:val="19"/>
                <w:szCs w:val="19"/>
                <w:color w:val="auto"/>
              </w:rPr>
              <w:t>Stockholders’ equity:</w:t>
            </w:r>
          </w:p>
        </w:tc>
        <w:tc>
          <w:tcPr>
            <w:tcW w:w="2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26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2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0"/>
              <w:spacing w:after="0" w:line="213" w:lineRule="exact"/>
              <w:rPr>
                <w:sz w:val="20"/>
                <w:szCs w:val="20"/>
                <w:color w:val="auto"/>
              </w:rPr>
            </w:pPr>
            <w:r>
              <w:rPr>
                <w:rFonts w:ascii="Times New Roman" w:cs="Times New Roman" w:eastAsia="Times New Roman" w:hAnsi="Times New Roman"/>
                <w:sz w:val="19"/>
                <w:szCs w:val="19"/>
                <w:color w:val="auto"/>
              </w:rPr>
              <w:t>Preferred stock: $0.001 par value; 5,000,000 shares authorized at December 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2025 and December 31, 2024; no shares issued or outstanding at December 31,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2025 and December 31, 2024.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13"/>
        </w:trPr>
        <w:tc>
          <w:tcPr>
            <w:tcW w:w="6700" w:type="dxa"/>
            <w:vAlign w:val="bottom"/>
            <w:shd w:val="clear" w:color="auto" w:fill="D5EEEE"/>
          </w:tcPr>
          <w:p>
            <w:pPr>
              <w:ind w:left="200"/>
              <w:spacing w:after="0" w:line="213" w:lineRule="exact"/>
              <w:rPr>
                <w:sz w:val="20"/>
                <w:szCs w:val="20"/>
                <w:color w:val="auto"/>
              </w:rPr>
            </w:pPr>
            <w:r>
              <w:rPr>
                <w:rFonts w:ascii="Times New Roman" w:cs="Times New Roman" w:eastAsia="Times New Roman" w:hAnsi="Times New Roman"/>
                <w:sz w:val="19"/>
                <w:szCs w:val="19"/>
                <w:color w:val="auto"/>
              </w:rPr>
              <w:t>Common stock: $0.001 par value; 200,000,000 shares authorized at December 31,</w:t>
            </w:r>
          </w:p>
        </w:tc>
        <w:tc>
          <w:tcPr>
            <w:tcW w:w="20" w:type="dxa"/>
            <w:vAlign w:val="bottom"/>
            <w:shd w:val="clear" w:color="auto" w:fill="D5EEEE"/>
          </w:tcPr>
          <w:p>
            <w:pPr>
              <w:spacing w:after="0"/>
              <w:rPr>
                <w:sz w:val="18"/>
                <w:szCs w:val="18"/>
                <w:color w:val="auto"/>
              </w:rPr>
            </w:pPr>
          </w:p>
        </w:tc>
        <w:tc>
          <w:tcPr>
            <w:tcW w:w="160" w:type="dxa"/>
            <w:vAlign w:val="bottom"/>
            <w:shd w:val="clear" w:color="auto" w:fill="D5EEEE"/>
          </w:tcPr>
          <w:p>
            <w:pPr>
              <w:spacing w:after="0"/>
              <w:rPr>
                <w:sz w:val="18"/>
                <w:szCs w:val="18"/>
                <w:color w:val="auto"/>
              </w:rPr>
            </w:pPr>
          </w:p>
        </w:tc>
        <w:tc>
          <w:tcPr>
            <w:tcW w:w="126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180" w:type="dxa"/>
            <w:vAlign w:val="bottom"/>
            <w:shd w:val="clear" w:color="auto" w:fill="D5EEEE"/>
          </w:tcPr>
          <w:p>
            <w:pPr>
              <w:spacing w:after="0"/>
              <w:rPr>
                <w:sz w:val="18"/>
                <w:szCs w:val="18"/>
                <w:color w:val="auto"/>
              </w:rPr>
            </w:pPr>
          </w:p>
        </w:tc>
        <w:tc>
          <w:tcPr>
            <w:tcW w:w="126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2025 and December 31, 2024; and 128,306,056 and 93,602,631 shares issued and</w:t>
            </w:r>
          </w:p>
        </w:tc>
        <w:tc>
          <w:tcPr>
            <w:tcW w:w="20" w:type="dxa"/>
            <w:vAlign w:val="bottom"/>
            <w:shd w:val="clear" w:color="auto" w:fill="D5EEEE"/>
          </w:tcPr>
          <w:p>
            <w:pPr>
              <w:spacing w:after="0"/>
              <w:rPr>
                <w:sz w:val="19"/>
                <w:szCs w:val="19"/>
                <w:color w:val="auto"/>
              </w:rPr>
            </w:pPr>
          </w:p>
        </w:tc>
        <w:tc>
          <w:tcPr>
            <w:tcW w:w="160" w:type="dxa"/>
            <w:vAlign w:val="bottom"/>
            <w:shd w:val="clear" w:color="auto" w:fill="D5EEEE"/>
          </w:tcPr>
          <w:p>
            <w:pPr>
              <w:spacing w:after="0"/>
              <w:rPr>
                <w:sz w:val="19"/>
                <w:szCs w:val="19"/>
                <w:color w:val="auto"/>
              </w:rPr>
            </w:pPr>
          </w:p>
        </w:tc>
        <w:tc>
          <w:tcPr>
            <w:tcW w:w="1260" w:type="dxa"/>
            <w:vAlign w:val="bottom"/>
            <w:shd w:val="clear" w:color="auto" w:fill="D5EEEE"/>
          </w:tcPr>
          <w:p>
            <w:pPr>
              <w:spacing w:after="0"/>
              <w:rPr>
                <w:sz w:val="19"/>
                <w:szCs w:val="19"/>
                <w:color w:val="auto"/>
              </w:rPr>
            </w:pPr>
          </w:p>
        </w:tc>
        <w:tc>
          <w:tcPr>
            <w:tcW w:w="260" w:type="dxa"/>
            <w:vAlign w:val="bottom"/>
            <w:shd w:val="clear" w:color="auto" w:fill="D5EEEE"/>
          </w:tcPr>
          <w:p>
            <w:pPr>
              <w:spacing w:after="0"/>
              <w:rPr>
                <w:sz w:val="19"/>
                <w:szCs w:val="19"/>
                <w:color w:val="auto"/>
              </w:rPr>
            </w:pPr>
          </w:p>
        </w:tc>
        <w:tc>
          <w:tcPr>
            <w:tcW w:w="180" w:type="dxa"/>
            <w:vAlign w:val="bottom"/>
            <w:shd w:val="clear" w:color="auto" w:fill="D5EEEE"/>
          </w:tcPr>
          <w:p>
            <w:pPr>
              <w:spacing w:after="0"/>
              <w:rPr>
                <w:sz w:val="19"/>
                <w:szCs w:val="19"/>
                <w:color w:val="auto"/>
              </w:rPr>
            </w:pPr>
          </w:p>
        </w:tc>
        <w:tc>
          <w:tcPr>
            <w:tcW w:w="1260" w:type="dxa"/>
            <w:vAlign w:val="bottom"/>
            <w:shd w:val="clear" w:color="auto" w:fill="D5EEEE"/>
          </w:tcPr>
          <w:p>
            <w:pPr>
              <w:spacing w:after="0"/>
              <w:rPr>
                <w:sz w:val="19"/>
                <w:szCs w:val="19"/>
                <w:color w:val="auto"/>
              </w:rPr>
            </w:pPr>
          </w:p>
        </w:tc>
        <w:tc>
          <w:tcPr>
            <w:tcW w:w="8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7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outstanding at December 31, 2025 and December 31, 2024, respectively.</w:t>
            </w:r>
          </w:p>
        </w:tc>
        <w:tc>
          <w:tcPr>
            <w:tcW w:w="2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128</w:t>
            </w:r>
          </w:p>
        </w:tc>
        <w:tc>
          <w:tcPr>
            <w:tcW w:w="2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94</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7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Additional paid-in capital</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512,772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386,534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7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9"/>
                <w:szCs w:val="19"/>
                <w:color w:val="auto"/>
              </w:rPr>
              <w:t>Accumulated other comprehensive income</w:t>
            </w:r>
          </w:p>
        </w:tc>
        <w:tc>
          <w:tcPr>
            <w:tcW w:w="2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148</w:t>
            </w:r>
          </w:p>
        </w:tc>
        <w:tc>
          <w:tcPr>
            <w:tcW w:w="26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2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61</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Accumulated deficit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(329,804)</w:t>
            </w:r>
          </w:p>
        </w:tc>
        <w:tc>
          <w:tcPr>
            <w:tcW w:w="1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(287,045)</w:t>
            </w:r>
          </w:p>
        </w:tc>
        <w:tc>
          <w:tcPr>
            <w:tcW w:w="0" w:type="dxa"/>
            <w:vAlign w:val="bottom"/>
          </w:tcPr>
          <w:p>
            <w:pPr>
              <w:spacing w:after="0"/>
              <w:rPr>
                <w:sz w:val="1"/>
                <w:szCs w:val="1"/>
                <w:color w:val="auto"/>
              </w:rPr>
            </w:pPr>
          </w:p>
        </w:tc>
      </w:tr>
      <w:tr>
        <w:trPr>
          <w:trHeight w:val="248"/>
        </w:trPr>
        <w:tc>
          <w:tcPr>
            <w:tcW w:w="6700" w:type="dxa"/>
            <w:vAlign w:val="bottom"/>
            <w:tcBorders>
              <w:top w:val="single" w:sz="8" w:color="D5EEEE"/>
              <w:bottom w:val="single" w:sz="8" w:color="D5EEEE"/>
            </w:tcBorders>
            <w:shd w:val="clear" w:color="auto" w:fill="D5EEEE"/>
          </w:tcPr>
          <w:p>
            <w:pPr>
              <w:ind w:left="400"/>
              <w:spacing w:after="0"/>
              <w:rPr>
                <w:sz w:val="20"/>
                <w:szCs w:val="20"/>
                <w:color w:val="auto"/>
              </w:rPr>
            </w:pPr>
            <w:r>
              <w:rPr>
                <w:rFonts w:ascii="Times New Roman" w:cs="Times New Roman" w:eastAsia="Times New Roman" w:hAnsi="Times New Roman"/>
                <w:sz w:val="19"/>
                <w:szCs w:val="19"/>
                <w:color w:val="auto"/>
              </w:rPr>
              <w:t>Total stockholders’ equity</w:t>
            </w:r>
          </w:p>
        </w:tc>
        <w:tc>
          <w:tcPr>
            <w:tcW w:w="20" w:type="dxa"/>
            <w:vAlign w:val="bottom"/>
            <w:tcBorders>
              <w:top w:val="single" w:sz="8" w:color="D5EEEE"/>
              <w:bottom w:val="single" w:sz="8" w:color="D5EEEE"/>
            </w:tcBorders>
            <w:shd w:val="clear" w:color="auto" w:fill="D5EEEE"/>
          </w:tcPr>
          <w:p>
            <w:pPr>
              <w:spacing w:after="0"/>
              <w:rPr>
                <w:sz w:val="21"/>
                <w:szCs w:val="21"/>
                <w:color w:val="auto"/>
              </w:rPr>
            </w:pPr>
          </w:p>
        </w:tc>
        <w:tc>
          <w:tcPr>
            <w:tcW w:w="160" w:type="dxa"/>
            <w:vAlign w:val="bottom"/>
            <w:tcBorders>
              <w:top w:val="single" w:sz="8" w:color="auto"/>
              <w:bottom w:val="single" w:sz="8" w:color="auto"/>
            </w:tcBorders>
            <w:shd w:val="clear" w:color="auto" w:fill="D5EEEE"/>
          </w:tcPr>
          <w:p>
            <w:pPr>
              <w:spacing w:after="0"/>
              <w:rPr>
                <w:sz w:val="21"/>
                <w:szCs w:val="21"/>
                <w:color w:val="auto"/>
              </w:rPr>
            </w:pPr>
          </w:p>
        </w:tc>
        <w:tc>
          <w:tcPr>
            <w:tcW w:w="12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183,244</w:t>
            </w:r>
          </w:p>
        </w:tc>
        <w:tc>
          <w:tcPr>
            <w:tcW w:w="260" w:type="dxa"/>
            <w:vAlign w:val="bottom"/>
            <w:tcBorders>
              <w:top w:val="single" w:sz="8" w:color="D5EEEE"/>
              <w:bottom w:val="single" w:sz="8" w:color="D5EEEE"/>
            </w:tcBorders>
            <w:shd w:val="clear" w:color="auto" w:fill="D5EEEE"/>
          </w:tcPr>
          <w:p>
            <w:pPr>
              <w:spacing w:after="0"/>
              <w:rPr>
                <w:sz w:val="21"/>
                <w:szCs w:val="21"/>
                <w:color w:val="auto"/>
              </w:rPr>
            </w:pPr>
          </w:p>
        </w:tc>
        <w:tc>
          <w:tcPr>
            <w:tcW w:w="180" w:type="dxa"/>
            <w:vAlign w:val="bottom"/>
            <w:tcBorders>
              <w:top w:val="single" w:sz="8" w:color="auto"/>
              <w:bottom w:val="single" w:sz="8" w:color="auto"/>
            </w:tcBorders>
            <w:shd w:val="clear" w:color="auto" w:fill="D5EEEE"/>
          </w:tcPr>
          <w:p>
            <w:pPr>
              <w:spacing w:after="0"/>
              <w:rPr>
                <w:sz w:val="21"/>
                <w:szCs w:val="21"/>
                <w:color w:val="auto"/>
              </w:rPr>
            </w:pPr>
          </w:p>
        </w:tc>
        <w:tc>
          <w:tcPr>
            <w:tcW w:w="12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9"/>
                <w:szCs w:val="19"/>
                <w:color w:val="auto"/>
              </w:rPr>
              <w:t>99,644</w:t>
            </w:r>
          </w:p>
        </w:tc>
        <w:tc>
          <w:tcPr>
            <w:tcW w:w="80" w:type="dxa"/>
            <w:vAlign w:val="bottom"/>
            <w:tcBorders>
              <w:top w:val="single" w:sz="8" w:color="D5EEEE"/>
              <w:bottom w:val="single" w:sz="8" w:color="D5EEEE"/>
            </w:tcBorders>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700" w:type="dxa"/>
            <w:vAlign w:val="bottom"/>
          </w:tcPr>
          <w:p>
            <w:pPr>
              <w:ind w:left="400"/>
              <w:spacing w:after="0" w:line="207" w:lineRule="exact"/>
              <w:rPr>
                <w:sz w:val="20"/>
                <w:szCs w:val="20"/>
                <w:color w:val="auto"/>
              </w:rPr>
            </w:pPr>
            <w:r>
              <w:rPr>
                <w:rFonts w:ascii="Times New Roman" w:cs="Times New Roman" w:eastAsia="Times New Roman" w:hAnsi="Times New Roman"/>
                <w:sz w:val="19"/>
                <w:szCs w:val="19"/>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rPr>
              <w:t>193,439</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w w:val="83"/>
              </w:rPr>
              <w:t>$</w:t>
            </w:r>
          </w:p>
        </w:tc>
        <w:tc>
          <w:tcPr>
            <w:tcW w:w="1260" w:type="dxa"/>
            <w:vAlign w:val="bottom"/>
            <w:tcBorders>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19"/>
                <w:szCs w:val="19"/>
                <w:color w:val="auto"/>
              </w:rPr>
              <w:t>110,900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20"/>
          <w:szCs w:val="20"/>
          <w:color w:val="auto"/>
        </w:rPr>
        <w:t>See accompanying notes.</w:t>
      </w:r>
    </w:p>
    <w:p>
      <w:pPr>
        <w:sectPr>
          <w:pgSz w:w="12240" w:h="15840" w:orient="portrait"/>
          <w:cols w:equalWidth="0" w:num="1">
            <w:col w:w="9920"/>
          </w:cols>
          <w:pgMar w:left="1160" w:top="1128"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920"/>
          </w:cols>
          <w:pgMar w:left="1160" w:top="1128" w:right="1160" w:bottom="175"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0"/>
          <w:szCs w:val="20"/>
          <w:b w:val="1"/>
          <w:bCs w:val="1"/>
          <w:color w:val="auto"/>
        </w:rPr>
        <w:t>Trevi Therapeutics,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3"/>
        </w:trPr>
        <w:tc>
          <w:tcPr>
            <w:tcW w:w="6360" w:type="dxa"/>
            <w:vAlign w:val="bottom"/>
            <w:tcBorders>
              <w:bottom w:val="single" w:sz="8" w:color="D5EEEE"/>
            </w:tcBorders>
          </w:tcPr>
          <w:p>
            <w:pPr>
              <w:spacing w:after="0"/>
              <w:rPr>
                <w:sz w:val="16"/>
                <w:szCs w:val="16"/>
                <w:color w:val="auto"/>
              </w:rPr>
            </w:pPr>
          </w:p>
        </w:tc>
        <w:tc>
          <w:tcPr>
            <w:tcW w:w="400" w:type="dxa"/>
            <w:vAlign w:val="bottom"/>
            <w:tcBorders>
              <w:bottom w:val="single" w:sz="8" w:color="D5EEEE"/>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bottom w:val="single" w:sz="8" w:color="D5EEEE"/>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6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40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24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1160" w:type="dxa"/>
            <w:vAlign w:val="bottom"/>
            <w:shd w:val="clear" w:color="auto" w:fill="D5EEEE"/>
          </w:tcPr>
          <w:p>
            <w:pPr>
              <w:spacing w:after="0"/>
              <w:rPr>
                <w:sz w:val="20"/>
                <w:szCs w:val="20"/>
                <w:color w:val="auto"/>
              </w:rPr>
            </w:pP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40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33,478</w:t>
            </w:r>
          </w:p>
        </w:tc>
        <w:tc>
          <w:tcPr>
            <w:tcW w:w="24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400" w:type="dxa"/>
            <w:vAlign w:val="bottom"/>
            <w:shd w:val="clear" w:color="auto" w:fill="D5EEEE"/>
          </w:tcPr>
          <w:p>
            <w:pPr>
              <w:spacing w:after="0"/>
              <w:rPr>
                <w:sz w:val="21"/>
                <w:szCs w:val="21"/>
                <w:color w:val="auto"/>
              </w:rPr>
            </w:pPr>
          </w:p>
        </w:tc>
        <w:tc>
          <w:tcPr>
            <w:tcW w:w="260" w:type="dxa"/>
            <w:vAlign w:val="bottom"/>
            <w:tcBorders>
              <w:bottom w:val="single" w:sz="8" w:color="auto"/>
            </w:tcBorders>
            <w:shd w:val="clear" w:color="auto" w:fill="D5EEEE"/>
          </w:tcPr>
          <w:p>
            <w:pPr>
              <w:spacing w:after="0"/>
              <w:rPr>
                <w:sz w:val="21"/>
                <w:szCs w:val="21"/>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15,850</w:t>
            </w:r>
          </w:p>
        </w:tc>
        <w:tc>
          <w:tcPr>
            <w:tcW w:w="240" w:type="dxa"/>
            <w:vAlign w:val="bottom"/>
            <w:shd w:val="clear" w:color="auto" w:fill="D5EEEE"/>
          </w:tcPr>
          <w:p>
            <w:pPr>
              <w:spacing w:after="0"/>
              <w:rPr>
                <w:sz w:val="21"/>
                <w:szCs w:val="21"/>
                <w:color w:val="auto"/>
              </w:rPr>
            </w:pPr>
          </w:p>
        </w:tc>
        <w:tc>
          <w:tcPr>
            <w:tcW w:w="260" w:type="dxa"/>
            <w:vAlign w:val="bottom"/>
            <w:tcBorders>
              <w:bottom w:val="single" w:sz="8" w:color="auto"/>
            </w:tcBorders>
            <w:shd w:val="clear" w:color="auto" w:fill="D5EEEE"/>
          </w:tcPr>
          <w:p>
            <w:pPr>
              <w:spacing w:after="0"/>
              <w:rPr>
                <w:sz w:val="21"/>
                <w:szCs w:val="21"/>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12,147</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60" w:type="dxa"/>
            <w:vAlign w:val="bottom"/>
            <w:tcBorders>
              <w:bottom w:val="single" w:sz="8" w:color="D5EEEE"/>
            </w:tcBorders>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400" w:type="dxa"/>
            <w:vAlign w:val="bottom"/>
            <w:tcBorders>
              <w:bottom w:val="single" w:sz="8" w:color="D5EEE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49,328</w:t>
            </w:r>
          </w:p>
        </w:tc>
        <w:tc>
          <w:tcPr>
            <w:tcW w:w="240" w:type="dxa"/>
            <w:vAlign w:val="bottom"/>
            <w:tcBorders>
              <w:bottom w:val="single" w:sz="8" w:color="D5EEEE"/>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51,524</w:t>
            </w: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40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(49,328)</w:t>
            </w:r>
          </w:p>
        </w:tc>
        <w:tc>
          <w:tcPr>
            <w:tcW w:w="24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(51,524)</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Interest income, net</w:t>
            </w:r>
          </w:p>
        </w:tc>
        <w:tc>
          <w:tcPr>
            <w:tcW w:w="40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6,536</w:t>
            </w:r>
          </w:p>
        </w:tc>
        <w:tc>
          <w:tcPr>
            <w:tcW w:w="24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3,602</w:t>
            </w: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expense, net</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w:t>
            </w:r>
          </w:p>
        </w:tc>
        <w:tc>
          <w:tcPr>
            <w:tcW w:w="26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44"/>
        </w:trPr>
        <w:tc>
          <w:tcPr>
            <w:tcW w:w="636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Interest expense</w:t>
            </w:r>
          </w:p>
        </w:tc>
        <w:tc>
          <w:tcPr>
            <w:tcW w:w="40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1400" w:type="dxa"/>
            <w:vAlign w:val="bottom"/>
            <w:gridSpan w:val="2"/>
            <w:shd w:val="clear" w:color="auto" w:fill="D5EEEE"/>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1"/>
                <w:szCs w:val="21"/>
                <w:color w:val="auto"/>
              </w:rPr>
            </w:pPr>
          </w:p>
        </w:tc>
        <w:tc>
          <w:tcPr>
            <w:tcW w:w="12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39"/>
        </w:trPr>
        <w:tc>
          <w:tcPr>
            <w:tcW w:w="6360" w:type="dxa"/>
            <w:vAlign w:val="bottom"/>
            <w:tcBorders>
              <w:bottom w:val="single" w:sz="8" w:color="D5EEEE"/>
            </w:tcBorders>
          </w:tcPr>
          <w:p>
            <w:pPr>
              <w:ind w:left="400"/>
              <w:spacing w:after="0"/>
              <w:rPr>
                <w:sz w:val="20"/>
                <w:szCs w:val="20"/>
                <w:color w:val="auto"/>
              </w:rPr>
            </w:pPr>
            <w:r>
              <w:rPr>
                <w:rFonts w:ascii="Times New Roman" w:cs="Times New Roman" w:eastAsia="Times New Roman" w:hAnsi="Times New Roman"/>
                <w:sz w:val="20"/>
                <w:szCs w:val="20"/>
                <w:color w:val="auto"/>
              </w:rPr>
              <w:t>Total other income, net</w:t>
            </w:r>
          </w:p>
        </w:tc>
        <w:tc>
          <w:tcPr>
            <w:tcW w:w="400" w:type="dxa"/>
            <w:vAlign w:val="bottom"/>
            <w:tcBorders>
              <w:bottom w:val="single" w:sz="8" w:color="D5EEEE"/>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6,505</w:t>
            </w:r>
          </w:p>
        </w:tc>
        <w:tc>
          <w:tcPr>
            <w:tcW w:w="240" w:type="dxa"/>
            <w:vAlign w:val="bottom"/>
            <w:tcBorders>
              <w:bottom w:val="single" w:sz="8" w:color="D5EEEE"/>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3,583</w:t>
            </w:r>
          </w:p>
        </w:tc>
        <w:tc>
          <w:tcPr>
            <w:tcW w:w="80" w:type="dxa"/>
            <w:vAlign w:val="bottom"/>
            <w:tcBorders>
              <w:bottom w:val="single" w:sz="8" w:color="D5EEEE"/>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40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(42,823)</w:t>
            </w:r>
          </w:p>
        </w:tc>
        <w:tc>
          <w:tcPr>
            <w:tcW w:w="24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(47,941)</w:t>
            </w:r>
          </w:p>
        </w:tc>
        <w:tc>
          <w:tcPr>
            <w:tcW w:w="8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D5EEEE"/>
            </w:tcBorders>
          </w:tcPr>
          <w:p>
            <w:pPr>
              <w:ind w:left="200"/>
              <w:spacing w:after="0"/>
              <w:rPr>
                <w:sz w:val="20"/>
                <w:szCs w:val="20"/>
                <w:color w:val="auto"/>
              </w:rPr>
            </w:pPr>
            <w:r>
              <w:rPr>
                <w:rFonts w:ascii="Times New Roman" w:cs="Times New Roman" w:eastAsia="Times New Roman" w:hAnsi="Times New Roman"/>
                <w:sz w:val="20"/>
                <w:szCs w:val="20"/>
                <w:color w:val="auto"/>
              </w:rPr>
              <w:t>Income tax benefit</w:t>
            </w:r>
          </w:p>
        </w:tc>
        <w:tc>
          <w:tcPr>
            <w:tcW w:w="400" w:type="dxa"/>
            <w:vAlign w:val="bottom"/>
            <w:tcBorders>
              <w:bottom w:val="single" w:sz="8" w:color="D5EEE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40" w:type="dxa"/>
            <w:vAlign w:val="bottom"/>
            <w:tcBorders>
              <w:bottom w:val="single" w:sz="8" w:color="D5EEE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3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Net loss</w:t>
            </w:r>
          </w:p>
        </w:tc>
        <w:tc>
          <w:tcPr>
            <w:tcW w:w="400" w:type="dxa"/>
            <w:vAlign w:val="bottom"/>
            <w:tcBorders>
              <w:bottom w:val="single" w:sz="8" w:color="D5EEEE"/>
            </w:tcBorders>
            <w:shd w:val="clear" w:color="auto" w:fill="D5EEEE"/>
          </w:tcPr>
          <w:p>
            <w:pPr>
              <w:spacing w:after="0"/>
              <w:rPr>
                <w:sz w:val="22"/>
                <w:szCs w:val="22"/>
                <w:color w:val="auto"/>
              </w:rPr>
            </w:pPr>
          </w:p>
        </w:tc>
        <w:tc>
          <w:tcPr>
            <w:tcW w:w="26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(42,759)</w:t>
            </w:r>
          </w:p>
        </w:tc>
        <w:tc>
          <w:tcPr>
            <w:tcW w:w="240" w:type="dxa"/>
            <w:vAlign w:val="bottom"/>
            <w:tcBorders>
              <w:bottom w:val="single" w:sz="8" w:color="D5EEEE"/>
            </w:tcBorders>
            <w:shd w:val="clear" w:color="auto" w:fill="D5EEEE"/>
          </w:tcPr>
          <w:p>
            <w:pPr>
              <w:spacing w:after="0"/>
              <w:rPr>
                <w:sz w:val="22"/>
                <w:szCs w:val="22"/>
                <w:color w:val="auto"/>
              </w:rPr>
            </w:pPr>
          </w:p>
        </w:tc>
        <w:tc>
          <w:tcPr>
            <w:tcW w:w="26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(47,911)</w:t>
            </w:r>
          </w:p>
        </w:tc>
        <w:tc>
          <w:tcPr>
            <w:tcW w:w="8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Basic and diluted net loss per common share outstanding</w:t>
            </w:r>
          </w:p>
        </w:tc>
        <w:tc>
          <w:tcPr>
            <w:tcW w:w="6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360" w:type="dxa"/>
            <w:vAlign w:val="bottom"/>
            <w:tcBorders>
              <w:bottom w:val="single" w:sz="8" w:color="D5EEEE"/>
            </w:tcBorders>
            <w:vMerge w:val="continue"/>
          </w:tcPr>
          <w:p>
            <w:pPr>
              <w:spacing w:after="0"/>
              <w:rPr>
                <w:sz w:val="21"/>
                <w:szCs w:val="21"/>
                <w:color w:val="auto"/>
              </w:rPr>
            </w:pPr>
          </w:p>
        </w:tc>
        <w:tc>
          <w:tcPr>
            <w:tcW w:w="400" w:type="dxa"/>
            <w:vAlign w:val="bottom"/>
            <w:tcBorders>
              <w:bottom w:val="single" w:sz="8" w:color="D5EEEE"/>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(0.32)</w:t>
            </w:r>
          </w:p>
        </w:tc>
        <w:tc>
          <w:tcPr>
            <w:tcW w:w="240" w:type="dxa"/>
            <w:vAlign w:val="bottom"/>
            <w:tcBorders>
              <w:bottom w:val="single" w:sz="8" w:color="D5EEEE"/>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0"/>
              <w:spacing w:after="0" w:line="209"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09" w:lineRule="exact"/>
              <w:rPr>
                <w:sz w:val="20"/>
                <w:szCs w:val="20"/>
                <w:color w:val="auto"/>
              </w:rPr>
            </w:pPr>
            <w:r>
              <w:rPr>
                <w:rFonts w:ascii="Times New Roman" w:cs="Times New Roman" w:eastAsia="Times New Roman" w:hAnsi="Times New Roman"/>
                <w:sz w:val="20"/>
                <w:szCs w:val="20"/>
                <w:color w:val="auto"/>
              </w:rPr>
              <w:t>(0.47)</w:t>
            </w: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D5EEEE"/>
          </w:tcPr>
          <w:p>
            <w:pPr>
              <w:spacing w:after="0" w:line="209" w:lineRule="exact"/>
              <w:rPr>
                <w:sz w:val="20"/>
                <w:szCs w:val="20"/>
                <w:color w:val="auto"/>
              </w:rPr>
            </w:pPr>
            <w:r>
              <w:rPr>
                <w:rFonts w:ascii="Times New Roman" w:cs="Times New Roman" w:eastAsia="Times New Roman" w:hAnsi="Times New Roman"/>
                <w:sz w:val="20"/>
                <w:szCs w:val="20"/>
                <w:color w:val="auto"/>
              </w:rPr>
              <w:t>Weighted average common shares used in net loss per share</w:t>
            </w:r>
          </w:p>
        </w:tc>
        <w:tc>
          <w:tcPr>
            <w:tcW w:w="40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1160" w:type="dxa"/>
            <w:vAlign w:val="bottom"/>
            <w:shd w:val="clear" w:color="auto" w:fill="D5EEEE"/>
          </w:tcPr>
          <w:p>
            <w:pPr>
              <w:spacing w:after="0"/>
              <w:rPr>
                <w:sz w:val="18"/>
                <w:szCs w:val="18"/>
                <w:color w:val="auto"/>
              </w:rPr>
            </w:pPr>
          </w:p>
        </w:tc>
        <w:tc>
          <w:tcPr>
            <w:tcW w:w="24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1160" w:type="dxa"/>
            <w:vAlign w:val="bottom"/>
            <w:shd w:val="clear" w:color="auto" w:fill="D5EEEE"/>
          </w:tcPr>
          <w:p>
            <w:pPr>
              <w:spacing w:after="0"/>
              <w:rPr>
                <w:sz w:val="18"/>
                <w:szCs w:val="18"/>
                <w:color w:val="auto"/>
              </w:rPr>
            </w:pPr>
          </w:p>
        </w:tc>
        <w:tc>
          <w:tcPr>
            <w:tcW w:w="8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360" w:type="dxa"/>
            <w:vAlign w:val="bottom"/>
            <w:tcBorders>
              <w:bottom w:val="single" w:sz="8" w:color="D5EEEE"/>
            </w:tcBorders>
            <w:shd w:val="clear" w:color="auto" w:fill="D5EEEE"/>
          </w:tcPr>
          <w:p>
            <w:pPr>
              <w:ind w:left="140"/>
              <w:spacing w:after="0"/>
              <w:rPr>
                <w:sz w:val="20"/>
                <w:szCs w:val="20"/>
                <w:color w:val="auto"/>
              </w:rPr>
            </w:pPr>
            <w:r>
              <w:rPr>
                <w:rFonts w:ascii="Times New Roman" w:cs="Times New Roman" w:eastAsia="Times New Roman" w:hAnsi="Times New Roman"/>
                <w:sz w:val="20"/>
                <w:szCs w:val="20"/>
                <w:color w:val="auto"/>
              </w:rPr>
              <w:t>attributable to common stockholders, basic and diluted</w:t>
            </w:r>
          </w:p>
        </w:tc>
        <w:tc>
          <w:tcPr>
            <w:tcW w:w="400" w:type="dxa"/>
            <w:vAlign w:val="bottom"/>
            <w:tcBorders>
              <w:bottom w:val="single" w:sz="8" w:color="D5EEEE"/>
            </w:tcBorders>
            <w:shd w:val="clear" w:color="auto" w:fill="D5EEEE"/>
          </w:tcPr>
          <w:p>
            <w:pPr>
              <w:spacing w:after="0"/>
              <w:rPr>
                <w:sz w:val="23"/>
                <w:szCs w:val="23"/>
                <w:color w:val="auto"/>
              </w:rPr>
            </w:pPr>
          </w:p>
        </w:tc>
        <w:tc>
          <w:tcPr>
            <w:tcW w:w="260" w:type="dxa"/>
            <w:vAlign w:val="bottom"/>
            <w:tcBorders>
              <w:bottom w:val="single" w:sz="8" w:color="auto"/>
            </w:tcBorders>
            <w:shd w:val="clear" w:color="auto" w:fill="D5EEEE"/>
          </w:tcPr>
          <w:p>
            <w:pPr>
              <w:spacing w:after="0"/>
              <w:rPr>
                <w:sz w:val="23"/>
                <w:szCs w:val="23"/>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134,747,198</w:t>
            </w:r>
          </w:p>
        </w:tc>
        <w:tc>
          <w:tcPr>
            <w:tcW w:w="240" w:type="dxa"/>
            <w:vAlign w:val="bottom"/>
            <w:tcBorders>
              <w:bottom w:val="single" w:sz="8" w:color="D5EEEE"/>
            </w:tcBorders>
            <w:shd w:val="clear" w:color="auto" w:fill="D5EEEE"/>
          </w:tcPr>
          <w:p>
            <w:pPr>
              <w:spacing w:after="0"/>
              <w:rPr>
                <w:sz w:val="23"/>
                <w:szCs w:val="23"/>
                <w:color w:val="auto"/>
              </w:rPr>
            </w:pPr>
          </w:p>
        </w:tc>
        <w:tc>
          <w:tcPr>
            <w:tcW w:w="260" w:type="dxa"/>
            <w:vAlign w:val="bottom"/>
            <w:tcBorders>
              <w:bottom w:val="single" w:sz="8" w:color="auto"/>
            </w:tcBorders>
            <w:shd w:val="clear" w:color="auto" w:fill="D5EEEE"/>
          </w:tcPr>
          <w:p>
            <w:pPr>
              <w:spacing w:after="0"/>
              <w:rPr>
                <w:sz w:val="23"/>
                <w:szCs w:val="23"/>
                <w:color w:val="auto"/>
              </w:rPr>
            </w:pP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101,971,873</w:t>
            </w:r>
          </w:p>
        </w:tc>
        <w:tc>
          <w:tcPr>
            <w:tcW w:w="80" w:type="dxa"/>
            <w:vAlign w:val="bottom"/>
            <w:tcBorders>
              <w:bottom w:val="single" w:sz="8" w:color="D5EEEE"/>
            </w:tcBorders>
            <w:shd w:val="clear" w:color="auto" w:fill="D5EEE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(42,759)</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(47,911)</w:t>
            </w:r>
          </w:p>
        </w:tc>
        <w:tc>
          <w:tcPr>
            <w:tcW w:w="0" w:type="dxa"/>
            <w:vAlign w:val="bottom"/>
          </w:tcPr>
          <w:p>
            <w:pPr>
              <w:spacing w:after="0"/>
              <w:rPr>
                <w:sz w:val="1"/>
                <w:szCs w:val="1"/>
                <w:color w:val="auto"/>
              </w:rPr>
            </w:pPr>
          </w:p>
        </w:tc>
      </w:tr>
      <w:tr>
        <w:trPr>
          <w:trHeight w:val="244"/>
        </w:trPr>
        <w:tc>
          <w:tcPr>
            <w:tcW w:w="6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40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116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1160" w:type="dxa"/>
            <w:vAlign w:val="bottom"/>
            <w:shd w:val="clear" w:color="auto" w:fill="D5EEEE"/>
          </w:tcPr>
          <w:p>
            <w:pPr>
              <w:spacing w:after="0"/>
              <w:rPr>
                <w:sz w:val="21"/>
                <w:szCs w:val="21"/>
                <w:color w:val="auto"/>
              </w:rPr>
            </w:pPr>
          </w:p>
        </w:tc>
        <w:tc>
          <w:tcPr>
            <w:tcW w:w="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D5EEEE"/>
            </w:tcBorders>
          </w:tcPr>
          <w:p>
            <w:pPr>
              <w:ind w:left="100"/>
              <w:spacing w:after="0"/>
              <w:rPr>
                <w:sz w:val="20"/>
                <w:szCs w:val="20"/>
                <w:color w:val="auto"/>
              </w:rPr>
            </w:pPr>
            <w:r>
              <w:rPr>
                <w:rFonts w:ascii="Times New Roman" w:cs="Times New Roman" w:eastAsia="Times New Roman" w:hAnsi="Times New Roman"/>
                <w:sz w:val="20"/>
                <w:szCs w:val="20"/>
                <w:color w:val="auto"/>
              </w:rPr>
              <w:t>Net unrealized gains on available-for-sale marketable securities</w:t>
            </w:r>
          </w:p>
        </w:tc>
        <w:tc>
          <w:tcPr>
            <w:tcW w:w="400" w:type="dxa"/>
            <w:vAlign w:val="bottom"/>
            <w:tcBorders>
              <w:bottom w:val="single" w:sz="8" w:color="D5EEE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240" w:type="dxa"/>
            <w:vAlign w:val="bottom"/>
            <w:tcBorders>
              <w:bottom w:val="single" w:sz="8" w:color="D5EEEE"/>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8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3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400" w:type="dxa"/>
            <w:vAlign w:val="bottom"/>
            <w:tcBorders>
              <w:bottom w:val="single" w:sz="8" w:color="D5EEEE"/>
            </w:tcBorders>
            <w:shd w:val="clear" w:color="auto" w:fill="D5EEEE"/>
          </w:tcPr>
          <w:p>
            <w:pPr>
              <w:spacing w:after="0"/>
              <w:rPr>
                <w:sz w:val="22"/>
                <w:szCs w:val="22"/>
                <w:color w:val="auto"/>
              </w:rPr>
            </w:pPr>
          </w:p>
        </w:tc>
        <w:tc>
          <w:tcPr>
            <w:tcW w:w="26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(42,672)</w:t>
            </w:r>
          </w:p>
        </w:tc>
        <w:tc>
          <w:tcPr>
            <w:tcW w:w="240" w:type="dxa"/>
            <w:vAlign w:val="bottom"/>
            <w:tcBorders>
              <w:bottom w:val="single" w:sz="8" w:color="D5EEEE"/>
            </w:tcBorders>
            <w:shd w:val="clear" w:color="auto" w:fill="D5EEEE"/>
          </w:tcPr>
          <w:p>
            <w:pPr>
              <w:spacing w:after="0"/>
              <w:rPr>
                <w:sz w:val="22"/>
                <w:szCs w:val="22"/>
                <w:color w:val="auto"/>
              </w:rPr>
            </w:pPr>
          </w:p>
        </w:tc>
        <w:tc>
          <w:tcPr>
            <w:tcW w:w="26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(47,821)</w:t>
            </w:r>
          </w:p>
        </w:tc>
        <w:tc>
          <w:tcPr>
            <w:tcW w:w="8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3940"/>
              <w:spacing w:after="0"/>
              <w:rPr>
                <w:sz w:val="20"/>
                <w:szCs w:val="20"/>
                <w:color w:val="auto"/>
              </w:rPr>
            </w:pPr>
            <w:r>
              <w:rPr>
                <w:rFonts w:ascii="Times New Roman" w:cs="Times New Roman" w:eastAsia="Times New Roman" w:hAnsi="Times New Roman"/>
                <w:sz w:val="20"/>
                <w:szCs w:val="20"/>
                <w:color w:val="auto"/>
              </w:rPr>
              <w:t>See accompanying notes.</w:t>
            </w: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20"/>
          </w:cols>
          <w:pgMar w:left="1160" w:top="1128"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920"/>
          </w:cols>
          <w:pgMar w:left="1160" w:top="1128" w:right="1160" w:bottom="175"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Trevi Therapeutics,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amounts)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4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w:t>
            </w:r>
          </w:p>
        </w:tc>
        <w:tc>
          <w:tcPr>
            <w:tcW w:w="1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184"/>
        </w:trPr>
        <w:tc>
          <w:tcPr>
            <w:tcW w:w="4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l</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w:t>
            </w: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60" w:type="dxa"/>
            <w:vAlign w:val="bottom"/>
          </w:tcPr>
          <w:p>
            <w:pPr>
              <w:spacing w:after="0"/>
              <w:rPr>
                <w:sz w:val="16"/>
                <w:szCs w:val="16"/>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Stockholde</w:t>
            </w:r>
          </w:p>
        </w:tc>
      </w:tr>
      <w:tr>
        <w:trPr>
          <w:trHeight w:val="203"/>
        </w:trPr>
        <w:tc>
          <w:tcPr>
            <w:tcW w:w="4100" w:type="dxa"/>
            <w:vAlign w:val="bottom"/>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2"/>
              </w:rPr>
              <w:t>ve</w:t>
            </w:r>
          </w:p>
        </w:tc>
        <w:tc>
          <w:tcPr>
            <w:tcW w:w="120" w:type="dxa"/>
            <w:vAlign w:val="bottom"/>
          </w:tcPr>
          <w:p>
            <w:pPr>
              <w:spacing w:after="0"/>
              <w:rPr>
                <w:sz w:val="17"/>
                <w:szCs w:val="17"/>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rs’</w:t>
            </w:r>
          </w:p>
        </w:tc>
      </w:tr>
      <w:tr>
        <w:trPr>
          <w:trHeight w:val="174"/>
        </w:trPr>
        <w:tc>
          <w:tcPr>
            <w:tcW w:w="4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40"/>
              <w:spacing w:after="0" w:line="174"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4100" w:type="dxa"/>
            <w:vAlign w:val="bottom"/>
          </w:tcPr>
          <w:p>
            <w:pPr>
              <w:spacing w:after="0"/>
              <w:rPr>
                <w:sz w:val="17"/>
                <w:szCs w:val="17"/>
                <w:color w:val="auto"/>
              </w:rPr>
            </w:pPr>
          </w:p>
        </w:tc>
        <w:tc>
          <w:tcPr>
            <w:tcW w:w="92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193"/>
        </w:trPr>
        <w:tc>
          <w:tcPr>
            <w:tcW w:w="41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68,283,699</w:t>
            </w:r>
          </w:p>
        </w:tc>
        <w:tc>
          <w:tcPr>
            <w:tcW w:w="180" w:type="dxa"/>
            <w:vAlign w:val="bottom"/>
            <w:tcBorders>
              <w:top w:val="single" w:sz="8" w:color="D5EEEE"/>
            </w:tcBorders>
            <w:shd w:val="clear" w:color="auto" w:fill="D5EEEE"/>
          </w:tcPr>
          <w:p>
            <w:pPr>
              <w:spacing w:after="0"/>
              <w:rPr>
                <w:sz w:val="16"/>
                <w:szCs w:val="16"/>
                <w:color w:val="auto"/>
              </w:rPr>
            </w:pPr>
          </w:p>
        </w:tc>
        <w:tc>
          <w:tcPr>
            <w:tcW w:w="340" w:type="dxa"/>
            <w:vAlign w:val="bottom"/>
            <w:tcBorders>
              <w:top w:val="single" w:sz="8" w:color="auto"/>
            </w:tcBorders>
            <w:shd w:val="clear" w:color="auto" w:fill="D5EEEE"/>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00" w:type="dxa"/>
            <w:vAlign w:val="bottom"/>
            <w:tcBorders>
              <w:top w:val="single" w:sz="8" w:color="D5EEEE"/>
            </w:tcBorders>
            <w:shd w:val="clear" w:color="auto" w:fill="D5EEEE"/>
          </w:tcPr>
          <w:p>
            <w:pPr>
              <w:spacing w:after="0"/>
              <w:rPr>
                <w:sz w:val="16"/>
                <w:szCs w:val="16"/>
                <w:color w:val="auto"/>
              </w:rPr>
            </w:pPr>
          </w:p>
        </w:tc>
        <w:tc>
          <w:tcPr>
            <w:tcW w:w="12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shd w:val="clear" w:color="auto" w:fill="D5EEEE"/>
              </w:rPr>
              <w:t>$</w:t>
            </w:r>
          </w:p>
        </w:tc>
        <w:tc>
          <w:tcPr>
            <w:tcW w:w="5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shd w:val="clear" w:color="auto" w:fill="D5EEEE"/>
              </w:rPr>
              <w:t>321,642</w:t>
            </w:r>
          </w:p>
        </w:tc>
        <w:tc>
          <w:tcPr>
            <w:tcW w:w="200" w:type="dxa"/>
            <w:vAlign w:val="bottom"/>
            <w:tcBorders>
              <w:top w:val="single" w:sz="8" w:color="D5EEEE"/>
            </w:tcBorders>
            <w:shd w:val="clear" w:color="auto" w:fill="D5EEEE"/>
          </w:tcPr>
          <w:p>
            <w:pPr>
              <w:spacing w:after="0"/>
              <w:rPr>
                <w:sz w:val="16"/>
                <w:szCs w:val="16"/>
                <w:color w:val="auto"/>
              </w:rPr>
            </w:pPr>
          </w:p>
        </w:tc>
        <w:tc>
          <w:tcPr>
            <w:tcW w:w="14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tcBorders>
              <w:top w:val="single" w:sz="8" w:color="D5EEEE"/>
            </w:tcBorders>
            <w:shd w:val="clear" w:color="auto" w:fill="D5EEEE"/>
          </w:tcPr>
          <w:p>
            <w:pPr>
              <w:spacing w:after="0"/>
              <w:rPr>
                <w:sz w:val="16"/>
                <w:szCs w:val="16"/>
                <w:color w:val="auto"/>
              </w:rPr>
            </w:pPr>
          </w:p>
        </w:tc>
        <w:tc>
          <w:tcPr>
            <w:tcW w:w="12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16"/>
                <w:szCs w:val="16"/>
                <w:color w:val="auto"/>
                <w:shd w:val="clear" w:color="auto" w:fill="D5EEEE"/>
              </w:rPr>
              <w:t>$</w:t>
            </w:r>
          </w:p>
        </w:tc>
        <w:tc>
          <w:tcPr>
            <w:tcW w:w="6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shd w:val="clear" w:color="auto" w:fill="D5EEEE"/>
              </w:rPr>
              <w:t>(239,134</w:t>
            </w:r>
          </w:p>
        </w:tc>
        <w:tc>
          <w:tcPr>
            <w:tcW w:w="12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D5EEEE"/>
            </w:tcBorders>
            <w:shd w:val="clear" w:color="auto" w:fill="D5EEEE"/>
          </w:tcPr>
          <w:p>
            <w:pPr>
              <w:spacing w:after="0"/>
              <w:rPr>
                <w:sz w:val="16"/>
                <w:szCs w:val="16"/>
                <w:color w:val="auto"/>
              </w:rPr>
            </w:pPr>
          </w:p>
        </w:tc>
        <w:tc>
          <w:tcPr>
            <w:tcW w:w="140" w:type="dxa"/>
            <w:vAlign w:val="bottom"/>
            <w:tcBorders>
              <w:top w:val="single" w:sz="8" w:color="auto"/>
            </w:tcBorders>
            <w:shd w:val="clear" w:color="auto" w:fill="D5EEEE"/>
          </w:tcPr>
          <w:p>
            <w:pPr>
              <w:spacing w:after="0"/>
              <w:rPr>
                <w:sz w:val="16"/>
                <w:szCs w:val="16"/>
                <w:color w:val="auto"/>
              </w:rPr>
            </w:pPr>
          </w:p>
        </w:tc>
        <w:tc>
          <w:tcPr>
            <w:tcW w:w="6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82,547</w:t>
            </w:r>
          </w:p>
        </w:tc>
        <w:tc>
          <w:tcPr>
            <w:tcW w:w="60" w:type="dxa"/>
            <w:vAlign w:val="bottom"/>
            <w:tcBorders>
              <w:top w:val="single" w:sz="8" w:color="D5EEEE"/>
            </w:tcBorders>
            <w:shd w:val="clear" w:color="auto" w:fill="D5EEEE"/>
          </w:tcPr>
          <w:p>
            <w:pPr>
              <w:spacing w:after="0"/>
              <w:rPr>
                <w:sz w:val="16"/>
                <w:szCs w:val="16"/>
                <w:color w:val="auto"/>
              </w:rPr>
            </w:pPr>
          </w:p>
        </w:tc>
      </w:tr>
      <w:tr>
        <w:trPr>
          <w:trHeight w:val="19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60" w:type="dxa"/>
            <w:vAlign w:val="bottom"/>
          </w:tcPr>
          <w:p>
            <w:pPr>
              <w:spacing w:after="0"/>
              <w:rPr>
                <w:sz w:val="17"/>
                <w:szCs w:val="17"/>
                <w:color w:val="auto"/>
              </w:rPr>
            </w:pPr>
          </w:p>
        </w:tc>
      </w:tr>
      <w:tr>
        <w:trPr>
          <w:trHeight w:val="198"/>
        </w:trPr>
        <w:tc>
          <w:tcPr>
            <w:tcW w:w="410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Issuance of common stock from exercise of stock options</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262,009</w:t>
            </w:r>
          </w:p>
        </w:tc>
        <w:tc>
          <w:tcPr>
            <w:tcW w:w="18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0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100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60" w:type="dxa"/>
            <w:vAlign w:val="bottom"/>
            <w:shd w:val="clear" w:color="auto" w:fill="D5EEEE"/>
          </w:tcPr>
          <w:p>
            <w:pPr>
              <w:spacing w:after="0"/>
              <w:rPr>
                <w:sz w:val="17"/>
                <w:szCs w:val="17"/>
                <w:color w:val="auto"/>
              </w:rPr>
            </w:pPr>
          </w:p>
        </w:tc>
      </w:tr>
      <w:tr>
        <w:trPr>
          <w:trHeight w:val="183"/>
        </w:trPr>
        <w:tc>
          <w:tcPr>
            <w:tcW w:w="41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Issuance of common stock from Employee Stock Purchase</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Plan</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45,483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tcPr>
          <w:p>
            <w:pPr>
              <w:spacing w:after="0"/>
              <w:rPr>
                <w:sz w:val="17"/>
                <w:szCs w:val="17"/>
                <w:color w:val="auto"/>
              </w:rPr>
            </w:pPr>
          </w:p>
        </w:tc>
      </w:tr>
      <w:tr>
        <w:trPr>
          <w:trHeight w:val="183"/>
        </w:trPr>
        <w:tc>
          <w:tcPr>
            <w:tcW w:w="4100" w:type="dxa"/>
            <w:vAlign w:val="bottom"/>
            <w:shd w:val="clear" w:color="auto" w:fill="D5EEEE"/>
          </w:tcPr>
          <w:p>
            <w:pPr>
              <w:spacing w:after="0" w:line="183" w:lineRule="exact"/>
              <w:rPr>
                <w:sz w:val="20"/>
                <w:szCs w:val="20"/>
                <w:color w:val="auto"/>
              </w:rPr>
            </w:pPr>
            <w:r>
              <w:rPr>
                <w:rFonts w:ascii="Times New Roman" w:cs="Times New Roman" w:eastAsia="Times New Roman" w:hAnsi="Times New Roman"/>
                <w:sz w:val="16"/>
                <w:szCs w:val="16"/>
                <w:color w:val="auto"/>
              </w:rPr>
              <w:t>Issuance of common stock under the at-the-market sales</w:t>
            </w:r>
          </w:p>
        </w:tc>
        <w:tc>
          <w:tcPr>
            <w:tcW w:w="92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340" w:type="dxa"/>
            <w:vAlign w:val="bottom"/>
            <w:shd w:val="clear" w:color="auto" w:fill="D5EEEE"/>
          </w:tcPr>
          <w:p>
            <w:pPr>
              <w:spacing w:after="0"/>
              <w:rPr>
                <w:sz w:val="15"/>
                <w:szCs w:val="15"/>
                <w:color w:val="auto"/>
              </w:rPr>
            </w:pPr>
          </w:p>
        </w:tc>
        <w:tc>
          <w:tcPr>
            <w:tcW w:w="30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58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82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60" w:type="dxa"/>
            <w:vAlign w:val="bottom"/>
            <w:shd w:val="clear" w:color="auto" w:fill="D5EEEE"/>
          </w:tcPr>
          <w:p>
            <w:pPr>
              <w:spacing w:after="0"/>
              <w:rPr>
                <w:sz w:val="15"/>
                <w:szCs w:val="15"/>
                <w:color w:val="auto"/>
              </w:rPr>
            </w:pPr>
          </w:p>
        </w:tc>
      </w:tr>
      <w:tr>
        <w:trPr>
          <w:trHeight w:val="199"/>
        </w:trPr>
        <w:tc>
          <w:tcPr>
            <w:tcW w:w="410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agreement, net of commissions and allocated fees</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4,498,065</w:t>
            </w:r>
          </w:p>
        </w:tc>
        <w:tc>
          <w:tcPr>
            <w:tcW w:w="18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14,094</w:t>
            </w:r>
          </w:p>
        </w:tc>
        <w:tc>
          <w:tcPr>
            <w:tcW w:w="20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100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14,099</w:t>
            </w:r>
          </w:p>
        </w:tc>
        <w:tc>
          <w:tcPr>
            <w:tcW w:w="60" w:type="dxa"/>
            <w:vAlign w:val="bottom"/>
            <w:shd w:val="clear" w:color="auto" w:fill="D5EEEE"/>
          </w:tcPr>
          <w:p>
            <w:pPr>
              <w:spacing w:after="0"/>
              <w:rPr>
                <w:sz w:val="17"/>
                <w:szCs w:val="17"/>
                <w:color w:val="auto"/>
              </w:rPr>
            </w:pPr>
          </w:p>
        </w:tc>
      </w:tr>
      <w:tr>
        <w:trPr>
          <w:trHeight w:val="19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pre-funded warrant exercise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8,013,375</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410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Issuance of common stock under offering, less issuance costs</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12,500,000</w:t>
            </w:r>
          </w:p>
        </w:tc>
        <w:tc>
          <w:tcPr>
            <w:tcW w:w="18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46,754</w:t>
            </w:r>
          </w:p>
        </w:tc>
        <w:tc>
          <w:tcPr>
            <w:tcW w:w="20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100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46,767</w:t>
            </w:r>
          </w:p>
        </w:tc>
        <w:tc>
          <w:tcPr>
            <w:tcW w:w="60" w:type="dxa"/>
            <w:vAlign w:val="bottom"/>
            <w:shd w:val="clear" w:color="auto" w:fill="D5EEEE"/>
          </w:tcPr>
          <w:p>
            <w:pPr>
              <w:spacing w:after="0"/>
              <w:rPr>
                <w:sz w:val="17"/>
                <w:szCs w:val="17"/>
                <w:color w:val="auto"/>
              </w:rPr>
            </w:pPr>
          </w:p>
        </w:tc>
      </w:tr>
      <w:tr>
        <w:trPr>
          <w:trHeight w:val="19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on available-for-sale marketable securities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60" w:type="dxa"/>
            <w:vAlign w:val="bottom"/>
          </w:tcPr>
          <w:p>
            <w:pPr>
              <w:spacing w:after="0"/>
              <w:rPr>
                <w:sz w:val="17"/>
                <w:szCs w:val="17"/>
                <w:color w:val="auto"/>
              </w:rPr>
            </w:pPr>
          </w:p>
        </w:tc>
      </w:tr>
      <w:tr>
        <w:trPr>
          <w:trHeight w:val="218"/>
        </w:trPr>
        <w:tc>
          <w:tcPr>
            <w:tcW w:w="410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78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8"/>
                <w:szCs w:val="18"/>
                <w:color w:val="auto"/>
              </w:rPr>
            </w:pPr>
          </w:p>
        </w:tc>
        <w:tc>
          <w:tcPr>
            <w:tcW w:w="100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5EEEE"/>
          </w:tcPr>
          <w:p>
            <w:pPr>
              <w:spacing w:after="0"/>
              <w:rPr>
                <w:sz w:val="18"/>
                <w:szCs w:val="18"/>
                <w:color w:val="auto"/>
              </w:rPr>
            </w:pPr>
          </w:p>
        </w:tc>
        <w:tc>
          <w:tcPr>
            <w:tcW w:w="7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(47,911)</w:t>
            </w:r>
          </w:p>
        </w:tc>
        <w:tc>
          <w:tcPr>
            <w:tcW w:w="60" w:type="dxa"/>
            <w:vAlign w:val="bottom"/>
            <w:shd w:val="clear" w:color="auto" w:fill="D5EEEE"/>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7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(47,911)</w:t>
            </w:r>
          </w:p>
        </w:tc>
      </w:tr>
      <w:tr>
        <w:trPr>
          <w:trHeight w:val="213"/>
        </w:trPr>
        <w:tc>
          <w:tcPr>
            <w:tcW w:w="4100" w:type="dxa"/>
            <w:vAlign w:val="bottom"/>
            <w:tcBorders>
              <w:top w:val="single" w:sz="8" w:color="D5EEEE"/>
              <w:bottom w:val="single" w:sz="8" w:color="D5EEEE"/>
            </w:tcBorders>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93,602,631</w:t>
            </w:r>
          </w:p>
        </w:tc>
        <w:tc>
          <w:tcPr>
            <w:tcW w:w="180" w:type="dxa"/>
            <w:vAlign w:val="bottom"/>
            <w:tcBorders>
              <w:top w:val="single" w:sz="8" w:color="D5EEEE"/>
              <w:bottom w:val="single" w:sz="8" w:color="D5EEEE"/>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0"/>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94</w:t>
            </w:r>
          </w:p>
        </w:tc>
        <w:tc>
          <w:tcPr>
            <w:tcW w:w="200" w:type="dxa"/>
            <w:vAlign w:val="bottom"/>
            <w:tcBorders>
              <w:top w:val="single" w:sz="8" w:color="D5EEEE"/>
              <w:bottom w:val="single" w:sz="8" w:color="D5EEEE"/>
            </w:tcBorders>
          </w:tcPr>
          <w:p>
            <w:pPr>
              <w:spacing w:after="0"/>
              <w:rPr>
                <w:sz w:val="18"/>
                <w:szCs w:val="18"/>
                <w:color w:val="auto"/>
              </w:rPr>
            </w:pPr>
          </w:p>
        </w:tc>
        <w:tc>
          <w:tcPr>
            <w:tcW w:w="120" w:type="dxa"/>
            <w:vAlign w:val="bottom"/>
            <w:tcBorders>
              <w:top w:val="single" w:sz="8" w:color="auto"/>
              <w:bottom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386,534</w:t>
            </w:r>
          </w:p>
        </w:tc>
        <w:tc>
          <w:tcPr>
            <w:tcW w:w="200" w:type="dxa"/>
            <w:vAlign w:val="bottom"/>
            <w:tcBorders>
              <w:top w:val="single" w:sz="8" w:color="D5EEEE"/>
              <w:bottom w:val="single" w:sz="8" w:color="D5EEEE"/>
            </w:tcBorders>
          </w:tcPr>
          <w:p>
            <w:pPr>
              <w:spacing w:after="0"/>
              <w:rPr>
                <w:sz w:val="18"/>
                <w:szCs w:val="18"/>
                <w:color w:val="auto"/>
              </w:rPr>
            </w:pPr>
          </w:p>
        </w:tc>
        <w:tc>
          <w:tcPr>
            <w:tcW w:w="140" w:type="dxa"/>
            <w:vAlign w:val="bottom"/>
            <w:tcBorders>
              <w:top w:val="single" w:sz="8" w:color="auto"/>
              <w:bottom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61</w:t>
            </w:r>
          </w:p>
        </w:tc>
        <w:tc>
          <w:tcPr>
            <w:tcW w:w="180" w:type="dxa"/>
            <w:vAlign w:val="bottom"/>
            <w:tcBorders>
              <w:top w:val="single" w:sz="8" w:color="D5EEEE"/>
              <w:bottom w:val="single" w:sz="8" w:color="D5EEEE"/>
            </w:tcBorders>
          </w:tcPr>
          <w:p>
            <w:pPr>
              <w:spacing w:after="0"/>
              <w:rPr>
                <w:sz w:val="18"/>
                <w:szCs w:val="18"/>
                <w:color w:val="auto"/>
              </w:rPr>
            </w:pPr>
          </w:p>
        </w:tc>
        <w:tc>
          <w:tcPr>
            <w:tcW w:w="120" w:type="dxa"/>
            <w:vAlign w:val="bottom"/>
            <w:tcBorders>
              <w:top w:val="single" w:sz="8" w:color="auto"/>
              <w:bottom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(287,045</w:t>
            </w:r>
          </w:p>
        </w:tc>
        <w:tc>
          <w:tcPr>
            <w:tcW w:w="120" w:type="dxa"/>
            <w:vAlign w:val="bottom"/>
            <w:tcBorders>
              <w:top w:val="single" w:sz="8" w:color="D5EEEE"/>
              <w:bottom w:val="single" w:sz="8" w:color="D5EEEE"/>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D5EEEE"/>
              <w:bottom w:val="single" w:sz="8" w:color="D5EEEE"/>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99,644</w:t>
            </w:r>
          </w:p>
        </w:tc>
        <w:tc>
          <w:tcPr>
            <w:tcW w:w="60" w:type="dxa"/>
            <w:vAlign w:val="bottom"/>
            <w:tcBorders>
              <w:top w:val="single" w:sz="8" w:color="D5EEEE"/>
              <w:bottom w:val="single" w:sz="8" w:color="D5EEEE"/>
            </w:tcBorders>
          </w:tcPr>
          <w:p>
            <w:pPr>
              <w:spacing w:after="0"/>
              <w:rPr>
                <w:sz w:val="18"/>
                <w:szCs w:val="18"/>
                <w:color w:val="auto"/>
              </w:rPr>
            </w:pPr>
          </w:p>
        </w:tc>
      </w:tr>
      <w:tr>
        <w:trPr>
          <w:trHeight w:val="183"/>
        </w:trPr>
        <w:tc>
          <w:tcPr>
            <w:tcW w:w="410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5"/>
                <w:szCs w:val="15"/>
                <w:color w:val="auto"/>
              </w:rPr>
            </w:pPr>
          </w:p>
        </w:tc>
        <w:tc>
          <w:tcPr>
            <w:tcW w:w="340" w:type="dxa"/>
            <w:vAlign w:val="bottom"/>
            <w:shd w:val="clear" w:color="auto" w:fill="D5EEEE"/>
          </w:tcPr>
          <w:p>
            <w:pPr>
              <w:spacing w:after="0"/>
              <w:rPr>
                <w:sz w:val="15"/>
                <w:szCs w:val="15"/>
                <w:color w:val="auto"/>
              </w:rPr>
            </w:pPr>
          </w:p>
        </w:tc>
        <w:tc>
          <w:tcPr>
            <w:tcW w:w="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5,185</w:t>
            </w:r>
          </w:p>
        </w:tc>
        <w:tc>
          <w:tcPr>
            <w:tcW w:w="20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5EEEE"/>
          </w:tcPr>
          <w:p>
            <w:pPr>
              <w:spacing w:after="0"/>
              <w:rPr>
                <w:sz w:val="15"/>
                <w:szCs w:val="15"/>
                <w:color w:val="auto"/>
              </w:rPr>
            </w:pPr>
          </w:p>
        </w:tc>
        <w:tc>
          <w:tcPr>
            <w:tcW w:w="6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5,185</w:t>
            </w:r>
          </w:p>
        </w:tc>
        <w:tc>
          <w:tcPr>
            <w:tcW w:w="60" w:type="dxa"/>
            <w:vAlign w:val="bottom"/>
            <w:shd w:val="clear" w:color="auto" w:fill="D5EEEE"/>
          </w:tcPr>
          <w:p>
            <w:pPr>
              <w:spacing w:after="0"/>
              <w:rPr>
                <w:sz w:val="15"/>
                <w:szCs w:val="15"/>
                <w:color w:val="auto"/>
              </w:rPr>
            </w:pPr>
          </w:p>
        </w:tc>
      </w:tr>
      <w:tr>
        <w:trPr>
          <w:trHeight w:val="19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851,567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w:t>
            </w:r>
          </w:p>
        </w:tc>
        <w:tc>
          <w:tcPr>
            <w:tcW w:w="60" w:type="dxa"/>
            <w:vAlign w:val="bottom"/>
          </w:tcPr>
          <w:p>
            <w:pPr>
              <w:spacing w:after="0"/>
              <w:rPr>
                <w:sz w:val="17"/>
                <w:szCs w:val="17"/>
                <w:color w:val="auto"/>
              </w:rPr>
            </w:pPr>
          </w:p>
        </w:tc>
      </w:tr>
      <w:tr>
        <w:trPr>
          <w:trHeight w:val="183"/>
        </w:trPr>
        <w:tc>
          <w:tcPr>
            <w:tcW w:w="4100" w:type="dxa"/>
            <w:vAlign w:val="bottom"/>
            <w:shd w:val="clear" w:color="auto" w:fill="D5EEEE"/>
          </w:tcPr>
          <w:p>
            <w:pPr>
              <w:spacing w:after="0" w:line="183" w:lineRule="exact"/>
              <w:rPr>
                <w:sz w:val="20"/>
                <w:szCs w:val="20"/>
                <w:color w:val="auto"/>
              </w:rPr>
            </w:pPr>
            <w:r>
              <w:rPr>
                <w:rFonts w:ascii="Times New Roman" w:cs="Times New Roman" w:eastAsia="Times New Roman" w:hAnsi="Times New Roman"/>
                <w:sz w:val="16"/>
                <w:szCs w:val="16"/>
                <w:color w:val="auto"/>
              </w:rPr>
              <w:t>Issuance of common stock from Employee Stock Purchase</w:t>
            </w:r>
          </w:p>
        </w:tc>
        <w:tc>
          <w:tcPr>
            <w:tcW w:w="92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340" w:type="dxa"/>
            <w:vAlign w:val="bottom"/>
            <w:shd w:val="clear" w:color="auto" w:fill="D5EEEE"/>
          </w:tcPr>
          <w:p>
            <w:pPr>
              <w:spacing w:after="0"/>
              <w:rPr>
                <w:sz w:val="15"/>
                <w:szCs w:val="15"/>
                <w:color w:val="auto"/>
              </w:rPr>
            </w:pPr>
          </w:p>
        </w:tc>
        <w:tc>
          <w:tcPr>
            <w:tcW w:w="30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580" w:type="dxa"/>
            <w:vAlign w:val="bottom"/>
            <w:shd w:val="clear" w:color="auto" w:fill="D5EEEE"/>
          </w:tcPr>
          <w:p>
            <w:pPr>
              <w:spacing w:after="0"/>
              <w:rPr>
                <w:sz w:val="15"/>
                <w:szCs w:val="15"/>
                <w:color w:val="auto"/>
              </w:rPr>
            </w:pPr>
          </w:p>
        </w:tc>
        <w:tc>
          <w:tcPr>
            <w:tcW w:w="20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820" w:type="dxa"/>
            <w:vAlign w:val="bottom"/>
            <w:shd w:val="clear" w:color="auto" w:fill="D5EEEE"/>
          </w:tcPr>
          <w:p>
            <w:pPr>
              <w:spacing w:after="0"/>
              <w:rPr>
                <w:sz w:val="15"/>
                <w:szCs w:val="15"/>
                <w:color w:val="auto"/>
              </w:rPr>
            </w:pPr>
          </w:p>
        </w:tc>
        <w:tc>
          <w:tcPr>
            <w:tcW w:w="18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60" w:type="dxa"/>
            <w:vAlign w:val="bottom"/>
            <w:shd w:val="clear" w:color="auto" w:fill="D5EEEE"/>
          </w:tcPr>
          <w:p>
            <w:pPr>
              <w:spacing w:after="0"/>
              <w:rPr>
                <w:sz w:val="15"/>
                <w:szCs w:val="15"/>
                <w:color w:val="auto"/>
              </w:rPr>
            </w:pPr>
          </w:p>
        </w:tc>
        <w:tc>
          <w:tcPr>
            <w:tcW w:w="120" w:type="dxa"/>
            <w:vAlign w:val="bottom"/>
            <w:shd w:val="clear" w:color="auto" w:fill="D5EEEE"/>
          </w:tcPr>
          <w:p>
            <w:pPr>
              <w:spacing w:after="0"/>
              <w:rPr>
                <w:sz w:val="15"/>
                <w:szCs w:val="15"/>
                <w:color w:val="auto"/>
              </w:rPr>
            </w:pPr>
          </w:p>
        </w:tc>
        <w:tc>
          <w:tcPr>
            <w:tcW w:w="60" w:type="dxa"/>
            <w:vAlign w:val="bottom"/>
            <w:shd w:val="clear" w:color="auto" w:fill="D5EEEE"/>
          </w:tcPr>
          <w:p>
            <w:pPr>
              <w:spacing w:after="0"/>
              <w:rPr>
                <w:sz w:val="15"/>
                <w:szCs w:val="15"/>
                <w:color w:val="auto"/>
              </w:rPr>
            </w:pPr>
          </w:p>
        </w:tc>
        <w:tc>
          <w:tcPr>
            <w:tcW w:w="140" w:type="dxa"/>
            <w:vAlign w:val="bottom"/>
            <w:shd w:val="clear" w:color="auto" w:fill="D5EEEE"/>
          </w:tcPr>
          <w:p>
            <w:pPr>
              <w:spacing w:after="0"/>
              <w:rPr>
                <w:sz w:val="15"/>
                <w:szCs w:val="15"/>
                <w:color w:val="auto"/>
              </w:rPr>
            </w:pPr>
          </w:p>
        </w:tc>
        <w:tc>
          <w:tcPr>
            <w:tcW w:w="680" w:type="dxa"/>
            <w:vAlign w:val="bottom"/>
            <w:shd w:val="clear" w:color="auto" w:fill="D5EEEE"/>
          </w:tcPr>
          <w:p>
            <w:pPr>
              <w:spacing w:after="0"/>
              <w:rPr>
                <w:sz w:val="15"/>
                <w:szCs w:val="15"/>
                <w:color w:val="auto"/>
              </w:rPr>
            </w:pPr>
          </w:p>
        </w:tc>
        <w:tc>
          <w:tcPr>
            <w:tcW w:w="60" w:type="dxa"/>
            <w:vAlign w:val="bottom"/>
            <w:shd w:val="clear" w:color="auto" w:fill="D5EEEE"/>
          </w:tcPr>
          <w:p>
            <w:pPr>
              <w:spacing w:after="0"/>
              <w:rPr>
                <w:sz w:val="15"/>
                <w:szCs w:val="15"/>
                <w:color w:val="auto"/>
              </w:rPr>
            </w:pPr>
          </w:p>
        </w:tc>
      </w:tr>
      <w:tr>
        <w:trPr>
          <w:trHeight w:val="199"/>
        </w:trPr>
        <w:tc>
          <w:tcPr>
            <w:tcW w:w="410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Plan</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28,131</w:t>
            </w:r>
          </w:p>
        </w:tc>
        <w:tc>
          <w:tcPr>
            <w:tcW w:w="18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100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60" w:type="dxa"/>
            <w:vAlign w:val="bottom"/>
            <w:shd w:val="clear" w:color="auto" w:fill="D5EEEE"/>
          </w:tcPr>
          <w:p>
            <w:pPr>
              <w:spacing w:after="0"/>
              <w:rPr>
                <w:sz w:val="17"/>
                <w:szCs w:val="17"/>
                <w:color w:val="auto"/>
              </w:rPr>
            </w:pPr>
          </w:p>
        </w:tc>
      </w:tr>
      <w:tr>
        <w:trPr>
          <w:trHeight w:val="19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from warrant exercise</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7,851,852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10,757</w:t>
            </w:r>
          </w:p>
        </w:tc>
        <w:tc>
          <w:tcPr>
            <w:tcW w:w="60" w:type="dxa"/>
            <w:vAlign w:val="bottom"/>
          </w:tcPr>
          <w:p>
            <w:pPr>
              <w:spacing w:after="0"/>
              <w:rPr>
                <w:sz w:val="17"/>
                <w:szCs w:val="17"/>
                <w:color w:val="auto"/>
              </w:rPr>
            </w:pPr>
          </w:p>
        </w:tc>
      </w:tr>
      <w:tr>
        <w:trPr>
          <w:trHeight w:val="198"/>
        </w:trPr>
        <w:tc>
          <w:tcPr>
            <w:tcW w:w="410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Issuance of common stock from pre-funded warrant exercise</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5,961,875</w:t>
            </w:r>
          </w:p>
        </w:tc>
        <w:tc>
          <w:tcPr>
            <w:tcW w:w="18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D5EEEE"/>
          </w:tcPr>
          <w:p>
            <w:pPr>
              <w:spacing w:after="0"/>
              <w:rPr>
                <w:sz w:val="17"/>
                <w:szCs w:val="17"/>
                <w:color w:val="auto"/>
              </w:rPr>
            </w:pPr>
          </w:p>
        </w:tc>
        <w:tc>
          <w:tcPr>
            <w:tcW w:w="100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74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offering, less issuance costs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20,010,000</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107,408</w:t>
            </w:r>
          </w:p>
        </w:tc>
        <w:tc>
          <w:tcPr>
            <w:tcW w:w="60" w:type="dxa"/>
            <w:vAlign w:val="bottom"/>
          </w:tcPr>
          <w:p>
            <w:pPr>
              <w:spacing w:after="0"/>
              <w:rPr>
                <w:sz w:val="17"/>
                <w:szCs w:val="17"/>
                <w:color w:val="auto"/>
              </w:rPr>
            </w:pPr>
          </w:p>
        </w:tc>
      </w:tr>
      <w:tr>
        <w:trPr>
          <w:trHeight w:val="198"/>
        </w:trPr>
        <w:tc>
          <w:tcPr>
            <w:tcW w:w="410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Unrealized gains on available-for-sale marketable securities</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7"/>
                <w:szCs w:val="17"/>
                <w:color w:val="auto"/>
              </w:rPr>
            </w:pPr>
          </w:p>
        </w:tc>
        <w:tc>
          <w:tcPr>
            <w:tcW w:w="8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shd w:val="clear" w:color="auto" w:fill="D5EEEE"/>
          </w:tcPr>
          <w:p>
            <w:pPr>
              <w:spacing w:after="0"/>
              <w:rPr>
                <w:sz w:val="17"/>
                <w:szCs w:val="17"/>
                <w:color w:val="auto"/>
              </w:rPr>
            </w:pPr>
          </w:p>
        </w:tc>
        <w:tc>
          <w:tcPr>
            <w:tcW w:w="120" w:type="dxa"/>
            <w:vAlign w:val="bottom"/>
            <w:shd w:val="clear" w:color="auto" w:fill="D5EEEE"/>
          </w:tcPr>
          <w:p>
            <w:pPr>
              <w:spacing w:after="0"/>
              <w:rPr>
                <w:sz w:val="17"/>
                <w:szCs w:val="17"/>
                <w:color w:val="auto"/>
              </w:rPr>
            </w:pPr>
          </w:p>
        </w:tc>
        <w:tc>
          <w:tcPr>
            <w:tcW w:w="780" w:type="dxa"/>
            <w:vAlign w:val="bottom"/>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D5EEEE"/>
          </w:tcPr>
          <w:p>
            <w:pPr>
              <w:spacing w:after="0"/>
              <w:rPr>
                <w:sz w:val="17"/>
                <w:szCs w:val="17"/>
                <w:color w:val="auto"/>
              </w:rPr>
            </w:pPr>
          </w:p>
        </w:tc>
        <w:tc>
          <w:tcPr>
            <w:tcW w:w="140" w:type="dxa"/>
            <w:vAlign w:val="bottom"/>
            <w:shd w:val="clear" w:color="auto" w:fill="D5EEEE"/>
          </w:tcPr>
          <w:p>
            <w:pPr>
              <w:spacing w:after="0"/>
              <w:rPr>
                <w:sz w:val="17"/>
                <w:szCs w:val="17"/>
                <w:color w:val="auto"/>
              </w:rPr>
            </w:pPr>
          </w:p>
        </w:tc>
        <w:tc>
          <w:tcPr>
            <w:tcW w:w="6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60" w:type="dxa"/>
            <w:vAlign w:val="bottom"/>
            <w:shd w:val="clear" w:color="auto" w:fill="D5EEEE"/>
          </w:tcPr>
          <w:p>
            <w:pPr>
              <w:spacing w:after="0"/>
              <w:rPr>
                <w:sz w:val="17"/>
                <w:szCs w:val="17"/>
                <w:color w:val="auto"/>
              </w:rPr>
            </w:pPr>
          </w:p>
        </w:tc>
      </w:tr>
      <w:tr>
        <w:trPr>
          <w:trHeight w:val="183"/>
        </w:trPr>
        <w:tc>
          <w:tcPr>
            <w:tcW w:w="41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Proceeds from disgorgement of beneficial owner's short-swing</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9"/>
        </w:trPr>
        <w:tc>
          <w:tcPr>
            <w:tcW w:w="4100" w:type="dxa"/>
            <w:vAlign w:val="bottom"/>
          </w:tcPr>
          <w:p>
            <w:pPr>
              <w:spacing w:after="0"/>
              <w:rPr>
                <w:sz w:val="20"/>
                <w:szCs w:val="20"/>
                <w:color w:val="auto"/>
              </w:rPr>
            </w:pPr>
            <w:r>
              <w:rPr>
                <w:rFonts w:ascii="Times New Roman" w:cs="Times New Roman" w:eastAsia="Times New Roman" w:hAnsi="Times New Roman"/>
                <w:sz w:val="16"/>
                <w:szCs w:val="16"/>
                <w:color w:val="auto"/>
              </w:rPr>
              <w:t>profits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60" w:type="dxa"/>
            <w:vAlign w:val="bottom"/>
          </w:tcPr>
          <w:p>
            <w:pPr>
              <w:spacing w:after="0"/>
              <w:rPr>
                <w:sz w:val="17"/>
                <w:szCs w:val="17"/>
                <w:color w:val="auto"/>
              </w:rPr>
            </w:pPr>
          </w:p>
        </w:tc>
      </w:tr>
      <w:tr>
        <w:trPr>
          <w:trHeight w:val="218"/>
        </w:trPr>
        <w:tc>
          <w:tcPr>
            <w:tcW w:w="4100" w:type="dxa"/>
            <w:vAlign w:val="bottom"/>
            <w:shd w:val="clear" w:color="auto" w:fill="D5EEEE"/>
          </w:tcPr>
          <w:p>
            <w:pPr>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3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D5EEEE"/>
          </w:tcPr>
          <w:p>
            <w:pPr>
              <w:spacing w:after="0"/>
              <w:rPr>
                <w:sz w:val="18"/>
                <w:szCs w:val="18"/>
                <w:color w:val="auto"/>
              </w:rPr>
            </w:pPr>
          </w:p>
        </w:tc>
        <w:tc>
          <w:tcPr>
            <w:tcW w:w="120" w:type="dxa"/>
            <w:vAlign w:val="bottom"/>
            <w:shd w:val="clear" w:color="auto" w:fill="D5EEEE"/>
          </w:tcPr>
          <w:p>
            <w:pPr>
              <w:spacing w:after="0"/>
              <w:rPr>
                <w:sz w:val="18"/>
                <w:szCs w:val="18"/>
                <w:color w:val="auto"/>
              </w:rPr>
            </w:pPr>
          </w:p>
        </w:tc>
        <w:tc>
          <w:tcPr>
            <w:tcW w:w="78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D5EEEE"/>
          </w:tcPr>
          <w:p>
            <w:pPr>
              <w:spacing w:after="0"/>
              <w:rPr>
                <w:sz w:val="18"/>
                <w:szCs w:val="18"/>
                <w:color w:val="auto"/>
              </w:rPr>
            </w:pPr>
          </w:p>
        </w:tc>
        <w:tc>
          <w:tcPr>
            <w:tcW w:w="1000" w:type="dxa"/>
            <w:vAlign w:val="bottom"/>
            <w:gridSpan w:val="2"/>
            <w:shd w:val="clear" w:color="auto" w:fill="D5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D5EEEE"/>
          </w:tcPr>
          <w:p>
            <w:pPr>
              <w:spacing w:after="0"/>
              <w:rPr>
                <w:sz w:val="18"/>
                <w:szCs w:val="18"/>
                <w:color w:val="auto"/>
              </w:rPr>
            </w:pPr>
          </w:p>
        </w:tc>
        <w:tc>
          <w:tcPr>
            <w:tcW w:w="7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(42,759)</w:t>
            </w:r>
          </w:p>
        </w:tc>
        <w:tc>
          <w:tcPr>
            <w:tcW w:w="60" w:type="dxa"/>
            <w:vAlign w:val="bottom"/>
            <w:shd w:val="clear" w:color="auto" w:fill="D5EEEE"/>
          </w:tcPr>
          <w:p>
            <w:pPr>
              <w:spacing w:after="0"/>
              <w:rPr>
                <w:sz w:val="18"/>
                <w:szCs w:val="18"/>
                <w:color w:val="auto"/>
              </w:rPr>
            </w:pPr>
          </w:p>
        </w:tc>
        <w:tc>
          <w:tcPr>
            <w:tcW w:w="140" w:type="dxa"/>
            <w:vAlign w:val="bottom"/>
            <w:shd w:val="clear" w:color="auto" w:fill="D5EEEE"/>
          </w:tcPr>
          <w:p>
            <w:pPr>
              <w:spacing w:after="0"/>
              <w:rPr>
                <w:sz w:val="18"/>
                <w:szCs w:val="18"/>
                <w:color w:val="auto"/>
              </w:rPr>
            </w:pPr>
          </w:p>
        </w:tc>
        <w:tc>
          <w:tcPr>
            <w:tcW w:w="74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rPr>
              <w:t>(42,759)</w:t>
            </w:r>
          </w:p>
        </w:tc>
      </w:tr>
      <w:tr>
        <w:trPr>
          <w:trHeight w:val="173"/>
        </w:trPr>
        <w:tc>
          <w:tcPr>
            <w:tcW w:w="4100" w:type="dxa"/>
            <w:vAlign w:val="bottom"/>
            <w:tcBorders>
              <w:top w:val="single" w:sz="8" w:color="D5EEEE"/>
            </w:tcBorders>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9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128,306,056</w:t>
            </w:r>
          </w:p>
        </w:tc>
        <w:tc>
          <w:tcPr>
            <w:tcW w:w="180" w:type="dxa"/>
            <w:vAlign w:val="bottom"/>
            <w:tcBorders>
              <w:top w:val="single" w:sz="8" w:color="D5EEEE"/>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0"/>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128</w:t>
            </w:r>
          </w:p>
        </w:tc>
        <w:tc>
          <w:tcPr>
            <w:tcW w:w="200" w:type="dxa"/>
            <w:vAlign w:val="bottom"/>
            <w:tcBorders>
              <w:top w:val="single" w:sz="8" w:color="D5EEEE"/>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512,772</w:t>
            </w:r>
          </w:p>
        </w:tc>
        <w:tc>
          <w:tcPr>
            <w:tcW w:w="200" w:type="dxa"/>
            <w:vAlign w:val="bottom"/>
            <w:tcBorders>
              <w:top w:val="single" w:sz="8" w:color="D5EEEE"/>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148</w:t>
            </w:r>
          </w:p>
        </w:tc>
        <w:tc>
          <w:tcPr>
            <w:tcW w:w="180" w:type="dxa"/>
            <w:vAlign w:val="bottom"/>
            <w:tcBorders>
              <w:top w:val="single" w:sz="8" w:color="D5EEEE"/>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73"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(329,804</w:t>
            </w:r>
          </w:p>
        </w:tc>
        <w:tc>
          <w:tcPr>
            <w:tcW w:w="120" w:type="dxa"/>
            <w:vAlign w:val="bottom"/>
            <w:tcBorders>
              <w:top w:val="single" w:sz="8" w:color="D5EEEE"/>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D5EEEE"/>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line="173" w:lineRule="exact"/>
              <w:rPr>
                <w:sz w:val="20"/>
                <w:szCs w:val="20"/>
                <w:color w:val="auto"/>
              </w:rPr>
            </w:pPr>
            <w:r>
              <w:rPr>
                <w:rFonts w:ascii="Times New Roman" w:cs="Times New Roman" w:eastAsia="Times New Roman" w:hAnsi="Times New Roman"/>
                <w:sz w:val="16"/>
                <w:szCs w:val="16"/>
                <w:color w:val="auto"/>
              </w:rPr>
              <w:t>183,244</w:t>
            </w:r>
          </w:p>
        </w:tc>
        <w:tc>
          <w:tcPr>
            <w:tcW w:w="60" w:type="dxa"/>
            <w:vAlign w:val="bottom"/>
            <w:tcBorders>
              <w:top w:val="single" w:sz="8" w:color="D5EEEE"/>
            </w:tcBorders>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20"/>
          <w:szCs w:val="20"/>
          <w:color w:val="auto"/>
        </w:rPr>
        <w:t>See accompanying notes.</w:t>
      </w:r>
    </w:p>
    <w:p>
      <w:pPr>
        <w:sectPr>
          <w:pgSz w:w="12240" w:h="15840" w:orient="portrait"/>
          <w:cols w:equalWidth="0" w:num="1">
            <w:col w:w="9920"/>
          </w:cols>
          <w:pgMar w:left="1160" w:top="1128"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920"/>
          </w:cols>
          <w:pgMar w:left="1160" w:top="1128" w:right="1160" w:bottom="175"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20"/>
          <w:szCs w:val="20"/>
          <w:b w:val="1"/>
          <w:bCs w:val="1"/>
          <w:color w:val="auto"/>
        </w:rPr>
        <w:t>Trevi Therapeutics, Inc.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00" w:type="dxa"/>
            <w:vAlign w:val="bottom"/>
            <w:gridSpan w:val="5"/>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04"/>
        </w:trPr>
        <w:tc>
          <w:tcPr>
            <w:tcW w:w="57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7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2025</w:t>
            </w: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7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color w:val="auto"/>
              </w:rPr>
              <w:t>Net loss</w:t>
            </w:r>
          </w:p>
        </w:tc>
        <w:tc>
          <w:tcPr>
            <w:tcW w:w="1120" w:type="dxa"/>
            <w:vAlign w:val="bottom"/>
            <w:gridSpan w:val="2"/>
            <w:shd w:val="clear" w:color="auto" w:fill="D5EEEE"/>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7"/>
                <w:szCs w:val="17"/>
                <w:color w:val="auto"/>
              </w:rPr>
              <w:t>(42,759)</w:t>
            </w:r>
          </w:p>
        </w:tc>
        <w:tc>
          <w:tcPr>
            <w:tcW w:w="340" w:type="dxa"/>
            <w:vAlign w:val="bottom"/>
            <w:shd w:val="clear" w:color="auto" w:fill="D5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(47,911)</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7"/>
                <w:szCs w:val="17"/>
                <w:color w:val="auto"/>
              </w:rPr>
              <w:t>Stock-based compensation</w:t>
            </w:r>
          </w:p>
        </w:tc>
        <w:tc>
          <w:tcPr>
            <w:tcW w:w="76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5,185</w:t>
            </w:r>
          </w:p>
        </w:tc>
        <w:tc>
          <w:tcPr>
            <w:tcW w:w="26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6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6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26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6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Accretion of available-for-sale marketable securities, net</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(1,638)</w:t>
            </w: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0" w:type="dxa"/>
            <w:vAlign w:val="bottom"/>
          </w:tcPr>
          <w:p>
            <w:pPr>
              <w:spacing w:after="0"/>
              <w:rPr>
                <w:sz w:val="1"/>
                <w:szCs w:val="1"/>
                <w:color w:val="auto"/>
              </w:rPr>
            </w:pPr>
          </w:p>
        </w:tc>
      </w:tr>
      <w:tr>
        <w:trPr>
          <w:trHeight w:val="209"/>
        </w:trPr>
        <w:tc>
          <w:tcPr>
            <w:tcW w:w="570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17"/>
                <w:szCs w:val="17"/>
                <w:color w:val="auto"/>
              </w:rPr>
              <w:t>Write off of deferred offering costs</w:t>
            </w:r>
          </w:p>
        </w:tc>
        <w:tc>
          <w:tcPr>
            <w:tcW w:w="76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6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1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57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on disposal of property, equipment and leasehold improvements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9"/>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76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122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1220" w:type="dxa"/>
            <w:vAlign w:val="bottom"/>
            <w:shd w:val="clear" w:color="auto" w:fill="D5EEEE"/>
          </w:tcPr>
          <w:p>
            <w:pPr>
              <w:spacing w:after="0"/>
              <w:rPr>
                <w:sz w:val="18"/>
                <w:szCs w:val="18"/>
                <w:color w:val="auto"/>
              </w:rPr>
            </w:pPr>
          </w:p>
        </w:tc>
        <w:tc>
          <w:tcPr>
            <w:tcW w:w="6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(1,478)</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76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148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7"/>
                <w:szCs w:val="17"/>
                <w:color w:val="auto"/>
              </w:rPr>
              <w:t>(1,415)</w:t>
            </w:r>
          </w:p>
        </w:tc>
        <w:tc>
          <w:tcPr>
            <w:tcW w:w="340" w:type="dxa"/>
            <w:vAlign w:val="bottom"/>
            <w:shd w:val="clear" w:color="auto" w:fill="D5EEEE"/>
          </w:tcPr>
          <w:p>
            <w:pPr>
              <w:spacing w:after="0"/>
              <w:rPr>
                <w:sz w:val="18"/>
                <w:szCs w:val="18"/>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2,563</w:t>
            </w:r>
          </w:p>
        </w:tc>
        <w:tc>
          <w:tcPr>
            <w:tcW w:w="6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Accounts payable</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(598)</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Borders>
              <w:top w:val="single" w:sz="8" w:color="D5EEEE"/>
              <w:bottom w:val="single" w:sz="8" w:color="D5EEEE"/>
            </w:tcBorders>
            <w:shd w:val="clear" w:color="auto" w:fill="D5EEEE"/>
          </w:tcPr>
          <w:p>
            <w:pPr>
              <w:ind w:left="60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760" w:type="dxa"/>
            <w:vAlign w:val="bottom"/>
            <w:tcBorders>
              <w:top w:val="single" w:sz="8" w:color="D5EEEE"/>
              <w:bottom w:val="single" w:sz="8" w:color="D5EEEE"/>
            </w:tcBorders>
            <w:shd w:val="clear" w:color="auto" w:fill="D5EEEE"/>
          </w:tcPr>
          <w:p>
            <w:pPr>
              <w:spacing w:after="0"/>
              <w:rPr>
                <w:sz w:val="19"/>
                <w:szCs w:val="19"/>
                <w:color w:val="auto"/>
              </w:rPr>
            </w:pPr>
          </w:p>
        </w:tc>
        <w:tc>
          <w:tcPr>
            <w:tcW w:w="360" w:type="dxa"/>
            <w:vAlign w:val="bottom"/>
            <w:tcBorders>
              <w:top w:val="single" w:sz="8" w:color="auto"/>
              <w:bottom w:val="single" w:sz="8" w:color="auto"/>
            </w:tcBorders>
            <w:shd w:val="clear" w:color="auto" w:fill="D5EEEE"/>
          </w:tcPr>
          <w:p>
            <w:pPr>
              <w:spacing w:after="0"/>
              <w:rPr>
                <w:sz w:val="19"/>
                <w:szCs w:val="19"/>
                <w:color w:val="auto"/>
              </w:rPr>
            </w:pPr>
          </w:p>
        </w:tc>
        <w:tc>
          <w:tcPr>
            <w:tcW w:w="122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(42,089)</w:t>
            </w:r>
          </w:p>
        </w:tc>
        <w:tc>
          <w:tcPr>
            <w:tcW w:w="260" w:type="dxa"/>
            <w:vAlign w:val="bottom"/>
            <w:tcBorders>
              <w:top w:val="single" w:sz="8" w:color="D5EEEE"/>
              <w:bottom w:val="single" w:sz="8" w:color="D5EEEE"/>
            </w:tcBorders>
            <w:shd w:val="clear" w:color="auto" w:fill="D5EEEE"/>
          </w:tcPr>
          <w:p>
            <w:pPr>
              <w:spacing w:after="0"/>
              <w:rPr>
                <w:sz w:val="19"/>
                <w:szCs w:val="19"/>
                <w:color w:val="auto"/>
              </w:rPr>
            </w:pPr>
          </w:p>
        </w:tc>
        <w:tc>
          <w:tcPr>
            <w:tcW w:w="340" w:type="dxa"/>
            <w:vAlign w:val="bottom"/>
            <w:tcBorders>
              <w:top w:val="single" w:sz="8" w:color="auto"/>
              <w:bottom w:val="single" w:sz="8" w:color="auto"/>
            </w:tcBorders>
            <w:shd w:val="clear" w:color="auto" w:fill="D5EEEE"/>
          </w:tcPr>
          <w:p>
            <w:pPr>
              <w:spacing w:after="0"/>
              <w:rPr>
                <w:sz w:val="19"/>
                <w:szCs w:val="19"/>
                <w:color w:val="auto"/>
              </w:rPr>
            </w:pPr>
          </w:p>
        </w:tc>
        <w:tc>
          <w:tcPr>
            <w:tcW w:w="122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(38,256</w:t>
            </w:r>
          </w:p>
        </w:tc>
        <w:tc>
          <w:tcPr>
            <w:tcW w:w="60" w:type="dxa"/>
            <w:vAlign w:val="bottom"/>
            <w:tcBorders>
              <w:top w:val="single" w:sz="8" w:color="D5EEEE"/>
              <w:bottom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0" w:type="dxa"/>
            <w:vAlign w:val="bottom"/>
          </w:tcPr>
          <w:p>
            <w:pPr>
              <w:spacing w:after="0"/>
              <w:rPr>
                <w:sz w:val="1"/>
                <w:szCs w:val="1"/>
                <w:color w:val="auto"/>
              </w:rPr>
            </w:pPr>
          </w:p>
        </w:tc>
      </w:tr>
      <w:tr>
        <w:trPr>
          <w:trHeight w:val="185"/>
        </w:trPr>
        <w:tc>
          <w:tcPr>
            <w:tcW w:w="5700" w:type="dxa"/>
            <w:vAlign w:val="bottom"/>
          </w:tcPr>
          <w:p>
            <w:pPr>
              <w:spacing w:after="0" w:line="185" w:lineRule="exact"/>
              <w:rPr>
                <w:sz w:val="20"/>
                <w:szCs w:val="20"/>
                <w:color w:val="auto"/>
              </w:rPr>
            </w:pPr>
            <w:r>
              <w:rPr>
                <w:rFonts w:ascii="Times New Roman" w:cs="Times New Roman" w:eastAsia="Times New Roman" w:hAnsi="Times New Roman"/>
                <w:sz w:val="17"/>
                <w:szCs w:val="17"/>
                <w:b w:val="1"/>
                <w:bCs w:val="1"/>
                <w:color w:val="auto"/>
              </w:rPr>
              <w:t>Investing activities:</w:t>
            </w: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color w:val="auto"/>
              </w:rPr>
              <w:t>Proceeds from maturities of available-for-sale marketable securities</w:t>
            </w:r>
          </w:p>
        </w:tc>
        <w:tc>
          <w:tcPr>
            <w:tcW w:w="76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76,567</w:t>
            </w:r>
          </w:p>
        </w:tc>
        <w:tc>
          <w:tcPr>
            <w:tcW w:w="26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76,970</w:t>
            </w:r>
          </w:p>
        </w:tc>
        <w:tc>
          <w:tcPr>
            <w:tcW w:w="6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available-for-sale marketable securities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(170,662)</w:t>
            </w: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(98,463)</w:t>
            </w:r>
          </w:p>
        </w:tc>
        <w:tc>
          <w:tcPr>
            <w:tcW w:w="0" w:type="dxa"/>
            <w:vAlign w:val="bottom"/>
          </w:tcPr>
          <w:p>
            <w:pPr>
              <w:spacing w:after="0"/>
              <w:rPr>
                <w:sz w:val="1"/>
                <w:szCs w:val="1"/>
                <w:color w:val="auto"/>
              </w:rPr>
            </w:pPr>
          </w:p>
        </w:tc>
      </w:tr>
      <w:tr>
        <w:trPr>
          <w:trHeight w:val="229"/>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color w:val="auto"/>
              </w:rPr>
              <w:t>Purchases of property, equipment and leasehold improvements</w:t>
            </w:r>
          </w:p>
        </w:tc>
        <w:tc>
          <w:tcPr>
            <w:tcW w:w="760" w:type="dxa"/>
            <w:vAlign w:val="bottom"/>
            <w:shd w:val="clear" w:color="auto" w:fill="D5EEEE"/>
          </w:tcPr>
          <w:p>
            <w:pPr>
              <w:spacing w:after="0"/>
              <w:rPr>
                <w:sz w:val="19"/>
                <w:szCs w:val="19"/>
                <w:color w:val="auto"/>
              </w:rPr>
            </w:pPr>
          </w:p>
        </w:tc>
        <w:tc>
          <w:tcPr>
            <w:tcW w:w="360" w:type="dxa"/>
            <w:vAlign w:val="bottom"/>
            <w:shd w:val="clear" w:color="auto" w:fill="D5EEEE"/>
          </w:tcPr>
          <w:p>
            <w:pPr>
              <w:spacing w:after="0"/>
              <w:rPr>
                <w:sz w:val="19"/>
                <w:szCs w:val="19"/>
                <w:color w:val="auto"/>
              </w:rPr>
            </w:pPr>
          </w:p>
        </w:tc>
        <w:tc>
          <w:tcPr>
            <w:tcW w:w="148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7"/>
                <w:szCs w:val="17"/>
                <w:color w:val="auto"/>
              </w:rPr>
              <w:t>(12)</w:t>
            </w:r>
          </w:p>
        </w:tc>
        <w:tc>
          <w:tcPr>
            <w:tcW w:w="340" w:type="dxa"/>
            <w:vAlign w:val="bottom"/>
            <w:shd w:val="clear" w:color="auto" w:fill="D5EEEE"/>
          </w:tcPr>
          <w:p>
            <w:pPr>
              <w:spacing w:after="0"/>
              <w:rPr>
                <w:sz w:val="19"/>
                <w:szCs w:val="19"/>
                <w:color w:val="auto"/>
              </w:rPr>
            </w:pPr>
          </w:p>
        </w:tc>
        <w:tc>
          <w:tcPr>
            <w:tcW w:w="1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185"/>
        </w:trPr>
        <w:tc>
          <w:tcPr>
            <w:tcW w:w="5700" w:type="dxa"/>
            <w:vAlign w:val="bottom"/>
            <w:tcBorders>
              <w:top w:val="single" w:sz="8" w:color="D5EEEE"/>
              <w:bottom w:val="single" w:sz="8" w:color="D5EEEE"/>
            </w:tcBorders>
          </w:tcPr>
          <w:p>
            <w:pPr>
              <w:ind w:left="600"/>
              <w:spacing w:after="0" w:line="185" w:lineRule="exact"/>
              <w:rPr>
                <w:sz w:val="20"/>
                <w:szCs w:val="20"/>
                <w:color w:val="auto"/>
              </w:rPr>
            </w:pPr>
            <w:r>
              <w:rPr>
                <w:rFonts w:ascii="Times New Roman" w:cs="Times New Roman" w:eastAsia="Times New Roman" w:hAnsi="Times New Roman"/>
                <w:sz w:val="17"/>
                <w:szCs w:val="17"/>
                <w:color w:val="auto"/>
              </w:rPr>
              <w:t>Net cash used in investing activities</w:t>
            </w:r>
          </w:p>
        </w:tc>
        <w:tc>
          <w:tcPr>
            <w:tcW w:w="760" w:type="dxa"/>
            <w:vAlign w:val="bottom"/>
            <w:tcBorders>
              <w:top w:val="single" w:sz="8" w:color="D5EEEE"/>
              <w:bottom w:val="single" w:sz="8" w:color="D5EEEE"/>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(94,107)</w:t>
            </w:r>
          </w:p>
        </w:tc>
        <w:tc>
          <w:tcPr>
            <w:tcW w:w="260" w:type="dxa"/>
            <w:vAlign w:val="bottom"/>
            <w:tcBorders>
              <w:top w:val="single" w:sz="8" w:color="D5EEEE"/>
              <w:bottom w:val="single" w:sz="8" w:color="D5EEEE"/>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(21,528)</w:t>
            </w:r>
          </w:p>
        </w:tc>
        <w:tc>
          <w:tcPr>
            <w:tcW w:w="60" w:type="dxa"/>
            <w:vAlign w:val="bottom"/>
            <w:tcBorders>
              <w:top w:val="single" w:sz="8" w:color="D5EEEE"/>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760" w:type="dxa"/>
            <w:vAlign w:val="bottom"/>
            <w:shd w:val="clear" w:color="auto" w:fill="D5EEEE"/>
          </w:tcPr>
          <w:p>
            <w:pPr>
              <w:spacing w:after="0"/>
              <w:rPr>
                <w:sz w:val="17"/>
                <w:szCs w:val="17"/>
                <w:color w:val="auto"/>
              </w:rPr>
            </w:pPr>
          </w:p>
        </w:tc>
        <w:tc>
          <w:tcPr>
            <w:tcW w:w="360" w:type="dxa"/>
            <w:vAlign w:val="bottom"/>
            <w:shd w:val="clear" w:color="auto" w:fill="D5EEEE"/>
          </w:tcPr>
          <w:p>
            <w:pPr>
              <w:spacing w:after="0"/>
              <w:rPr>
                <w:sz w:val="17"/>
                <w:szCs w:val="17"/>
                <w:color w:val="auto"/>
              </w:rPr>
            </w:pPr>
          </w:p>
        </w:tc>
        <w:tc>
          <w:tcPr>
            <w:tcW w:w="1220" w:type="dxa"/>
            <w:vAlign w:val="bottom"/>
            <w:shd w:val="clear" w:color="auto" w:fill="D5EEEE"/>
          </w:tcPr>
          <w:p>
            <w:pPr>
              <w:spacing w:after="0"/>
              <w:rPr>
                <w:sz w:val="17"/>
                <w:szCs w:val="17"/>
                <w:color w:val="auto"/>
              </w:rPr>
            </w:pPr>
          </w:p>
        </w:tc>
        <w:tc>
          <w:tcPr>
            <w:tcW w:w="26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1220" w:type="dxa"/>
            <w:vAlign w:val="bottom"/>
            <w:shd w:val="clear" w:color="auto" w:fill="D5EEEE"/>
          </w:tcPr>
          <w:p>
            <w:pPr>
              <w:spacing w:after="0"/>
              <w:rPr>
                <w:sz w:val="17"/>
                <w:szCs w:val="17"/>
                <w:color w:val="auto"/>
              </w:rPr>
            </w:pP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offering, net of commissions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108,154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color w:val="auto"/>
              </w:rPr>
              <w:t>Proceeds from exercises of warrants</w:t>
            </w:r>
          </w:p>
        </w:tc>
        <w:tc>
          <w:tcPr>
            <w:tcW w:w="76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10,757</w:t>
            </w:r>
          </w:p>
        </w:tc>
        <w:tc>
          <w:tcPr>
            <w:tcW w:w="26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1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exercises of stock options</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2,079</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color w:val="auto"/>
              </w:rPr>
              <w:t>Proceeds from disgorgement of beneficial owner's short-swing profits</w:t>
            </w:r>
          </w:p>
        </w:tc>
        <w:tc>
          <w:tcPr>
            <w:tcW w:w="76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26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1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employee stock purchase plan</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color w:val="auto"/>
              </w:rPr>
              <w:t>Payments of offering costs</w:t>
            </w:r>
          </w:p>
        </w:tc>
        <w:tc>
          <w:tcPr>
            <w:tcW w:w="76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1480" w:type="dxa"/>
            <w:vAlign w:val="bottom"/>
            <w:gridSpan w:val="2"/>
            <w:shd w:val="clear" w:color="auto" w:fill="D5EEEE"/>
          </w:tcPr>
          <w:p>
            <w:pPr>
              <w:jc w:val="right"/>
              <w:ind w:right="220"/>
              <w:spacing w:after="0"/>
              <w:rPr>
                <w:sz w:val="20"/>
                <w:szCs w:val="20"/>
                <w:color w:val="auto"/>
              </w:rPr>
            </w:pPr>
            <w:r>
              <w:rPr>
                <w:rFonts w:ascii="Times New Roman" w:cs="Times New Roman" w:eastAsia="Times New Roman" w:hAnsi="Times New Roman"/>
                <w:sz w:val="17"/>
                <w:szCs w:val="17"/>
                <w:color w:val="auto"/>
              </w:rPr>
              <w:t>(809)</w:t>
            </w:r>
          </w:p>
        </w:tc>
        <w:tc>
          <w:tcPr>
            <w:tcW w:w="340" w:type="dxa"/>
            <w:vAlign w:val="bottom"/>
            <w:shd w:val="clear" w:color="auto" w:fill="D5EEEE"/>
          </w:tcPr>
          <w:p>
            <w:pPr>
              <w:spacing w:after="0"/>
              <w:rPr>
                <w:sz w:val="18"/>
                <w:szCs w:val="18"/>
                <w:color w:val="auto"/>
              </w:rPr>
            </w:pPr>
          </w:p>
        </w:tc>
        <w:tc>
          <w:tcPr>
            <w:tcW w:w="1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Payments of finance lease</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w:t>
            </w:r>
          </w:p>
        </w:tc>
        <w:tc>
          <w:tcPr>
            <w:tcW w:w="3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29"/>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color w:val="auto"/>
              </w:rPr>
              <w:t>Proceeds from at-the-market sales, net of commissions</w:t>
            </w:r>
          </w:p>
        </w:tc>
        <w:tc>
          <w:tcPr>
            <w:tcW w:w="760" w:type="dxa"/>
            <w:vAlign w:val="bottom"/>
            <w:shd w:val="clear" w:color="auto" w:fill="D5EEEE"/>
          </w:tcPr>
          <w:p>
            <w:pPr>
              <w:spacing w:after="0"/>
              <w:rPr>
                <w:sz w:val="19"/>
                <w:szCs w:val="19"/>
                <w:color w:val="auto"/>
              </w:rPr>
            </w:pPr>
          </w:p>
        </w:tc>
        <w:tc>
          <w:tcPr>
            <w:tcW w:w="360" w:type="dxa"/>
            <w:vAlign w:val="bottom"/>
            <w:shd w:val="clear" w:color="auto" w:fill="D5EEEE"/>
          </w:tcPr>
          <w:p>
            <w:pPr>
              <w:spacing w:after="0"/>
              <w:rPr>
                <w:sz w:val="19"/>
                <w:szCs w:val="19"/>
                <w:color w:val="auto"/>
              </w:rPr>
            </w:pPr>
          </w:p>
        </w:tc>
        <w:tc>
          <w:tcPr>
            <w:tcW w:w="1480" w:type="dxa"/>
            <w:vAlign w:val="bottom"/>
            <w:gridSpan w:val="2"/>
            <w:shd w:val="clear" w:color="auto" w:fill="D5EEEE"/>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D5EEEE"/>
          </w:tcPr>
          <w:p>
            <w:pPr>
              <w:spacing w:after="0"/>
              <w:rPr>
                <w:sz w:val="19"/>
                <w:szCs w:val="19"/>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14,146</w:t>
            </w:r>
          </w:p>
        </w:tc>
        <w:tc>
          <w:tcPr>
            <w:tcW w:w="60" w:type="dxa"/>
            <w:vAlign w:val="bottom"/>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700" w:type="dxa"/>
            <w:vAlign w:val="bottom"/>
            <w:tcBorders>
              <w:top w:val="single" w:sz="8" w:color="D5EEEE"/>
              <w:bottom w:val="single" w:sz="8" w:color="D5EEEE"/>
            </w:tcBorders>
          </w:tcPr>
          <w:p>
            <w:pPr>
              <w:ind w:left="600"/>
              <w:spacing w:after="0" w:line="185" w:lineRule="exact"/>
              <w:rPr>
                <w:sz w:val="20"/>
                <w:szCs w:val="20"/>
                <w:color w:val="auto"/>
              </w:rPr>
            </w:pPr>
            <w:r>
              <w:rPr>
                <w:rFonts w:ascii="Times New Roman" w:cs="Times New Roman" w:eastAsia="Times New Roman" w:hAnsi="Times New Roman"/>
                <w:sz w:val="17"/>
                <w:szCs w:val="17"/>
                <w:color w:val="auto"/>
              </w:rPr>
              <w:t>Net cash provided by financing activities</w:t>
            </w:r>
          </w:p>
        </w:tc>
        <w:tc>
          <w:tcPr>
            <w:tcW w:w="760" w:type="dxa"/>
            <w:vAlign w:val="bottom"/>
            <w:tcBorders>
              <w:top w:val="single" w:sz="8" w:color="D5EEEE"/>
              <w:bottom w:val="single" w:sz="8" w:color="D5EEEE"/>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121,013</w:t>
            </w:r>
          </w:p>
        </w:tc>
        <w:tc>
          <w:tcPr>
            <w:tcW w:w="260" w:type="dxa"/>
            <w:vAlign w:val="bottom"/>
            <w:tcBorders>
              <w:top w:val="single" w:sz="8" w:color="D5EEEE"/>
              <w:bottom w:val="single" w:sz="8" w:color="D5EEEE"/>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7"/>
                <w:szCs w:val="17"/>
                <w:color w:val="auto"/>
              </w:rPr>
              <w:t>61,484</w:t>
            </w:r>
          </w:p>
        </w:tc>
        <w:tc>
          <w:tcPr>
            <w:tcW w:w="60" w:type="dxa"/>
            <w:vAlign w:val="bottom"/>
            <w:tcBorders>
              <w:top w:val="single" w:sz="8" w:color="D5EEEE"/>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760" w:type="dxa"/>
            <w:vAlign w:val="bottom"/>
            <w:shd w:val="clear" w:color="auto" w:fill="D5EEEE"/>
          </w:tcPr>
          <w:p>
            <w:pPr>
              <w:spacing w:after="0"/>
              <w:rPr>
                <w:sz w:val="17"/>
                <w:szCs w:val="17"/>
                <w:color w:val="auto"/>
              </w:rPr>
            </w:pPr>
          </w:p>
        </w:tc>
        <w:tc>
          <w:tcPr>
            <w:tcW w:w="360" w:type="dxa"/>
            <w:vAlign w:val="bottom"/>
            <w:shd w:val="clear" w:color="auto" w:fill="D5EEEE"/>
          </w:tcPr>
          <w:p>
            <w:pPr>
              <w:spacing w:after="0"/>
              <w:rPr>
                <w:sz w:val="17"/>
                <w:szCs w:val="17"/>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(15,183)</w:t>
            </w:r>
          </w:p>
        </w:tc>
        <w:tc>
          <w:tcPr>
            <w:tcW w:w="260" w:type="dxa"/>
            <w:vAlign w:val="bottom"/>
            <w:shd w:val="clear" w:color="auto" w:fill="D5EEEE"/>
          </w:tcPr>
          <w:p>
            <w:pPr>
              <w:spacing w:after="0"/>
              <w:rPr>
                <w:sz w:val="17"/>
                <w:szCs w:val="17"/>
                <w:color w:val="auto"/>
              </w:rPr>
            </w:pPr>
          </w:p>
        </w:tc>
        <w:tc>
          <w:tcPr>
            <w:tcW w:w="340" w:type="dxa"/>
            <w:vAlign w:val="bottom"/>
            <w:shd w:val="clear" w:color="auto" w:fill="D5EEEE"/>
          </w:tcPr>
          <w:p>
            <w:pPr>
              <w:spacing w:after="0"/>
              <w:rPr>
                <w:sz w:val="17"/>
                <w:szCs w:val="17"/>
                <w:color w:val="auto"/>
              </w:rPr>
            </w:pPr>
          </w:p>
        </w:tc>
        <w:tc>
          <w:tcPr>
            <w:tcW w:w="12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60" w:type="dxa"/>
            <w:vAlign w:val="bottom"/>
            <w:shd w:val="clear" w:color="auto" w:fill="D5EEE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760" w:type="dxa"/>
            <w:vAlign w:val="bottom"/>
            <w:tcBorders>
              <w:bottom w:val="single" w:sz="8" w:color="D5EEEE"/>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34,097</w:t>
            </w:r>
          </w:p>
        </w:tc>
        <w:tc>
          <w:tcPr>
            <w:tcW w:w="260" w:type="dxa"/>
            <w:vAlign w:val="bottom"/>
            <w:tcBorders>
              <w:bottom w:val="single" w:sz="8" w:color="D5EEEE"/>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32,397</w:t>
            </w:r>
          </w:p>
        </w:tc>
        <w:tc>
          <w:tcPr>
            <w:tcW w:w="60" w:type="dxa"/>
            <w:vAlign w:val="bottom"/>
            <w:tcBorders>
              <w:bottom w:val="single" w:sz="8" w:color="D5EEEE"/>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70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760" w:type="dxa"/>
            <w:vAlign w:val="bottom"/>
            <w:tcBorders>
              <w:bottom w:val="single" w:sz="8" w:color="D5EEEE"/>
            </w:tcBorders>
            <w:shd w:val="clear" w:color="auto" w:fill="D5EEEE"/>
          </w:tcPr>
          <w:p>
            <w:pPr>
              <w:spacing w:after="0"/>
              <w:rPr>
                <w:sz w:val="19"/>
                <w:szCs w:val="19"/>
                <w:color w:val="auto"/>
              </w:rPr>
            </w:pPr>
          </w:p>
        </w:tc>
        <w:tc>
          <w:tcPr>
            <w:tcW w:w="360" w:type="dxa"/>
            <w:vAlign w:val="bottom"/>
            <w:tcBorders>
              <w:bottom w:val="single" w:sz="8" w:color="auto"/>
            </w:tcBorders>
            <w:shd w:val="clear" w:color="auto" w:fill="D5EEEE"/>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18,914</w:t>
            </w:r>
          </w:p>
        </w:tc>
        <w:tc>
          <w:tcPr>
            <w:tcW w:w="260" w:type="dxa"/>
            <w:vAlign w:val="bottom"/>
            <w:tcBorders>
              <w:bottom w:val="single" w:sz="8" w:color="D5EEEE"/>
            </w:tcBorders>
            <w:shd w:val="clear" w:color="auto" w:fill="D5EEEE"/>
          </w:tcPr>
          <w:p>
            <w:pPr>
              <w:spacing w:after="0"/>
              <w:rPr>
                <w:sz w:val="19"/>
                <w:szCs w:val="19"/>
                <w:color w:val="auto"/>
              </w:rPr>
            </w:pPr>
          </w:p>
        </w:tc>
        <w:tc>
          <w:tcPr>
            <w:tcW w:w="340" w:type="dxa"/>
            <w:vAlign w:val="bottom"/>
            <w:tcBorders>
              <w:bottom w:val="single" w:sz="8" w:color="auto"/>
            </w:tcBorders>
            <w:shd w:val="clear" w:color="auto" w:fill="D5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34,097</w:t>
            </w:r>
          </w:p>
        </w:tc>
        <w:tc>
          <w:tcPr>
            <w:tcW w:w="60" w:type="dxa"/>
            <w:vAlign w:val="bottom"/>
            <w:tcBorders>
              <w:bottom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7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color w:val="auto"/>
              </w:rPr>
              <w:t>Interest paid</w:t>
            </w:r>
          </w:p>
        </w:tc>
        <w:tc>
          <w:tcPr>
            <w:tcW w:w="1120" w:type="dxa"/>
            <w:vAlign w:val="bottom"/>
            <w:gridSpan w:val="2"/>
            <w:shd w:val="clear" w:color="auto" w:fill="D5EEEE"/>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D5EEEE"/>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D5EEEE"/>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State research tax credits exchanged for cash</w:t>
            </w:r>
          </w:p>
        </w:tc>
        <w:tc>
          <w:tcPr>
            <w:tcW w:w="11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60" w:type="dxa"/>
            <w:vAlign w:val="bottom"/>
          </w:tcPr>
          <w:p>
            <w:pPr>
              <w:spacing w:after="0"/>
              <w:rPr>
                <w:sz w:val="18"/>
                <w:szCs w:val="18"/>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D5EEEE"/>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financing activities:</w:t>
            </w:r>
          </w:p>
        </w:tc>
        <w:tc>
          <w:tcPr>
            <w:tcW w:w="760" w:type="dxa"/>
            <w:vAlign w:val="bottom"/>
            <w:shd w:val="clear" w:color="auto" w:fill="D5EEEE"/>
          </w:tcPr>
          <w:p>
            <w:pPr>
              <w:spacing w:after="0"/>
              <w:rPr>
                <w:sz w:val="18"/>
                <w:szCs w:val="18"/>
                <w:color w:val="auto"/>
              </w:rPr>
            </w:pPr>
          </w:p>
        </w:tc>
        <w:tc>
          <w:tcPr>
            <w:tcW w:w="360" w:type="dxa"/>
            <w:vAlign w:val="bottom"/>
            <w:shd w:val="clear" w:color="auto" w:fill="D5EEEE"/>
          </w:tcPr>
          <w:p>
            <w:pPr>
              <w:spacing w:after="0"/>
              <w:rPr>
                <w:sz w:val="18"/>
                <w:szCs w:val="18"/>
                <w:color w:val="auto"/>
              </w:rPr>
            </w:pPr>
          </w:p>
        </w:tc>
        <w:tc>
          <w:tcPr>
            <w:tcW w:w="1220" w:type="dxa"/>
            <w:vAlign w:val="bottom"/>
            <w:shd w:val="clear" w:color="auto" w:fill="D5EEEE"/>
          </w:tcPr>
          <w:p>
            <w:pPr>
              <w:spacing w:after="0"/>
              <w:rPr>
                <w:sz w:val="18"/>
                <w:szCs w:val="18"/>
                <w:color w:val="auto"/>
              </w:rPr>
            </w:pPr>
          </w:p>
        </w:tc>
        <w:tc>
          <w:tcPr>
            <w:tcW w:w="260" w:type="dxa"/>
            <w:vAlign w:val="bottom"/>
            <w:shd w:val="clear" w:color="auto" w:fill="D5EEEE"/>
          </w:tcPr>
          <w:p>
            <w:pPr>
              <w:spacing w:after="0"/>
              <w:rPr>
                <w:sz w:val="18"/>
                <w:szCs w:val="18"/>
                <w:color w:val="auto"/>
              </w:rPr>
            </w:pPr>
          </w:p>
        </w:tc>
        <w:tc>
          <w:tcPr>
            <w:tcW w:w="340" w:type="dxa"/>
            <w:vAlign w:val="bottom"/>
            <w:shd w:val="clear" w:color="auto" w:fill="D5EEEE"/>
          </w:tcPr>
          <w:p>
            <w:pPr>
              <w:spacing w:after="0"/>
              <w:rPr>
                <w:sz w:val="18"/>
                <w:szCs w:val="18"/>
                <w:color w:val="auto"/>
              </w:rPr>
            </w:pPr>
          </w:p>
        </w:tc>
        <w:tc>
          <w:tcPr>
            <w:tcW w:w="1220" w:type="dxa"/>
            <w:vAlign w:val="bottom"/>
            <w:shd w:val="clear" w:color="auto" w:fill="D5EEEE"/>
          </w:tcPr>
          <w:p>
            <w:pPr>
              <w:spacing w:after="0"/>
              <w:rPr>
                <w:sz w:val="18"/>
                <w:szCs w:val="18"/>
                <w:color w:val="auto"/>
              </w:rPr>
            </w:pPr>
          </w:p>
        </w:tc>
        <w:tc>
          <w:tcPr>
            <w:tcW w:w="60" w:type="dxa"/>
            <w:vAlign w:val="bottom"/>
            <w:shd w:val="clear" w:color="auto" w:fill="D5EEE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Offering costs included in accrued expenses</w:t>
            </w:r>
          </w:p>
        </w:tc>
        <w:tc>
          <w:tcPr>
            <w:tcW w:w="11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20"/>
          <w:szCs w:val="20"/>
          <w:color w:val="auto"/>
        </w:rPr>
        <w:t>See accompanying notes.</w:t>
      </w:r>
    </w:p>
    <w:p>
      <w:pPr>
        <w:sectPr>
          <w:pgSz w:w="12240" w:h="15840" w:orient="portrait"/>
          <w:cols w:equalWidth="0" w:num="1">
            <w:col w:w="9920"/>
          </w:cols>
          <w:pgMar w:left="1160" w:top="1128"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920"/>
          </w:cols>
          <w:pgMar w:left="1160" w:top="1128" w:right="1160" w:bottom="175" w:gutter="0" w:footer="0" w:header="0"/>
          <w:type w:val="continuous"/>
        </w:sectPr>
      </w:pPr>
    </w:p>
    <w:bookmarkStart w:id="109" w:name="page110"/>
    <w:bookmarkEnd w:id="109"/>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Trevi Therapeutics, Inc.</w:t>
      </w:r>
    </w:p>
    <w:p>
      <w:pPr>
        <w:spacing w:after="0" w:line="1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data)</w:t>
      </w:r>
    </w:p>
    <w:p>
      <w:pPr>
        <w:spacing w:after="0" w:line="120" w:lineRule="exact"/>
        <w:rPr>
          <w:sz w:val="20"/>
          <w:szCs w:val="20"/>
          <w:color w:val="auto"/>
        </w:rPr>
      </w:pPr>
    </w:p>
    <w:p>
      <w:pPr>
        <w:ind w:left="488" w:hanging="488"/>
        <w:spacing w:after="0"/>
        <w:tabs>
          <w:tab w:leader="none" w:pos="488"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Nature of the Business</w:t>
      </w:r>
    </w:p>
    <w:p>
      <w:pPr>
        <w:spacing w:after="0" w:line="116" w:lineRule="exact"/>
        <w:rPr>
          <w:sz w:val="20"/>
          <w:szCs w:val="20"/>
          <w:color w:val="auto"/>
        </w:rPr>
      </w:pPr>
    </w:p>
    <w:p>
      <w:pPr>
        <w:ind w:left="8" w:firstLine="490"/>
        <w:spacing w:after="0" w:line="242" w:lineRule="auto"/>
        <w:rPr>
          <w:sz w:val="20"/>
          <w:szCs w:val="20"/>
          <w:color w:val="auto"/>
        </w:rPr>
      </w:pPr>
      <w:r>
        <w:rPr>
          <w:rFonts w:ascii="Times New Roman" w:cs="Times New Roman" w:eastAsia="Times New Roman" w:hAnsi="Times New Roman"/>
          <w:sz w:val="20"/>
          <w:szCs w:val="20"/>
          <w:color w:val="auto"/>
        </w:rPr>
        <w:t>Trevi Therapeutics, Inc. (“Trevi” or the “Company”) is a clinical-stage biopharmaceutical company focused on the development and commercialization of the investigational therapy Haduvio (oral nalbuphine ER) for the treatment of chronic cough in patients with idiopathic pulmonary fibrosis (“IPF”), non-IPF interstitial lung disease (“non-IPF ILD”), and refractory chronic cough (“RCC”).</w:t>
      </w:r>
    </w:p>
    <w:p>
      <w:pPr>
        <w:spacing w:after="0" w:line="82" w:lineRule="exact"/>
        <w:rPr>
          <w:sz w:val="20"/>
          <w:szCs w:val="20"/>
          <w:color w:val="auto"/>
        </w:rPr>
      </w:pPr>
    </w:p>
    <w:p>
      <w:pPr>
        <w:ind w:left="8" w:right="40" w:firstLine="490"/>
        <w:spacing w:after="0" w:line="247" w:lineRule="auto"/>
        <w:rPr>
          <w:sz w:val="20"/>
          <w:szCs w:val="20"/>
          <w:color w:val="auto"/>
        </w:rPr>
      </w:pPr>
      <w:r>
        <w:rPr>
          <w:rFonts w:ascii="Times New Roman" w:cs="Times New Roman" w:eastAsia="Times New Roman" w:hAnsi="Times New Roman"/>
          <w:sz w:val="20"/>
          <w:szCs w:val="20"/>
          <w:color w:val="auto"/>
        </w:rPr>
        <w:t xml:space="preserve">Haduvio is an oral extended-release formulation of nalbuphine. Haduvio acts on the cough reflex arc both centrally and peripherally as a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appa receptor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gonist and a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u receptor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ntagonist (“KAMA”), targeting opioid receptors that play a key role in controlling chronic cough. Nalbuphine has been approved and marketed as an injectable for pain indications for decades in the United States (“U.S.”) and Europe. Nalbuphine’s mechanism of action also mitigates the risk of abuse associated with mu-opioid agonists because it antagonizes or blocks, the mu-opioid receptor. Parenteral nalbuphine is not scheduled as a controlled substance by the U.S. Drug Enforcement Agency and in most of Europe.</w:t>
      </w:r>
    </w:p>
    <w:p>
      <w:pPr>
        <w:spacing w:after="0" w:line="80" w:lineRule="exact"/>
        <w:rPr>
          <w:sz w:val="20"/>
          <w:szCs w:val="20"/>
          <w:color w:val="auto"/>
        </w:rPr>
      </w:pPr>
    </w:p>
    <w:p>
      <w:pPr>
        <w:ind w:left="8" w:right="20" w:firstLine="490"/>
        <w:spacing w:after="0" w:line="242" w:lineRule="auto"/>
        <w:rPr>
          <w:sz w:val="20"/>
          <w:szCs w:val="20"/>
          <w:color w:val="auto"/>
        </w:rPr>
      </w:pPr>
      <w:r>
        <w:rPr>
          <w:rFonts w:ascii="Times New Roman" w:cs="Times New Roman" w:eastAsia="Times New Roman" w:hAnsi="Times New Roman"/>
          <w:sz w:val="20"/>
          <w:szCs w:val="20"/>
          <w:color w:val="auto"/>
        </w:rPr>
        <w:t>The Company’s Consolidated Financial Statements have been prepared on the basis of continuity of operations, realization of assets and the satisfaction of liabilities and commitments in the ordinary course of business. The Company financed its operations prior to its initial public offering (“IPO”) primarily through private placements of its redeemable convertible preferred stock and convertible notes, and has financed its operations since becoming a public company primarily through borrowings under its prior term loan facilities, proceeds from its IPO and concurrent private placement completed in May 2019, sales of its common stock pursuant to the at-the-market Sales Agreements (Note 8) with SVB Securities LLC (formerly SVB Leerink LLC) (“SVB Securities”) and Leerink Partners LLC, proceeds from private placements completed in October 2021 and April 2022 (Note 8), proceeds from the exercise of warrants, and proceeds from registered offerings completed in October 2022, December 2024 and June 2025 (Note 8). The Company has incurred recurring losses since inception, including net losses of $42.8 million and $47.9 million for the years ended December 31, 2025 and 2024, respectively. As of December 31, 2025, the Company had cash, cash equivalents and marketable securities of $ 188.3 million compared to $107.6 million of cash, cash equivalents and marketable securities as of December 31, 2024. The Company had incurred losses and negative cash flows from operations and had an accumulated deficit of $329.8 million as of December 31, 2025. The Company expects to continue to incur losses for the foreseeable future. As of March 17, 2026, the date of issuance of these Consolidated Financial Statements, the Company believes that its cash, cash equivalents and marketable securities as of December 31, 2025, will be sufficient to fund its operating expenses and capital expenditure requirements for 12 months from the date of issuance of these Consolidated Financial Statements.</w:t>
      </w:r>
    </w:p>
    <w:p>
      <w:pPr>
        <w:spacing w:after="0" w:line="84" w:lineRule="exact"/>
        <w:rPr>
          <w:sz w:val="20"/>
          <w:szCs w:val="20"/>
          <w:color w:val="auto"/>
        </w:rPr>
      </w:pPr>
    </w:p>
    <w:p>
      <w:pPr>
        <w:ind w:left="488" w:right="5680" w:hanging="488"/>
        <w:spacing w:after="0" w:line="367" w:lineRule="auto"/>
        <w:tabs>
          <w:tab w:leader="none" w:pos="488"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Basis of Presentation</w:t>
      </w:r>
    </w:p>
    <w:p>
      <w:pPr>
        <w:spacing w:after="0" w:line="1" w:lineRule="exact"/>
        <w:rPr>
          <w:sz w:val="20"/>
          <w:szCs w:val="20"/>
          <w:color w:val="auto"/>
        </w:rPr>
      </w:pPr>
    </w:p>
    <w:p>
      <w:pPr>
        <w:ind w:left="8" w:right="560" w:firstLine="490"/>
        <w:spacing w:after="0" w:line="305" w:lineRule="auto"/>
        <w:rPr>
          <w:sz w:val="20"/>
          <w:szCs w:val="20"/>
          <w:color w:val="auto"/>
        </w:rPr>
      </w:pPr>
      <w:r>
        <w:rPr>
          <w:rFonts w:ascii="Times New Roman" w:cs="Times New Roman" w:eastAsia="Times New Roman" w:hAnsi="Times New Roman"/>
          <w:sz w:val="19"/>
          <w:szCs w:val="19"/>
          <w:color w:val="auto"/>
        </w:rPr>
        <w:t>The accompanying Consolidated Financial Statements include the accounts of Trevi Therapeutics, Inc. and its wholly-owned subsidiary Trevi Therapeutics Limited. Intercompany balances and transactions have been eliminated.</w:t>
      </w:r>
    </w:p>
    <w:p>
      <w:pPr>
        <w:spacing w:after="0" w:line="25" w:lineRule="exact"/>
        <w:rPr>
          <w:sz w:val="20"/>
          <w:szCs w:val="20"/>
          <w:color w:val="auto"/>
        </w:rPr>
      </w:pPr>
    </w:p>
    <w:p>
      <w:pPr>
        <w:ind w:left="8" w:right="140" w:firstLine="490"/>
        <w:spacing w:after="0" w:line="278" w:lineRule="auto"/>
        <w:rPr>
          <w:sz w:val="20"/>
          <w:szCs w:val="20"/>
          <w:color w:val="auto"/>
        </w:rPr>
      </w:pPr>
      <w:r>
        <w:rPr>
          <w:rFonts w:ascii="Times New Roman" w:cs="Times New Roman" w:eastAsia="Times New Roman" w:hAnsi="Times New Roman"/>
          <w:sz w:val="19"/>
          <w:szCs w:val="19"/>
          <w:color w:val="auto"/>
        </w:rPr>
        <w:t>All amounts presented are in thousands of dollars, except share and per share amounts, unless noted otherwise. The Company has evaluated events occurring subsequent to December 31, 2025 for potential recognition or disclosure in the Consolidated Financial Statements and concluded there were no subsequent events that required recognition or disclosure.</w:t>
      </w:r>
    </w:p>
    <w:p>
      <w:pPr>
        <w:spacing w:after="0" w:line="32"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97" w:lineRule="exact"/>
        <w:rPr>
          <w:sz w:val="20"/>
          <w:szCs w:val="20"/>
          <w:color w:val="auto"/>
        </w:rPr>
      </w:pPr>
    </w:p>
    <w:p>
      <w:pPr>
        <w:ind w:left="8" w:right="180" w:firstLine="490"/>
        <w:spacing w:after="0" w:line="222"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U.S.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Consolidated Financial Statements include but are not limited to the recognition of prepaid expenses, accrued expenses and research and development (“R&amp;D”) expenses, the valuation of stock-based awards and the valuation allowance of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w:t>
      </w:r>
    </w:p>
    <w:p>
      <w:pPr>
        <w:sectPr>
          <w:pgSz w:w="12240" w:h="15840" w:orient="portrait"/>
          <w:cols w:equalWidth="0" w:num="1">
            <w:col w:w="9928"/>
          </w:cols>
          <w:pgMar w:left="1152" w:top="1128" w:right="116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9928"/>
          </w:cols>
          <w:pgMar w:left="1152" w:top="1128" w:right="1160" w:bottom="175" w:gutter="0" w:footer="0" w:header="0"/>
          <w:type w:val="continuous"/>
        </w:sectPr>
      </w:pPr>
    </w:p>
    <w:bookmarkStart w:id="110" w:name="page111"/>
    <w:bookmarkEnd w:id="110"/>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Cash Equivalents</w:t>
      </w:r>
    </w:p>
    <w:p>
      <w:pPr>
        <w:spacing w:after="0" w:line="97"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The Company classifies short-term, highly liquid investments with an original term of three months or less at the date of purchase as cash equivalents.</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97" w:lineRule="exact"/>
        <w:rPr>
          <w:sz w:val="20"/>
          <w:szCs w:val="20"/>
          <w:color w:val="auto"/>
        </w:rPr>
      </w:pPr>
    </w:p>
    <w:p>
      <w:pPr>
        <w:ind w:firstLine="490"/>
        <w:spacing w:after="0" w:line="232" w:lineRule="auto"/>
        <w:rPr>
          <w:sz w:val="20"/>
          <w:szCs w:val="20"/>
          <w:color w:val="auto"/>
        </w:rPr>
      </w:pPr>
      <w:r>
        <w:rPr>
          <w:rFonts w:ascii="Times New Roman" w:cs="Times New Roman" w:eastAsia="Times New Roman" w:hAnsi="Times New Roman"/>
          <w:sz w:val="19"/>
          <w:szCs w:val="19"/>
          <w:color w:val="auto"/>
        </w:rPr>
        <w:t>The Company generally invests its excess cash in money market funds and investment grade short- to intermediate-term fixed income securities. Such investments are included in cash and cash equivalents or marketable securities on the Consolidated Balance Sheets. Marketable securities with an original maturity date greater than 90 days at each balance sheet date are classified as short-term. Marketable securities are classified as current assets as these investments are intended to be available to the Company for use in funding current operations. All of the Company’s marketable securities are considered available-for-sale and are reported at fair value. For securities with unrealized gains and losses, when the Company expects to receive cash flows sufficient to recover the amortized cost basis of a security, such gains and losses are included in accumulated other comprehensive income as a component of stockholders’ equity. Credit losses are identified when the Company does not expect to receive cash flows sufficient to recover the amortized cost basis of a security. In the event of a credit loss, only the amount associated with the credit loss is recognized in interest income, net on the Consolidated Statements of Comprehensive Loss. The amortized cost of debt securities is adjusted for amortization of premiums and accretion of discounts to maturity, which is included in interest income, net on the Consolidated Statements of Comprehensive Loss. Realized gains and losses, if any, on marketable securities are included in interest income, net on the Consolidated Statements of Comprehensive Loss. The cost of securities sold is determined using specific identification.</w:t>
      </w:r>
    </w:p>
    <w:p>
      <w:pPr>
        <w:spacing w:after="0" w:line="61" w:lineRule="exact"/>
        <w:rPr>
          <w:sz w:val="20"/>
          <w:szCs w:val="20"/>
          <w:color w:val="auto"/>
        </w:rPr>
      </w:pPr>
    </w:p>
    <w:p>
      <w:pPr>
        <w:ind w:firstLine="490"/>
        <w:spacing w:after="0" w:line="222" w:lineRule="auto"/>
        <w:rPr>
          <w:sz w:val="20"/>
          <w:szCs w:val="20"/>
          <w:color w:val="auto"/>
        </w:rPr>
      </w:pPr>
      <w:r>
        <w:rPr>
          <w:rFonts w:ascii="Times New Roman" w:cs="Times New Roman" w:eastAsia="Times New Roman" w:hAnsi="Times New Roman"/>
          <w:sz w:val="20"/>
          <w:szCs w:val="20"/>
          <w:color w:val="auto"/>
        </w:rPr>
        <w:t>The Company evaluates whether declines in the fair values of its marketable securities below their amortized cost are credit losses on a quarterly basis. This evaluation consists of several qualitative and quantitative factors such as the extent to which the fair value is less than the amortized cost basis and the issuer’s financial condition. Additionally, declines in value are evaluated in order to assess whether the decline is other than temporary. In order to perform this evaluation,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97" w:lineRule="exact"/>
        <w:rPr>
          <w:sz w:val="20"/>
          <w:szCs w:val="20"/>
          <w:color w:val="auto"/>
        </w:rPr>
      </w:pPr>
    </w:p>
    <w:p>
      <w:pPr>
        <w:ind w:right="60" w:firstLine="490"/>
        <w:spacing w:after="0" w:line="223" w:lineRule="auto"/>
        <w:rPr>
          <w:sz w:val="20"/>
          <w:szCs w:val="20"/>
          <w:color w:val="auto"/>
        </w:rPr>
      </w:pPr>
      <w:r>
        <w:rPr>
          <w:rFonts w:ascii="Times New Roman" w:cs="Times New Roman" w:eastAsia="Times New Roman" w:hAnsi="Times New Roman"/>
          <w:sz w:val="20"/>
          <w:szCs w:val="20"/>
          <w:color w:val="auto"/>
        </w:rPr>
        <w:t>The Company’s financial instruments have consisted of cash and cash equivalents, available-for-sale marketable securities, other current assets, accounts payable, accrued expenses, term loans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warrants to acquire the Company’s common stock are not required to be accounted for at fair value.</w:t>
      </w:r>
    </w:p>
    <w:p>
      <w:pPr>
        <w:spacing w:after="0" w:line="66" w:lineRule="exact"/>
        <w:rPr>
          <w:sz w:val="20"/>
          <w:szCs w:val="20"/>
          <w:color w:val="auto"/>
        </w:rPr>
      </w:pPr>
    </w:p>
    <w:p>
      <w:pPr>
        <w:ind w:right="20" w:firstLine="490"/>
        <w:spacing w:after="0" w:line="228" w:lineRule="auto"/>
        <w:rPr>
          <w:sz w:val="20"/>
          <w:szCs w:val="20"/>
          <w:color w:val="auto"/>
        </w:rPr>
      </w:pPr>
      <w:r>
        <w:rPr>
          <w:rFonts w:ascii="Times New Roman" w:cs="Times New Roman" w:eastAsia="Times New Roman" w:hAnsi="Times New Roman"/>
          <w:sz w:val="20"/>
          <w:szCs w:val="20"/>
          <w:color w:val="auto"/>
        </w:rPr>
        <w:t xml:space="preserve">Current accounting guidance defines fair value, establishes a framework for measuring fair value in accordance with Accounting Standards Codification (“ASC”) 820, </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w:t>
      </w:r>
    </w:p>
    <w:p>
      <w:pPr>
        <w:spacing w:after="0" w:line="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Level 1—Observable inputs—quoted prices in active markets for identical assets and liabilities.</w:t>
      </w:r>
    </w:p>
    <w:p>
      <w:pPr>
        <w:spacing w:after="0" w:line="97" w:lineRule="exact"/>
        <w:rPr>
          <w:sz w:val="20"/>
          <w:szCs w:val="20"/>
          <w:color w:val="auto"/>
        </w:rPr>
      </w:pPr>
    </w:p>
    <w:p>
      <w:pPr>
        <w:ind w:left="480" w:right="40"/>
        <w:spacing w:after="0" w:line="236" w:lineRule="auto"/>
        <w:rPr>
          <w:sz w:val="20"/>
          <w:szCs w:val="20"/>
          <w:color w:val="auto"/>
        </w:rPr>
      </w:pPr>
      <w:r>
        <w:rPr>
          <w:rFonts w:ascii="Times New Roman" w:cs="Times New Roman" w:eastAsia="Times New Roman" w:hAnsi="Times New Roman"/>
          <w:sz w:val="20"/>
          <w:szCs w:val="20"/>
          <w:color w:val="auto"/>
        </w:rPr>
        <w:t>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w:t>
      </w:r>
    </w:p>
    <w:p>
      <w:pPr>
        <w:spacing w:after="0" w:line="81" w:lineRule="exact"/>
        <w:rPr>
          <w:sz w:val="20"/>
          <w:szCs w:val="20"/>
          <w:color w:val="auto"/>
        </w:rPr>
      </w:pPr>
    </w:p>
    <w:p>
      <w:pPr>
        <w:ind w:left="480" w:right="420"/>
        <w:spacing w:after="0" w:line="277" w:lineRule="auto"/>
        <w:rPr>
          <w:sz w:val="20"/>
          <w:szCs w:val="20"/>
          <w:color w:val="auto"/>
        </w:rPr>
      </w:pPr>
      <w:r>
        <w:rPr>
          <w:rFonts w:ascii="Times New Roman" w:cs="Times New Roman" w:eastAsia="Times New Roman" w:hAnsi="Times New Roman"/>
          <w:sz w:val="20"/>
          <w:szCs w:val="20"/>
          <w:color w:val="auto"/>
        </w:rPr>
        <w:t>Level 3—Unobservable inputs—includes amounts derived from valuation models where one or more significant inputs are unobservable and require the company to develop relevant assumptions.</w:t>
      </w:r>
    </w:p>
    <w:p>
      <w:pPr>
        <w:spacing w:after="0" w:line="1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Valuation Techniques - Level 2 Inputs</w:t>
      </w:r>
    </w:p>
    <w:p>
      <w:pPr>
        <w:spacing w:after="0" w:line="118" w:lineRule="exact"/>
        <w:rPr>
          <w:sz w:val="20"/>
          <w:szCs w:val="20"/>
          <w:color w:val="auto"/>
        </w:rPr>
      </w:pPr>
    </w:p>
    <w:p>
      <w:pPr>
        <w:ind w:right="20" w:firstLine="490"/>
        <w:spacing w:after="0" w:line="263" w:lineRule="auto"/>
        <w:rPr>
          <w:sz w:val="20"/>
          <w:szCs w:val="20"/>
          <w:color w:val="auto"/>
        </w:rPr>
      </w:pPr>
      <w:r>
        <w:rPr>
          <w:rFonts w:ascii="Times New Roman" w:cs="Times New Roman" w:eastAsia="Times New Roman" w:hAnsi="Times New Roman"/>
          <w:sz w:val="19"/>
          <w:szCs w:val="19"/>
          <w:color w:val="auto"/>
        </w:rPr>
        <w:t>The Company estimates the fair values of its financial instruments categorized as level 2 in the fair value hierarchy, including U.S. treasury securities, U.S. government agency obligations, corporate bonds, commercial paper, asset-backed securities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w:t>
      </w:r>
    </w:p>
    <w:p>
      <w:pPr>
        <w:sectPr>
          <w:pgSz w:w="12240" w:h="15840" w:orient="portrait"/>
          <w:cols w:equalWidth="0" w:num="1">
            <w:col w:w="9920"/>
          </w:cols>
          <w:pgMar w:left="1160" w:top="1113" w:right="1160" w:bottom="175"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920"/>
          </w:cols>
          <w:pgMar w:left="1160" w:top="1113" w:right="1160" w:bottom="175" w:gutter="0" w:footer="0" w:header="0"/>
          <w:type w:val="continuous"/>
        </w:sectPr>
      </w:pPr>
    </w:p>
    <w:bookmarkStart w:id="111" w:name="page112"/>
    <w:bookmarkEnd w:id="111"/>
    <w:p>
      <w:pPr>
        <w:ind w:right="500"/>
        <w:spacing w:after="0" w:line="277" w:lineRule="auto"/>
        <w:rPr>
          <w:sz w:val="20"/>
          <w:szCs w:val="20"/>
          <w:color w:val="auto"/>
        </w:rPr>
      </w:pPr>
      <w:r>
        <w:rPr>
          <w:rFonts w:ascii="Times New Roman" w:cs="Times New Roman" w:eastAsia="Times New Roman" w:hAnsi="Times New Roman"/>
          <w:sz w:val="20"/>
          <w:szCs w:val="20"/>
          <w:color w:val="auto"/>
        </w:rPr>
        <w:t>and other observable inputs. The Company obtains a single price for each financial instrument and does not adjust the prices obtained from the pricing service.</w:t>
      </w:r>
    </w:p>
    <w:p>
      <w:pPr>
        <w:spacing w:after="0" w:line="1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Property, Equipment and Leasehold Improvements</w:t>
      </w:r>
    </w:p>
    <w:p>
      <w:pPr>
        <w:spacing w:after="0" w:line="120" w:lineRule="exact"/>
        <w:rPr>
          <w:sz w:val="20"/>
          <w:szCs w:val="20"/>
          <w:color w:val="auto"/>
        </w:rPr>
      </w:pPr>
    </w:p>
    <w:p>
      <w:pPr>
        <w:ind w:right="200" w:firstLine="490"/>
        <w:spacing w:after="0" w:line="270" w:lineRule="auto"/>
        <w:rPr>
          <w:sz w:val="20"/>
          <w:szCs w:val="20"/>
          <w:color w:val="auto"/>
        </w:rPr>
      </w:pPr>
      <w:r>
        <w:rPr>
          <w:rFonts w:ascii="Times New Roman" w:cs="Times New Roman" w:eastAsia="Times New Roman" w:hAnsi="Times New Roman"/>
          <w:sz w:val="19"/>
          <w:szCs w:val="19"/>
          <w:color w:val="auto"/>
        </w:rPr>
        <w:t>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20" w:lineRule="exact"/>
        <w:rPr>
          <w:sz w:val="20"/>
          <w:szCs w:val="20"/>
          <w:color w:val="auto"/>
        </w:rPr>
      </w:pPr>
    </w:p>
    <w:p>
      <w:pPr>
        <w:ind w:right="220" w:firstLine="490"/>
        <w:spacing w:after="0" w:line="252" w:lineRule="auto"/>
        <w:rPr>
          <w:sz w:val="20"/>
          <w:szCs w:val="20"/>
          <w:color w:val="auto"/>
        </w:rPr>
      </w:pPr>
      <w:r>
        <w:rPr>
          <w:rFonts w:ascii="Times New Roman" w:cs="Times New Roman" w:eastAsia="Times New Roman" w:hAnsi="Times New Roman"/>
          <w:sz w:val="20"/>
          <w:szCs w:val="20"/>
          <w:color w:val="auto"/>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significant impairment charges from inception through December 31, 2025.</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Transactions</w:t>
      </w:r>
    </w:p>
    <w:p>
      <w:pPr>
        <w:spacing w:after="0" w:line="120" w:lineRule="exact"/>
        <w:rPr>
          <w:sz w:val="20"/>
          <w:szCs w:val="20"/>
          <w:color w:val="auto"/>
        </w:rPr>
      </w:pPr>
    </w:p>
    <w:p>
      <w:pPr>
        <w:ind w:right="280" w:firstLine="490"/>
        <w:spacing w:after="0" w:line="252" w:lineRule="auto"/>
        <w:rPr>
          <w:sz w:val="20"/>
          <w:szCs w:val="20"/>
          <w:color w:val="auto"/>
        </w:rPr>
      </w:pPr>
      <w:r>
        <w:rPr>
          <w:rFonts w:ascii="Times New Roman" w:cs="Times New Roman" w:eastAsia="Times New Roman" w:hAnsi="Times New Roman"/>
          <w:sz w:val="20"/>
          <w:szCs w:val="20"/>
          <w:color w:val="auto"/>
        </w:rPr>
        <w:t>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other income, net in the Consolidated Statements of Comprehensive Loss.</w:t>
      </w:r>
    </w:p>
    <w:p>
      <w:pPr>
        <w:spacing w:after="0" w:line="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Deferred Offering Costs</w:t>
      </w:r>
    </w:p>
    <w:p>
      <w:pPr>
        <w:spacing w:after="0" w:line="101" w:lineRule="exact"/>
        <w:rPr>
          <w:sz w:val="20"/>
          <w:szCs w:val="20"/>
          <w:color w:val="auto"/>
        </w:rPr>
      </w:pPr>
    </w:p>
    <w:p>
      <w:pPr>
        <w:jc w:val="both"/>
        <w:ind w:right="20" w:firstLine="490"/>
        <w:spacing w:after="0" w:line="226" w:lineRule="auto"/>
        <w:rPr>
          <w:sz w:val="20"/>
          <w:szCs w:val="20"/>
          <w:color w:val="auto"/>
        </w:rPr>
      </w:pPr>
      <w:r>
        <w:rPr>
          <w:rFonts w:ascii="Times New Roman" w:cs="Times New Roman" w:eastAsia="Times New Roman" w:hAnsi="Times New Roman"/>
          <w:sz w:val="20"/>
          <w:szCs w:val="20"/>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general and administrative expenses. The deferred offering costs are included in Other current assets and Other non-current assets on the Consolidated Balance Sheets.</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R&amp;D</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Expenses</w:t>
      </w:r>
    </w:p>
    <w:p>
      <w:pPr>
        <w:spacing w:after="0" w:line="101" w:lineRule="exact"/>
        <w:rPr>
          <w:sz w:val="20"/>
          <w:szCs w:val="20"/>
          <w:color w:val="auto"/>
        </w:rPr>
      </w:pPr>
    </w:p>
    <w:p>
      <w:pPr>
        <w:ind w:right="180" w:firstLine="490"/>
        <w:spacing w:after="0" w:line="244" w:lineRule="auto"/>
        <w:rPr>
          <w:sz w:val="20"/>
          <w:szCs w:val="20"/>
          <w:color w:val="auto"/>
        </w:rPr>
      </w:pPr>
      <w:r>
        <w:rPr>
          <w:rFonts w:ascii="Times New Roman" w:cs="Times New Roman" w:eastAsia="Times New Roman" w:hAnsi="Times New Roman"/>
          <w:sz w:val="19"/>
          <w:szCs w:val="19"/>
          <w:color w:val="auto"/>
        </w:rPr>
        <w:t>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w:t>
      </w:r>
    </w:p>
    <w:p>
      <w:pPr>
        <w:spacing w:after="0" w:line="60" w:lineRule="exact"/>
        <w:rPr>
          <w:sz w:val="20"/>
          <w:szCs w:val="20"/>
          <w:color w:val="auto"/>
        </w:rPr>
      </w:pPr>
    </w:p>
    <w:p>
      <w:pPr>
        <w:ind w:right="80" w:firstLine="490"/>
        <w:spacing w:after="0" w:line="222" w:lineRule="auto"/>
        <w:rPr>
          <w:sz w:val="20"/>
          <w:szCs w:val="20"/>
          <w:color w:val="auto"/>
        </w:rPr>
      </w:pPr>
      <w:r>
        <w:rPr>
          <w:rFonts w:ascii="Times New Roman" w:cs="Times New Roman" w:eastAsia="Times New Roman" w:hAnsi="Times New Roman"/>
          <w:sz w:val="20"/>
          <w:szCs w:val="20"/>
          <w:color w:val="auto"/>
        </w:rPr>
        <w:t>The Company has entered into agreements with CROs, contract manufacturing organizations (“CMOs”) and other companies that provide services in connection with the Company’s R&amp;D activities. The value of goods and services received from CROs and CMOs in the reporting period are estimated based on the level of services performed, progress of the studies, including the phase or completion of events, timing of payments made and contracted costs. The estimated costs of R&amp;D provided, but not yet invoiced, are included in accrued expenses on the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current assets on the Consolidated Balance Sheets, as applicable, and are recognized as expenses as the goods are delivered or the related services are performed.</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Patent Costs</w:t>
      </w:r>
    </w:p>
    <w:p>
      <w:pPr>
        <w:spacing w:after="0" w:line="120" w:lineRule="exact"/>
        <w:rPr>
          <w:sz w:val="20"/>
          <w:szCs w:val="20"/>
          <w:color w:val="auto"/>
        </w:rPr>
      </w:pPr>
    </w:p>
    <w:p>
      <w:pPr>
        <w:ind w:right="400" w:firstLine="490"/>
        <w:spacing w:after="0" w:line="277" w:lineRule="auto"/>
        <w:rPr>
          <w:sz w:val="20"/>
          <w:szCs w:val="20"/>
          <w:color w:val="auto"/>
        </w:rPr>
      </w:pPr>
      <w:r>
        <w:rPr>
          <w:rFonts w:ascii="Times New Roman" w:cs="Times New Roman" w:eastAsia="Times New Roman" w:hAnsi="Times New Roman"/>
          <w:sz w:val="20"/>
          <w:szCs w:val="20"/>
          <w:color w:val="auto"/>
        </w:rPr>
        <w:t>All patent-related costs in connection with filing and prosecuting patent applications are expensed to general and administrative expense as incurred, as recoverability of such expenditures is uncertain.</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Warrants</w:t>
      </w:r>
    </w:p>
    <w:p>
      <w:pPr>
        <w:spacing w:after="0" w:line="101" w:lineRule="exact"/>
        <w:rPr>
          <w:sz w:val="20"/>
          <w:szCs w:val="20"/>
          <w:color w:val="auto"/>
        </w:rPr>
      </w:pPr>
    </w:p>
    <w:p>
      <w:pPr>
        <w:ind w:firstLine="490"/>
        <w:spacing w:after="0" w:line="226" w:lineRule="auto"/>
        <w:rPr>
          <w:sz w:val="20"/>
          <w:szCs w:val="20"/>
          <w:color w:val="auto"/>
        </w:rPr>
      </w:pPr>
      <w:r>
        <w:rPr>
          <w:rFonts w:ascii="Times New Roman" w:cs="Times New Roman" w:eastAsia="Times New Roman" w:hAnsi="Times New Roman"/>
          <w:sz w:val="20"/>
          <w:szCs w:val="20"/>
          <w:color w:val="auto"/>
        </w:rPr>
        <w:t xml:space="preserve">The Company determines the accounting classification of warrants that are issued, as either liability or equity, by first assessing whether the warrants meet liability classification in accordance with ASC 480, </w:t>
      </w:r>
      <w:r>
        <w:rPr>
          <w:rFonts w:ascii="Times New Roman" w:cs="Times New Roman" w:eastAsia="Times New Roman" w:hAnsi="Times New Roman"/>
          <w:sz w:val="20"/>
          <w:szCs w:val="20"/>
          <w:i w:val="1"/>
          <w:iCs w:val="1"/>
          <w:color w:val="auto"/>
        </w:rPr>
        <w:t>Distinguishing Liabilities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Equity </w:t>
      </w:r>
      <w:r>
        <w:rPr>
          <w:rFonts w:ascii="Times New Roman" w:cs="Times New Roman" w:eastAsia="Times New Roman" w:hAnsi="Times New Roman"/>
          <w:sz w:val="20"/>
          <w:szCs w:val="20"/>
          <w:color w:val="auto"/>
        </w:rPr>
        <w:t>(“ASC 480”), and then in accordance with ASC 815,</w:t>
      </w:r>
      <w:r>
        <w:rPr>
          <w:rFonts w:ascii="Times New Roman" w:cs="Times New Roman" w:eastAsia="Times New Roman" w:hAnsi="Times New Roman"/>
          <w:sz w:val="20"/>
          <w:szCs w:val="20"/>
          <w:i w:val="1"/>
          <w:iCs w:val="1"/>
          <w:color w:val="auto"/>
        </w:rPr>
        <w:t xml:space="preserve"> Derivatives and Hedging </w:t>
      </w:r>
      <w:r>
        <w:rPr>
          <w:rFonts w:ascii="Times New Roman" w:cs="Times New Roman" w:eastAsia="Times New Roman" w:hAnsi="Times New Roman"/>
          <w:sz w:val="20"/>
          <w:szCs w:val="20"/>
          <w:color w:val="auto"/>
        </w:rPr>
        <w:t>(“ASC 815”), depending on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spacing w:after="0" w:line="63" w:lineRule="exact"/>
        <w:rPr>
          <w:sz w:val="20"/>
          <w:szCs w:val="20"/>
          <w:color w:val="auto"/>
        </w:rPr>
      </w:pPr>
    </w:p>
    <w:p>
      <w:pPr>
        <w:jc w:val="both"/>
        <w:ind w:firstLine="490"/>
        <w:spacing w:after="0" w:line="253" w:lineRule="auto"/>
        <w:rPr>
          <w:sz w:val="20"/>
          <w:szCs w:val="20"/>
          <w:color w:val="auto"/>
        </w:rPr>
      </w:pPr>
      <w:r>
        <w:rPr>
          <w:rFonts w:ascii="Times New Roman" w:cs="Times New Roman" w:eastAsia="Times New Roman" w:hAnsi="Times New Roman"/>
          <w:sz w:val="19"/>
          <w:szCs w:val="19"/>
          <w:color w:val="auto"/>
        </w:rPr>
        <w:t>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w:t>
      </w:r>
    </w:p>
    <w:p>
      <w:pPr>
        <w:sectPr>
          <w:pgSz w:w="12240" w:h="15840" w:orient="portrait"/>
          <w:cols w:equalWidth="0" w:num="1">
            <w:col w:w="9920"/>
          </w:cols>
          <w:pgMar w:left="1160" w:top="1132" w:right="1160" w:bottom="186"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920"/>
          </w:cols>
          <w:pgMar w:left="1160" w:top="1132" w:right="1160" w:bottom="186" w:gutter="0" w:footer="0" w:header="0"/>
          <w:type w:val="continuous"/>
        </w:sectPr>
      </w:pPr>
    </w:p>
    <w:bookmarkStart w:id="112" w:name="page113"/>
    <w:bookmarkEnd w:id="112"/>
    <w:p>
      <w:pPr>
        <w:ind w:right="40"/>
        <w:spacing w:after="0" w:line="224" w:lineRule="auto"/>
        <w:rPr>
          <w:sz w:val="20"/>
          <w:szCs w:val="20"/>
          <w:color w:val="auto"/>
        </w:rPr>
      </w:pPr>
      <w:r>
        <w:rPr>
          <w:rFonts w:ascii="Times New Roman" w:cs="Times New Roman" w:eastAsia="Times New Roman" w:hAnsi="Times New Roman"/>
          <w:sz w:val="20"/>
          <w:szCs w:val="20"/>
          <w:color w:val="auto"/>
        </w:rPr>
        <w:t>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 xml:space="preserve">The Company accounts for stock-based compensation arrangements with employees and non-employees for consultancy services in accordance with ASC 718, </w:t>
      </w:r>
      <w:r>
        <w:rPr>
          <w:rFonts w:ascii="Times New Roman" w:cs="Times New Roman" w:eastAsia="Times New Roman" w:hAnsi="Times New Roman"/>
          <w:sz w:val="20"/>
          <w:szCs w:val="20"/>
          <w:i w:val="1"/>
          <w:iCs w:val="1"/>
          <w:color w:val="auto"/>
        </w:rPr>
        <w:t>Stock Compensation</w:t>
      </w:r>
      <w:r>
        <w:rPr>
          <w:rFonts w:ascii="Times New Roman" w:cs="Times New Roman" w:eastAsia="Times New Roman" w:hAnsi="Times New Roman"/>
          <w:sz w:val="20"/>
          <w:szCs w:val="20"/>
          <w:color w:val="auto"/>
        </w:rPr>
        <w:t xml:space="preserve"> (“ASC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w:t>
      </w:r>
    </w:p>
    <w:p>
      <w:pPr>
        <w:spacing w:after="0" w:line="82" w:lineRule="exact"/>
        <w:rPr>
          <w:sz w:val="20"/>
          <w:szCs w:val="20"/>
          <w:color w:val="auto"/>
        </w:rPr>
      </w:pPr>
    </w:p>
    <w:p>
      <w:pPr>
        <w:ind w:right="460" w:firstLine="490"/>
        <w:spacing w:after="0" w:line="305" w:lineRule="auto"/>
        <w:rPr>
          <w:sz w:val="20"/>
          <w:szCs w:val="20"/>
          <w:color w:val="auto"/>
        </w:rPr>
      </w:pPr>
      <w:r>
        <w:rPr>
          <w:rFonts w:ascii="Times New Roman" w:cs="Times New Roman" w:eastAsia="Times New Roman" w:hAnsi="Times New Roman"/>
          <w:sz w:val="19"/>
          <w:szCs w:val="19"/>
          <w:color w:val="auto"/>
        </w:rPr>
        <w:t>Changes in the variables can materially affect the fair value and ultimately how much stock-based compensation expense is recognized. These inputs are subjective and generally require analysis and judgment to develop.</w:t>
      </w:r>
    </w:p>
    <w:p>
      <w:pPr>
        <w:spacing w:after="0" w:line="6" w:lineRule="exact"/>
        <w:rPr>
          <w:sz w:val="20"/>
          <w:szCs w:val="20"/>
          <w:color w:val="auto"/>
        </w:rPr>
      </w:pPr>
    </w:p>
    <w:p>
      <w:pPr>
        <w:ind w:right="160" w:firstLine="490"/>
        <w:spacing w:after="0" w:line="231" w:lineRule="auto"/>
        <w:rPr>
          <w:sz w:val="20"/>
          <w:szCs w:val="20"/>
          <w:color w:val="auto"/>
        </w:rPr>
      </w:pPr>
      <w:r>
        <w:rPr>
          <w:rFonts w:ascii="Times New Roman" w:cs="Times New Roman" w:eastAsia="Times New Roman" w:hAnsi="Times New Roman"/>
          <w:sz w:val="20"/>
          <w:szCs w:val="20"/>
          <w:color w:val="auto"/>
        </w:rPr>
        <w:t>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w:t>
      </w:r>
    </w:p>
    <w:p>
      <w:pPr>
        <w:spacing w:after="0" w:line="63" w:lineRule="exact"/>
        <w:rPr>
          <w:sz w:val="20"/>
          <w:szCs w:val="20"/>
          <w:color w:val="auto"/>
        </w:rPr>
      </w:pPr>
    </w:p>
    <w:p>
      <w:pPr>
        <w:ind w:right="300" w:firstLine="490"/>
        <w:spacing w:after="0" w:line="236" w:lineRule="auto"/>
        <w:rPr>
          <w:sz w:val="20"/>
          <w:szCs w:val="20"/>
          <w:color w:val="auto"/>
        </w:rPr>
      </w:pPr>
      <w:r>
        <w:rPr>
          <w:rFonts w:ascii="Times New Roman" w:cs="Times New Roman" w:eastAsia="Times New Roman" w:hAnsi="Times New Roman"/>
          <w:sz w:val="20"/>
          <w:szCs w:val="20"/>
          <w:color w:val="auto"/>
        </w:rPr>
        <w:t>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w:t>
      </w:r>
    </w:p>
    <w:p>
      <w:pPr>
        <w:spacing w:after="0" w:line="63" w:lineRule="exact"/>
        <w:rPr>
          <w:sz w:val="20"/>
          <w:szCs w:val="20"/>
          <w:color w:val="auto"/>
        </w:rPr>
      </w:pPr>
    </w:p>
    <w:p>
      <w:pPr>
        <w:ind w:right="200" w:firstLine="490"/>
        <w:spacing w:after="0" w:line="253" w:lineRule="auto"/>
        <w:rPr>
          <w:sz w:val="20"/>
          <w:szCs w:val="20"/>
          <w:color w:val="auto"/>
        </w:rPr>
      </w:pPr>
      <w:r>
        <w:rPr>
          <w:rFonts w:ascii="Times New Roman" w:cs="Times New Roman" w:eastAsia="Times New Roman" w:hAnsi="Times New Roman"/>
          <w:sz w:val="20"/>
          <w:szCs w:val="20"/>
          <w:color w:val="auto"/>
        </w:rPr>
        <w:t>Expected Dividend—The Black-Scholes valuation model calls for a single expected dividend yield as an input. The Company currently has no history or expectation of paying cash dividends on its common stock.</w:t>
      </w:r>
    </w:p>
    <w:p>
      <w:pPr>
        <w:spacing w:after="0" w:line="49" w:lineRule="exact"/>
        <w:rPr>
          <w:sz w:val="20"/>
          <w:szCs w:val="20"/>
          <w:color w:val="auto"/>
        </w:rPr>
      </w:pPr>
    </w:p>
    <w:p>
      <w:pPr>
        <w:ind w:right="460" w:firstLine="490"/>
        <w:spacing w:after="0" w:line="253" w:lineRule="auto"/>
        <w:rPr>
          <w:sz w:val="20"/>
          <w:szCs w:val="20"/>
          <w:color w:val="auto"/>
        </w:rPr>
      </w:pPr>
      <w:r>
        <w:rPr>
          <w:rFonts w:ascii="Times New Roman" w:cs="Times New Roman" w:eastAsia="Times New Roman" w:hAnsi="Times New Roman"/>
          <w:sz w:val="20"/>
          <w:szCs w:val="20"/>
          <w:color w:val="auto"/>
        </w:rPr>
        <w:t>Risk-Free Interest Rate—The risk- free interest rate is based on the yield available on U.S. Treasury zero-coupon issues similar in duration to the expected term of the stock-based award.</w:t>
      </w:r>
    </w:p>
    <w:p>
      <w:pPr>
        <w:spacing w:after="0" w:line="68"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auto"/>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spacing w:after="0" w:line="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97" w:lineRule="exact"/>
        <w:rPr>
          <w:sz w:val="20"/>
          <w:szCs w:val="20"/>
          <w:color w:val="auto"/>
        </w:rPr>
      </w:pPr>
    </w:p>
    <w:p>
      <w:pPr>
        <w:jc w:val="both"/>
        <w:ind w:right="60" w:firstLine="490"/>
        <w:spacing w:after="0" w:line="225"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w:t>
      </w:r>
    </w:p>
    <w:p>
      <w:pPr>
        <w:spacing w:after="0" w:line="2" w:lineRule="exact"/>
        <w:rPr>
          <w:sz w:val="20"/>
          <w:szCs w:val="20"/>
          <w:color w:val="auto"/>
        </w:rPr>
      </w:pPr>
    </w:p>
    <w:p>
      <w:pPr>
        <w:ind w:right="340"/>
        <w:spacing w:after="0" w:line="232" w:lineRule="auto"/>
        <w:rPr>
          <w:sz w:val="20"/>
          <w:szCs w:val="20"/>
          <w:color w:val="auto"/>
        </w:rPr>
      </w:pPr>
      <w:r>
        <w:rPr>
          <w:rFonts w:ascii="Times New Roman" w:cs="Times New Roman" w:eastAsia="Times New Roman" w:hAnsi="Times New Roman"/>
          <w:sz w:val="20"/>
          <w:szCs w:val="20"/>
          <w:color w:val="auto"/>
        </w:rPr>
        <w:t>Deferred income tax assets are reduced, as necessary, by a valuation allowance when management determines it is more likely than not that some or all of the tax benefits will not be realized.</w:t>
      </w:r>
    </w:p>
    <w:p>
      <w:pPr>
        <w:spacing w:after="0" w:line="61" w:lineRule="exact"/>
        <w:rPr>
          <w:sz w:val="20"/>
          <w:szCs w:val="20"/>
          <w:color w:val="auto"/>
        </w:rPr>
      </w:pPr>
    </w:p>
    <w:p>
      <w:pPr>
        <w:ind w:firstLine="490"/>
        <w:spacing w:after="0" w:line="224" w:lineRule="auto"/>
        <w:rPr>
          <w:sz w:val="20"/>
          <w:szCs w:val="20"/>
          <w:color w:val="auto"/>
        </w:rPr>
      </w:pPr>
      <w:r>
        <w:rPr>
          <w:rFonts w:ascii="Times New Roman" w:cs="Times New Roman" w:eastAsia="Times New Roman" w:hAnsi="Times New Roman"/>
          <w:sz w:val="20"/>
          <w:szCs w:val="20"/>
          <w:color w:val="auto"/>
        </w:rPr>
        <w:t xml:space="preserve">The Company applies the provisions of ASC 740, </w:t>
      </w:r>
      <w:r>
        <w:rPr>
          <w:rFonts w:ascii="Times New Roman" w:cs="Times New Roman" w:eastAsia="Times New Roman" w:hAnsi="Times New Roman"/>
          <w:sz w:val="20"/>
          <w:szCs w:val="20"/>
          <w:i w:val="1"/>
          <w:iCs w:val="1"/>
          <w:color w:val="auto"/>
        </w:rPr>
        <w:t>Income Taxe</w:t>
      </w:r>
      <w:r>
        <w:rPr>
          <w:rFonts w:ascii="Times New Roman" w:cs="Times New Roman" w:eastAsia="Times New Roman" w:hAnsi="Times New Roman"/>
          <w:sz w:val="20"/>
          <w:szCs w:val="20"/>
          <w:color w:val="auto"/>
        </w:rPr>
        <w:t>s(“ASC 740”), which prescribes a comprehensive model for how a company should recognize, measure, present and disclose in its financial statements uncertain tax positions that the company has taken or expects to take on a tax return. These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December 31, 2025 and December 31, 2024. The Company does not have any interest or penalties accrued related to tax positions as it does not have any unrecognized tax benefits.</w:t>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97" w:lineRule="exact"/>
        <w:rPr>
          <w:sz w:val="20"/>
          <w:szCs w:val="20"/>
          <w:color w:val="auto"/>
        </w:rPr>
      </w:pPr>
    </w:p>
    <w:p>
      <w:pPr>
        <w:ind w:right="200" w:firstLine="490"/>
        <w:spacing w:after="0" w:line="224" w:lineRule="auto"/>
        <w:rPr>
          <w:sz w:val="20"/>
          <w:szCs w:val="20"/>
          <w:color w:val="auto"/>
        </w:rPr>
      </w:pPr>
      <w:r>
        <w:rPr>
          <w:rFonts w:ascii="Times New Roman" w:cs="Times New Roman" w:eastAsia="Times New Roman" w:hAnsi="Times New Roman"/>
          <w:sz w:val="20"/>
          <w:szCs w:val="20"/>
          <w:color w:val="auto"/>
        </w:rPr>
        <w:t xml:space="preserve">Under ASC 842,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 of use to an underlying asset for the term of the lease and the lease liability represents the Company’s obligation to make lease payments arising from the lease.</w:t>
      </w:r>
    </w:p>
    <w:p>
      <w:pPr>
        <w:sectPr>
          <w:pgSz w:w="12240" w:h="15840" w:orient="portrait"/>
          <w:cols w:equalWidth="0" w:num="1">
            <w:col w:w="9940"/>
          </w:cols>
          <w:pgMar w:left="1160" w:top="1113" w:right="1140" w:bottom="186" w:gutter="0" w:footer="0" w:header="0"/>
        </w:sect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940"/>
          </w:cols>
          <w:pgMar w:left="1160" w:top="1113" w:right="1140" w:bottom="186" w:gutter="0" w:footer="0" w:header="0"/>
          <w:type w:val="continuous"/>
        </w:sectPr>
      </w:pPr>
    </w:p>
    <w:bookmarkStart w:id="113" w:name="page114"/>
    <w:bookmarkEnd w:id="113"/>
    <w:p>
      <w:pPr>
        <w:ind w:right="60" w:firstLine="490"/>
        <w:spacing w:after="0" w:line="236" w:lineRule="auto"/>
        <w:rPr>
          <w:sz w:val="20"/>
          <w:szCs w:val="20"/>
          <w:color w:val="auto"/>
        </w:rPr>
      </w:pPr>
      <w:r>
        <w:rPr>
          <w:rFonts w:ascii="Times New Roman" w:cs="Times New Roman" w:eastAsia="Times New Roman" w:hAnsi="Times New Roman"/>
          <w:sz w:val="20"/>
          <w:szCs w:val="20"/>
          <w:color w:val="auto"/>
        </w:rPr>
        <w:t>If the Company’s leases do not provide an implicit rate within the lease, the Company uses its incremental borrowing rate, based on information available at the commencement date of the lease to determine the present value of the lease payments.</w:t>
      </w:r>
    </w:p>
    <w:p>
      <w:pPr>
        <w:spacing w:after="0" w:line="63" w:lineRule="exact"/>
        <w:rPr>
          <w:sz w:val="20"/>
          <w:szCs w:val="20"/>
          <w:color w:val="auto"/>
        </w:rPr>
      </w:pPr>
    </w:p>
    <w:p>
      <w:pPr>
        <w:ind w:right="40" w:firstLine="490"/>
        <w:spacing w:after="0" w:line="231" w:lineRule="auto"/>
        <w:rPr>
          <w:sz w:val="20"/>
          <w:szCs w:val="20"/>
          <w:color w:val="auto"/>
        </w:rPr>
      </w:pPr>
      <w:r>
        <w:rPr>
          <w:rFonts w:ascii="Times New Roman" w:cs="Times New Roman" w:eastAsia="Times New Roman" w:hAnsi="Times New Roman"/>
          <w:sz w:val="20"/>
          <w:szCs w:val="20"/>
          <w:color w:val="auto"/>
        </w:rPr>
        <w:t>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w:t>
      </w:r>
    </w:p>
    <w:p>
      <w:pPr>
        <w:spacing w:after="0" w:line="63" w:lineRule="exact"/>
        <w:rPr>
          <w:sz w:val="20"/>
          <w:szCs w:val="20"/>
          <w:color w:val="auto"/>
        </w:rPr>
      </w:pPr>
    </w:p>
    <w:p>
      <w:pPr>
        <w:ind w:right="260" w:firstLine="490"/>
        <w:spacing w:after="0" w:line="231" w:lineRule="auto"/>
        <w:rPr>
          <w:sz w:val="20"/>
          <w:szCs w:val="20"/>
          <w:color w:val="auto"/>
        </w:rPr>
      </w:pPr>
      <w:r>
        <w:rPr>
          <w:rFonts w:ascii="Times New Roman" w:cs="Times New Roman" w:eastAsia="Times New Roman" w:hAnsi="Times New Roman"/>
          <w:sz w:val="20"/>
          <w:szCs w:val="20"/>
          <w:color w:val="auto"/>
        </w:rPr>
        <w:t>For finance leases, right-of-use assets are amortized on a straight-line basis over the shorter of the lease term or the useful life of the underlying asset. Expenses for finance leases include the amortization of right- of-use assets, which is recorded as depreciation and amortization expense, and interest expense, which reflects interest accrued on the lease liability.</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Basic and Diluted Net Loss per Common Share</w:t>
      </w:r>
    </w:p>
    <w:p>
      <w:pPr>
        <w:spacing w:after="0" w:line="92" w:lineRule="exact"/>
        <w:rPr>
          <w:sz w:val="20"/>
          <w:szCs w:val="20"/>
          <w:color w:val="auto"/>
        </w:rPr>
      </w:pPr>
    </w:p>
    <w:p>
      <w:pPr>
        <w:ind w:right="140" w:firstLine="490"/>
        <w:spacing w:after="0" w:line="227" w:lineRule="auto"/>
        <w:rPr>
          <w:sz w:val="20"/>
          <w:szCs w:val="20"/>
          <w:color w:val="auto"/>
        </w:rPr>
      </w:pPr>
      <w:r>
        <w:rPr>
          <w:rFonts w:ascii="Times New Roman" w:cs="Times New Roman" w:eastAsia="Times New Roman" w:hAnsi="Times New Roman"/>
          <w:sz w:val="20"/>
          <w:szCs w:val="20"/>
          <w:color w:val="auto"/>
        </w:rPr>
        <w:t>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w:t>
      </w:r>
    </w:p>
    <w:p>
      <w:pPr>
        <w:spacing w:after="0" w:line="59" w:lineRule="exact"/>
        <w:rPr>
          <w:sz w:val="20"/>
          <w:szCs w:val="20"/>
          <w:color w:val="auto"/>
        </w:rPr>
      </w:pPr>
    </w:p>
    <w:p>
      <w:pPr>
        <w:ind w:right="40" w:firstLine="490"/>
        <w:spacing w:after="0" w:line="227" w:lineRule="auto"/>
        <w:rPr>
          <w:sz w:val="20"/>
          <w:szCs w:val="20"/>
          <w:color w:val="auto"/>
        </w:rPr>
      </w:pPr>
      <w:r>
        <w:rPr>
          <w:rFonts w:ascii="Times New Roman" w:cs="Times New Roman" w:eastAsia="Times New Roman" w:hAnsi="Times New Roman"/>
          <w:sz w:val="20"/>
          <w:szCs w:val="20"/>
          <w:color w:val="auto"/>
        </w:rPr>
        <w:t>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92" w:lineRule="exact"/>
        <w:rPr>
          <w:sz w:val="20"/>
          <w:szCs w:val="20"/>
          <w:color w:val="auto"/>
        </w:rPr>
      </w:pPr>
    </w:p>
    <w:p>
      <w:pPr>
        <w:ind w:right="200" w:firstLine="490"/>
        <w:spacing w:after="0" w:line="248" w:lineRule="auto"/>
        <w:rPr>
          <w:sz w:val="20"/>
          <w:szCs w:val="20"/>
          <w:color w:val="auto"/>
        </w:rPr>
      </w:pPr>
      <w:r>
        <w:rPr>
          <w:rFonts w:ascii="Times New Roman" w:cs="Times New Roman" w:eastAsia="Times New Roman" w:hAnsi="Times New Roman"/>
          <w:sz w:val="20"/>
          <w:szCs w:val="20"/>
          <w:color w:val="auto"/>
        </w:rPr>
        <w:t>The Company has one reportable segment, which is also the Company’s only operating segment. Management uses one measurement of profitability and does not segregate its business for internal reporting.</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92" w:lineRule="exact"/>
        <w:rPr>
          <w:sz w:val="20"/>
          <w:szCs w:val="20"/>
          <w:color w:val="auto"/>
        </w:rPr>
      </w:pPr>
    </w:p>
    <w:p>
      <w:pPr>
        <w:ind w:right="240" w:firstLine="490"/>
        <w:spacing w:after="0" w:line="248" w:lineRule="auto"/>
        <w:rPr>
          <w:sz w:val="20"/>
          <w:szCs w:val="20"/>
          <w:color w:val="auto"/>
        </w:rPr>
      </w:pPr>
      <w:r>
        <w:rPr>
          <w:rFonts w:ascii="Times New Roman" w:cs="Times New Roman" w:eastAsia="Times New Roman" w:hAnsi="Times New Roman"/>
          <w:sz w:val="19"/>
          <w:szCs w:val="19"/>
          <w:color w:val="auto"/>
        </w:rPr>
        <w:t>Comprehensive loss represents the net change in stockholders’ equity during a period from sources other than transactions with stockholders. As reflected in the accompanying Condensed Consolidated Statements of Comprehensive Loss, our comprehensive loss is comprised of net losses and unrealized gains and losses on marketable securities.</w:t>
      </w:r>
    </w:p>
    <w:p>
      <w:pPr>
        <w:spacing w:after="0" w:line="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92" w:lineRule="exact"/>
        <w:rPr>
          <w:sz w:val="20"/>
          <w:szCs w:val="20"/>
          <w:color w:val="auto"/>
        </w:rPr>
      </w:pPr>
    </w:p>
    <w:p>
      <w:pPr>
        <w:ind w:right="100" w:firstLine="490"/>
        <w:spacing w:after="0" w:line="219" w:lineRule="auto"/>
        <w:rPr>
          <w:sz w:val="20"/>
          <w:szCs w:val="20"/>
          <w:color w:val="auto"/>
        </w:rPr>
      </w:pPr>
      <w:r>
        <w:rPr>
          <w:rFonts w:ascii="Times New Roman" w:cs="Times New Roman" w:eastAsia="Times New Roman" w:hAnsi="Times New Roman"/>
          <w:sz w:val="20"/>
          <w:szCs w:val="20"/>
          <w:color w:val="auto"/>
        </w:rPr>
        <w:t xml:space="preserve">In November 2023, the Financial Accounting Standards Board (“FASB”) issued Accounting Standards Update (“ASU”) 2023-07, Segment Reporting (Topic 280): </w:t>
      </w:r>
      <w:r>
        <w:rPr>
          <w:rFonts w:ascii="Times New Roman" w:cs="Times New Roman" w:eastAsia="Times New Roman" w:hAnsi="Times New Roman"/>
          <w:sz w:val="20"/>
          <w:szCs w:val="20"/>
          <w:i w:val="1"/>
          <w:iCs w:val="1"/>
          <w:color w:val="auto"/>
        </w:rPr>
        <w:t>Improvements to Reportable Segment Disclosures</w:t>
      </w:r>
      <w:r>
        <w:rPr>
          <w:rFonts w:ascii="Times New Roman" w:cs="Times New Roman" w:eastAsia="Times New Roman" w:hAnsi="Times New Roman"/>
          <w:sz w:val="20"/>
          <w:szCs w:val="20"/>
          <w:color w:val="auto"/>
        </w:rPr>
        <w:t>, which requires quarterly disclosure of segment expenses if they are (i) significant to the segment, (ii) regularly provided to the chief operating decision maker (“CODM”) and (iii) included in each reported measure of a segment’s profit or loss. In addition, this ASU requires an annual disclosure of the CODM’s title and a description of how the CODM uses the segment’s profit/loss measure to assess segment performance and to allocate resources. The Company adopted this accounting standard for the fiscal year beginning on January 1, 2024 and it has resulted in incremental disclosures within the footnotes to the Company’s consolidated financial statements.</w:t>
      </w:r>
    </w:p>
    <w:p>
      <w:pPr>
        <w:spacing w:after="0" w:line="81"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which requires entities to disclose disaggregated information about their effective tax rate reconciliation as well as expanded information on income taxes paid by jurisdiction. The Company adopted this accounting standard, on a prospective basis, for the fiscal year beginning on January 1, 2025 and it has resulted in incremental disclosures within the footnotes to the Company’s consolidated financial statements.</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115" w:lineRule="exact"/>
        <w:rPr>
          <w:sz w:val="20"/>
          <w:szCs w:val="20"/>
          <w:color w:val="auto"/>
        </w:rPr>
      </w:pPr>
    </w:p>
    <w:p>
      <w:pPr>
        <w:ind w:right="220" w:firstLine="490"/>
        <w:spacing w:after="0" w:line="249"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Disaggregation of Income Statement Expenses</w:t>
      </w:r>
      <w:r>
        <w:rPr>
          <w:rFonts w:ascii="Times New Roman" w:cs="Times New Roman" w:eastAsia="Times New Roman" w:hAnsi="Times New Roman"/>
          <w:sz w:val="20"/>
          <w:szCs w:val="20"/>
          <w:color w:val="auto"/>
        </w:rPr>
        <w:t>, which requires disaggregation and disclosure of specified information about certain costs and expenses in the notes to the financial statements. The standard is effective for fiscal years beginning after December 15, 2026, and interim reporting periods beginning after December 15, 2027, with early adoption permitted. The Company is currently evaluating the impact of adopting ASU 2024-03.</w:t>
      </w:r>
    </w:p>
    <w:p>
      <w:pPr>
        <w:sectPr>
          <w:pgSz w:w="12240" w:h="15840" w:orient="portrait"/>
          <w:cols w:equalWidth="0" w:num="1">
            <w:col w:w="9940"/>
          </w:cols>
          <w:pgMar w:left="1160" w:top="1113" w:right="11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940"/>
          </w:cols>
          <w:pgMar w:left="1160" w:top="1113" w:right="1140" w:bottom="186" w:gutter="0" w:footer="0" w:header="0"/>
          <w:type w:val="continuous"/>
        </w:sectPr>
      </w:pPr>
    </w:p>
    <w:bookmarkStart w:id="114" w:name="page115"/>
    <w:bookmarkEnd w:id="114"/>
    <w:p>
      <w:pPr>
        <w:ind w:left="488" w:hanging="488"/>
        <w:spacing w:after="0"/>
        <w:tabs>
          <w:tab w:leader="none" w:pos="488"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Marketable Securities</w:t>
      </w:r>
    </w:p>
    <w:p>
      <w:pPr>
        <w:spacing w:after="0" w:line="105" w:lineRule="exact"/>
        <w:rPr>
          <w:sz w:val="20"/>
          <w:szCs w:val="20"/>
          <w:color w:val="auto"/>
        </w:rPr>
      </w:pPr>
    </w:p>
    <w:p>
      <w:pPr>
        <w:ind w:left="8" w:right="180" w:firstLine="490"/>
        <w:spacing w:after="0" w:line="253" w:lineRule="auto"/>
        <w:rPr>
          <w:sz w:val="20"/>
          <w:szCs w:val="20"/>
          <w:color w:val="auto"/>
        </w:rPr>
      </w:pPr>
      <w:r>
        <w:rPr>
          <w:rFonts w:ascii="Times New Roman" w:cs="Times New Roman" w:eastAsia="Times New Roman" w:hAnsi="Times New Roman"/>
          <w:sz w:val="20"/>
          <w:szCs w:val="20"/>
          <w:color w:val="auto"/>
        </w:rPr>
        <w:t>The fair value and amortized cost of available-for-sale marketable securities by major security type are presented in the following tables as of the periods presented:</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245"/>
        </w:trPr>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40" w:type="dxa"/>
            <w:vAlign w:val="bottom"/>
            <w:gridSpan w:val="8"/>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Amortized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Unrealized</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Unrealized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Estimated Fair</w:t>
            </w:r>
          </w:p>
        </w:tc>
        <w:tc>
          <w:tcPr>
            <w:tcW w:w="60" w:type="dxa"/>
            <w:vAlign w:val="bottom"/>
          </w:tcPr>
          <w:p>
            <w:pPr>
              <w:spacing w:after="0"/>
              <w:rPr>
                <w:sz w:val="20"/>
                <w:szCs w:val="20"/>
                <w:color w:val="auto"/>
              </w:rPr>
            </w:pPr>
          </w:p>
        </w:tc>
      </w:tr>
      <w:tr>
        <w:trPr>
          <w:trHeight w:val="253"/>
        </w:trPr>
        <w:tc>
          <w:tcPr>
            <w:tcW w:w="3660" w:type="dxa"/>
            <w:vAlign w:val="bottom"/>
          </w:tcPr>
          <w:p>
            <w:pPr>
              <w:ind w:left="1120"/>
              <w:spacing w:after="0"/>
              <w:rPr>
                <w:sz w:val="20"/>
                <w:szCs w:val="20"/>
                <w:color w:val="auto"/>
              </w:rPr>
            </w:pPr>
            <w:r>
              <w:rPr>
                <w:rFonts w:ascii="Times New Roman" w:cs="Times New Roman" w:eastAsia="Times New Roman" w:hAnsi="Times New Roman"/>
                <w:sz w:val="20"/>
                <w:szCs w:val="20"/>
                <w:b w:val="1"/>
                <w:bCs w:val="1"/>
                <w:color w:val="auto"/>
              </w:rPr>
              <w:t>Type of Security</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7"/>
              </w:rPr>
              <w:t>Cost</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Gains</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7"/>
              </w:rPr>
              <w:t>Losses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60" w:type="dxa"/>
            <w:vAlign w:val="bottom"/>
          </w:tcPr>
          <w:p>
            <w:pPr>
              <w:spacing w:after="0"/>
              <w:rPr>
                <w:sz w:val="22"/>
                <w:szCs w:val="22"/>
                <w:color w:val="auto"/>
              </w:rPr>
            </w:pPr>
          </w:p>
        </w:tc>
      </w:tr>
      <w:tr>
        <w:trPr>
          <w:trHeight w:val="225"/>
        </w:trPr>
        <w:tc>
          <w:tcPr>
            <w:tcW w:w="3660" w:type="dxa"/>
            <w:vAlign w:val="bottom"/>
            <w:tcBorders>
              <w:top w:val="single" w:sz="8" w:color="auto"/>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U.S. treasury securities</w:t>
            </w:r>
          </w:p>
        </w:tc>
        <w:tc>
          <w:tcPr>
            <w:tcW w:w="180" w:type="dxa"/>
            <w:vAlign w:val="bottom"/>
            <w:tcBorders>
              <w:top w:val="single" w:sz="8" w:color="D5EEEE"/>
            </w:tcBorders>
            <w:shd w:val="clear" w:color="auto" w:fill="D5EEEE"/>
          </w:tcPr>
          <w:p>
            <w:pPr>
              <w:spacing w:after="0"/>
              <w:rPr>
                <w:sz w:val="19"/>
                <w:szCs w:val="19"/>
                <w:color w:val="auto"/>
              </w:rPr>
            </w:pPr>
          </w:p>
        </w:tc>
        <w:tc>
          <w:tcPr>
            <w:tcW w:w="20" w:type="dxa"/>
            <w:vAlign w:val="bottom"/>
            <w:tcBorders>
              <w:top w:val="single" w:sz="8" w:color="D5EEEE"/>
            </w:tcBorders>
            <w:shd w:val="clear" w:color="auto" w:fill="D5EEEE"/>
          </w:tcPr>
          <w:p>
            <w:pPr>
              <w:spacing w:after="0"/>
              <w:rPr>
                <w:sz w:val="19"/>
                <w:szCs w:val="19"/>
                <w:color w:val="auto"/>
              </w:rPr>
            </w:pPr>
          </w:p>
        </w:tc>
        <w:tc>
          <w:tcPr>
            <w:tcW w:w="16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62,572</w:t>
            </w:r>
          </w:p>
        </w:tc>
        <w:tc>
          <w:tcPr>
            <w:tcW w:w="300" w:type="dxa"/>
            <w:vAlign w:val="bottom"/>
            <w:tcBorders>
              <w:top w:val="single" w:sz="8" w:color="D5EEEE"/>
            </w:tcBorders>
            <w:shd w:val="clear" w:color="auto" w:fill="D5EEEE"/>
          </w:tcPr>
          <w:p>
            <w:pPr>
              <w:spacing w:after="0"/>
              <w:rPr>
                <w:sz w:val="19"/>
                <w:szCs w:val="19"/>
                <w:color w:val="auto"/>
              </w:rPr>
            </w:pPr>
          </w:p>
        </w:tc>
        <w:tc>
          <w:tcPr>
            <w:tcW w:w="20" w:type="dxa"/>
            <w:vAlign w:val="bottom"/>
            <w:tcBorders>
              <w:top w:val="single" w:sz="8" w:color="D5EEEE"/>
            </w:tcBorders>
            <w:shd w:val="clear" w:color="auto" w:fill="D5EEEE"/>
          </w:tcPr>
          <w:p>
            <w:pPr>
              <w:spacing w:after="0"/>
              <w:rPr>
                <w:sz w:val="19"/>
                <w:szCs w:val="19"/>
                <w:color w:val="auto"/>
              </w:rPr>
            </w:pPr>
          </w:p>
        </w:tc>
        <w:tc>
          <w:tcPr>
            <w:tcW w:w="180" w:type="dxa"/>
            <w:vAlign w:val="bottom"/>
            <w:tcBorders>
              <w:top w:val="single" w:sz="8" w:color="auto"/>
            </w:tcBorders>
            <w:shd w:val="clear" w:color="auto" w:fill="D5EEEE"/>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100</w:t>
            </w:r>
          </w:p>
        </w:tc>
        <w:tc>
          <w:tcPr>
            <w:tcW w:w="20" w:type="dxa"/>
            <w:vAlign w:val="bottom"/>
            <w:tcBorders>
              <w:top w:val="single" w:sz="8" w:color="D5EEEE"/>
            </w:tcBorders>
            <w:shd w:val="clear" w:color="auto" w:fill="D5EEEE"/>
          </w:tcPr>
          <w:p>
            <w:pPr>
              <w:spacing w:after="0"/>
              <w:rPr>
                <w:sz w:val="19"/>
                <w:szCs w:val="19"/>
                <w:color w:val="auto"/>
              </w:rPr>
            </w:pPr>
          </w:p>
        </w:tc>
        <w:tc>
          <w:tcPr>
            <w:tcW w:w="260" w:type="dxa"/>
            <w:vAlign w:val="bottom"/>
            <w:tcBorders>
              <w:top w:val="single" w:sz="8" w:color="D5EEEE"/>
            </w:tcBorders>
            <w:shd w:val="clear" w:color="auto" w:fill="D5EEEE"/>
          </w:tcPr>
          <w:p>
            <w:pPr>
              <w:spacing w:after="0"/>
              <w:rPr>
                <w:sz w:val="19"/>
                <w:szCs w:val="19"/>
                <w:color w:val="auto"/>
              </w:rPr>
            </w:pPr>
          </w:p>
        </w:tc>
        <w:tc>
          <w:tcPr>
            <w:tcW w:w="20" w:type="dxa"/>
            <w:vAlign w:val="bottom"/>
            <w:tcBorders>
              <w:top w:val="single" w:sz="8" w:color="auto"/>
            </w:tcBorders>
            <w:shd w:val="clear" w:color="auto" w:fill="D5EEEE"/>
          </w:tcPr>
          <w:p>
            <w:pPr>
              <w:spacing w:after="0"/>
              <w:rPr>
                <w:sz w:val="19"/>
                <w:szCs w:val="19"/>
                <w:color w:val="auto"/>
              </w:rPr>
            </w:pPr>
          </w:p>
        </w:tc>
        <w:tc>
          <w:tcPr>
            <w:tcW w:w="100" w:type="dxa"/>
            <w:vAlign w:val="bottom"/>
            <w:tcBorders>
              <w:top w:val="single" w:sz="8" w:color="auto"/>
            </w:tcBorders>
            <w:shd w:val="clear" w:color="auto" w:fill="D5EEEE"/>
          </w:tcPr>
          <w:p>
            <w:pPr>
              <w:spacing w:after="0"/>
              <w:rPr>
                <w:sz w:val="19"/>
                <w:szCs w:val="19"/>
                <w:color w:val="auto"/>
              </w:rPr>
            </w:pPr>
          </w:p>
        </w:tc>
        <w:tc>
          <w:tcPr>
            <w:tcW w:w="1080" w:type="dxa"/>
            <w:vAlign w:val="bottom"/>
            <w:tcBorders>
              <w:top w:val="single" w:sz="8" w:color="auto"/>
            </w:tcBorders>
            <w:gridSpan w:val="2"/>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top w:val="single" w:sz="8" w:color="D5EEEE"/>
            </w:tcBorders>
            <w:shd w:val="clear" w:color="auto" w:fill="D5EEEE"/>
          </w:tcPr>
          <w:p>
            <w:pPr>
              <w:spacing w:after="0"/>
              <w:rPr>
                <w:sz w:val="19"/>
                <w:szCs w:val="19"/>
                <w:color w:val="auto"/>
              </w:rPr>
            </w:pPr>
          </w:p>
        </w:tc>
        <w:tc>
          <w:tcPr>
            <w:tcW w:w="20" w:type="dxa"/>
            <w:vAlign w:val="bottom"/>
            <w:tcBorders>
              <w:top w:val="single" w:sz="8" w:color="D5EEEE"/>
            </w:tcBorders>
            <w:shd w:val="clear" w:color="auto" w:fill="D5EEEE"/>
          </w:tcPr>
          <w:p>
            <w:pPr>
              <w:spacing w:after="0"/>
              <w:rPr>
                <w:sz w:val="19"/>
                <w:szCs w:val="19"/>
                <w:color w:val="auto"/>
              </w:rPr>
            </w:pPr>
          </w:p>
        </w:tc>
        <w:tc>
          <w:tcPr>
            <w:tcW w:w="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62,672</w:t>
            </w:r>
          </w:p>
        </w:tc>
        <w:tc>
          <w:tcPr>
            <w:tcW w:w="60" w:type="dxa"/>
            <w:vAlign w:val="bottom"/>
            <w:tcBorders>
              <w:top w:val="single" w:sz="8" w:color="D5EEEE"/>
            </w:tcBorders>
            <w:shd w:val="clear" w:color="auto" w:fill="D5EEEE"/>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46,773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46,783</w:t>
            </w:r>
          </w:p>
        </w:tc>
        <w:tc>
          <w:tcPr>
            <w:tcW w:w="60" w:type="dxa"/>
            <w:vAlign w:val="bottom"/>
          </w:tcPr>
          <w:p>
            <w:pPr>
              <w:spacing w:after="0"/>
              <w:rPr>
                <w:sz w:val="20"/>
                <w:szCs w:val="20"/>
                <w:color w:val="auto"/>
              </w:rPr>
            </w:pPr>
          </w:p>
        </w:tc>
      </w:tr>
      <w:tr>
        <w:trPr>
          <w:trHeight w:val="230"/>
        </w:trPr>
        <w:tc>
          <w:tcPr>
            <w:tcW w:w="36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8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60" w:type="dxa"/>
            <w:vAlign w:val="bottom"/>
            <w:shd w:val="clear" w:color="auto" w:fill="D5EEEE"/>
          </w:tcPr>
          <w:p>
            <w:pPr>
              <w:spacing w:after="0"/>
              <w:rPr>
                <w:sz w:val="20"/>
                <w:szCs w:val="20"/>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41,991</w:t>
            </w:r>
          </w:p>
        </w:tc>
        <w:tc>
          <w:tcPr>
            <w:tcW w:w="30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9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26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340" w:type="dxa"/>
            <w:vAlign w:val="bottom"/>
            <w:gridSpan w:val="3"/>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4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42,005</w:t>
            </w:r>
          </w:p>
        </w:tc>
        <w:tc>
          <w:tcPr>
            <w:tcW w:w="60" w:type="dxa"/>
            <w:vAlign w:val="bottom"/>
            <w:shd w:val="clear" w:color="auto" w:fill="D5EEEE"/>
          </w:tcPr>
          <w:p>
            <w:pPr>
              <w:spacing w:after="0"/>
              <w:rPr>
                <w:sz w:val="20"/>
                <w:szCs w:val="20"/>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Asset backed securities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13,558</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13,575</w:t>
            </w:r>
          </w:p>
        </w:tc>
        <w:tc>
          <w:tcPr>
            <w:tcW w:w="60" w:type="dxa"/>
            <w:vAlign w:val="bottom"/>
          </w:tcPr>
          <w:p>
            <w:pPr>
              <w:spacing w:after="0"/>
              <w:rPr>
                <w:sz w:val="20"/>
                <w:szCs w:val="20"/>
                <w:color w:val="auto"/>
              </w:rPr>
            </w:pPr>
          </w:p>
        </w:tc>
      </w:tr>
      <w:tr>
        <w:trPr>
          <w:trHeight w:val="230"/>
        </w:trPr>
        <w:tc>
          <w:tcPr>
            <w:tcW w:w="36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18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60" w:type="dxa"/>
            <w:vAlign w:val="bottom"/>
            <w:tcBorders>
              <w:bottom w:val="single" w:sz="8" w:color="auto"/>
            </w:tcBorders>
            <w:shd w:val="clear" w:color="auto" w:fill="D5EEEE"/>
          </w:tcPr>
          <w:p>
            <w:pPr>
              <w:spacing w:after="0"/>
              <w:rPr>
                <w:sz w:val="20"/>
                <w:szCs w:val="20"/>
                <w:color w:val="auto"/>
              </w:rPr>
            </w:pPr>
          </w:p>
        </w:tc>
        <w:tc>
          <w:tcPr>
            <w:tcW w:w="118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4,304</w:t>
            </w:r>
          </w:p>
        </w:tc>
        <w:tc>
          <w:tcPr>
            <w:tcW w:w="30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80" w:type="dxa"/>
            <w:vAlign w:val="bottom"/>
            <w:tcBorders>
              <w:bottom w:val="single" w:sz="8" w:color="auto"/>
            </w:tcBorders>
            <w:shd w:val="clear" w:color="auto" w:fill="D5EEEE"/>
          </w:tcPr>
          <w:p>
            <w:pPr>
              <w:spacing w:after="0"/>
              <w:rPr>
                <w:sz w:val="20"/>
                <w:szCs w:val="20"/>
                <w:color w:val="auto"/>
              </w:rPr>
            </w:pPr>
          </w:p>
        </w:tc>
        <w:tc>
          <w:tcPr>
            <w:tcW w:w="9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20" w:type="dxa"/>
            <w:vAlign w:val="bottom"/>
            <w:shd w:val="clear" w:color="auto" w:fill="D5EEEE"/>
          </w:tcPr>
          <w:p>
            <w:pPr>
              <w:spacing w:after="0"/>
              <w:rPr>
                <w:sz w:val="20"/>
                <w:szCs w:val="20"/>
                <w:color w:val="auto"/>
              </w:rPr>
            </w:pPr>
          </w:p>
        </w:tc>
        <w:tc>
          <w:tcPr>
            <w:tcW w:w="260" w:type="dxa"/>
            <w:vAlign w:val="bottom"/>
            <w:shd w:val="clear" w:color="auto" w:fill="D5EEEE"/>
          </w:tcPr>
          <w:p>
            <w:pPr>
              <w:spacing w:after="0"/>
              <w:rPr>
                <w:sz w:val="20"/>
                <w:szCs w:val="20"/>
                <w:color w:val="auto"/>
              </w:rPr>
            </w:pPr>
          </w:p>
        </w:tc>
        <w:tc>
          <w:tcPr>
            <w:tcW w:w="20" w:type="dxa"/>
            <w:vAlign w:val="bottom"/>
            <w:tcBorders>
              <w:bottom w:val="single" w:sz="8" w:color="auto"/>
            </w:tcBorders>
            <w:shd w:val="clear" w:color="auto" w:fill="D5EEEE"/>
          </w:tcPr>
          <w:p>
            <w:pPr>
              <w:spacing w:after="0"/>
              <w:rPr>
                <w:sz w:val="20"/>
                <w:szCs w:val="20"/>
                <w:color w:val="auto"/>
              </w:rPr>
            </w:pPr>
          </w:p>
        </w:tc>
        <w:tc>
          <w:tcPr>
            <w:tcW w:w="100" w:type="dxa"/>
            <w:vAlign w:val="bottom"/>
            <w:tcBorders>
              <w:bottom w:val="single" w:sz="8" w:color="auto"/>
            </w:tcBorders>
            <w:shd w:val="clear" w:color="auto" w:fill="D5EEEE"/>
          </w:tcPr>
          <w:p>
            <w:pPr>
              <w:spacing w:after="0"/>
              <w:rPr>
                <w:sz w:val="20"/>
                <w:szCs w:val="20"/>
                <w:color w:val="auto"/>
              </w:rPr>
            </w:pPr>
          </w:p>
        </w:tc>
        <w:tc>
          <w:tcPr>
            <w:tcW w:w="1080" w:type="dxa"/>
            <w:vAlign w:val="bottom"/>
            <w:tcBorders>
              <w:bottom w:val="single" w:sz="8" w:color="auto"/>
            </w:tcBorders>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00" w:type="dxa"/>
            <w:vAlign w:val="bottom"/>
            <w:tcBorders>
              <w:bottom w:val="single" w:sz="8" w:color="auto"/>
            </w:tcBorders>
            <w:shd w:val="clear" w:color="auto" w:fill="D5EEEE"/>
          </w:tcPr>
          <w:p>
            <w:pPr>
              <w:spacing w:after="0"/>
              <w:rPr>
                <w:sz w:val="20"/>
                <w:szCs w:val="20"/>
                <w:color w:val="auto"/>
              </w:rPr>
            </w:pPr>
          </w:p>
        </w:tc>
        <w:tc>
          <w:tcPr>
            <w:tcW w:w="14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4,311</w:t>
            </w:r>
          </w:p>
        </w:tc>
        <w:tc>
          <w:tcPr>
            <w:tcW w:w="60" w:type="dxa"/>
            <w:vAlign w:val="bottom"/>
            <w:shd w:val="clear" w:color="auto" w:fill="D5EEEE"/>
          </w:tcPr>
          <w:p>
            <w:pPr>
              <w:spacing w:after="0"/>
              <w:rPr>
                <w:sz w:val="20"/>
                <w:szCs w:val="20"/>
                <w:color w:val="auto"/>
              </w:rPr>
            </w:pPr>
          </w:p>
        </w:tc>
      </w:tr>
      <w:tr>
        <w:trPr>
          <w:trHeight w:val="225"/>
        </w:trPr>
        <w:tc>
          <w:tcPr>
            <w:tcW w:w="3660" w:type="dxa"/>
            <w:vAlign w:val="bottom"/>
          </w:tcPr>
          <w:p>
            <w:pPr>
              <w:ind w:left="100"/>
              <w:spacing w:after="0" w:line="225" w:lineRule="exact"/>
              <w:rPr>
                <w:sz w:val="20"/>
                <w:szCs w:val="20"/>
                <w:color w:val="auto"/>
              </w:rPr>
            </w:pPr>
            <w:r>
              <w:rPr>
                <w:rFonts w:ascii="Times New Roman" w:cs="Times New Roman" w:eastAsia="Times New Roman" w:hAnsi="Times New Roman"/>
                <w:sz w:val="20"/>
                <w:szCs w:val="20"/>
                <w:color w:val="auto"/>
              </w:rPr>
              <w:t>Total marketable securities</w:t>
            </w:r>
          </w:p>
        </w:tc>
        <w:tc>
          <w:tcPr>
            <w:tcW w:w="200" w:type="dxa"/>
            <w:vAlign w:val="bottom"/>
            <w:gridSpan w:val="2"/>
          </w:tcPr>
          <w:p>
            <w:pPr>
              <w:spacing w:after="0"/>
              <w:rPr>
                <w:sz w:val="19"/>
                <w:szCs w:val="19"/>
                <w:color w:val="auto"/>
              </w:rPr>
            </w:pPr>
          </w:p>
        </w:tc>
        <w:tc>
          <w:tcPr>
            <w:tcW w:w="16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169,198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155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gridSpan w:val="2"/>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3"/>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169,346</w:t>
            </w:r>
          </w:p>
        </w:tc>
        <w:tc>
          <w:tcPr>
            <w:tcW w:w="6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5"/>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8"/>
          </w:tcPr>
          <w:p>
            <w:pPr>
              <w:jc w:val="right"/>
              <w:ind w:right="680"/>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9"/>
              </w:rPr>
              <w:t>Gross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Amortized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Unrealized</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Unrealized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Estimated Fair</w:t>
            </w:r>
          </w:p>
        </w:tc>
        <w:tc>
          <w:tcPr>
            <w:tcW w:w="60" w:type="dxa"/>
            <w:vAlign w:val="bottom"/>
          </w:tcPr>
          <w:p>
            <w:pPr>
              <w:spacing w:after="0"/>
              <w:rPr>
                <w:sz w:val="20"/>
                <w:szCs w:val="20"/>
                <w:color w:val="auto"/>
              </w:rPr>
            </w:pPr>
          </w:p>
        </w:tc>
      </w:tr>
      <w:tr>
        <w:trPr>
          <w:trHeight w:val="253"/>
        </w:trPr>
        <w:tc>
          <w:tcPr>
            <w:tcW w:w="3660" w:type="dxa"/>
            <w:vAlign w:val="bottom"/>
          </w:tcPr>
          <w:p>
            <w:pPr>
              <w:ind w:left="1100"/>
              <w:spacing w:after="0"/>
              <w:rPr>
                <w:sz w:val="20"/>
                <w:szCs w:val="20"/>
                <w:color w:val="auto"/>
              </w:rPr>
            </w:pPr>
            <w:r>
              <w:rPr>
                <w:rFonts w:ascii="Times New Roman" w:cs="Times New Roman" w:eastAsia="Times New Roman" w:hAnsi="Times New Roman"/>
                <w:sz w:val="20"/>
                <w:szCs w:val="20"/>
                <w:b w:val="1"/>
                <w:bCs w:val="1"/>
                <w:color w:val="auto"/>
              </w:rPr>
              <w:t>Type of Security</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Cost</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9"/>
              </w:rPr>
              <w:t>Gains</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3"/>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7"/>
              </w:rPr>
              <w:t>Losses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w w:val="99"/>
              </w:rPr>
              <w:t>Value</w:t>
            </w:r>
          </w:p>
        </w:tc>
        <w:tc>
          <w:tcPr>
            <w:tcW w:w="60" w:type="dxa"/>
            <w:vAlign w:val="bottom"/>
          </w:tcPr>
          <w:p>
            <w:pPr>
              <w:spacing w:after="0"/>
              <w:rPr>
                <w:sz w:val="22"/>
                <w:szCs w:val="22"/>
                <w:color w:val="auto"/>
              </w:rPr>
            </w:pPr>
          </w:p>
        </w:tc>
      </w:tr>
      <w:tr>
        <w:trPr>
          <w:trHeight w:val="239"/>
        </w:trPr>
        <w:tc>
          <w:tcPr>
            <w:tcW w:w="366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80" w:type="dxa"/>
            <w:vAlign w:val="bottom"/>
            <w:tcBorders>
              <w:top w:val="single" w:sz="8" w:color="D5EEEE"/>
            </w:tcBorders>
            <w:shd w:val="clear" w:color="auto" w:fill="D5EEEE"/>
          </w:tcPr>
          <w:p>
            <w:pPr>
              <w:spacing w:after="0"/>
              <w:rPr>
                <w:sz w:val="20"/>
                <w:szCs w:val="20"/>
                <w:color w:val="auto"/>
              </w:rPr>
            </w:pPr>
          </w:p>
        </w:tc>
        <w:tc>
          <w:tcPr>
            <w:tcW w:w="180" w:type="dxa"/>
            <w:vAlign w:val="bottom"/>
            <w:tcBorders>
              <w:top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22,838</w:t>
            </w:r>
          </w:p>
        </w:tc>
        <w:tc>
          <w:tcPr>
            <w:tcW w:w="300" w:type="dxa"/>
            <w:vAlign w:val="bottom"/>
            <w:tcBorders>
              <w:top w:val="single" w:sz="8" w:color="D5EEEE"/>
            </w:tcBorders>
            <w:shd w:val="clear" w:color="auto" w:fill="D5EEEE"/>
          </w:tcPr>
          <w:p>
            <w:pPr>
              <w:spacing w:after="0"/>
              <w:rPr>
                <w:sz w:val="20"/>
                <w:szCs w:val="20"/>
                <w:color w:val="auto"/>
              </w:rPr>
            </w:pPr>
          </w:p>
        </w:tc>
        <w:tc>
          <w:tcPr>
            <w:tcW w:w="200" w:type="dxa"/>
            <w:vAlign w:val="bottom"/>
            <w:tcBorders>
              <w:top w:val="single" w:sz="8" w:color="auto"/>
            </w:tcBorders>
            <w:gridSpan w:val="2"/>
            <w:shd w:val="clear" w:color="auto" w:fill="D5EEEE"/>
          </w:tcPr>
          <w:p>
            <w:pPr>
              <w:jc w:val="right"/>
              <w:ind w:right="8"/>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25</w:t>
            </w:r>
          </w:p>
        </w:tc>
        <w:tc>
          <w:tcPr>
            <w:tcW w:w="260" w:type="dxa"/>
            <w:vAlign w:val="bottom"/>
            <w:tcBorders>
              <w:top w:val="single" w:sz="8" w:color="D5EEEE"/>
            </w:tcBorders>
            <w:shd w:val="clear" w:color="auto" w:fill="D5EEEE"/>
          </w:tcPr>
          <w:p>
            <w:pPr>
              <w:spacing w:after="0"/>
              <w:rPr>
                <w:sz w:val="20"/>
                <w:szCs w:val="20"/>
                <w:color w:val="auto"/>
              </w:rPr>
            </w:pPr>
          </w:p>
        </w:tc>
        <w:tc>
          <w:tcPr>
            <w:tcW w:w="2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Borders>
              <w:top w:val="single" w:sz="8" w:color="D5EEEE"/>
            </w:tcBorders>
            <w:shd w:val="clear" w:color="auto" w:fill="D5EEEE"/>
          </w:tcPr>
          <w:p>
            <w:pPr>
              <w:spacing w:after="0"/>
              <w:rPr>
                <w:sz w:val="20"/>
                <w:szCs w:val="20"/>
                <w:color w:val="auto"/>
              </w:rPr>
            </w:pPr>
          </w:p>
        </w:tc>
        <w:tc>
          <w:tcPr>
            <w:tcW w:w="26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22,851</w:t>
            </w:r>
          </w:p>
        </w:tc>
        <w:tc>
          <w:tcPr>
            <w:tcW w:w="60" w:type="dxa"/>
            <w:vAlign w:val="bottom"/>
            <w:tcBorders>
              <w:top w:val="single" w:sz="8" w:color="D5EEEE"/>
            </w:tcBorders>
            <w:shd w:val="clear" w:color="auto" w:fill="D5EEEE"/>
          </w:tcPr>
          <w:p>
            <w:pPr>
              <w:spacing w:after="0"/>
              <w:rPr>
                <w:sz w:val="20"/>
                <w:szCs w:val="20"/>
                <w:color w:val="auto"/>
              </w:rPr>
            </w:pPr>
          </w:p>
        </w:tc>
      </w:tr>
      <w:tr>
        <w:trPr>
          <w:trHeight w:val="244"/>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18,921</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18,941</w:t>
            </w:r>
          </w:p>
        </w:tc>
        <w:tc>
          <w:tcPr>
            <w:tcW w:w="60" w:type="dxa"/>
            <w:vAlign w:val="bottom"/>
          </w:tcPr>
          <w:p>
            <w:pPr>
              <w:spacing w:after="0"/>
              <w:rPr>
                <w:sz w:val="21"/>
                <w:szCs w:val="21"/>
                <w:color w:val="auto"/>
              </w:rPr>
            </w:pPr>
          </w:p>
        </w:tc>
      </w:tr>
      <w:tr>
        <w:trPr>
          <w:trHeight w:val="244"/>
        </w:trPr>
        <w:tc>
          <w:tcPr>
            <w:tcW w:w="36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18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12,999</w:t>
            </w:r>
          </w:p>
        </w:tc>
        <w:tc>
          <w:tcPr>
            <w:tcW w:w="30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9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26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340" w:type="dxa"/>
            <w:vAlign w:val="bottom"/>
            <w:gridSpan w:val="3"/>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4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13,000</w:t>
            </w:r>
          </w:p>
        </w:tc>
        <w:tc>
          <w:tcPr>
            <w:tcW w:w="60" w:type="dxa"/>
            <w:vAlign w:val="bottom"/>
            <w:shd w:val="clear" w:color="auto" w:fill="D5EEEE"/>
          </w:tcPr>
          <w:p>
            <w:pPr>
              <w:spacing w:after="0"/>
              <w:rPr>
                <w:sz w:val="21"/>
                <w:szCs w:val="21"/>
                <w:color w:val="auto"/>
              </w:rPr>
            </w:pPr>
          </w:p>
        </w:tc>
      </w:tr>
      <w:tr>
        <w:trPr>
          <w:trHeight w:val="244"/>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11,402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11,423</w:t>
            </w:r>
          </w:p>
        </w:tc>
        <w:tc>
          <w:tcPr>
            <w:tcW w:w="60" w:type="dxa"/>
            <w:vAlign w:val="bottom"/>
          </w:tcPr>
          <w:p>
            <w:pPr>
              <w:spacing w:after="0"/>
              <w:rPr>
                <w:sz w:val="21"/>
                <w:szCs w:val="21"/>
                <w:color w:val="auto"/>
              </w:rPr>
            </w:pPr>
          </w:p>
        </w:tc>
      </w:tr>
      <w:tr>
        <w:trPr>
          <w:trHeight w:val="264"/>
        </w:trPr>
        <w:tc>
          <w:tcPr>
            <w:tcW w:w="36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Asset backed securities</w:t>
            </w:r>
          </w:p>
        </w:tc>
        <w:tc>
          <w:tcPr>
            <w:tcW w:w="180" w:type="dxa"/>
            <w:vAlign w:val="bottom"/>
            <w:shd w:val="clear" w:color="auto" w:fill="D5EEEE"/>
          </w:tcPr>
          <w:p>
            <w:pPr>
              <w:spacing w:after="0"/>
              <w:rPr>
                <w:sz w:val="22"/>
                <w:szCs w:val="22"/>
                <w:color w:val="auto"/>
              </w:rPr>
            </w:pPr>
          </w:p>
        </w:tc>
        <w:tc>
          <w:tcPr>
            <w:tcW w:w="20" w:type="dxa"/>
            <w:vAlign w:val="bottom"/>
            <w:shd w:val="clear" w:color="auto" w:fill="D5EEEE"/>
          </w:tcPr>
          <w:p>
            <w:pPr>
              <w:spacing w:after="0"/>
              <w:rPr>
                <w:sz w:val="22"/>
                <w:szCs w:val="22"/>
                <w:color w:val="auto"/>
              </w:rPr>
            </w:pPr>
          </w:p>
        </w:tc>
        <w:tc>
          <w:tcPr>
            <w:tcW w:w="160" w:type="dxa"/>
            <w:vAlign w:val="bottom"/>
            <w:shd w:val="clear" w:color="auto" w:fill="D5EEEE"/>
          </w:tcPr>
          <w:p>
            <w:pPr>
              <w:spacing w:after="0"/>
              <w:rPr>
                <w:sz w:val="22"/>
                <w:szCs w:val="22"/>
                <w:color w:val="auto"/>
              </w:rPr>
            </w:pPr>
          </w:p>
        </w:tc>
        <w:tc>
          <w:tcPr>
            <w:tcW w:w="11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7,304</w:t>
            </w:r>
          </w:p>
        </w:tc>
        <w:tc>
          <w:tcPr>
            <w:tcW w:w="300" w:type="dxa"/>
            <w:vAlign w:val="bottom"/>
            <w:shd w:val="clear" w:color="auto" w:fill="D5EEEE"/>
          </w:tcPr>
          <w:p>
            <w:pPr>
              <w:spacing w:after="0"/>
              <w:rPr>
                <w:sz w:val="22"/>
                <w:szCs w:val="22"/>
                <w:color w:val="auto"/>
              </w:rPr>
            </w:pPr>
          </w:p>
        </w:tc>
        <w:tc>
          <w:tcPr>
            <w:tcW w:w="20" w:type="dxa"/>
            <w:vAlign w:val="bottom"/>
            <w:shd w:val="clear" w:color="auto" w:fill="D5EEEE"/>
          </w:tcPr>
          <w:p>
            <w:pPr>
              <w:spacing w:after="0"/>
              <w:rPr>
                <w:sz w:val="22"/>
                <w:szCs w:val="22"/>
                <w:color w:val="auto"/>
              </w:rPr>
            </w:pPr>
          </w:p>
        </w:tc>
        <w:tc>
          <w:tcPr>
            <w:tcW w:w="180" w:type="dxa"/>
            <w:vAlign w:val="bottom"/>
            <w:shd w:val="clear" w:color="auto" w:fill="D5EEEE"/>
          </w:tcPr>
          <w:p>
            <w:pPr>
              <w:spacing w:after="0"/>
              <w:rPr>
                <w:sz w:val="22"/>
                <w:szCs w:val="22"/>
                <w:color w:val="auto"/>
              </w:rPr>
            </w:pPr>
          </w:p>
        </w:tc>
        <w:tc>
          <w:tcPr>
            <w:tcW w:w="9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6</w:t>
            </w:r>
          </w:p>
        </w:tc>
        <w:tc>
          <w:tcPr>
            <w:tcW w:w="260" w:type="dxa"/>
            <w:vAlign w:val="bottom"/>
            <w:shd w:val="clear" w:color="auto" w:fill="D5EEEE"/>
          </w:tcPr>
          <w:p>
            <w:pPr>
              <w:spacing w:after="0"/>
              <w:rPr>
                <w:sz w:val="22"/>
                <w:szCs w:val="22"/>
                <w:color w:val="auto"/>
              </w:rPr>
            </w:pPr>
          </w:p>
        </w:tc>
        <w:tc>
          <w:tcPr>
            <w:tcW w:w="20" w:type="dxa"/>
            <w:vAlign w:val="bottom"/>
            <w:shd w:val="clear" w:color="auto" w:fill="D5EEEE"/>
          </w:tcPr>
          <w:p>
            <w:pPr>
              <w:spacing w:after="0"/>
              <w:rPr>
                <w:sz w:val="22"/>
                <w:szCs w:val="22"/>
                <w:color w:val="auto"/>
              </w:rPr>
            </w:pPr>
          </w:p>
        </w:tc>
        <w:tc>
          <w:tcPr>
            <w:tcW w:w="100" w:type="dxa"/>
            <w:vAlign w:val="bottom"/>
            <w:shd w:val="clear" w:color="auto" w:fill="D5EEEE"/>
          </w:tcPr>
          <w:p>
            <w:pPr>
              <w:spacing w:after="0"/>
              <w:rPr>
                <w:sz w:val="22"/>
                <w:szCs w:val="22"/>
                <w:color w:val="auto"/>
              </w:rPr>
            </w:pPr>
          </w:p>
        </w:tc>
        <w:tc>
          <w:tcPr>
            <w:tcW w:w="1340" w:type="dxa"/>
            <w:vAlign w:val="bottom"/>
            <w:gridSpan w:val="3"/>
            <w:shd w:val="clear" w:color="auto" w:fill="D5EEEE"/>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5EEEE"/>
          </w:tcPr>
          <w:p>
            <w:pPr>
              <w:spacing w:after="0"/>
              <w:rPr>
                <w:sz w:val="22"/>
                <w:szCs w:val="22"/>
                <w:color w:val="auto"/>
              </w:rPr>
            </w:pPr>
          </w:p>
        </w:tc>
        <w:tc>
          <w:tcPr>
            <w:tcW w:w="100" w:type="dxa"/>
            <w:vAlign w:val="bottom"/>
            <w:shd w:val="clear" w:color="auto" w:fill="D5EEEE"/>
          </w:tcPr>
          <w:p>
            <w:pPr>
              <w:spacing w:after="0"/>
              <w:rPr>
                <w:sz w:val="22"/>
                <w:szCs w:val="22"/>
                <w:color w:val="auto"/>
              </w:rPr>
            </w:pPr>
          </w:p>
        </w:tc>
        <w:tc>
          <w:tcPr>
            <w:tcW w:w="14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7,310</w:t>
            </w:r>
          </w:p>
        </w:tc>
        <w:tc>
          <w:tcPr>
            <w:tcW w:w="60" w:type="dxa"/>
            <w:vAlign w:val="bottom"/>
            <w:shd w:val="clear" w:color="auto" w:fill="D5EEEE"/>
          </w:tcPr>
          <w:p>
            <w:pPr>
              <w:spacing w:after="0"/>
              <w:rPr>
                <w:sz w:val="22"/>
                <w:szCs w:val="22"/>
                <w:color w:val="auto"/>
              </w:rPr>
            </w:pPr>
          </w:p>
        </w:tc>
      </w:tr>
      <w:tr>
        <w:trPr>
          <w:trHeight w:val="219"/>
        </w:trPr>
        <w:tc>
          <w:tcPr>
            <w:tcW w:w="3660" w:type="dxa"/>
            <w:vAlign w:val="bottom"/>
            <w:tcBorders>
              <w:top w:val="single" w:sz="8" w:color="D5EEEE"/>
            </w:tcBorders>
          </w:tcPr>
          <w:p>
            <w:pPr>
              <w:ind w:left="100"/>
              <w:spacing w:after="0" w:line="219" w:lineRule="exact"/>
              <w:rPr>
                <w:sz w:val="20"/>
                <w:szCs w:val="20"/>
                <w:color w:val="auto"/>
              </w:rPr>
            </w:pPr>
            <w:r>
              <w:rPr>
                <w:rFonts w:ascii="Times New Roman" w:cs="Times New Roman" w:eastAsia="Times New Roman" w:hAnsi="Times New Roman"/>
                <w:sz w:val="20"/>
                <w:szCs w:val="20"/>
                <w:color w:val="auto"/>
              </w:rPr>
              <w:t>Total marketable securities</w:t>
            </w:r>
          </w:p>
        </w:tc>
        <w:tc>
          <w:tcPr>
            <w:tcW w:w="180" w:type="dxa"/>
            <w:vAlign w:val="bottom"/>
            <w:tcBorders>
              <w:top w:val="single" w:sz="8" w:color="D5EEEE"/>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73,464</w:t>
            </w:r>
          </w:p>
        </w:tc>
        <w:tc>
          <w:tcPr>
            <w:tcW w:w="300" w:type="dxa"/>
            <w:vAlign w:val="bottom"/>
            <w:tcBorders>
              <w:top w:val="single" w:sz="8" w:color="D5EEEE"/>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8"/>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gridSpan w:val="2"/>
          </w:tcPr>
          <w:p>
            <w:pPr>
              <w:jc w:val="right"/>
              <w:ind w:right="20"/>
              <w:spacing w:after="0" w:line="219" w:lineRule="exact"/>
              <w:rPr>
                <w:sz w:val="20"/>
                <w:szCs w:val="20"/>
                <w:color w:val="auto"/>
              </w:rPr>
            </w:pPr>
            <w:r>
              <w:rPr>
                <w:rFonts w:ascii="Times New Roman" w:cs="Times New Roman" w:eastAsia="Times New Roman" w:hAnsi="Times New Roman"/>
                <w:sz w:val="20"/>
                <w:szCs w:val="20"/>
                <w:color w:val="auto"/>
              </w:rPr>
              <w:t>75</w:t>
            </w:r>
          </w:p>
        </w:tc>
        <w:tc>
          <w:tcPr>
            <w:tcW w:w="280" w:type="dxa"/>
            <w:vAlign w:val="bottom"/>
            <w:tcBorders>
              <w:top w:val="single" w:sz="8" w:color="D5EEEE"/>
            </w:tcBorders>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(14)</w:t>
            </w:r>
          </w:p>
        </w:tc>
        <w:tc>
          <w:tcPr>
            <w:tcW w:w="280" w:type="dxa"/>
            <w:vAlign w:val="bottom"/>
            <w:tcBorders>
              <w:top w:val="single" w:sz="8" w:color="D5EEEE"/>
            </w:tcBorders>
            <w:gridSpan w:val="2"/>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73,525</w:t>
            </w:r>
          </w:p>
        </w:tc>
        <w:tc>
          <w:tcPr>
            <w:tcW w:w="60" w:type="dxa"/>
            <w:vAlign w:val="bottom"/>
            <w:tcBorders>
              <w:top w:val="single" w:sz="8" w:color="D5EEEE"/>
            </w:tcBorders>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-3119755</wp:posOffset>
            </wp:positionV>
            <wp:extent cx="384937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extLst>
                    </a:blip>
                    <a:srcRect/>
                    <a:stretch>
                      <a:fillRect/>
                    </a:stretch>
                  </pic:blipFill>
                  <pic:spPr bwMode="auto">
                    <a:xfrm>
                      <a:off x="0" y="0"/>
                      <a:ext cx="3849370" cy="38100"/>
                    </a:xfrm>
                    <a:prstGeom prst="rect">
                      <a:avLst/>
                    </a:prstGeom>
                    <a:noFill/>
                  </pic:spPr>
                </pic:pic>
              </a:graphicData>
            </a:graphic>
          </wp:anchor>
        </w:drawing>
        <w:drawing>
          <wp:anchor simplePos="0" relativeHeight="251657728" behindDoc="1" locked="0" layoutInCell="0" allowOverlap="1">
            <wp:simplePos x="0" y="0"/>
            <wp:positionH relativeFrom="column">
              <wp:posOffset>2427605</wp:posOffset>
            </wp:positionH>
            <wp:positionV relativeFrom="paragraph">
              <wp:posOffset>-1447165</wp:posOffset>
            </wp:positionV>
            <wp:extent cx="38608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3">
                      <a:extLst>
                        <a:ext uri="{28A0092B-C50C-407E-A947-70E740481C1C}"/>
                      </a:extLst>
                    </a:blip>
                    <a:srcRect/>
                    <a:stretch>
                      <a:fillRect/>
                    </a:stretch>
                  </pic:blipFill>
                  <pic:spPr bwMode="auto">
                    <a:xfrm>
                      <a:off x="0" y="0"/>
                      <a:ext cx="3860800" cy="38100"/>
                    </a:xfrm>
                    <a:prstGeom prst="rect">
                      <a:avLst/>
                    </a:prstGeom>
                    <a:noFill/>
                  </pic:spPr>
                </pic:pic>
              </a:graphicData>
            </a:graphic>
          </wp:anchor>
        </w:drawing>
      </w:r>
    </w:p>
    <w:p>
      <w:pPr>
        <w:spacing w:after="0" w:line="149" w:lineRule="exact"/>
        <w:rPr>
          <w:sz w:val="20"/>
          <w:szCs w:val="20"/>
          <w:color w:val="auto"/>
        </w:rPr>
      </w:pPr>
    </w:p>
    <w:p>
      <w:pPr>
        <w:ind w:left="8" w:right="180" w:firstLine="490"/>
        <w:spacing w:after="0" w:line="236" w:lineRule="auto"/>
        <w:rPr>
          <w:sz w:val="20"/>
          <w:szCs w:val="20"/>
          <w:color w:val="auto"/>
        </w:rPr>
      </w:pPr>
      <w:r>
        <w:rPr>
          <w:rFonts w:ascii="Times New Roman" w:cs="Times New Roman" w:eastAsia="Times New Roman" w:hAnsi="Times New Roman"/>
          <w:sz w:val="20"/>
          <w:szCs w:val="20"/>
          <w:color w:val="auto"/>
        </w:rPr>
        <w:t>The net amortized cost and fair value of available-for-sale marketable securities are presented in the following table as of the periods presented by contractual maturity. Actual maturities may differ from contractual maturities because securities may be restructured, called or prepaid, or the Company may intend to sell a security prior to maturity.</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253"/>
        </w:trPr>
        <w:tc>
          <w:tcPr>
            <w:tcW w:w="47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6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Due to mature:</w:t>
            </w: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420"/>
              <w:spacing w:after="0" w:line="225" w:lineRule="exact"/>
              <w:rPr>
                <w:sz w:val="20"/>
                <w:szCs w:val="20"/>
                <w:color w:val="auto"/>
              </w:rPr>
            </w:pPr>
            <w:r>
              <w:rPr>
                <w:rFonts w:ascii="Times New Roman" w:cs="Times New Roman" w:eastAsia="Times New Roman" w:hAnsi="Times New Roman"/>
                <w:sz w:val="20"/>
                <w:szCs w:val="20"/>
                <w:b w:val="1"/>
                <w:bCs w:val="1"/>
                <w:color w:val="auto"/>
              </w:rPr>
              <w:t>Amortized Cost</w:t>
            </w:r>
          </w:p>
        </w:tc>
        <w:tc>
          <w:tcPr>
            <w:tcW w:w="3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80"/>
              <w:spacing w:after="0" w:line="225" w:lineRule="exact"/>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Less than one year</w:t>
            </w:r>
          </w:p>
        </w:tc>
        <w:tc>
          <w:tcPr>
            <w:tcW w:w="32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2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110,769</w:t>
            </w:r>
          </w:p>
        </w:tc>
        <w:tc>
          <w:tcPr>
            <w:tcW w:w="1020" w:type="dxa"/>
            <w:vAlign w:val="bottom"/>
            <w:gridSpan w:val="2"/>
            <w:shd w:val="clear" w:color="auto" w:fill="D5EEEE"/>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110,863</w:t>
            </w:r>
          </w:p>
        </w:tc>
        <w:tc>
          <w:tcPr>
            <w:tcW w:w="6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D5EEEE"/>
            </w:tcBorders>
          </w:tcPr>
          <w:p>
            <w:pPr>
              <w:ind w:left="100"/>
              <w:spacing w:after="0"/>
              <w:rPr>
                <w:sz w:val="20"/>
                <w:szCs w:val="20"/>
                <w:color w:val="auto"/>
              </w:rPr>
            </w:pPr>
            <w:r>
              <w:rPr>
                <w:rFonts w:ascii="Times New Roman" w:cs="Times New Roman" w:eastAsia="Times New Roman" w:hAnsi="Times New Roman"/>
                <w:sz w:val="20"/>
                <w:szCs w:val="20"/>
                <w:color w:val="auto"/>
              </w:rPr>
              <w:t>One year through three years</w:t>
            </w: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58,429</w:t>
            </w:r>
          </w:p>
        </w:tc>
        <w:tc>
          <w:tcPr>
            <w:tcW w:w="380" w:type="dxa"/>
            <w:vAlign w:val="bottom"/>
            <w:tcBorders>
              <w:bottom w:val="single" w:sz="8" w:color="D5EEEE"/>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58,483</w:t>
            </w:r>
          </w:p>
        </w:tc>
        <w:tc>
          <w:tcPr>
            <w:tcW w:w="6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80" w:type="dxa"/>
            <w:vAlign w:val="bottom"/>
            <w:tcBorders>
              <w:bottom w:val="single" w:sz="8" w:color="D5EEEE"/>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320" w:type="dxa"/>
            <w:vAlign w:val="bottom"/>
            <w:tcBorders>
              <w:bottom w:val="single" w:sz="8" w:color="auto"/>
            </w:tcBorders>
            <w:shd w:val="clear" w:color="auto" w:fill="D5EEEE"/>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208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169,198</w:t>
            </w:r>
          </w:p>
        </w:tc>
        <w:tc>
          <w:tcPr>
            <w:tcW w:w="380" w:type="dxa"/>
            <w:vAlign w:val="bottom"/>
            <w:tcBorders>
              <w:bottom w:val="single" w:sz="8" w:color="D5EEEE"/>
            </w:tcBorders>
            <w:shd w:val="clear" w:color="auto" w:fill="D5EEEE"/>
          </w:tcPr>
          <w:p>
            <w:pPr>
              <w:spacing w:after="0"/>
              <w:rPr>
                <w:sz w:val="21"/>
                <w:szCs w:val="21"/>
                <w:color w:val="auto"/>
              </w:rPr>
            </w:pPr>
          </w:p>
        </w:tc>
        <w:tc>
          <w:tcPr>
            <w:tcW w:w="640" w:type="dxa"/>
            <w:vAlign w:val="bottom"/>
            <w:tcBorders>
              <w:bottom w:val="single" w:sz="8" w:color="auto"/>
            </w:tcBorders>
            <w:shd w:val="clear" w:color="auto" w:fill="D5EEEE"/>
          </w:tcPr>
          <w:p>
            <w:pPr>
              <w:jc w:val="right"/>
              <w:ind w:right="4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169,346</w:t>
            </w:r>
          </w:p>
        </w:tc>
        <w:tc>
          <w:tcPr>
            <w:tcW w:w="60" w:type="dxa"/>
            <w:vAlign w:val="bottom"/>
            <w:tcBorders>
              <w:bottom w:val="single" w:sz="8" w:color="D5EEEE"/>
            </w:tcBorders>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tbl>
      <w:tblPr>
        <w:tblLayout w:type="fixed"/>
        <w:tblInd w:w="8" w:type="dxa"/>
        <w:tblCellMar>
          <w:top w:w="0" w:type="dxa"/>
          <w:left w:w="0" w:type="dxa"/>
          <w:bottom w:w="0" w:type="dxa"/>
          <w:right w:w="0" w:type="dxa"/>
        </w:tblCellMar>
      </w:tblPr>
      <w:tr>
        <w:trPr>
          <w:trHeight w:val="253"/>
        </w:trPr>
        <w:tc>
          <w:tcPr>
            <w:tcW w:w="47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6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7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Due to mature:</w:t>
            </w: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420"/>
              <w:spacing w:after="0" w:line="225" w:lineRule="exact"/>
              <w:rPr>
                <w:sz w:val="20"/>
                <w:szCs w:val="20"/>
                <w:color w:val="auto"/>
              </w:rPr>
            </w:pPr>
            <w:r>
              <w:rPr>
                <w:rFonts w:ascii="Times New Roman" w:cs="Times New Roman" w:eastAsia="Times New Roman" w:hAnsi="Times New Roman"/>
                <w:sz w:val="20"/>
                <w:szCs w:val="20"/>
                <w:b w:val="1"/>
                <w:bCs w:val="1"/>
                <w:color w:val="auto"/>
              </w:rPr>
              <w:t>Amortized Cost</w:t>
            </w:r>
          </w:p>
        </w:tc>
        <w:tc>
          <w:tcPr>
            <w:tcW w:w="3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80"/>
              <w:spacing w:after="0" w:line="225" w:lineRule="exact"/>
              <w:rPr>
                <w:sz w:val="20"/>
                <w:szCs w:val="20"/>
                <w:color w:val="auto"/>
              </w:rPr>
            </w:pPr>
            <w:r>
              <w:rPr>
                <w:rFonts w:ascii="Times New Roman" w:cs="Times New Roman" w:eastAsia="Times New Roman" w:hAnsi="Times New Roman"/>
                <w:sz w:val="20"/>
                <w:szCs w:val="20"/>
                <w:b w:val="1"/>
                <w:bCs w:val="1"/>
                <w:color w:val="auto"/>
              </w:rPr>
              <w:t>Fair Value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Less than one year</w:t>
            </w:r>
          </w:p>
        </w:tc>
        <w:tc>
          <w:tcPr>
            <w:tcW w:w="320" w:type="dxa"/>
            <w:vAlign w:val="bottom"/>
            <w:shd w:val="clear" w:color="auto" w:fill="D5EEEE"/>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20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55,323</w:t>
            </w:r>
          </w:p>
        </w:tc>
        <w:tc>
          <w:tcPr>
            <w:tcW w:w="1020" w:type="dxa"/>
            <w:vAlign w:val="bottom"/>
            <w:gridSpan w:val="2"/>
            <w:shd w:val="clear" w:color="auto" w:fill="D5EEEE"/>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16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55,386</w:t>
            </w:r>
          </w:p>
        </w:tc>
        <w:tc>
          <w:tcPr>
            <w:tcW w:w="6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D5EEEE"/>
            </w:tcBorders>
          </w:tcPr>
          <w:p>
            <w:pPr>
              <w:ind w:left="100"/>
              <w:spacing w:after="0"/>
              <w:rPr>
                <w:sz w:val="20"/>
                <w:szCs w:val="20"/>
                <w:color w:val="auto"/>
              </w:rPr>
            </w:pPr>
            <w:r>
              <w:rPr>
                <w:rFonts w:ascii="Times New Roman" w:cs="Times New Roman" w:eastAsia="Times New Roman" w:hAnsi="Times New Roman"/>
                <w:sz w:val="20"/>
                <w:szCs w:val="20"/>
                <w:color w:val="auto"/>
              </w:rPr>
              <w:t>One year through two years</w:t>
            </w:r>
          </w:p>
        </w:tc>
        <w:tc>
          <w:tcPr>
            <w:tcW w:w="3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18,141</w:t>
            </w:r>
          </w:p>
        </w:tc>
        <w:tc>
          <w:tcPr>
            <w:tcW w:w="380" w:type="dxa"/>
            <w:vAlign w:val="bottom"/>
            <w:tcBorders>
              <w:bottom w:val="single" w:sz="8" w:color="D5EEEE"/>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18,139</w:t>
            </w:r>
          </w:p>
        </w:tc>
        <w:tc>
          <w:tcPr>
            <w:tcW w:w="60" w:type="dxa"/>
            <w:vAlign w:val="bottom"/>
            <w:tcBorders>
              <w:bottom w:val="single" w:sz="8" w:color="D5EEEE"/>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780" w:type="dxa"/>
            <w:vAlign w:val="bottom"/>
            <w:tcBorders>
              <w:bottom w:val="single" w:sz="8" w:color="D5EEEE"/>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Total</w:t>
            </w:r>
          </w:p>
        </w:tc>
        <w:tc>
          <w:tcPr>
            <w:tcW w:w="320" w:type="dxa"/>
            <w:vAlign w:val="bottom"/>
            <w:tcBorders>
              <w:bottom w:val="single" w:sz="8" w:color="auto"/>
            </w:tcBorders>
            <w:shd w:val="clear" w:color="auto" w:fill="D5EEEE"/>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208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73,464</w:t>
            </w:r>
          </w:p>
        </w:tc>
        <w:tc>
          <w:tcPr>
            <w:tcW w:w="380" w:type="dxa"/>
            <w:vAlign w:val="bottom"/>
            <w:tcBorders>
              <w:bottom w:val="single" w:sz="8" w:color="D5EEEE"/>
            </w:tcBorders>
            <w:shd w:val="clear" w:color="auto" w:fill="D5EEEE"/>
          </w:tcPr>
          <w:p>
            <w:pPr>
              <w:spacing w:after="0"/>
              <w:rPr>
                <w:sz w:val="21"/>
                <w:szCs w:val="21"/>
                <w:color w:val="auto"/>
              </w:rPr>
            </w:pPr>
          </w:p>
        </w:tc>
        <w:tc>
          <w:tcPr>
            <w:tcW w:w="640" w:type="dxa"/>
            <w:vAlign w:val="bottom"/>
            <w:tcBorders>
              <w:bottom w:val="single" w:sz="8" w:color="auto"/>
            </w:tcBorders>
            <w:shd w:val="clear" w:color="auto" w:fill="D5EEEE"/>
          </w:tcPr>
          <w:p>
            <w:pPr>
              <w:jc w:val="right"/>
              <w:ind w:right="4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66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73,525</w:t>
            </w:r>
          </w:p>
        </w:tc>
        <w:tc>
          <w:tcPr>
            <w:tcW w:w="60" w:type="dxa"/>
            <w:vAlign w:val="bottom"/>
            <w:tcBorders>
              <w:bottom w:val="single" w:sz="8" w:color="D5EEEE"/>
            </w:tcBorders>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0"/>
          <w:szCs w:val="20"/>
          <w:color w:val="auto"/>
        </w:rPr>
      </w:pPr>
    </w:p>
    <w:p>
      <w:pPr>
        <w:ind w:left="8" w:right="380" w:firstLine="490"/>
        <w:spacing w:after="0" w:line="253" w:lineRule="auto"/>
        <w:rPr>
          <w:sz w:val="20"/>
          <w:szCs w:val="20"/>
          <w:color w:val="auto"/>
        </w:rPr>
      </w:pPr>
      <w:r>
        <w:rPr>
          <w:rFonts w:ascii="Times New Roman" w:cs="Times New Roman" w:eastAsia="Times New Roman" w:hAnsi="Times New Roman"/>
          <w:sz w:val="20"/>
          <w:szCs w:val="20"/>
          <w:color w:val="auto"/>
        </w:rPr>
        <w:t>During the years ended December 31, 2025 and 2024, there were no realized gains or losses on available-for-sale marketable securities.</w:t>
      </w:r>
    </w:p>
    <w:p>
      <w:pPr>
        <w:spacing w:after="0" w:line="49" w:lineRule="exact"/>
        <w:rPr>
          <w:sz w:val="20"/>
          <w:szCs w:val="20"/>
          <w:color w:val="auto"/>
        </w:rPr>
      </w:pPr>
    </w:p>
    <w:p>
      <w:pPr>
        <w:ind w:left="8" w:right="40" w:firstLine="490"/>
        <w:spacing w:after="0" w:line="224" w:lineRule="auto"/>
        <w:rPr>
          <w:sz w:val="20"/>
          <w:szCs w:val="20"/>
          <w:color w:val="auto"/>
        </w:rPr>
      </w:pPr>
      <w:r>
        <w:rPr>
          <w:rFonts w:ascii="Times New Roman" w:cs="Times New Roman" w:eastAsia="Times New Roman" w:hAnsi="Times New Roman"/>
          <w:sz w:val="20"/>
          <w:szCs w:val="20"/>
          <w:color w:val="auto"/>
        </w:rPr>
        <w:t>As of the years ended December 31, 2025 and 2024, no marketable securities had been in a continuous unrealized loss position for more than 12 months and the Company considered any such losses to be temporary in nature. The Company reviewed the securities in the tables above and considered the decline in market value for these securities to be primarily attributable to economic and market conditions. As of the periods noted in the tables above, the Company did not intend to sell these securities and did not believe it was more likely than not that it would be required to sell these securities before recovery of their amortized cost basis. Additionally, the Company did not recognize any credit losses related to its marketable securities in an unrealized loss position during any of the periods noted in the table above.</w:t>
      </w:r>
    </w:p>
    <w:p>
      <w:pPr>
        <w:spacing w:after="0" w:line="85" w:lineRule="exact"/>
        <w:rPr>
          <w:sz w:val="20"/>
          <w:szCs w:val="20"/>
          <w:color w:val="auto"/>
        </w:rPr>
      </w:pPr>
    </w:p>
    <w:p>
      <w:pPr>
        <w:ind w:left="8" w:right="40" w:firstLine="490"/>
        <w:spacing w:after="0" w:line="258" w:lineRule="auto"/>
        <w:rPr>
          <w:sz w:val="20"/>
          <w:szCs w:val="20"/>
          <w:color w:val="auto"/>
        </w:rPr>
      </w:pPr>
      <w:r>
        <w:rPr>
          <w:rFonts w:ascii="Times New Roman" w:cs="Times New Roman" w:eastAsia="Times New Roman" w:hAnsi="Times New Roman"/>
          <w:sz w:val="20"/>
          <w:szCs w:val="20"/>
          <w:color w:val="auto"/>
        </w:rPr>
        <w:t>As of December 31, 2025 and 2024, accrued interest receivables on the Company’s available-for- sale marketable securities were $986 and $532, respectively, and were included within Other current assets as presented on its Consolidated Balance Sheets.</w:t>
      </w: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F-13</w:t>
      </w:r>
    </w:p>
    <w:p>
      <w:pPr>
        <w:sectPr>
          <w:pgSz w:w="12240" w:h="15840" w:orient="portrait"/>
          <w:cols w:equalWidth="0" w:num="1">
            <w:col w:w="9928"/>
          </w:cols>
          <w:pgMar w:left="1152" w:top="1248" w:right="1160" w:bottom="175" w:gutter="0" w:footer="0" w:header="0"/>
        </w:sectPr>
      </w:pPr>
    </w:p>
    <w:bookmarkStart w:id="115" w:name="page116"/>
    <w:bookmarkEnd w:id="115"/>
    <w:p>
      <w:pPr>
        <w:ind w:left="488" w:hanging="488"/>
        <w:spacing w:after="0"/>
        <w:tabs>
          <w:tab w:leader="none" w:pos="488"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Measurements</w:t>
      </w:r>
    </w:p>
    <w:p>
      <w:pPr>
        <w:spacing w:after="0" w:line="105" w:lineRule="exact"/>
        <w:rPr>
          <w:sz w:val="20"/>
          <w:szCs w:val="20"/>
          <w:color w:val="auto"/>
        </w:rPr>
      </w:pPr>
    </w:p>
    <w:p>
      <w:pPr>
        <w:ind w:left="8" w:right="220" w:firstLine="490"/>
        <w:spacing w:after="0" w:line="253" w:lineRule="auto"/>
        <w:rPr>
          <w:sz w:val="20"/>
          <w:szCs w:val="20"/>
          <w:color w:val="auto"/>
        </w:rPr>
      </w:pPr>
      <w:r>
        <w:rPr>
          <w:rFonts w:ascii="Times New Roman" w:cs="Times New Roman" w:eastAsia="Times New Roman" w:hAnsi="Times New Roman"/>
          <w:sz w:val="20"/>
          <w:szCs w:val="20"/>
          <w:color w:val="auto"/>
        </w:rPr>
        <w:t>The following table summarizes the Company’s financial assets and financial liabilities measured at fair value on a recurring basis and the basis for that measurement, by level within the fair value hierarchy as follows:</w:t>
      </w:r>
    </w:p>
    <w:p>
      <w:pPr>
        <w:spacing w:after="0" w:line="285" w:lineRule="exact"/>
        <w:rPr>
          <w:sz w:val="20"/>
          <w:szCs w:val="20"/>
          <w:color w:val="auto"/>
        </w:rPr>
      </w:pPr>
    </w:p>
    <w:tbl>
      <w:tblPr>
        <w:tblLayout w:type="fixed"/>
        <w:tblInd w:w="8" w:type="dxa"/>
        <w:tblCellMar>
          <w:top w:w="0" w:type="dxa"/>
          <w:left w:w="0" w:type="dxa"/>
          <w:bottom w:w="0" w:type="dxa"/>
          <w:right w:w="0" w:type="dxa"/>
        </w:tblCellMar>
      </w:tblPr>
      <w:tr>
        <w:trPr>
          <w:trHeight w:val="259"/>
        </w:trPr>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6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Fair Value Measurement Using:</w:t>
            </w:r>
          </w:p>
        </w:tc>
      </w:tr>
      <w:tr>
        <w:trPr>
          <w:trHeight w:val="253"/>
        </w:trPr>
        <w:tc>
          <w:tcPr>
            <w:tcW w:w="25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Balance Sheet Classification</w:t>
            </w:r>
          </w:p>
        </w:tc>
        <w:tc>
          <w:tcPr>
            <w:tcW w:w="160" w:type="dxa"/>
            <w:vAlign w:val="bottom"/>
          </w:tcPr>
          <w:p>
            <w:pPr>
              <w:spacing w:after="0"/>
              <w:rPr>
                <w:sz w:val="22"/>
                <w:szCs w:val="22"/>
                <w:color w:val="auto"/>
              </w:rPr>
            </w:pPr>
          </w:p>
        </w:tc>
        <w:tc>
          <w:tcPr>
            <w:tcW w:w="3180" w:type="dxa"/>
            <w:vAlign w:val="bottom"/>
            <w:gridSpan w:val="2"/>
          </w:tcPr>
          <w:p>
            <w:pPr>
              <w:ind w:left="660"/>
              <w:spacing w:after="0"/>
              <w:rPr>
                <w:sz w:val="20"/>
                <w:szCs w:val="20"/>
                <w:color w:val="auto"/>
              </w:rPr>
            </w:pPr>
            <w:r>
              <w:rPr>
                <w:rFonts w:ascii="Times New Roman" w:cs="Times New Roman" w:eastAsia="Times New Roman" w:hAnsi="Times New Roman"/>
                <w:sz w:val="20"/>
                <w:szCs w:val="20"/>
                <w:b w:val="1"/>
                <w:bCs w:val="1"/>
                <w:color w:val="auto"/>
              </w:rPr>
              <w:t>Type of Instrument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7"/>
              </w:rPr>
              <w:t>Level 2</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7"/>
              </w:rPr>
              <w:t>Level 3</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4"/>
        </w:trPr>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60" w:type="dxa"/>
            <w:vAlign w:val="bottom"/>
          </w:tcPr>
          <w:p>
            <w:pPr>
              <w:spacing w:after="0"/>
              <w:rPr>
                <w:sz w:val="20"/>
                <w:szCs w:val="20"/>
                <w:color w:val="auto"/>
              </w:rPr>
            </w:pPr>
          </w:p>
        </w:tc>
        <w:tc>
          <w:tcPr>
            <w:tcW w:w="3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1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5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Cash equivalents</w:t>
            </w:r>
          </w:p>
        </w:tc>
        <w:tc>
          <w:tcPr>
            <w:tcW w:w="160" w:type="dxa"/>
            <w:vAlign w:val="bottom"/>
            <w:shd w:val="clear" w:color="auto" w:fill="D5EEEE"/>
          </w:tcPr>
          <w:p>
            <w:pPr>
              <w:spacing w:after="0"/>
              <w:rPr>
                <w:sz w:val="21"/>
                <w:szCs w:val="21"/>
                <w:color w:val="auto"/>
              </w:rPr>
            </w:pPr>
          </w:p>
        </w:tc>
        <w:tc>
          <w:tcPr>
            <w:tcW w:w="318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17,926</w:t>
            </w:r>
          </w:p>
        </w:tc>
        <w:tc>
          <w:tcPr>
            <w:tcW w:w="380" w:type="dxa"/>
            <w:vAlign w:val="bottom"/>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3"/>
            <w:shd w:val="clear" w:color="auto" w:fill="D5EEEE"/>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420" w:type="dxa"/>
            <w:vAlign w:val="bottom"/>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17,926</w:t>
            </w:r>
          </w:p>
        </w:tc>
        <w:tc>
          <w:tcPr>
            <w:tcW w:w="60" w:type="dxa"/>
            <w:vAlign w:val="bottom"/>
            <w:shd w:val="clear" w:color="auto" w:fill="D5EEEE"/>
          </w:tcPr>
          <w:p>
            <w:pPr>
              <w:spacing w:after="0"/>
              <w:rPr>
                <w:sz w:val="21"/>
                <w:szCs w:val="21"/>
                <w:color w:val="auto"/>
              </w:rPr>
            </w:pPr>
          </w:p>
        </w:tc>
      </w:tr>
      <w:tr>
        <w:trPr>
          <w:trHeight w:val="244"/>
        </w:trPr>
        <w:tc>
          <w:tcPr>
            <w:tcW w:w="2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6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62,672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62,672</w:t>
            </w:r>
          </w:p>
        </w:tc>
        <w:tc>
          <w:tcPr>
            <w:tcW w:w="60" w:type="dxa"/>
            <w:vAlign w:val="bottom"/>
          </w:tcPr>
          <w:p>
            <w:pPr>
              <w:spacing w:after="0"/>
              <w:rPr>
                <w:sz w:val="21"/>
                <w:szCs w:val="21"/>
                <w:color w:val="auto"/>
              </w:rPr>
            </w:pPr>
          </w:p>
        </w:tc>
      </w:tr>
      <w:tr>
        <w:trPr>
          <w:trHeight w:val="244"/>
        </w:trPr>
        <w:tc>
          <w:tcPr>
            <w:tcW w:w="25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60" w:type="dxa"/>
            <w:vAlign w:val="bottom"/>
            <w:shd w:val="clear" w:color="auto" w:fill="D5EEEE"/>
          </w:tcPr>
          <w:p>
            <w:pPr>
              <w:spacing w:after="0"/>
              <w:rPr>
                <w:sz w:val="21"/>
                <w:szCs w:val="21"/>
                <w:color w:val="auto"/>
              </w:rPr>
            </w:pPr>
          </w:p>
        </w:tc>
        <w:tc>
          <w:tcPr>
            <w:tcW w:w="318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160" w:type="dxa"/>
            <w:vAlign w:val="bottom"/>
            <w:shd w:val="clear" w:color="auto" w:fill="D5EEEE"/>
          </w:tcPr>
          <w:p>
            <w:pPr>
              <w:spacing w:after="0"/>
              <w:rPr>
                <w:sz w:val="21"/>
                <w:szCs w:val="21"/>
                <w:color w:val="auto"/>
              </w:rPr>
            </w:pPr>
          </w:p>
        </w:tc>
        <w:tc>
          <w:tcPr>
            <w:tcW w:w="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46,783</w:t>
            </w:r>
          </w:p>
        </w:tc>
        <w:tc>
          <w:tcPr>
            <w:tcW w:w="26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3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46,783</w:t>
            </w:r>
          </w:p>
        </w:tc>
        <w:tc>
          <w:tcPr>
            <w:tcW w:w="60" w:type="dxa"/>
            <w:vAlign w:val="bottom"/>
            <w:shd w:val="clear" w:color="auto" w:fill="D5EEEE"/>
          </w:tcPr>
          <w:p>
            <w:pPr>
              <w:spacing w:after="0"/>
              <w:rPr>
                <w:sz w:val="21"/>
                <w:szCs w:val="21"/>
                <w:color w:val="auto"/>
              </w:rPr>
            </w:pPr>
          </w:p>
        </w:tc>
      </w:tr>
      <w:tr>
        <w:trPr>
          <w:trHeight w:val="244"/>
        </w:trPr>
        <w:tc>
          <w:tcPr>
            <w:tcW w:w="2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6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42,005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42,005</w:t>
            </w:r>
          </w:p>
        </w:tc>
        <w:tc>
          <w:tcPr>
            <w:tcW w:w="60" w:type="dxa"/>
            <w:vAlign w:val="bottom"/>
          </w:tcPr>
          <w:p>
            <w:pPr>
              <w:spacing w:after="0"/>
              <w:rPr>
                <w:sz w:val="21"/>
                <w:szCs w:val="21"/>
                <w:color w:val="auto"/>
              </w:rPr>
            </w:pPr>
          </w:p>
        </w:tc>
      </w:tr>
      <w:tr>
        <w:trPr>
          <w:trHeight w:val="244"/>
        </w:trPr>
        <w:tc>
          <w:tcPr>
            <w:tcW w:w="25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60" w:type="dxa"/>
            <w:vAlign w:val="bottom"/>
            <w:shd w:val="clear" w:color="auto" w:fill="D5EEEE"/>
          </w:tcPr>
          <w:p>
            <w:pPr>
              <w:spacing w:after="0"/>
              <w:rPr>
                <w:sz w:val="21"/>
                <w:szCs w:val="21"/>
                <w:color w:val="auto"/>
              </w:rPr>
            </w:pPr>
          </w:p>
        </w:tc>
        <w:tc>
          <w:tcPr>
            <w:tcW w:w="318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Asset backed securities</w:t>
            </w:r>
          </w:p>
        </w:tc>
        <w:tc>
          <w:tcPr>
            <w:tcW w:w="160" w:type="dxa"/>
            <w:vAlign w:val="bottom"/>
            <w:shd w:val="clear" w:color="auto" w:fill="D5EEEE"/>
          </w:tcPr>
          <w:p>
            <w:pPr>
              <w:spacing w:after="0"/>
              <w:rPr>
                <w:sz w:val="21"/>
                <w:szCs w:val="21"/>
                <w:color w:val="auto"/>
              </w:rPr>
            </w:pPr>
          </w:p>
        </w:tc>
        <w:tc>
          <w:tcPr>
            <w:tcW w:w="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13,575</w:t>
            </w:r>
          </w:p>
        </w:tc>
        <w:tc>
          <w:tcPr>
            <w:tcW w:w="26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240" w:type="dxa"/>
            <w:vAlign w:val="bottom"/>
            <w:shd w:val="clear" w:color="auto" w:fill="D5EEEE"/>
          </w:tcPr>
          <w:p>
            <w:pPr>
              <w:spacing w:after="0"/>
              <w:rPr>
                <w:sz w:val="21"/>
                <w:szCs w:val="21"/>
                <w:color w:val="auto"/>
              </w:rPr>
            </w:pPr>
          </w:p>
        </w:tc>
        <w:tc>
          <w:tcPr>
            <w:tcW w:w="3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13,575</w:t>
            </w:r>
          </w:p>
        </w:tc>
        <w:tc>
          <w:tcPr>
            <w:tcW w:w="60" w:type="dxa"/>
            <w:vAlign w:val="bottom"/>
            <w:shd w:val="clear" w:color="auto" w:fill="D5EEEE"/>
          </w:tcPr>
          <w:p>
            <w:pPr>
              <w:spacing w:after="0"/>
              <w:rPr>
                <w:sz w:val="21"/>
                <w:szCs w:val="21"/>
                <w:color w:val="auto"/>
              </w:rPr>
            </w:pPr>
          </w:p>
        </w:tc>
      </w:tr>
      <w:tr>
        <w:trPr>
          <w:trHeight w:val="244"/>
        </w:trPr>
        <w:tc>
          <w:tcPr>
            <w:tcW w:w="2560" w:type="dxa"/>
            <w:vAlign w:val="bottom"/>
            <w:tcBorders>
              <w:bottom w:val="single" w:sz="8" w:color="D5EEEE"/>
            </w:tcBorders>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60" w:type="dxa"/>
            <w:vAlign w:val="bottom"/>
            <w:tcBorders>
              <w:bottom w:val="single" w:sz="8" w:color="D5EEEE"/>
            </w:tcBorders>
          </w:tcPr>
          <w:p>
            <w:pPr>
              <w:spacing w:after="0"/>
              <w:rPr>
                <w:sz w:val="21"/>
                <w:szCs w:val="21"/>
                <w:color w:val="auto"/>
              </w:rPr>
            </w:pPr>
          </w:p>
        </w:tc>
        <w:tc>
          <w:tcPr>
            <w:tcW w:w="3180" w:type="dxa"/>
            <w:vAlign w:val="bottom"/>
            <w:tcBorders>
              <w:bottom w:val="single" w:sz="8" w:color="D5EEEE"/>
            </w:tcBorders>
            <w:gridSpan w:val="2"/>
          </w:tcPr>
          <w:p>
            <w:pPr>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4,311</w:t>
            </w:r>
          </w:p>
        </w:tc>
        <w:tc>
          <w:tcPr>
            <w:tcW w:w="2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tcBorders>
              <w:bottom w:val="single" w:sz="8" w:color="D5EEEE"/>
            </w:tcBorders>
          </w:tcPr>
          <w:p>
            <w:pPr>
              <w:spacing w:after="0"/>
              <w:rPr>
                <w:sz w:val="21"/>
                <w:szCs w:val="21"/>
                <w:color w:val="auto"/>
              </w:rPr>
            </w:pPr>
          </w:p>
        </w:tc>
        <w:tc>
          <w:tcPr>
            <w:tcW w:w="20" w:type="dxa"/>
            <w:vAlign w:val="bottom"/>
            <w:tcBorders>
              <w:bottom w:val="single" w:sz="8" w:color="D5EEEE"/>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4,311</w:t>
            </w:r>
          </w:p>
        </w:tc>
        <w:tc>
          <w:tcPr>
            <w:tcW w:w="60" w:type="dxa"/>
            <w:vAlign w:val="bottom"/>
            <w:tcBorders>
              <w:bottom w:val="single" w:sz="8" w:color="D5EEEE"/>
            </w:tcBorders>
          </w:tcPr>
          <w:p>
            <w:pPr>
              <w:spacing w:after="0"/>
              <w:rPr>
                <w:sz w:val="21"/>
                <w:szCs w:val="21"/>
                <w:color w:val="auto"/>
              </w:rPr>
            </w:pPr>
          </w:p>
        </w:tc>
      </w:tr>
      <w:tr>
        <w:trPr>
          <w:trHeight w:val="239"/>
        </w:trPr>
        <w:tc>
          <w:tcPr>
            <w:tcW w:w="25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60" w:type="dxa"/>
            <w:vAlign w:val="bottom"/>
            <w:shd w:val="clear" w:color="auto" w:fill="D5EEEE"/>
          </w:tcPr>
          <w:p>
            <w:pPr>
              <w:spacing w:after="0"/>
              <w:rPr>
                <w:sz w:val="20"/>
                <w:szCs w:val="20"/>
                <w:color w:val="auto"/>
              </w:rPr>
            </w:pPr>
          </w:p>
        </w:tc>
        <w:tc>
          <w:tcPr>
            <w:tcW w:w="300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6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17,926</w:t>
            </w:r>
          </w:p>
        </w:tc>
        <w:tc>
          <w:tcPr>
            <w:tcW w:w="260" w:type="dxa"/>
            <w:vAlign w:val="bottom"/>
            <w:shd w:val="clear" w:color="auto" w:fill="D5EEEE"/>
          </w:tcPr>
          <w:p>
            <w:pPr>
              <w:spacing w:after="0"/>
              <w:rPr>
                <w:sz w:val="20"/>
                <w:szCs w:val="20"/>
                <w:color w:val="auto"/>
              </w:rPr>
            </w:pPr>
          </w:p>
        </w:tc>
        <w:tc>
          <w:tcPr>
            <w:tcW w:w="20" w:type="dxa"/>
            <w:vAlign w:val="bottom"/>
            <w:tcBorders>
              <w:bottom w:val="single" w:sz="8" w:color="auto"/>
            </w:tcBorders>
            <w:shd w:val="clear" w:color="auto" w:fill="D5EEEE"/>
          </w:tcPr>
          <w:p>
            <w:pPr>
              <w:spacing w:after="0"/>
              <w:rPr>
                <w:sz w:val="20"/>
                <w:szCs w:val="20"/>
                <w:color w:val="auto"/>
              </w:rPr>
            </w:pPr>
          </w:p>
        </w:tc>
        <w:tc>
          <w:tcPr>
            <w:tcW w:w="1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169,346</w:t>
            </w:r>
          </w:p>
        </w:tc>
        <w:tc>
          <w:tcPr>
            <w:tcW w:w="260" w:type="dxa"/>
            <w:vAlign w:val="bottom"/>
            <w:shd w:val="clear" w:color="auto" w:fill="D5EEEE"/>
          </w:tcPr>
          <w:p>
            <w:pPr>
              <w:spacing w:after="0"/>
              <w:rPr>
                <w:sz w:val="20"/>
                <w:szCs w:val="20"/>
                <w:color w:val="auto"/>
              </w:rPr>
            </w:pPr>
          </w:p>
        </w:tc>
        <w:tc>
          <w:tcPr>
            <w:tcW w:w="20" w:type="dxa"/>
            <w:vAlign w:val="bottom"/>
            <w:tcBorders>
              <w:bottom w:val="single" w:sz="8" w:color="auto"/>
            </w:tcBorders>
            <w:shd w:val="clear" w:color="auto" w:fill="D5EEEE"/>
          </w:tcPr>
          <w:p>
            <w:pPr>
              <w:spacing w:after="0"/>
              <w:rPr>
                <w:sz w:val="20"/>
                <w:szCs w:val="20"/>
                <w:color w:val="auto"/>
              </w:rPr>
            </w:pPr>
          </w:p>
        </w:tc>
        <w:tc>
          <w:tcPr>
            <w:tcW w:w="24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shd w:val="clear" w:color="auto" w:fill="D5EEEE"/>
              </w:rPr>
              <w:t>$</w:t>
            </w:r>
          </w:p>
        </w:tc>
        <w:tc>
          <w:tcPr>
            <w:tcW w:w="380" w:type="dxa"/>
            <w:vAlign w:val="bottom"/>
            <w:tcBorders>
              <w:bottom w:val="single" w:sz="8" w:color="auto"/>
            </w:tcBorders>
            <w:shd w:val="clear" w:color="auto" w:fill="D5EEEE"/>
          </w:tcPr>
          <w:p>
            <w:pPr>
              <w:ind w:left="180"/>
              <w:spacing w:after="0"/>
              <w:rPr>
                <w:sz w:val="20"/>
                <w:szCs w:val="20"/>
                <w:color w:val="auto"/>
              </w:rPr>
            </w:pPr>
            <w:r>
              <w:rPr>
                <w:rFonts w:ascii="Times New Roman" w:cs="Times New Roman" w:eastAsia="Times New Roman" w:hAnsi="Times New Roman"/>
                <w:sz w:val="20"/>
                <w:szCs w:val="20"/>
                <w:color w:val="auto"/>
                <w:w w:val="89"/>
                <w:shd w:val="clear" w:color="auto" w:fill="D5EEEE"/>
              </w:rPr>
              <w:t>—</w:t>
            </w:r>
          </w:p>
        </w:tc>
        <w:tc>
          <w:tcPr>
            <w:tcW w:w="260" w:type="dxa"/>
            <w:vAlign w:val="bottom"/>
            <w:shd w:val="clear" w:color="auto" w:fill="D5EEEE"/>
          </w:tcPr>
          <w:p>
            <w:pPr>
              <w:spacing w:after="0"/>
              <w:rPr>
                <w:sz w:val="20"/>
                <w:szCs w:val="20"/>
                <w:color w:val="auto"/>
              </w:rPr>
            </w:pPr>
          </w:p>
        </w:tc>
        <w:tc>
          <w:tcPr>
            <w:tcW w:w="20" w:type="dxa"/>
            <w:vAlign w:val="bottom"/>
            <w:tcBorders>
              <w:bottom w:val="single" w:sz="8" w:color="auto"/>
            </w:tcBorders>
            <w:shd w:val="clear" w:color="auto" w:fill="D5EEEE"/>
          </w:tcPr>
          <w:p>
            <w:pPr>
              <w:spacing w:after="0"/>
              <w:rPr>
                <w:sz w:val="20"/>
                <w:szCs w:val="20"/>
                <w:color w:val="auto"/>
              </w:rPr>
            </w:pPr>
          </w:p>
        </w:tc>
        <w:tc>
          <w:tcPr>
            <w:tcW w:w="1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5EEEE"/>
              </w:rPr>
              <w:t>$</w:t>
            </w: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187,272</w:t>
            </w:r>
          </w:p>
        </w:tc>
        <w:tc>
          <w:tcPr>
            <w:tcW w:w="60" w:type="dxa"/>
            <w:vAlign w:val="bottom"/>
            <w:shd w:val="clear" w:color="auto" w:fill="D5EEEE"/>
          </w:tcPr>
          <w:p>
            <w:pPr>
              <w:spacing w:after="0"/>
              <w:rPr>
                <w:sz w:val="20"/>
                <w:szCs w:val="20"/>
                <w:color w:val="auto"/>
              </w:rPr>
            </w:pPr>
          </w:p>
        </w:tc>
      </w:tr>
      <w:tr>
        <w:trPr>
          <w:trHeight w:val="20"/>
        </w:trPr>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-1620520</wp:posOffset>
            </wp:positionV>
            <wp:extent cx="256095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extLst>
                    </a:blip>
                    <a:srcRect/>
                    <a:stretch>
                      <a:fillRect/>
                    </a:stretch>
                  </pic:blipFill>
                  <pic:spPr bwMode="auto">
                    <a:xfrm>
                      <a:off x="0" y="0"/>
                      <a:ext cx="2560955" cy="38100"/>
                    </a:xfrm>
                    <a:prstGeom prst="rect">
                      <a:avLst/>
                    </a:prstGeom>
                    <a:noFill/>
                  </pic:spPr>
                </pic:pic>
              </a:graphicData>
            </a:graphic>
          </wp:anchor>
        </w:drawing>
      </w:r>
    </w:p>
    <w:p>
      <w:pPr>
        <w:spacing w:after="0" w:line="201" w:lineRule="exact"/>
        <w:rPr>
          <w:sz w:val="20"/>
          <w:szCs w:val="20"/>
          <w:color w:val="auto"/>
        </w:rPr>
      </w:pPr>
    </w:p>
    <w:tbl>
      <w:tblPr>
        <w:tblLayout w:type="fixed"/>
        <w:tblInd w:w="8" w:type="dxa"/>
        <w:tblCellMar>
          <w:top w:w="0" w:type="dxa"/>
          <w:left w:w="0" w:type="dxa"/>
          <w:bottom w:w="0" w:type="dxa"/>
          <w:right w:w="0" w:type="dxa"/>
        </w:tblCellMar>
      </w:tblPr>
      <w:tr>
        <w:trPr>
          <w:trHeight w:val="259"/>
        </w:trPr>
        <w:tc>
          <w:tcPr>
            <w:tcW w:w="2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60" w:type="dxa"/>
            <w:vAlign w:val="bottom"/>
            <w:gridSpan w:val="11"/>
          </w:tcPr>
          <w:p>
            <w:pPr>
              <w:ind w:left="440"/>
              <w:spacing w:after="0"/>
              <w:rPr>
                <w:sz w:val="20"/>
                <w:szCs w:val="20"/>
                <w:color w:val="auto"/>
              </w:rPr>
            </w:pPr>
            <w:r>
              <w:rPr>
                <w:rFonts w:ascii="Times New Roman" w:cs="Times New Roman" w:eastAsia="Times New Roman" w:hAnsi="Times New Roman"/>
                <w:sz w:val="20"/>
                <w:szCs w:val="20"/>
                <w:b w:val="1"/>
                <w:bCs w:val="1"/>
                <w:color w:val="auto"/>
              </w:rPr>
              <w:t>Fair Value Measurement Using:</w:t>
            </w:r>
          </w:p>
        </w:tc>
      </w:tr>
      <w:tr>
        <w:trPr>
          <w:trHeight w:val="253"/>
        </w:trPr>
        <w:tc>
          <w:tcPr>
            <w:tcW w:w="25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Balance Sheet Classification</w:t>
            </w:r>
          </w:p>
        </w:tc>
        <w:tc>
          <w:tcPr>
            <w:tcW w:w="160" w:type="dxa"/>
            <w:vAlign w:val="bottom"/>
          </w:tcPr>
          <w:p>
            <w:pPr>
              <w:spacing w:after="0"/>
              <w:rPr>
                <w:sz w:val="22"/>
                <w:szCs w:val="22"/>
                <w:color w:val="auto"/>
              </w:rPr>
            </w:pPr>
          </w:p>
        </w:tc>
        <w:tc>
          <w:tcPr>
            <w:tcW w:w="3180" w:type="dxa"/>
            <w:vAlign w:val="bottom"/>
            <w:gridSpan w:val="2"/>
          </w:tcPr>
          <w:p>
            <w:pPr>
              <w:ind w:left="660"/>
              <w:spacing w:after="0"/>
              <w:rPr>
                <w:sz w:val="20"/>
                <w:szCs w:val="20"/>
                <w:color w:val="auto"/>
              </w:rPr>
            </w:pPr>
            <w:r>
              <w:rPr>
                <w:rFonts w:ascii="Times New Roman" w:cs="Times New Roman" w:eastAsia="Times New Roman" w:hAnsi="Times New Roman"/>
                <w:sz w:val="20"/>
                <w:szCs w:val="20"/>
                <w:b w:val="1"/>
                <w:bCs w:val="1"/>
                <w:color w:val="auto"/>
              </w:rPr>
              <w:t>Type of Instrument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w w:val="97"/>
              </w:rPr>
              <w:t>Level 2</w:t>
            </w:r>
          </w:p>
        </w:tc>
        <w:tc>
          <w:tcPr>
            <w:tcW w:w="260" w:type="dxa"/>
            <w:vAlign w:val="bottom"/>
          </w:tcPr>
          <w:p>
            <w:pPr>
              <w:spacing w:after="0"/>
              <w:rPr>
                <w:sz w:val="22"/>
                <w:szCs w:val="22"/>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34"/>
        </w:trPr>
        <w:tc>
          <w:tcPr>
            <w:tcW w:w="2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60" w:type="dxa"/>
            <w:vAlign w:val="bottom"/>
          </w:tcPr>
          <w:p>
            <w:pPr>
              <w:spacing w:after="0"/>
              <w:rPr>
                <w:sz w:val="20"/>
                <w:szCs w:val="20"/>
                <w:color w:val="auto"/>
              </w:rPr>
            </w:pPr>
          </w:p>
        </w:tc>
        <w:tc>
          <w:tcPr>
            <w:tcW w:w="3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50"/>
        </w:trPr>
        <w:tc>
          <w:tcPr>
            <w:tcW w:w="2560" w:type="dxa"/>
            <w:vAlign w:val="bottom"/>
          </w:tcPr>
          <w:p>
            <w:pPr>
              <w:spacing w:after="0"/>
              <w:rPr>
                <w:sz w:val="20"/>
                <w:szCs w:val="20"/>
                <w:color w:val="auto"/>
              </w:rPr>
            </w:pPr>
            <w:r>
              <w:rPr>
                <w:rFonts w:ascii="Times New Roman" w:cs="Times New Roman" w:eastAsia="Times New Roman" w:hAnsi="Times New Roman"/>
                <w:sz w:val="20"/>
                <w:szCs w:val="20"/>
                <w:color w:val="auto"/>
              </w:rPr>
              <w:t>Financial assets:</w:t>
            </w:r>
          </w:p>
        </w:tc>
        <w:tc>
          <w:tcPr>
            <w:tcW w:w="1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5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Cash equivalents</w:t>
            </w:r>
          </w:p>
        </w:tc>
        <w:tc>
          <w:tcPr>
            <w:tcW w:w="160" w:type="dxa"/>
            <w:vAlign w:val="bottom"/>
            <w:shd w:val="clear" w:color="auto" w:fill="D5EEEE"/>
          </w:tcPr>
          <w:p>
            <w:pPr>
              <w:spacing w:after="0"/>
              <w:rPr>
                <w:sz w:val="21"/>
                <w:szCs w:val="21"/>
                <w:color w:val="auto"/>
              </w:rPr>
            </w:pPr>
          </w:p>
        </w:tc>
        <w:tc>
          <w:tcPr>
            <w:tcW w:w="318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Money market funds</w:t>
            </w:r>
          </w:p>
        </w:tc>
        <w:tc>
          <w:tcPr>
            <w:tcW w:w="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28,605</w:t>
            </w:r>
          </w:p>
        </w:tc>
        <w:tc>
          <w:tcPr>
            <w:tcW w:w="38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2"/>
            <w:shd w:val="clear" w:color="auto" w:fill="D5EEEE"/>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42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28,605</w:t>
            </w:r>
          </w:p>
        </w:tc>
        <w:tc>
          <w:tcPr>
            <w:tcW w:w="60" w:type="dxa"/>
            <w:vAlign w:val="bottom"/>
            <w:shd w:val="clear" w:color="auto" w:fill="D5EEEE"/>
          </w:tcPr>
          <w:p>
            <w:pPr>
              <w:spacing w:after="0"/>
              <w:rPr>
                <w:sz w:val="21"/>
                <w:szCs w:val="21"/>
                <w:color w:val="auto"/>
              </w:rPr>
            </w:pPr>
          </w:p>
        </w:tc>
      </w:tr>
      <w:tr>
        <w:trPr>
          <w:trHeight w:val="244"/>
        </w:trPr>
        <w:tc>
          <w:tcPr>
            <w:tcW w:w="2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6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U.S. treasury securities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22,851</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22,851</w:t>
            </w:r>
          </w:p>
        </w:tc>
        <w:tc>
          <w:tcPr>
            <w:tcW w:w="60" w:type="dxa"/>
            <w:vAlign w:val="bottom"/>
          </w:tcPr>
          <w:p>
            <w:pPr>
              <w:spacing w:after="0"/>
              <w:rPr>
                <w:sz w:val="21"/>
                <w:szCs w:val="21"/>
                <w:color w:val="auto"/>
              </w:rPr>
            </w:pPr>
          </w:p>
        </w:tc>
      </w:tr>
      <w:tr>
        <w:trPr>
          <w:trHeight w:val="244"/>
        </w:trPr>
        <w:tc>
          <w:tcPr>
            <w:tcW w:w="25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60" w:type="dxa"/>
            <w:vAlign w:val="bottom"/>
            <w:shd w:val="clear" w:color="auto" w:fill="D5EEEE"/>
          </w:tcPr>
          <w:p>
            <w:pPr>
              <w:spacing w:after="0"/>
              <w:rPr>
                <w:sz w:val="21"/>
                <w:szCs w:val="21"/>
                <w:color w:val="auto"/>
              </w:rPr>
            </w:pPr>
          </w:p>
        </w:tc>
        <w:tc>
          <w:tcPr>
            <w:tcW w:w="318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Corporate bonds</w:t>
            </w:r>
          </w:p>
        </w:tc>
        <w:tc>
          <w:tcPr>
            <w:tcW w:w="160" w:type="dxa"/>
            <w:vAlign w:val="bottom"/>
            <w:shd w:val="clear" w:color="auto" w:fill="D5EEEE"/>
          </w:tcPr>
          <w:p>
            <w:pPr>
              <w:spacing w:after="0"/>
              <w:rPr>
                <w:sz w:val="21"/>
                <w:szCs w:val="21"/>
                <w:color w:val="auto"/>
              </w:rPr>
            </w:pPr>
          </w:p>
        </w:tc>
        <w:tc>
          <w:tcPr>
            <w:tcW w:w="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18,941</w:t>
            </w:r>
          </w:p>
        </w:tc>
        <w:tc>
          <w:tcPr>
            <w:tcW w:w="26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3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18,941</w:t>
            </w:r>
          </w:p>
        </w:tc>
        <w:tc>
          <w:tcPr>
            <w:tcW w:w="60" w:type="dxa"/>
            <w:vAlign w:val="bottom"/>
            <w:shd w:val="clear" w:color="auto" w:fill="D5EEEE"/>
          </w:tcPr>
          <w:p>
            <w:pPr>
              <w:spacing w:after="0"/>
              <w:rPr>
                <w:sz w:val="21"/>
                <w:szCs w:val="21"/>
                <w:color w:val="auto"/>
              </w:rPr>
            </w:pPr>
          </w:p>
        </w:tc>
      </w:tr>
      <w:tr>
        <w:trPr>
          <w:trHeight w:val="244"/>
        </w:trPr>
        <w:tc>
          <w:tcPr>
            <w:tcW w:w="2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6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13,000</w:t>
            </w:r>
          </w:p>
        </w:tc>
        <w:tc>
          <w:tcPr>
            <w:tcW w:w="60" w:type="dxa"/>
            <w:vAlign w:val="bottom"/>
          </w:tcPr>
          <w:p>
            <w:pPr>
              <w:spacing w:after="0"/>
              <w:rPr>
                <w:sz w:val="21"/>
                <w:szCs w:val="21"/>
                <w:color w:val="auto"/>
              </w:rPr>
            </w:pPr>
          </w:p>
        </w:tc>
      </w:tr>
      <w:tr>
        <w:trPr>
          <w:trHeight w:val="244"/>
        </w:trPr>
        <w:tc>
          <w:tcPr>
            <w:tcW w:w="25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60" w:type="dxa"/>
            <w:vAlign w:val="bottom"/>
            <w:shd w:val="clear" w:color="auto" w:fill="D5EEEE"/>
          </w:tcPr>
          <w:p>
            <w:pPr>
              <w:spacing w:after="0"/>
              <w:rPr>
                <w:sz w:val="21"/>
                <w:szCs w:val="21"/>
                <w:color w:val="auto"/>
              </w:rPr>
            </w:pPr>
          </w:p>
        </w:tc>
        <w:tc>
          <w:tcPr>
            <w:tcW w:w="318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160" w:type="dxa"/>
            <w:vAlign w:val="bottom"/>
            <w:shd w:val="clear" w:color="auto" w:fill="D5EEEE"/>
          </w:tcPr>
          <w:p>
            <w:pPr>
              <w:spacing w:after="0"/>
              <w:rPr>
                <w:sz w:val="21"/>
                <w:szCs w:val="21"/>
                <w:color w:val="auto"/>
              </w:rPr>
            </w:pPr>
          </w:p>
        </w:tc>
        <w:tc>
          <w:tcPr>
            <w:tcW w:w="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7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11,423</w:t>
            </w:r>
          </w:p>
        </w:tc>
        <w:tc>
          <w:tcPr>
            <w:tcW w:w="26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3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11,423</w:t>
            </w:r>
          </w:p>
        </w:tc>
        <w:tc>
          <w:tcPr>
            <w:tcW w:w="60" w:type="dxa"/>
            <w:vAlign w:val="bottom"/>
            <w:shd w:val="clear" w:color="auto" w:fill="D5EEEE"/>
          </w:tcPr>
          <w:p>
            <w:pPr>
              <w:spacing w:after="0"/>
              <w:rPr>
                <w:sz w:val="21"/>
                <w:szCs w:val="21"/>
                <w:color w:val="auto"/>
              </w:rPr>
            </w:pPr>
          </w:p>
        </w:tc>
      </w:tr>
      <w:tr>
        <w:trPr>
          <w:trHeight w:val="244"/>
        </w:trPr>
        <w:tc>
          <w:tcPr>
            <w:tcW w:w="2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Marketable securities</w:t>
            </w:r>
          </w:p>
        </w:tc>
        <w:tc>
          <w:tcPr>
            <w:tcW w:w="16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Asset backed securities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7,310</w:t>
            </w:r>
          </w:p>
        </w:tc>
        <w:tc>
          <w:tcPr>
            <w:tcW w:w="60" w:type="dxa"/>
            <w:vAlign w:val="bottom"/>
          </w:tcPr>
          <w:p>
            <w:pPr>
              <w:spacing w:after="0"/>
              <w:rPr>
                <w:sz w:val="21"/>
                <w:szCs w:val="21"/>
                <w:color w:val="auto"/>
              </w:rPr>
            </w:pPr>
          </w:p>
        </w:tc>
      </w:tr>
      <w:tr>
        <w:trPr>
          <w:trHeight w:val="244"/>
        </w:trPr>
        <w:tc>
          <w:tcPr>
            <w:tcW w:w="2560" w:type="dxa"/>
            <w:vAlign w:val="bottom"/>
            <w:tcBorders>
              <w:bottom w:val="single" w:sz="8" w:color="D5EEEE"/>
            </w:tcBorders>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Cash equivalents</w:t>
            </w:r>
          </w:p>
        </w:tc>
        <w:tc>
          <w:tcPr>
            <w:tcW w:w="160" w:type="dxa"/>
            <w:vAlign w:val="bottom"/>
            <w:tcBorders>
              <w:bottom w:val="single" w:sz="8" w:color="D5EEEE"/>
            </w:tcBorders>
            <w:shd w:val="clear" w:color="auto" w:fill="D5EEEE"/>
          </w:tcPr>
          <w:p>
            <w:pPr>
              <w:spacing w:after="0"/>
              <w:rPr>
                <w:sz w:val="21"/>
                <w:szCs w:val="21"/>
                <w:color w:val="auto"/>
              </w:rPr>
            </w:pPr>
          </w:p>
        </w:tc>
        <w:tc>
          <w:tcPr>
            <w:tcW w:w="3180" w:type="dxa"/>
            <w:vAlign w:val="bottom"/>
            <w:tcBorders>
              <w:bottom w:val="single" w:sz="8" w:color="D5EEEE"/>
            </w:tcBorders>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Commercial paper</w:t>
            </w:r>
          </w:p>
        </w:tc>
        <w:tc>
          <w:tcPr>
            <w:tcW w:w="160" w:type="dxa"/>
            <w:vAlign w:val="bottom"/>
            <w:tcBorders>
              <w:bottom w:val="single" w:sz="8" w:color="auto"/>
            </w:tcBorders>
            <w:shd w:val="clear" w:color="auto" w:fill="D5EEEE"/>
          </w:tcPr>
          <w:p>
            <w:pPr>
              <w:spacing w:after="0"/>
              <w:rPr>
                <w:sz w:val="21"/>
                <w:szCs w:val="21"/>
                <w:color w:val="auto"/>
              </w:rPr>
            </w:pPr>
          </w:p>
        </w:tc>
        <w:tc>
          <w:tcPr>
            <w:tcW w:w="6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D5EEEE"/>
            </w:tcBorders>
            <w:shd w:val="clear" w:color="auto" w:fill="D5EEEE"/>
          </w:tcPr>
          <w:p>
            <w:pPr>
              <w:spacing w:after="0"/>
              <w:rPr>
                <w:sz w:val="21"/>
                <w:szCs w:val="21"/>
                <w:color w:val="auto"/>
              </w:rPr>
            </w:pPr>
          </w:p>
        </w:tc>
        <w:tc>
          <w:tcPr>
            <w:tcW w:w="120" w:type="dxa"/>
            <w:vAlign w:val="bottom"/>
            <w:tcBorders>
              <w:bottom w:val="single" w:sz="8" w:color="auto"/>
            </w:tcBorders>
            <w:shd w:val="clear" w:color="auto" w:fill="D5EEEE"/>
          </w:tcPr>
          <w:p>
            <w:pPr>
              <w:spacing w:after="0"/>
              <w:rPr>
                <w:sz w:val="21"/>
                <w:szCs w:val="21"/>
                <w:color w:val="auto"/>
              </w:rPr>
            </w:pP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4,479</w:t>
            </w:r>
          </w:p>
        </w:tc>
        <w:tc>
          <w:tcPr>
            <w:tcW w:w="260" w:type="dxa"/>
            <w:vAlign w:val="bottom"/>
            <w:tcBorders>
              <w:bottom w:val="single" w:sz="8" w:color="D5EEEE"/>
            </w:tcBorders>
            <w:shd w:val="clear" w:color="auto" w:fill="D5EEEE"/>
          </w:tcPr>
          <w:p>
            <w:pPr>
              <w:spacing w:after="0"/>
              <w:rPr>
                <w:sz w:val="21"/>
                <w:szCs w:val="21"/>
                <w:color w:val="auto"/>
              </w:rPr>
            </w:pPr>
          </w:p>
        </w:tc>
        <w:tc>
          <w:tcPr>
            <w:tcW w:w="260" w:type="dxa"/>
            <w:vAlign w:val="bottom"/>
            <w:tcBorders>
              <w:bottom w:val="single" w:sz="8" w:color="auto"/>
            </w:tcBorders>
            <w:shd w:val="clear" w:color="auto" w:fill="D5EEEE"/>
          </w:tcPr>
          <w:p>
            <w:pPr>
              <w:spacing w:after="0"/>
              <w:rPr>
                <w:sz w:val="21"/>
                <w:szCs w:val="21"/>
                <w:color w:val="auto"/>
              </w:rPr>
            </w:pPr>
          </w:p>
        </w:tc>
        <w:tc>
          <w:tcPr>
            <w:tcW w:w="380" w:type="dxa"/>
            <w:vAlign w:val="bottom"/>
            <w:tcBorders>
              <w:bottom w:val="single" w:sz="8" w:color="auto"/>
            </w:tcBorders>
            <w:shd w:val="clear" w:color="auto" w:fill="D5EEEE"/>
          </w:tcPr>
          <w:p>
            <w:pPr>
              <w:ind w:left="180"/>
              <w:spacing w:after="0"/>
              <w:rPr>
                <w:sz w:val="20"/>
                <w:szCs w:val="20"/>
                <w:color w:val="auto"/>
              </w:rPr>
            </w:pPr>
            <w:r>
              <w:rPr>
                <w:rFonts w:ascii="Times New Roman" w:cs="Times New Roman" w:eastAsia="Times New Roman" w:hAnsi="Times New Roman"/>
                <w:sz w:val="20"/>
                <w:szCs w:val="20"/>
                <w:color w:val="auto"/>
                <w:w w:val="89"/>
              </w:rPr>
              <w:t>—</w:t>
            </w:r>
          </w:p>
        </w:tc>
        <w:tc>
          <w:tcPr>
            <w:tcW w:w="260" w:type="dxa"/>
            <w:vAlign w:val="bottom"/>
            <w:tcBorders>
              <w:bottom w:val="single" w:sz="8" w:color="D5EEEE"/>
            </w:tcBorders>
            <w:shd w:val="clear" w:color="auto" w:fill="D5EEEE"/>
          </w:tcPr>
          <w:p>
            <w:pPr>
              <w:spacing w:after="0"/>
              <w:rPr>
                <w:sz w:val="21"/>
                <w:szCs w:val="21"/>
                <w:color w:val="auto"/>
              </w:rPr>
            </w:pPr>
          </w:p>
        </w:tc>
        <w:tc>
          <w:tcPr>
            <w:tcW w:w="160" w:type="dxa"/>
            <w:vAlign w:val="bottom"/>
            <w:tcBorders>
              <w:bottom w:val="single" w:sz="8" w:color="auto"/>
            </w:tcBorders>
            <w:shd w:val="clear" w:color="auto" w:fill="D5EEEE"/>
          </w:tcPr>
          <w:p>
            <w:pPr>
              <w:spacing w:after="0"/>
              <w:rPr>
                <w:sz w:val="21"/>
                <w:szCs w:val="21"/>
                <w:color w:val="auto"/>
              </w:rPr>
            </w:pP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4,479</w:t>
            </w:r>
          </w:p>
        </w:tc>
        <w:tc>
          <w:tcPr>
            <w:tcW w:w="60" w:type="dxa"/>
            <w:vAlign w:val="bottom"/>
            <w:tcBorders>
              <w:bottom w:val="single" w:sz="8" w:color="D5EEEE"/>
            </w:tcBorders>
            <w:shd w:val="clear" w:color="auto" w:fill="D5EEEE"/>
          </w:tcPr>
          <w:p>
            <w:pPr>
              <w:spacing w:after="0"/>
              <w:rPr>
                <w:sz w:val="21"/>
                <w:szCs w:val="21"/>
                <w:color w:val="auto"/>
              </w:rPr>
            </w:pPr>
          </w:p>
        </w:tc>
      </w:tr>
      <w:tr>
        <w:trPr>
          <w:trHeight w:val="259"/>
        </w:trPr>
        <w:tc>
          <w:tcPr>
            <w:tcW w:w="256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assets</w:t>
            </w:r>
          </w:p>
        </w:tc>
        <w:tc>
          <w:tcPr>
            <w:tcW w:w="160" w:type="dxa"/>
            <w:vAlign w:val="bottom"/>
            <w:tcBorders>
              <w:bottom w:val="single" w:sz="8" w:color="D5EEEE"/>
            </w:tcBorders>
            <w:shd w:val="clear" w:color="auto" w:fill="D5EEEE"/>
          </w:tcPr>
          <w:p>
            <w:pPr>
              <w:spacing w:after="0"/>
              <w:rPr>
                <w:sz w:val="22"/>
                <w:szCs w:val="22"/>
                <w:color w:val="auto"/>
              </w:rPr>
            </w:pPr>
          </w:p>
        </w:tc>
        <w:tc>
          <w:tcPr>
            <w:tcW w:w="3000" w:type="dxa"/>
            <w:vAlign w:val="bottom"/>
            <w:tcBorders>
              <w:bottom w:val="single" w:sz="8" w:color="D5EEEE"/>
            </w:tcBorders>
            <w:shd w:val="clear" w:color="auto" w:fill="D5EEEE"/>
          </w:tcPr>
          <w:p>
            <w:pPr>
              <w:spacing w:after="0"/>
              <w:rPr>
                <w:sz w:val="22"/>
                <w:szCs w:val="22"/>
                <w:color w:val="auto"/>
              </w:rPr>
            </w:pPr>
          </w:p>
        </w:tc>
        <w:tc>
          <w:tcPr>
            <w:tcW w:w="180" w:type="dxa"/>
            <w:vAlign w:val="bottom"/>
            <w:tcBorders>
              <w:bottom w:val="single" w:sz="8" w:color="D5EEEE"/>
            </w:tcBorders>
            <w:shd w:val="clear" w:color="auto" w:fill="D5EEEE"/>
          </w:tcPr>
          <w:p>
            <w:pPr>
              <w:spacing w:after="0"/>
              <w:rPr>
                <w:sz w:val="22"/>
                <w:szCs w:val="22"/>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6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28,605</w:t>
            </w:r>
          </w:p>
        </w:tc>
        <w:tc>
          <w:tcPr>
            <w:tcW w:w="260" w:type="dxa"/>
            <w:vAlign w:val="bottom"/>
            <w:tcBorders>
              <w:bottom w:val="single" w:sz="8" w:color="D5EEEE"/>
            </w:tcBorders>
            <w:shd w:val="clear" w:color="auto" w:fill="D5EEEE"/>
          </w:tcPr>
          <w:p>
            <w:pPr>
              <w:spacing w:after="0"/>
              <w:rPr>
                <w:sz w:val="22"/>
                <w:szCs w:val="22"/>
                <w:color w:val="auto"/>
              </w:rPr>
            </w:pPr>
          </w:p>
        </w:tc>
        <w:tc>
          <w:tcPr>
            <w:tcW w:w="1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74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78,004</w:t>
            </w:r>
          </w:p>
        </w:tc>
        <w:tc>
          <w:tcPr>
            <w:tcW w:w="260" w:type="dxa"/>
            <w:vAlign w:val="bottom"/>
            <w:tcBorders>
              <w:bottom w:val="single" w:sz="8" w:color="D5EEEE"/>
            </w:tcBorders>
            <w:shd w:val="clear" w:color="auto" w:fill="D5EEEE"/>
          </w:tcPr>
          <w:p>
            <w:pPr>
              <w:spacing w:after="0"/>
              <w:rPr>
                <w:sz w:val="22"/>
                <w:szCs w:val="22"/>
                <w:color w:val="auto"/>
              </w:rPr>
            </w:pPr>
          </w:p>
        </w:tc>
        <w:tc>
          <w:tcPr>
            <w:tcW w:w="260" w:type="dxa"/>
            <w:vAlign w:val="bottom"/>
            <w:tcBorders>
              <w:bottom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shd w:val="clear" w:color="auto" w:fill="D5EEEE"/>
              </w:rPr>
              <w:t>$</w:t>
            </w:r>
          </w:p>
        </w:tc>
        <w:tc>
          <w:tcPr>
            <w:tcW w:w="380" w:type="dxa"/>
            <w:vAlign w:val="bottom"/>
            <w:tcBorders>
              <w:bottom w:val="single" w:sz="8" w:color="auto"/>
            </w:tcBorders>
            <w:shd w:val="clear" w:color="auto" w:fill="D5EEEE"/>
          </w:tcPr>
          <w:p>
            <w:pPr>
              <w:ind w:left="180"/>
              <w:spacing w:after="0"/>
              <w:rPr>
                <w:sz w:val="20"/>
                <w:szCs w:val="20"/>
                <w:color w:val="auto"/>
              </w:rPr>
            </w:pPr>
            <w:r>
              <w:rPr>
                <w:rFonts w:ascii="Times New Roman" w:cs="Times New Roman" w:eastAsia="Times New Roman" w:hAnsi="Times New Roman"/>
                <w:sz w:val="20"/>
                <w:szCs w:val="20"/>
                <w:color w:val="auto"/>
                <w:w w:val="89"/>
                <w:shd w:val="clear" w:color="auto" w:fill="D5EEEE"/>
              </w:rPr>
              <w:t>—</w:t>
            </w:r>
          </w:p>
        </w:tc>
        <w:tc>
          <w:tcPr>
            <w:tcW w:w="260" w:type="dxa"/>
            <w:vAlign w:val="bottom"/>
            <w:tcBorders>
              <w:bottom w:val="single" w:sz="8" w:color="D5EEEE"/>
            </w:tcBorders>
            <w:shd w:val="clear" w:color="auto" w:fill="D5EEEE"/>
          </w:tcPr>
          <w:p>
            <w:pPr>
              <w:spacing w:after="0"/>
              <w:rPr>
                <w:sz w:val="22"/>
                <w:szCs w:val="22"/>
                <w:color w:val="auto"/>
              </w:rPr>
            </w:pPr>
          </w:p>
        </w:tc>
        <w:tc>
          <w:tcPr>
            <w:tcW w:w="1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72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106,609</w:t>
            </w:r>
          </w:p>
        </w:tc>
        <w:tc>
          <w:tcPr>
            <w:tcW w:w="60" w:type="dxa"/>
            <w:vAlign w:val="bottom"/>
            <w:tcBorders>
              <w:bottom w:val="single" w:sz="8" w:color="D5EEEE"/>
            </w:tcBorders>
            <w:shd w:val="clear" w:color="auto" w:fill="D5EEEE"/>
          </w:tcPr>
          <w:p>
            <w:pPr>
              <w:spacing w:after="0"/>
              <w:rPr>
                <w:sz w:val="22"/>
                <w:szCs w:val="22"/>
                <w:color w:val="auto"/>
              </w:rPr>
            </w:pPr>
          </w:p>
        </w:tc>
      </w:tr>
      <w:tr>
        <w:trPr>
          <w:trHeight w:val="20"/>
        </w:trPr>
        <w:tc>
          <w:tcPr>
            <w:tcW w:w="2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-1775460</wp:posOffset>
            </wp:positionV>
            <wp:extent cx="256095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extLst>
                    </a:blip>
                    <a:srcRect/>
                    <a:stretch>
                      <a:fillRect/>
                    </a:stretch>
                  </pic:blipFill>
                  <pic:spPr bwMode="auto">
                    <a:xfrm>
                      <a:off x="0" y="0"/>
                      <a:ext cx="2560955" cy="38100"/>
                    </a:xfrm>
                    <a:prstGeom prst="rect">
                      <a:avLst/>
                    </a:prstGeom>
                    <a:noFill/>
                  </pic:spPr>
                </pic:pic>
              </a:graphicData>
            </a:graphic>
          </wp:anchor>
        </w:drawing>
      </w:r>
    </w:p>
    <w:p>
      <w:pPr>
        <w:spacing w:after="0" w:line="307" w:lineRule="exact"/>
        <w:rPr>
          <w:sz w:val="20"/>
          <w:szCs w:val="20"/>
          <w:color w:val="auto"/>
        </w:rPr>
      </w:pPr>
    </w:p>
    <w:p>
      <w:pPr>
        <w:ind w:left="488" w:hanging="488"/>
        <w:spacing w:after="0"/>
        <w:tabs>
          <w:tab w:leader="none" w:pos="488"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105" w:lineRule="exact"/>
        <w:rPr>
          <w:sz w:val="20"/>
          <w:szCs w:val="20"/>
          <w:color w:val="auto"/>
        </w:rPr>
      </w:pPr>
    </w:p>
    <w:p>
      <w:pPr>
        <w:ind w:left="8" w:firstLine="490"/>
        <w:spacing w:after="0" w:line="221" w:lineRule="auto"/>
        <w:rPr>
          <w:sz w:val="20"/>
          <w:szCs w:val="20"/>
          <w:color w:val="auto"/>
        </w:rPr>
      </w:pPr>
      <w:r>
        <w:rPr>
          <w:rFonts w:ascii="Times New Roman" w:cs="Times New Roman" w:eastAsia="Times New Roman" w:hAnsi="Times New Roman"/>
          <w:sz w:val="20"/>
          <w:szCs w:val="20"/>
          <w:color w:val="auto"/>
        </w:rPr>
        <w:t>The Company entered into a lease for office space in New Haven, Connecticut, effective March 1, 2013, and entered into a First Amendment (the “First Amendment”) to such lease on December 5, 2017 and a Second Amendment (the “Second Amendment”) to such lease on November 21, 2022 (collectively, the “Office Space Lease”). The leased space approximated 5,600 square feet and, prior to the Second Amendment, the Office Space Lease had a term of 60 months expiring on February 28, 2023. Under the First Amendment, the Company was required to make monthly payments ranging from approximately $10 to $12 through February 1, 2023 and received two designated months of free rent. As a result of the Company entering into the Second Amendment, the leased space increased to 12,500 square feet effective in March 2023 and the term for the Office Space Lease was extended for an additional 60 months from its prior termination date, until February 28, 2028. The Second Amendment requires monthly payments ranging from approximately $23 to $32 effective in March 2023 through February 2028. The first year of payments are based on 10,500 square feet of occupied space, the second year of payments are based on 11,500 square feet of occupied space and the remaining lease payments are based on 12,500 square feet of occupied space.</w:t>
      </w:r>
    </w:p>
    <w:p>
      <w:pPr>
        <w:spacing w:after="0" w:line="63" w:lineRule="exact"/>
        <w:rPr>
          <w:sz w:val="20"/>
          <w:szCs w:val="20"/>
          <w:color w:val="auto"/>
        </w:rPr>
      </w:pPr>
    </w:p>
    <w:p>
      <w:pPr>
        <w:ind w:left="8" w:right="80" w:firstLine="490"/>
        <w:spacing w:after="0" w:line="279" w:lineRule="auto"/>
        <w:rPr>
          <w:sz w:val="20"/>
          <w:szCs w:val="20"/>
          <w:color w:val="auto"/>
        </w:rPr>
      </w:pPr>
      <w:r>
        <w:rPr>
          <w:rFonts w:ascii="Times New Roman" w:cs="Times New Roman" w:eastAsia="Times New Roman" w:hAnsi="Times New Roman"/>
          <w:sz w:val="19"/>
          <w:szCs w:val="19"/>
          <w:color w:val="auto"/>
        </w:rPr>
        <w:t>In December 2022, the Company entered into a 24-month lease for the financing of the furniture installed in the Company’s new office space. The furniture lease requires monthly payments of approximately $11 starting in March 2023.</w:t>
      </w:r>
    </w:p>
    <w:p>
      <w:pPr>
        <w:sectPr>
          <w:pgSz w:w="12240" w:h="15840" w:orient="portrait"/>
          <w:cols w:equalWidth="0" w:num="1">
            <w:col w:w="9928"/>
          </w:cols>
          <w:pgMar w:left="1152" w:top="1128" w:right="11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928"/>
          </w:cols>
          <w:pgMar w:left="1152" w:top="1128" w:right="1160" w:bottom="186" w:gutter="0" w:footer="0" w:header="0"/>
          <w:type w:val="continuous"/>
        </w:sectPr>
      </w:pPr>
    </w:p>
    <w:bookmarkStart w:id="116" w:name="page117"/>
    <w:bookmarkEnd w:id="116"/>
    <w:p>
      <w:pPr>
        <w:ind w:right="540" w:firstLine="490"/>
        <w:spacing w:after="0" w:line="253" w:lineRule="auto"/>
        <w:rPr>
          <w:sz w:val="20"/>
          <w:szCs w:val="20"/>
          <w:color w:val="auto"/>
        </w:rPr>
      </w:pPr>
      <w:r>
        <w:rPr>
          <w:rFonts w:ascii="Times New Roman" w:cs="Times New Roman" w:eastAsia="Times New Roman" w:hAnsi="Times New Roman"/>
          <w:sz w:val="20"/>
          <w:szCs w:val="20"/>
          <w:color w:val="auto"/>
        </w:rPr>
        <w:t>The following table presents the Company’s lease-related assets and liabilities as presented on its 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60" w:type="dxa"/>
            <w:vAlign w:val="bottom"/>
          </w:tcPr>
          <w:p>
            <w:pPr>
              <w:spacing w:after="0"/>
              <w:rPr>
                <w:sz w:val="17"/>
                <w:szCs w:val="17"/>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Classification on the Consolidated Balance Sheet</w:t>
            </w: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4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360" w:type="dxa"/>
            <w:vAlign w:val="bottom"/>
            <w:vMerge w:val="continue"/>
          </w:tcPr>
          <w:p>
            <w:pPr>
              <w:spacing w:after="0"/>
              <w:rPr>
                <w:sz w:val="20"/>
                <w:szCs w:val="20"/>
                <w:color w:val="auto"/>
              </w:rPr>
            </w:pPr>
          </w:p>
        </w:tc>
        <w:tc>
          <w:tcPr>
            <w:tcW w:w="4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3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Operating lease assets</w:t>
            </w:r>
          </w:p>
        </w:tc>
        <w:tc>
          <w:tcPr>
            <w:tcW w:w="496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60" w:type="dxa"/>
            <w:vAlign w:val="bottom"/>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620" w:type="dxa"/>
            <w:vAlign w:val="bottom"/>
            <w:gridSpan w:val="2"/>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915</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60" w:type="dxa"/>
            <w:vAlign w:val="bottom"/>
            <w:tcBorders>
              <w:bottom w:val="single" w:sz="8" w:color="D5EEEE"/>
            </w:tcBorders>
          </w:tcPr>
          <w:p>
            <w:pPr>
              <w:ind w:left="100"/>
              <w:spacing w:after="0"/>
              <w:rPr>
                <w:sz w:val="20"/>
                <w:szCs w:val="20"/>
                <w:color w:val="auto"/>
              </w:rPr>
            </w:pPr>
            <w:r>
              <w:rPr>
                <w:rFonts w:ascii="Times New Roman" w:cs="Times New Roman" w:eastAsia="Times New Roman" w:hAnsi="Times New Roman"/>
                <w:sz w:val="20"/>
                <w:szCs w:val="20"/>
                <w:color w:val="auto"/>
              </w:rPr>
              <w:t>Finance lease assets</w:t>
            </w:r>
          </w:p>
        </w:tc>
        <w:tc>
          <w:tcPr>
            <w:tcW w:w="4960" w:type="dxa"/>
            <w:vAlign w:val="bottom"/>
            <w:tcBorders>
              <w:bottom w:val="single" w:sz="8" w:color="D5EEEE"/>
            </w:tcBorders>
            <w:gridSpan w:val="2"/>
          </w:tcPr>
          <w:p>
            <w:pPr>
              <w:spacing w:after="0"/>
              <w:rPr>
                <w:sz w:val="20"/>
                <w:szCs w:val="20"/>
                <w:color w:val="auto"/>
              </w:rPr>
            </w:pPr>
            <w:r>
              <w:rPr>
                <w:rFonts w:ascii="Times New Roman" w:cs="Times New Roman" w:eastAsia="Times New Roman" w:hAnsi="Times New Roman"/>
                <w:sz w:val="20"/>
                <w:szCs w:val="20"/>
                <w:color w:val="auto"/>
              </w:rPr>
              <w:t>Finance lease right-of-use assets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D5EEEE"/>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60" w:type="dxa"/>
            <w:vAlign w:val="bottom"/>
            <w:tcBorders>
              <w:bottom w:val="single" w:sz="8" w:color="D5EEEE"/>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360" w:type="dxa"/>
            <w:vAlign w:val="bottom"/>
            <w:tcBorders>
              <w:bottom w:val="single" w:sz="8" w:color="D5EEEE"/>
            </w:tcBorders>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Total lease assets</w:t>
            </w:r>
          </w:p>
        </w:tc>
        <w:tc>
          <w:tcPr>
            <w:tcW w:w="4800" w:type="dxa"/>
            <w:vAlign w:val="bottom"/>
            <w:tcBorders>
              <w:bottom w:val="single" w:sz="8" w:color="D5EEEE"/>
            </w:tcBorders>
            <w:shd w:val="clear" w:color="auto" w:fill="D5EEEE"/>
          </w:tcPr>
          <w:p>
            <w:pPr>
              <w:spacing w:after="0"/>
              <w:rPr>
                <w:sz w:val="22"/>
                <w:szCs w:val="22"/>
                <w:color w:val="auto"/>
              </w:rPr>
            </w:pPr>
          </w:p>
        </w:tc>
        <w:tc>
          <w:tcPr>
            <w:tcW w:w="160" w:type="dxa"/>
            <w:vAlign w:val="bottom"/>
            <w:tcBorders>
              <w:bottom w:val="single" w:sz="8" w:color="D5EEEE"/>
            </w:tcBorders>
            <w:shd w:val="clear" w:color="auto" w:fill="D5EEEE"/>
          </w:tcPr>
          <w:p>
            <w:pPr>
              <w:spacing w:after="0"/>
              <w:rPr>
                <w:sz w:val="22"/>
                <w:szCs w:val="22"/>
                <w:color w:val="auto"/>
              </w:rPr>
            </w:pPr>
          </w:p>
        </w:tc>
        <w:tc>
          <w:tcPr>
            <w:tcW w:w="26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677</w:t>
            </w:r>
          </w:p>
        </w:tc>
        <w:tc>
          <w:tcPr>
            <w:tcW w:w="260" w:type="dxa"/>
            <w:vAlign w:val="bottom"/>
            <w:tcBorders>
              <w:bottom w:val="single" w:sz="8" w:color="D5EEEE"/>
            </w:tcBorders>
            <w:shd w:val="clear" w:color="auto" w:fill="D5EEEE"/>
          </w:tcPr>
          <w:p>
            <w:pPr>
              <w:spacing w:after="0"/>
              <w:rPr>
                <w:sz w:val="22"/>
                <w:szCs w:val="22"/>
                <w:color w:val="auto"/>
              </w:rPr>
            </w:pPr>
          </w:p>
        </w:tc>
        <w:tc>
          <w:tcPr>
            <w:tcW w:w="36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1,072</w:t>
            </w:r>
          </w:p>
        </w:tc>
        <w:tc>
          <w:tcPr>
            <w:tcW w:w="6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60" w:type="dxa"/>
            <w:vAlign w:val="bottom"/>
            <w:vMerge w:val="continue"/>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Current</w:t>
            </w:r>
          </w:p>
        </w:tc>
        <w:tc>
          <w:tcPr>
            <w:tcW w:w="4800" w:type="dxa"/>
            <w:vAlign w:val="bottom"/>
            <w:shd w:val="clear" w:color="auto" w:fill="D5EEEE"/>
          </w:tcPr>
          <w:p>
            <w:pPr>
              <w:spacing w:after="0"/>
              <w:rPr>
                <w:sz w:val="21"/>
                <w:szCs w:val="21"/>
                <w:color w:val="auto"/>
              </w:rPr>
            </w:pPr>
          </w:p>
        </w:tc>
        <w:tc>
          <w:tcPr>
            <w:tcW w:w="16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900" w:type="dxa"/>
            <w:vAlign w:val="bottom"/>
            <w:shd w:val="clear" w:color="auto" w:fill="D5EEEE"/>
          </w:tcPr>
          <w:p>
            <w:pPr>
              <w:spacing w:after="0"/>
              <w:rPr>
                <w:sz w:val="21"/>
                <w:szCs w:val="21"/>
                <w:color w:val="auto"/>
              </w:rPr>
            </w:pPr>
          </w:p>
        </w:tc>
        <w:tc>
          <w:tcPr>
            <w:tcW w:w="26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76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Operating lease liabilities, current portion</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6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Finance lease liabilities</w:t>
            </w:r>
          </w:p>
        </w:tc>
        <w:tc>
          <w:tcPr>
            <w:tcW w:w="4960" w:type="dxa"/>
            <w:vAlign w:val="bottom"/>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Finance lease liabilities, current portion</w:t>
            </w:r>
          </w:p>
        </w:tc>
        <w:tc>
          <w:tcPr>
            <w:tcW w:w="260" w:type="dxa"/>
            <w:vAlign w:val="bottom"/>
            <w:shd w:val="clear" w:color="auto" w:fill="D5EEEE"/>
          </w:tcPr>
          <w:p>
            <w:pPr>
              <w:spacing w:after="0"/>
              <w:rPr>
                <w:sz w:val="21"/>
                <w:szCs w:val="21"/>
                <w:color w:val="auto"/>
              </w:rPr>
            </w:pPr>
          </w:p>
        </w:tc>
        <w:tc>
          <w:tcPr>
            <w:tcW w:w="9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7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60" w:type="dxa"/>
            <w:vAlign w:val="bottom"/>
          </w:tcPr>
          <w:p>
            <w:pPr>
              <w:spacing w:after="0"/>
              <w:rPr>
                <w:sz w:val="20"/>
                <w:szCs w:val="20"/>
                <w:color w:val="auto"/>
              </w:rPr>
            </w:pPr>
            <w:r>
              <w:rPr>
                <w:rFonts w:ascii="Times New Roman" w:cs="Times New Roman" w:eastAsia="Times New Roman" w:hAnsi="Times New Roman"/>
                <w:sz w:val="20"/>
                <w:szCs w:val="20"/>
                <w:color w:val="auto"/>
              </w:rPr>
              <w:t>Non-current</w:t>
            </w:r>
          </w:p>
        </w:tc>
        <w:tc>
          <w:tcPr>
            <w:tcW w:w="4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360" w:type="dxa"/>
            <w:vAlign w:val="bottom"/>
            <w:tcBorders>
              <w:bottom w:val="single" w:sz="8" w:color="D5EEEE"/>
            </w:tcBorders>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4960" w:type="dxa"/>
            <w:vAlign w:val="bottom"/>
            <w:tcBorders>
              <w:bottom w:val="single" w:sz="8" w:color="D5EEEE"/>
            </w:tcBorders>
            <w:gridSpan w:val="2"/>
            <w:shd w:val="clear" w:color="auto" w:fill="D5EEEE"/>
          </w:tcPr>
          <w:p>
            <w:pPr>
              <w:spacing w:after="0"/>
              <w:rPr>
                <w:sz w:val="20"/>
                <w:szCs w:val="20"/>
                <w:color w:val="auto"/>
              </w:rPr>
            </w:pPr>
            <w:r>
              <w:rPr>
                <w:rFonts w:ascii="Times New Roman" w:cs="Times New Roman" w:eastAsia="Times New Roman" w:hAnsi="Times New Roman"/>
                <w:sz w:val="20"/>
                <w:szCs w:val="20"/>
                <w:color w:val="auto"/>
              </w:rPr>
              <w:t>Operating lease liabilities, non-current portion</w:t>
            </w:r>
          </w:p>
        </w:tc>
        <w:tc>
          <w:tcPr>
            <w:tcW w:w="260" w:type="dxa"/>
            <w:vAlign w:val="bottom"/>
            <w:tcBorders>
              <w:bottom w:val="single" w:sz="8" w:color="auto"/>
            </w:tcBorders>
            <w:shd w:val="clear" w:color="auto" w:fill="D5EEEE"/>
          </w:tcPr>
          <w:p>
            <w:pPr>
              <w:spacing w:after="0"/>
              <w:rPr>
                <w:sz w:val="21"/>
                <w:szCs w:val="21"/>
                <w:color w:val="auto"/>
              </w:rPr>
            </w:pPr>
          </w:p>
        </w:tc>
        <w:tc>
          <w:tcPr>
            <w:tcW w:w="9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260" w:type="dxa"/>
            <w:vAlign w:val="bottom"/>
            <w:tcBorders>
              <w:bottom w:val="single" w:sz="8" w:color="D5EEEE"/>
            </w:tcBorders>
            <w:shd w:val="clear" w:color="auto" w:fill="D5EEEE"/>
          </w:tcPr>
          <w:p>
            <w:pPr>
              <w:spacing w:after="0"/>
              <w:rPr>
                <w:sz w:val="21"/>
                <w:szCs w:val="21"/>
                <w:color w:val="auto"/>
              </w:rPr>
            </w:pPr>
          </w:p>
        </w:tc>
        <w:tc>
          <w:tcPr>
            <w:tcW w:w="360" w:type="dxa"/>
            <w:vAlign w:val="bottom"/>
            <w:tcBorders>
              <w:bottom w:val="single" w:sz="8" w:color="auto"/>
            </w:tcBorders>
            <w:shd w:val="clear" w:color="auto" w:fill="D5EEEE"/>
          </w:tcPr>
          <w:p>
            <w:pPr>
              <w:spacing w:after="0"/>
              <w:rPr>
                <w:sz w:val="21"/>
                <w:szCs w:val="21"/>
                <w:color w:val="auto"/>
              </w:rPr>
            </w:pP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60" w:type="dxa"/>
            <w:vAlign w:val="bottom"/>
            <w:tcBorders>
              <w:bottom w:val="single" w:sz="8" w:color="D5EEEE"/>
            </w:tcBorders>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360" w:type="dxa"/>
            <w:vAlign w:val="bottom"/>
            <w:tcBorders>
              <w:bottom w:val="single" w:sz="8" w:color="D5EEEE"/>
            </w:tcBorders>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Total lease liabilities</w:t>
            </w:r>
          </w:p>
        </w:tc>
        <w:tc>
          <w:tcPr>
            <w:tcW w:w="4800" w:type="dxa"/>
            <w:vAlign w:val="bottom"/>
            <w:tcBorders>
              <w:bottom w:val="single" w:sz="8" w:color="D5EEEE"/>
            </w:tcBorders>
            <w:shd w:val="clear" w:color="auto" w:fill="D5EEEE"/>
          </w:tcPr>
          <w:p>
            <w:pPr>
              <w:spacing w:after="0"/>
              <w:rPr>
                <w:sz w:val="22"/>
                <w:szCs w:val="22"/>
                <w:color w:val="auto"/>
              </w:rPr>
            </w:pPr>
          </w:p>
        </w:tc>
        <w:tc>
          <w:tcPr>
            <w:tcW w:w="160" w:type="dxa"/>
            <w:vAlign w:val="bottom"/>
            <w:tcBorders>
              <w:bottom w:val="single" w:sz="8" w:color="D5EEEE"/>
            </w:tcBorders>
            <w:shd w:val="clear" w:color="auto" w:fill="D5EEEE"/>
          </w:tcPr>
          <w:p>
            <w:pPr>
              <w:spacing w:after="0"/>
              <w:rPr>
                <w:sz w:val="22"/>
                <w:szCs w:val="22"/>
                <w:color w:val="auto"/>
              </w:rPr>
            </w:pPr>
          </w:p>
        </w:tc>
        <w:tc>
          <w:tcPr>
            <w:tcW w:w="260" w:type="dxa"/>
            <w:vAlign w:val="bottom"/>
            <w:tcBorders>
              <w:bottom w:val="single" w:sz="8" w:color="auto"/>
            </w:tcBorders>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753</w:t>
            </w:r>
          </w:p>
        </w:tc>
        <w:tc>
          <w:tcPr>
            <w:tcW w:w="260" w:type="dxa"/>
            <w:vAlign w:val="bottom"/>
            <w:tcBorders>
              <w:bottom w:val="single" w:sz="8" w:color="D5EEEE"/>
            </w:tcBorders>
            <w:shd w:val="clear" w:color="auto" w:fill="D5EEEE"/>
          </w:tcPr>
          <w:p>
            <w:pPr>
              <w:spacing w:after="0"/>
              <w:rPr>
                <w:sz w:val="22"/>
                <w:szCs w:val="22"/>
                <w:color w:val="auto"/>
              </w:rPr>
            </w:pPr>
          </w:p>
        </w:tc>
        <w:tc>
          <w:tcPr>
            <w:tcW w:w="360" w:type="dxa"/>
            <w:vAlign w:val="bottom"/>
            <w:tcBorders>
              <w:bottom w:val="single" w:sz="8" w:color="auto"/>
            </w:tcBorders>
            <w:shd w:val="clear" w:color="auto" w:fill="D5EEEE"/>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60" w:type="dxa"/>
            <w:vAlign w:val="bottom"/>
            <w:tcBorders>
              <w:bottom w:val="single" w:sz="8" w:color="D5EEEE"/>
            </w:tcBorders>
            <w:shd w:val="clear" w:color="auto" w:fill="D5EEE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presents information related to the Company’s lease expense for the periods shown:</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65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9"/>
        </w:trPr>
        <w:tc>
          <w:tcPr>
            <w:tcW w:w="6540" w:type="dxa"/>
            <w:vAlign w:val="bottom"/>
            <w:tcBorders>
              <w:bottom w:val="single" w:sz="8" w:color="D5EEEE"/>
            </w:tcBorders>
          </w:tcPr>
          <w:p>
            <w:pPr>
              <w:spacing w:after="0"/>
              <w:rPr>
                <w:sz w:val="15"/>
                <w:szCs w:val="15"/>
                <w:color w:val="auto"/>
              </w:rPr>
            </w:pPr>
          </w:p>
        </w:tc>
        <w:tc>
          <w:tcPr>
            <w:tcW w:w="1020" w:type="dxa"/>
            <w:vAlign w:val="bottom"/>
            <w:tcBorders>
              <w:bottom w:val="single" w:sz="8" w:color="auto"/>
            </w:tcBorders>
          </w:tcPr>
          <w:p>
            <w:pPr>
              <w:jc w:val="right"/>
              <w:ind w:right="27"/>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5"/>
                <w:szCs w:val="15"/>
                <w:color w:val="auto"/>
              </w:rPr>
            </w:pPr>
          </w:p>
        </w:tc>
        <w:tc>
          <w:tcPr>
            <w:tcW w:w="400" w:type="dxa"/>
            <w:vAlign w:val="bottom"/>
            <w:tcBorders>
              <w:bottom w:val="single" w:sz="8" w:color="D5EEEE"/>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5"/>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5EEEE"/>
            </w:tcBorders>
          </w:tcPr>
          <w:p>
            <w:pPr>
              <w:spacing w:after="0"/>
              <w:rPr>
                <w:sz w:val="15"/>
                <w:szCs w:val="15"/>
                <w:color w:val="auto"/>
              </w:rPr>
            </w:pPr>
          </w:p>
        </w:tc>
      </w:tr>
      <w:tr>
        <w:trPr>
          <w:trHeight w:val="225"/>
        </w:trPr>
        <w:tc>
          <w:tcPr>
            <w:tcW w:w="654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Operating lease expense</w:t>
            </w:r>
          </w:p>
        </w:tc>
        <w:tc>
          <w:tcPr>
            <w:tcW w:w="1020" w:type="dxa"/>
            <w:vAlign w:val="bottom"/>
            <w:shd w:val="clear" w:color="auto" w:fill="D5EEEE"/>
          </w:tcPr>
          <w:p>
            <w:pPr>
              <w:jc w:val="right"/>
              <w:ind w:right="82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342</w:t>
            </w:r>
          </w:p>
        </w:tc>
        <w:tc>
          <w:tcPr>
            <w:tcW w:w="400" w:type="dxa"/>
            <w:vAlign w:val="bottom"/>
            <w:shd w:val="clear" w:color="auto" w:fill="D5EEEE"/>
          </w:tcPr>
          <w:p>
            <w:pPr>
              <w:spacing w:after="0"/>
              <w:rPr>
                <w:sz w:val="19"/>
                <w:szCs w:val="19"/>
                <w:color w:val="auto"/>
              </w:rPr>
            </w:pPr>
          </w:p>
        </w:tc>
        <w:tc>
          <w:tcPr>
            <w:tcW w:w="420" w:type="dxa"/>
            <w:vAlign w:val="bottom"/>
            <w:shd w:val="clear" w:color="auto" w:fill="D5EEEE"/>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341</w:t>
            </w:r>
          </w:p>
        </w:tc>
        <w:tc>
          <w:tcPr>
            <w:tcW w:w="60" w:type="dxa"/>
            <w:vAlign w:val="bottom"/>
            <w:shd w:val="clear" w:color="auto" w:fill="D5EEEE"/>
          </w:tcPr>
          <w:p>
            <w:pPr>
              <w:spacing w:after="0"/>
              <w:rPr>
                <w:sz w:val="19"/>
                <w:szCs w:val="19"/>
                <w:color w:val="auto"/>
              </w:rPr>
            </w:pPr>
          </w:p>
        </w:tc>
      </w:tr>
      <w:tr>
        <w:trPr>
          <w:trHeight w:val="230"/>
        </w:trPr>
        <w:tc>
          <w:tcPr>
            <w:tcW w:w="65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Finance lease expense</w:t>
            </w:r>
          </w:p>
        </w:tc>
        <w:tc>
          <w:tcPr>
            <w:tcW w:w="10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400" w:type="dxa"/>
            <w:vAlign w:val="bottom"/>
            <w:tcBorders>
              <w:bottom w:val="single" w:sz="8" w:color="D5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60" w:type="dxa"/>
            <w:vAlign w:val="bottom"/>
            <w:tcBorders>
              <w:bottom w:val="single" w:sz="8" w:color="D5EEEE"/>
            </w:tcBorders>
          </w:tcPr>
          <w:p>
            <w:pPr>
              <w:spacing w:after="0"/>
              <w:rPr>
                <w:sz w:val="19"/>
                <w:szCs w:val="19"/>
                <w:color w:val="auto"/>
              </w:rPr>
            </w:pPr>
          </w:p>
        </w:tc>
      </w:tr>
      <w:tr>
        <w:trPr>
          <w:trHeight w:val="245"/>
        </w:trPr>
        <w:tc>
          <w:tcPr>
            <w:tcW w:w="6540" w:type="dxa"/>
            <w:vAlign w:val="bottom"/>
            <w:tcBorders>
              <w:bottom w:val="single" w:sz="8" w:color="D5EEEE"/>
            </w:tcBorders>
            <w:shd w:val="clear" w:color="auto" w:fill="D5EEEE"/>
          </w:tcPr>
          <w:p>
            <w:pPr>
              <w:ind w:left="100"/>
              <w:spacing w:after="0" w:line="225" w:lineRule="exact"/>
              <w:rPr>
                <w:sz w:val="20"/>
                <w:szCs w:val="20"/>
                <w:color w:val="auto"/>
              </w:rPr>
            </w:pPr>
            <w:r>
              <w:rPr>
                <w:rFonts w:ascii="Times New Roman" w:cs="Times New Roman" w:eastAsia="Times New Roman" w:hAnsi="Times New Roman"/>
                <w:sz w:val="20"/>
                <w:szCs w:val="20"/>
                <w:color w:val="auto"/>
              </w:rPr>
              <w:t>Total lease expense</w:t>
            </w:r>
          </w:p>
        </w:tc>
        <w:tc>
          <w:tcPr>
            <w:tcW w:w="1020" w:type="dxa"/>
            <w:vAlign w:val="bottom"/>
            <w:tcBorders>
              <w:bottom w:val="single" w:sz="8" w:color="auto"/>
            </w:tcBorders>
            <w:shd w:val="clear" w:color="auto" w:fill="D5EEEE"/>
          </w:tcPr>
          <w:p>
            <w:pPr>
              <w:jc w:val="right"/>
              <w:ind w:right="82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354</w:t>
            </w:r>
          </w:p>
        </w:tc>
        <w:tc>
          <w:tcPr>
            <w:tcW w:w="400" w:type="dxa"/>
            <w:vAlign w:val="bottom"/>
            <w:tcBorders>
              <w:bottom w:val="single" w:sz="8" w:color="D5EEEE"/>
            </w:tcBorders>
            <w:shd w:val="clear" w:color="auto" w:fill="D5EEEE"/>
          </w:tcPr>
          <w:p>
            <w:pPr>
              <w:spacing w:after="0"/>
              <w:rPr>
                <w:sz w:val="21"/>
                <w:szCs w:val="21"/>
                <w:color w:val="auto"/>
              </w:rPr>
            </w:pPr>
          </w:p>
        </w:tc>
        <w:tc>
          <w:tcPr>
            <w:tcW w:w="420" w:type="dxa"/>
            <w:vAlign w:val="bottom"/>
            <w:tcBorders>
              <w:bottom w:val="single" w:sz="8" w:color="auto"/>
            </w:tcBorders>
            <w:shd w:val="clear" w:color="auto" w:fill="D5EEEE"/>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389</w:t>
            </w:r>
          </w:p>
        </w:tc>
        <w:tc>
          <w:tcPr>
            <w:tcW w:w="60" w:type="dxa"/>
            <w:vAlign w:val="bottom"/>
            <w:tcBorders>
              <w:bottom w:val="single" w:sz="8" w:color="D5EEEE"/>
            </w:tcBorders>
            <w:shd w:val="clear" w:color="auto" w:fill="D5EEEE"/>
          </w:tcPr>
          <w:p>
            <w:pPr>
              <w:spacing w:after="0"/>
              <w:rPr>
                <w:sz w:val="21"/>
                <w:szCs w:val="21"/>
                <w:color w:val="auto"/>
              </w:rPr>
            </w:pPr>
          </w:p>
        </w:tc>
      </w:tr>
      <w:tr>
        <w:trPr>
          <w:trHeight w:val="20"/>
        </w:trPr>
        <w:tc>
          <w:tcPr>
            <w:tcW w:w="6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Future minimum lease payments from December 31, 2025 until the expiration of the leases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39"/>
        </w:trPr>
        <w:tc>
          <w:tcPr>
            <w:tcW w:w="622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2026</w:t>
            </w:r>
          </w:p>
        </w:tc>
        <w:tc>
          <w:tcPr>
            <w:tcW w:w="1820" w:type="dxa"/>
            <w:vAlign w:val="bottom"/>
            <w:tcBorders>
              <w:top w:val="single" w:sz="8" w:color="D5EEEE"/>
            </w:tcBorders>
            <w:shd w:val="clear" w:color="auto" w:fill="D5EEEE"/>
          </w:tcPr>
          <w:p>
            <w:pPr>
              <w:spacing w:after="0"/>
              <w:rPr>
                <w:sz w:val="20"/>
                <w:szCs w:val="20"/>
                <w:color w:val="auto"/>
              </w:rPr>
            </w:pPr>
          </w:p>
        </w:tc>
        <w:tc>
          <w:tcPr>
            <w:tcW w:w="2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371</w:t>
            </w:r>
          </w:p>
        </w:tc>
        <w:tc>
          <w:tcPr>
            <w:tcW w:w="80" w:type="dxa"/>
            <w:vAlign w:val="bottom"/>
            <w:tcBorders>
              <w:top w:val="single" w:sz="8" w:color="D5EEEE"/>
            </w:tcBorders>
            <w:shd w:val="clear" w:color="auto" w:fill="D5EEEE"/>
          </w:tcPr>
          <w:p>
            <w:pPr>
              <w:spacing w:after="0"/>
              <w:rPr>
                <w:sz w:val="20"/>
                <w:szCs w:val="20"/>
                <w:color w:val="auto"/>
              </w:rPr>
            </w:pPr>
          </w:p>
        </w:tc>
      </w:tr>
      <w:tr>
        <w:trPr>
          <w:trHeight w:val="244"/>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80" w:type="dxa"/>
            <w:vAlign w:val="bottom"/>
          </w:tcPr>
          <w:p>
            <w:pPr>
              <w:spacing w:after="0"/>
              <w:rPr>
                <w:sz w:val="21"/>
                <w:szCs w:val="21"/>
                <w:color w:val="auto"/>
              </w:rPr>
            </w:pPr>
          </w:p>
        </w:tc>
      </w:tr>
      <w:tr>
        <w:trPr>
          <w:trHeight w:val="244"/>
        </w:trPr>
        <w:tc>
          <w:tcPr>
            <w:tcW w:w="622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2028</w:t>
            </w:r>
          </w:p>
        </w:tc>
        <w:tc>
          <w:tcPr>
            <w:tcW w:w="182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16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80" w:type="dxa"/>
            <w:vAlign w:val="bottom"/>
            <w:shd w:val="clear" w:color="auto" w:fill="D5EEEE"/>
          </w:tcPr>
          <w:p>
            <w:pPr>
              <w:spacing w:after="0"/>
              <w:rPr>
                <w:sz w:val="21"/>
                <w:szCs w:val="21"/>
                <w:color w:val="auto"/>
              </w:rPr>
            </w:pPr>
          </w:p>
        </w:tc>
      </w:tr>
      <w:tr>
        <w:trPr>
          <w:trHeight w:val="244"/>
        </w:trPr>
        <w:tc>
          <w:tcPr>
            <w:tcW w:w="622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r>
      <w:tr>
        <w:trPr>
          <w:trHeight w:val="239"/>
        </w:trPr>
        <w:tc>
          <w:tcPr>
            <w:tcW w:w="622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Total minimum lease payments</w:t>
            </w:r>
          </w:p>
        </w:tc>
        <w:tc>
          <w:tcPr>
            <w:tcW w:w="1820" w:type="dxa"/>
            <w:vAlign w:val="bottom"/>
            <w:tcBorders>
              <w:top w:val="single" w:sz="8" w:color="D5EEEE"/>
            </w:tcBorders>
            <w:shd w:val="clear" w:color="auto" w:fill="D5EEEE"/>
          </w:tcPr>
          <w:p>
            <w:pPr>
              <w:spacing w:after="0"/>
              <w:rPr>
                <w:sz w:val="20"/>
                <w:szCs w:val="20"/>
                <w:color w:val="auto"/>
              </w:rPr>
            </w:pPr>
          </w:p>
        </w:tc>
        <w:tc>
          <w:tcPr>
            <w:tcW w:w="200" w:type="dxa"/>
            <w:vAlign w:val="bottom"/>
            <w:tcBorders>
              <w:top w:val="single" w:sz="8" w:color="auto"/>
            </w:tcBorders>
            <w:shd w:val="clear" w:color="auto" w:fill="D5EEEE"/>
          </w:tcPr>
          <w:p>
            <w:pPr>
              <w:spacing w:after="0"/>
              <w:rPr>
                <w:sz w:val="20"/>
                <w:szCs w:val="20"/>
                <w:color w:val="auto"/>
              </w:rPr>
            </w:pPr>
          </w:p>
        </w:tc>
        <w:tc>
          <w:tcPr>
            <w:tcW w:w="160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80" w:type="dxa"/>
            <w:vAlign w:val="bottom"/>
            <w:tcBorders>
              <w:top w:val="single" w:sz="8" w:color="D5EEEE"/>
            </w:tcBorders>
            <w:shd w:val="clear" w:color="auto" w:fill="D5EEEE"/>
          </w:tcPr>
          <w:p>
            <w:pPr>
              <w:spacing w:after="0"/>
              <w:rPr>
                <w:sz w:val="20"/>
                <w:szCs w:val="20"/>
                <w:color w:val="auto"/>
              </w:rPr>
            </w:pPr>
          </w:p>
        </w:tc>
      </w:tr>
      <w:tr>
        <w:trPr>
          <w:trHeight w:val="244"/>
        </w:trPr>
        <w:tc>
          <w:tcPr>
            <w:tcW w:w="6220" w:type="dxa"/>
            <w:vAlign w:val="bottom"/>
            <w:tcBorders>
              <w:bottom w:val="single" w:sz="8" w:color="D5EEEE"/>
            </w:tcBorders>
          </w:tcPr>
          <w:p>
            <w:pPr>
              <w:ind w:left="100"/>
              <w:spacing w:after="0"/>
              <w:rPr>
                <w:sz w:val="20"/>
                <w:szCs w:val="20"/>
                <w:color w:val="auto"/>
              </w:rPr>
            </w:pPr>
            <w:r>
              <w:rPr>
                <w:rFonts w:ascii="Times New Roman" w:cs="Times New Roman" w:eastAsia="Times New Roman" w:hAnsi="Times New Roman"/>
                <w:sz w:val="20"/>
                <w:szCs w:val="20"/>
                <w:color w:val="auto"/>
              </w:rPr>
              <w:t>Less: Amount of lease payments representing interest</w:t>
            </w:r>
          </w:p>
        </w:tc>
        <w:tc>
          <w:tcPr>
            <w:tcW w:w="1820" w:type="dxa"/>
            <w:vAlign w:val="bottom"/>
            <w:tcBorders>
              <w:bottom w:val="single" w:sz="8" w:color="D5EEEE"/>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80" w:type="dxa"/>
            <w:vAlign w:val="bottom"/>
            <w:tcBorders>
              <w:bottom w:val="single" w:sz="8" w:color="D5EEEE"/>
            </w:tcBorders>
          </w:tcPr>
          <w:p>
            <w:pPr>
              <w:spacing w:after="0"/>
              <w:rPr>
                <w:sz w:val="21"/>
                <w:szCs w:val="21"/>
                <w:color w:val="auto"/>
              </w:rPr>
            </w:pPr>
          </w:p>
        </w:tc>
      </w:tr>
      <w:tr>
        <w:trPr>
          <w:trHeight w:val="259"/>
        </w:trPr>
        <w:tc>
          <w:tcPr>
            <w:tcW w:w="6220" w:type="dxa"/>
            <w:vAlign w:val="bottom"/>
            <w:tcBorders>
              <w:bottom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Present value of future minimum lease payments</w:t>
            </w:r>
          </w:p>
        </w:tc>
        <w:tc>
          <w:tcPr>
            <w:tcW w:w="1820" w:type="dxa"/>
            <w:vAlign w:val="bottom"/>
            <w:tcBorders>
              <w:bottom w:val="single" w:sz="8" w:color="D5EEEE"/>
            </w:tcBorders>
            <w:shd w:val="clear" w:color="auto" w:fill="D5EEEE"/>
          </w:tcPr>
          <w:p>
            <w:pPr>
              <w:spacing w:after="0"/>
              <w:rPr>
                <w:sz w:val="22"/>
                <w:szCs w:val="22"/>
                <w:color w:val="auto"/>
              </w:rPr>
            </w:pPr>
          </w:p>
        </w:tc>
        <w:tc>
          <w:tcPr>
            <w:tcW w:w="2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600" w:type="dxa"/>
            <w:vAlign w:val="bottom"/>
            <w:tcBorders>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753</w:t>
            </w:r>
          </w:p>
        </w:tc>
        <w:tc>
          <w:tcPr>
            <w:tcW w:w="80" w:type="dxa"/>
            <w:vAlign w:val="bottom"/>
            <w:tcBorders>
              <w:bottom w:val="single" w:sz="8" w:color="D5EEEE"/>
            </w:tcBorders>
            <w:shd w:val="clear" w:color="auto" w:fill="D5EEEE"/>
          </w:tcPr>
          <w:p>
            <w:pPr>
              <w:spacing w:after="0"/>
              <w:rPr>
                <w:sz w:val="22"/>
                <w:szCs w:val="22"/>
                <w:color w:val="auto"/>
              </w:rPr>
            </w:pPr>
          </w:p>
        </w:tc>
      </w:tr>
      <w:tr>
        <w:trPr>
          <w:trHeight w:val="20"/>
        </w:trPr>
        <w:tc>
          <w:tcPr>
            <w:tcW w:w="6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firstLine="490"/>
        <w:spacing w:after="0" w:line="290" w:lineRule="auto"/>
        <w:rPr>
          <w:sz w:val="20"/>
          <w:szCs w:val="20"/>
          <w:color w:val="auto"/>
        </w:rPr>
      </w:pPr>
      <w:r>
        <w:rPr>
          <w:rFonts w:ascii="Times New Roman" w:cs="Times New Roman" w:eastAsia="Times New Roman" w:hAnsi="Times New Roman"/>
          <w:sz w:val="20"/>
          <w:szCs w:val="20"/>
          <w:color w:val="auto"/>
        </w:rPr>
        <w:t>The following table presents certain information related to the lease terms and discount rates for the Company’s leases: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remaining lease term:</w:t>
            </w:r>
          </w:p>
        </w:tc>
        <w:tc>
          <w:tcPr>
            <w:tcW w:w="158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40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39"/>
        </w:trPr>
        <w:tc>
          <w:tcPr>
            <w:tcW w:w="544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Operating leases</w:t>
            </w:r>
          </w:p>
        </w:tc>
        <w:tc>
          <w:tcPr>
            <w:tcW w:w="1580" w:type="dxa"/>
            <w:vAlign w:val="bottom"/>
            <w:shd w:val="clear" w:color="auto" w:fill="D5EEEE"/>
          </w:tcPr>
          <w:p>
            <w:pPr>
              <w:ind w:left="680"/>
              <w:spacing w:after="0"/>
              <w:rPr>
                <w:sz w:val="20"/>
                <w:szCs w:val="20"/>
                <w:color w:val="auto"/>
              </w:rPr>
            </w:pPr>
            <w:r>
              <w:rPr>
                <w:rFonts w:ascii="Times New Roman" w:cs="Times New Roman" w:eastAsia="Times New Roman" w:hAnsi="Times New Roman"/>
                <w:sz w:val="20"/>
                <w:szCs w:val="20"/>
                <w:color w:val="auto"/>
              </w:rPr>
              <w:t>2.2 years</w:t>
            </w:r>
          </w:p>
        </w:tc>
        <w:tc>
          <w:tcPr>
            <w:tcW w:w="48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480" w:type="dxa"/>
            <w:vAlign w:val="bottom"/>
            <w:shd w:val="clear" w:color="auto" w:fill="D5EEEE"/>
          </w:tcPr>
          <w:p>
            <w:pPr>
              <w:spacing w:after="0"/>
              <w:rPr>
                <w:sz w:val="21"/>
                <w:szCs w:val="21"/>
                <w:color w:val="auto"/>
              </w:rPr>
            </w:pPr>
          </w:p>
        </w:tc>
        <w:tc>
          <w:tcPr>
            <w:tcW w:w="1580" w:type="dxa"/>
            <w:vAlign w:val="bottom"/>
            <w:shd w:val="clear" w:color="auto" w:fill="D5EEEE"/>
          </w:tcPr>
          <w:p>
            <w:pPr>
              <w:ind w:left="180"/>
              <w:spacing w:after="0"/>
              <w:rPr>
                <w:sz w:val="20"/>
                <w:szCs w:val="20"/>
                <w:color w:val="auto"/>
              </w:rPr>
            </w:pPr>
            <w:r>
              <w:rPr>
                <w:rFonts w:ascii="Times New Roman" w:cs="Times New Roman" w:eastAsia="Times New Roman" w:hAnsi="Times New Roman"/>
                <w:sz w:val="20"/>
                <w:szCs w:val="20"/>
                <w:color w:val="auto"/>
              </w:rPr>
              <w:t>3.3 years</w:t>
            </w:r>
          </w:p>
        </w:tc>
        <w:tc>
          <w:tcPr>
            <w:tcW w:w="0" w:type="dxa"/>
            <w:vAlign w:val="bottom"/>
          </w:tcPr>
          <w:p>
            <w:pPr>
              <w:spacing w:after="0"/>
              <w:rPr>
                <w:sz w:val="1"/>
                <w:szCs w:val="1"/>
                <w:color w:val="auto"/>
              </w:rPr>
            </w:pPr>
          </w:p>
        </w:tc>
      </w:tr>
      <w:tr>
        <w:trPr>
          <w:trHeight w:val="244"/>
        </w:trPr>
        <w:tc>
          <w:tcPr>
            <w:tcW w:w="5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Finance leases</w:t>
            </w:r>
          </w:p>
        </w:tc>
        <w:tc>
          <w:tcPr>
            <w:tcW w:w="1580" w:type="dxa"/>
            <w:vAlign w:val="bottom"/>
          </w:tcPr>
          <w:p>
            <w:pPr>
              <w:spacing w:after="0"/>
              <w:rPr>
                <w:sz w:val="21"/>
                <w:szCs w:val="21"/>
                <w:color w:val="auto"/>
              </w:rPr>
            </w:pPr>
          </w:p>
        </w:tc>
        <w:tc>
          <w:tcPr>
            <w:tcW w:w="13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0.3 years</w:t>
            </w:r>
          </w:p>
        </w:tc>
        <w:tc>
          <w:tcPr>
            <w:tcW w:w="0" w:type="dxa"/>
            <w:vAlign w:val="bottom"/>
          </w:tcPr>
          <w:p>
            <w:pPr>
              <w:spacing w:after="0"/>
              <w:rPr>
                <w:sz w:val="1"/>
                <w:szCs w:val="1"/>
                <w:color w:val="auto"/>
              </w:rPr>
            </w:pPr>
          </w:p>
        </w:tc>
      </w:tr>
      <w:tr>
        <w:trPr>
          <w:trHeight w:val="244"/>
        </w:trPr>
        <w:tc>
          <w:tcPr>
            <w:tcW w:w="5440" w:type="dxa"/>
            <w:vAlign w:val="bottom"/>
            <w:shd w:val="clear" w:color="auto" w:fill="D5EEEE"/>
          </w:tcPr>
          <w:p>
            <w:pPr>
              <w:spacing w:after="0"/>
              <w:rPr>
                <w:sz w:val="21"/>
                <w:szCs w:val="21"/>
                <w:color w:val="auto"/>
              </w:rPr>
            </w:pPr>
          </w:p>
        </w:tc>
        <w:tc>
          <w:tcPr>
            <w:tcW w:w="1580" w:type="dxa"/>
            <w:vAlign w:val="bottom"/>
            <w:shd w:val="clear" w:color="auto" w:fill="D5EEEE"/>
          </w:tcPr>
          <w:p>
            <w:pPr>
              <w:spacing w:after="0"/>
              <w:rPr>
                <w:sz w:val="21"/>
                <w:szCs w:val="21"/>
                <w:color w:val="auto"/>
              </w:rPr>
            </w:pPr>
          </w:p>
        </w:tc>
        <w:tc>
          <w:tcPr>
            <w:tcW w:w="48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480" w:type="dxa"/>
            <w:vAlign w:val="bottom"/>
            <w:shd w:val="clear" w:color="auto" w:fill="D5EEEE"/>
          </w:tcPr>
          <w:p>
            <w:pPr>
              <w:spacing w:after="0"/>
              <w:rPr>
                <w:sz w:val="21"/>
                <w:szCs w:val="21"/>
                <w:color w:val="auto"/>
              </w:rPr>
            </w:pPr>
          </w:p>
        </w:tc>
        <w:tc>
          <w:tcPr>
            <w:tcW w:w="158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1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Operating leases</w:t>
            </w:r>
          </w:p>
        </w:tc>
        <w:tc>
          <w:tcPr>
            <w:tcW w:w="1580" w:type="dxa"/>
            <w:vAlign w:val="bottom"/>
            <w:shd w:val="clear" w:color="auto" w:fill="D5EEEE"/>
          </w:tcPr>
          <w:p>
            <w:pPr>
              <w:jc w:val="right"/>
              <w:ind w:right="147"/>
              <w:spacing w:after="0"/>
              <w:rPr>
                <w:sz w:val="20"/>
                <w:szCs w:val="20"/>
                <w:color w:val="auto"/>
              </w:rPr>
            </w:pPr>
            <w:r>
              <w:rPr>
                <w:rFonts w:ascii="Times New Roman" w:cs="Times New Roman" w:eastAsia="Times New Roman" w:hAnsi="Times New Roman"/>
                <w:sz w:val="20"/>
                <w:szCs w:val="20"/>
                <w:color w:val="auto"/>
              </w:rPr>
              <w:t>10.92%</w:t>
            </w:r>
          </w:p>
        </w:tc>
        <w:tc>
          <w:tcPr>
            <w:tcW w:w="480" w:type="dxa"/>
            <w:vAlign w:val="bottom"/>
            <w:shd w:val="clear" w:color="auto" w:fill="D5EEEE"/>
          </w:tcPr>
          <w:p>
            <w:pPr>
              <w:spacing w:after="0"/>
              <w:rPr>
                <w:sz w:val="21"/>
                <w:szCs w:val="21"/>
                <w:color w:val="auto"/>
              </w:rPr>
            </w:pPr>
          </w:p>
        </w:tc>
        <w:tc>
          <w:tcPr>
            <w:tcW w:w="360" w:type="dxa"/>
            <w:vAlign w:val="bottom"/>
            <w:shd w:val="clear" w:color="auto" w:fill="D5EEEE"/>
          </w:tcPr>
          <w:p>
            <w:pPr>
              <w:spacing w:after="0"/>
              <w:rPr>
                <w:sz w:val="21"/>
                <w:szCs w:val="21"/>
                <w:color w:val="auto"/>
              </w:rPr>
            </w:pPr>
          </w:p>
        </w:tc>
        <w:tc>
          <w:tcPr>
            <w:tcW w:w="480" w:type="dxa"/>
            <w:vAlign w:val="bottom"/>
            <w:shd w:val="clear" w:color="auto" w:fill="D5EEEE"/>
          </w:tcPr>
          <w:p>
            <w:pPr>
              <w:spacing w:after="0"/>
              <w:rPr>
                <w:sz w:val="21"/>
                <w:szCs w:val="21"/>
                <w:color w:val="auto"/>
              </w:rPr>
            </w:pPr>
          </w:p>
        </w:tc>
        <w:tc>
          <w:tcPr>
            <w:tcW w:w="1580" w:type="dxa"/>
            <w:vAlign w:val="bottom"/>
            <w:shd w:val="clear" w:color="auto" w:fill="D5EEEE"/>
          </w:tcPr>
          <w:p>
            <w:pPr>
              <w:jc w:val="center"/>
              <w:ind w:right="384"/>
              <w:spacing w:after="0"/>
              <w:rPr>
                <w:sz w:val="20"/>
                <w:szCs w:val="20"/>
                <w:color w:val="auto"/>
              </w:rPr>
            </w:pPr>
            <w:r>
              <w:rPr>
                <w:rFonts w:ascii="Times New Roman" w:cs="Times New Roman" w:eastAsia="Times New Roman" w:hAnsi="Times New Roman"/>
                <w:sz w:val="20"/>
                <w:szCs w:val="20"/>
                <w:color w:val="auto"/>
              </w:rPr>
              <w:t>11.00%</w:t>
            </w:r>
          </w:p>
        </w:tc>
        <w:tc>
          <w:tcPr>
            <w:tcW w:w="0" w:type="dxa"/>
            <w:vAlign w:val="bottom"/>
          </w:tcPr>
          <w:p>
            <w:pPr>
              <w:spacing w:after="0"/>
              <w:rPr>
                <w:sz w:val="1"/>
                <w:szCs w:val="1"/>
                <w:color w:val="auto"/>
              </w:rPr>
            </w:pPr>
          </w:p>
        </w:tc>
      </w:tr>
      <w:tr>
        <w:trPr>
          <w:trHeight w:val="266"/>
        </w:trPr>
        <w:tc>
          <w:tcPr>
            <w:tcW w:w="5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Finance leases</w:t>
            </w:r>
          </w:p>
        </w:tc>
        <w:tc>
          <w:tcPr>
            <w:tcW w:w="1580" w:type="dxa"/>
            <w:vAlign w:val="bottom"/>
          </w:tcPr>
          <w:p>
            <w:pPr>
              <w:spacing w:after="0"/>
              <w:rPr>
                <w:sz w:val="23"/>
                <w:szCs w:val="23"/>
                <w:color w:val="auto"/>
              </w:rPr>
            </w:pPr>
          </w:p>
        </w:tc>
        <w:tc>
          <w:tcPr>
            <w:tcW w:w="13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center"/>
              <w:ind w:right="404"/>
              <w:spacing w:after="0"/>
              <w:rPr>
                <w:sz w:val="20"/>
                <w:szCs w:val="20"/>
                <w:color w:val="auto"/>
              </w:rPr>
            </w:pPr>
            <w:r>
              <w:rPr>
                <w:rFonts w:ascii="Times New Roman" w:cs="Times New Roman" w:eastAsia="Times New Roman" w:hAnsi="Times New Roman"/>
                <w:sz w:val="20"/>
                <w:szCs w:val="20"/>
                <w:color w:val="auto"/>
              </w:rPr>
              <w:t>4.37%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20"/>
          </w:cols>
          <w:pgMar w:left="1160" w:top="1113" w:right="11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920"/>
          </w:cols>
          <w:pgMar w:left="1160" w:top="1113" w:right="1160" w:bottom="186" w:gutter="0" w:footer="0" w:header="0"/>
          <w:type w:val="continuous"/>
        </w:sectPr>
      </w:pPr>
    </w:p>
    <w:bookmarkStart w:id="117" w:name="page118"/>
    <w:bookmarkEnd w:id="117"/>
    <w:p>
      <w:pPr>
        <w:ind w:left="8" w:right="420" w:firstLine="490"/>
        <w:spacing w:after="0" w:line="268" w:lineRule="auto"/>
        <w:rPr>
          <w:sz w:val="20"/>
          <w:szCs w:val="20"/>
          <w:color w:val="auto"/>
        </w:rPr>
      </w:pPr>
      <w:r>
        <w:rPr>
          <w:rFonts w:ascii="Times New Roman" w:cs="Times New Roman" w:eastAsia="Times New Roman" w:hAnsi="Times New Roman"/>
          <w:sz w:val="20"/>
          <w:szCs w:val="20"/>
          <w:color w:val="auto"/>
        </w:rPr>
        <w:t>The following table presents supplemental cash flow information related to the Company’s leases for the periods shown:</w:t>
      </w:r>
    </w:p>
    <w:p>
      <w:pPr>
        <w:spacing w:after="0" w:line="1" w:lineRule="exact"/>
        <w:rPr>
          <w:sz w:val="20"/>
          <w:szCs w:val="20"/>
          <w:color w:val="auto"/>
        </w:rPr>
      </w:pPr>
    </w:p>
    <w:p>
      <w:pPr>
        <w:ind w:left="8408"/>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3" w:lineRule="exact"/>
        <w:rPr>
          <w:sz w:val="20"/>
          <w:szCs w:val="20"/>
          <w:color w:val="auto"/>
        </w:rPr>
      </w:pPr>
    </w:p>
    <w:p>
      <w:pPr>
        <w:ind w:left="8348"/>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4938395</wp:posOffset>
                </wp:positionH>
                <wp:positionV relativeFrom="paragraph">
                  <wp:posOffset>0</wp:posOffset>
                </wp:positionV>
                <wp:extent cx="132969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969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8.85pt,0pt" to="493.55pt,0pt" o:allowincell="f" strokecolor="#000000" strokeweight="0.75pt"/>
            </w:pict>
          </mc:Fallback>
        </mc:AlternateContent>
      </w:r>
    </w:p>
    <w:tbl>
      <w:tblPr>
        <w:tblLayout w:type="fixed"/>
        <w:tblInd w:w="8" w:type="dxa"/>
        <w:tblCellMar>
          <w:top w:w="0" w:type="dxa"/>
          <w:left w:w="0" w:type="dxa"/>
          <w:bottom w:w="0" w:type="dxa"/>
          <w:right w:w="0" w:type="dxa"/>
        </w:tblCellMar>
      </w:tblPr>
      <w:tr>
        <w:trPr>
          <w:trHeight w:val="196"/>
        </w:trPr>
        <w:tc>
          <w:tcPr>
            <w:tcW w:w="69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9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D5EEEE"/>
          </w:tcPr>
          <w:p>
            <w:pPr>
              <w:ind w:left="200"/>
              <w:spacing w:after="0"/>
              <w:rPr>
                <w:sz w:val="20"/>
                <w:szCs w:val="20"/>
                <w:color w:val="auto"/>
              </w:rPr>
            </w:pPr>
            <w:r>
              <w:rPr>
                <w:rFonts w:ascii="Times New Roman" w:cs="Times New Roman" w:eastAsia="Times New Roman" w:hAnsi="Times New Roman"/>
                <w:sz w:val="20"/>
                <w:szCs w:val="20"/>
                <w:color w:val="auto"/>
              </w:rPr>
              <w:t>Operating cash outflows relating to operating leases</w:t>
            </w:r>
          </w:p>
        </w:tc>
        <w:tc>
          <w:tcPr>
            <w:tcW w:w="9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351</w:t>
            </w:r>
          </w:p>
        </w:tc>
        <w:tc>
          <w:tcPr>
            <w:tcW w:w="48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303</w:t>
            </w: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Finance lease payments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8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Supplemental non-cash information:</w:t>
            </w:r>
          </w:p>
        </w:tc>
        <w:tc>
          <w:tcPr>
            <w:tcW w:w="7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72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200" w:type="dxa"/>
            <w:vAlign w:val="bottom"/>
            <w:shd w:val="clear" w:color="auto" w:fill="D5EEEE"/>
          </w:tcPr>
          <w:p>
            <w:pPr>
              <w:spacing w:after="0"/>
              <w:rPr>
                <w:sz w:val="21"/>
                <w:szCs w:val="21"/>
                <w:color w:val="auto"/>
              </w:rPr>
            </w:pPr>
          </w:p>
        </w:tc>
        <w:tc>
          <w:tcPr>
            <w:tcW w:w="70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Right-of-use assets obtained in exchange for new operating lease liabilities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488" w:hanging="488"/>
        <w:spacing w:after="0"/>
        <w:tabs>
          <w:tab w:leader="none" w:pos="488"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Equipment and Leasehold Improvements, Net</w:t>
      </w:r>
    </w:p>
    <w:p>
      <w:pPr>
        <w:spacing w:after="0" w:line="124" w:lineRule="exact"/>
        <w:rPr>
          <w:rFonts w:ascii="Times New Roman" w:cs="Times New Roman" w:eastAsia="Times New Roman" w:hAnsi="Times New Roman"/>
          <w:sz w:val="20"/>
          <w:szCs w:val="20"/>
          <w:b w:val="1"/>
          <w:bCs w:val="1"/>
          <w:color w:val="auto"/>
        </w:rPr>
      </w:pPr>
    </w:p>
    <w:p>
      <w:pPr>
        <w:ind w:left="48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Property, equipment and leasehold improvements, net consist of the following:</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9"/>
        </w:trPr>
        <w:tc>
          <w:tcPr>
            <w:tcW w:w="5360" w:type="dxa"/>
            <w:vAlign w:val="bottom"/>
            <w:tcBorders>
              <w:bottom w:val="single" w:sz="8" w:color="D5EEEE"/>
            </w:tcBorders>
          </w:tcPr>
          <w:p>
            <w:pPr>
              <w:spacing w:after="0"/>
              <w:rPr>
                <w:sz w:val="15"/>
                <w:szCs w:val="15"/>
                <w:color w:val="auto"/>
              </w:rPr>
            </w:pPr>
          </w:p>
        </w:tc>
        <w:tc>
          <w:tcPr>
            <w:tcW w:w="600" w:type="dxa"/>
            <w:vAlign w:val="bottom"/>
            <w:tcBorders>
              <w:bottom w:val="single" w:sz="8" w:color="D5EEEE"/>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44"/>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D5EEEE"/>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43"/>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5EEEE"/>
            </w:tcBorders>
          </w:tcPr>
          <w:p>
            <w:pPr>
              <w:spacing w:after="0"/>
              <w:rPr>
                <w:sz w:val="15"/>
                <w:szCs w:val="15"/>
                <w:color w:val="auto"/>
              </w:rPr>
            </w:pPr>
          </w:p>
        </w:tc>
      </w:tr>
      <w:tr>
        <w:trPr>
          <w:trHeight w:val="225"/>
        </w:trPr>
        <w:tc>
          <w:tcPr>
            <w:tcW w:w="536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Computer, website development and office equipment</w:t>
            </w:r>
          </w:p>
        </w:tc>
        <w:tc>
          <w:tcPr>
            <w:tcW w:w="600" w:type="dxa"/>
            <w:vAlign w:val="bottom"/>
            <w:shd w:val="clear" w:color="auto" w:fill="D5EEEE"/>
          </w:tcPr>
          <w:p>
            <w:pPr>
              <w:spacing w:after="0"/>
              <w:rPr>
                <w:sz w:val="19"/>
                <w:szCs w:val="19"/>
                <w:color w:val="auto"/>
              </w:rPr>
            </w:pPr>
          </w:p>
        </w:tc>
        <w:tc>
          <w:tcPr>
            <w:tcW w:w="420" w:type="dxa"/>
            <w:vAlign w:val="bottom"/>
            <w:shd w:val="clear" w:color="auto" w:fill="D5EEEE"/>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309</w:t>
            </w:r>
          </w:p>
        </w:tc>
        <w:tc>
          <w:tcPr>
            <w:tcW w:w="280" w:type="dxa"/>
            <w:vAlign w:val="bottom"/>
            <w:shd w:val="clear" w:color="auto" w:fill="D5EEEE"/>
          </w:tcPr>
          <w:p>
            <w:pPr>
              <w:spacing w:after="0"/>
              <w:rPr>
                <w:sz w:val="19"/>
                <w:szCs w:val="19"/>
                <w:color w:val="auto"/>
              </w:rPr>
            </w:pPr>
          </w:p>
        </w:tc>
        <w:tc>
          <w:tcPr>
            <w:tcW w:w="540" w:type="dxa"/>
            <w:vAlign w:val="bottom"/>
            <w:shd w:val="clear" w:color="auto" w:fill="D5EEEE"/>
          </w:tcPr>
          <w:p>
            <w:pPr>
              <w:jc w:val="right"/>
              <w:ind w:right="3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308</w:t>
            </w:r>
          </w:p>
        </w:tc>
        <w:tc>
          <w:tcPr>
            <w:tcW w:w="80" w:type="dxa"/>
            <w:vAlign w:val="bottom"/>
            <w:shd w:val="clear" w:color="auto" w:fill="D5EEEE"/>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0"/>
                <w:szCs w:val="20"/>
                <w:color w:val="auto"/>
              </w:rPr>
            </w:pPr>
          </w:p>
        </w:tc>
      </w:tr>
      <w:tr>
        <w:trPr>
          <w:trHeight w:val="230"/>
        </w:trPr>
        <w:tc>
          <w:tcPr>
            <w:tcW w:w="53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600" w:type="dxa"/>
            <w:vAlign w:val="bottom"/>
            <w:shd w:val="clear" w:color="auto" w:fill="D5EEEE"/>
          </w:tcPr>
          <w:p>
            <w:pPr>
              <w:spacing w:after="0"/>
              <w:rPr>
                <w:sz w:val="20"/>
                <w:szCs w:val="20"/>
                <w:color w:val="auto"/>
              </w:rPr>
            </w:pPr>
          </w:p>
        </w:tc>
        <w:tc>
          <w:tcPr>
            <w:tcW w:w="420" w:type="dxa"/>
            <w:vAlign w:val="bottom"/>
            <w:shd w:val="clear" w:color="auto" w:fill="D5EEEE"/>
          </w:tcPr>
          <w:p>
            <w:pPr>
              <w:spacing w:after="0"/>
              <w:rPr>
                <w:sz w:val="20"/>
                <w:szCs w:val="20"/>
                <w:color w:val="auto"/>
              </w:rPr>
            </w:pPr>
          </w:p>
        </w:tc>
        <w:tc>
          <w:tcPr>
            <w:tcW w:w="13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80" w:type="dxa"/>
            <w:vAlign w:val="bottom"/>
            <w:shd w:val="clear" w:color="auto" w:fill="D5EEEE"/>
          </w:tcPr>
          <w:p>
            <w:pPr>
              <w:spacing w:after="0"/>
              <w:rPr>
                <w:sz w:val="20"/>
                <w:szCs w:val="20"/>
                <w:color w:val="auto"/>
              </w:rPr>
            </w:pPr>
          </w:p>
        </w:tc>
        <w:tc>
          <w:tcPr>
            <w:tcW w:w="540" w:type="dxa"/>
            <w:vAlign w:val="bottom"/>
            <w:shd w:val="clear" w:color="auto" w:fill="D5EEEE"/>
          </w:tcPr>
          <w:p>
            <w:pPr>
              <w:spacing w:after="0"/>
              <w:rPr>
                <w:sz w:val="20"/>
                <w:szCs w:val="20"/>
                <w:color w:val="auto"/>
              </w:rPr>
            </w:pPr>
          </w:p>
        </w:tc>
        <w:tc>
          <w:tcPr>
            <w:tcW w:w="134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w:t>
            </w:r>
          </w:p>
        </w:tc>
      </w:tr>
      <w:tr>
        <w:trPr>
          <w:trHeight w:val="225"/>
        </w:trPr>
        <w:tc>
          <w:tcPr>
            <w:tcW w:w="5360" w:type="dxa"/>
            <w:vAlign w:val="bottom"/>
            <w:tcBorders>
              <w:top w:val="single" w:sz="8" w:color="D5EEEE"/>
            </w:tcBorders>
            <w:shd w:val="clear" w:color="auto" w:fill="D5EEEE"/>
          </w:tcPr>
          <w:p>
            <w:pPr>
              <w:spacing w:after="0"/>
              <w:rPr>
                <w:sz w:val="19"/>
                <w:szCs w:val="19"/>
                <w:color w:val="auto"/>
              </w:rPr>
            </w:pPr>
          </w:p>
        </w:tc>
        <w:tc>
          <w:tcPr>
            <w:tcW w:w="600" w:type="dxa"/>
            <w:vAlign w:val="bottom"/>
            <w:tcBorders>
              <w:top w:val="single" w:sz="8" w:color="D5EEEE"/>
            </w:tcBorders>
            <w:shd w:val="clear" w:color="auto" w:fill="D5EEEE"/>
          </w:tcPr>
          <w:p>
            <w:pPr>
              <w:spacing w:after="0"/>
              <w:rPr>
                <w:sz w:val="19"/>
                <w:szCs w:val="19"/>
                <w:color w:val="auto"/>
              </w:rPr>
            </w:pPr>
          </w:p>
        </w:tc>
        <w:tc>
          <w:tcPr>
            <w:tcW w:w="420" w:type="dxa"/>
            <w:vAlign w:val="bottom"/>
            <w:tcBorders>
              <w:top w:val="single" w:sz="8" w:color="auto"/>
            </w:tcBorders>
            <w:shd w:val="clear" w:color="auto" w:fill="D5EEEE"/>
          </w:tcPr>
          <w:p>
            <w:pPr>
              <w:spacing w:after="0"/>
              <w:rPr>
                <w:sz w:val="19"/>
                <w:szCs w:val="19"/>
                <w:color w:val="auto"/>
              </w:rPr>
            </w:pPr>
          </w:p>
        </w:tc>
        <w:tc>
          <w:tcPr>
            <w:tcW w:w="138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537</w:t>
            </w:r>
          </w:p>
        </w:tc>
        <w:tc>
          <w:tcPr>
            <w:tcW w:w="280" w:type="dxa"/>
            <w:vAlign w:val="bottom"/>
            <w:tcBorders>
              <w:top w:val="single" w:sz="8" w:color="D5EEEE"/>
            </w:tcBorders>
            <w:shd w:val="clear" w:color="auto" w:fill="D5EEEE"/>
          </w:tcPr>
          <w:p>
            <w:pPr>
              <w:spacing w:after="0"/>
              <w:rPr>
                <w:sz w:val="19"/>
                <w:szCs w:val="19"/>
                <w:color w:val="auto"/>
              </w:rPr>
            </w:pPr>
          </w:p>
        </w:tc>
        <w:tc>
          <w:tcPr>
            <w:tcW w:w="540" w:type="dxa"/>
            <w:vAlign w:val="bottom"/>
            <w:tcBorders>
              <w:top w:val="single" w:sz="8" w:color="auto"/>
            </w:tcBorders>
            <w:shd w:val="clear" w:color="auto" w:fill="D5EEEE"/>
          </w:tcPr>
          <w:p>
            <w:pPr>
              <w:spacing w:after="0"/>
              <w:rPr>
                <w:sz w:val="19"/>
                <w:szCs w:val="19"/>
                <w:color w:val="auto"/>
              </w:rPr>
            </w:pPr>
          </w:p>
        </w:tc>
        <w:tc>
          <w:tcPr>
            <w:tcW w:w="1260" w:type="dxa"/>
            <w:vAlign w:val="bottom"/>
            <w:tcBorders>
              <w:top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385</w:t>
            </w:r>
          </w:p>
        </w:tc>
        <w:tc>
          <w:tcPr>
            <w:tcW w:w="80" w:type="dxa"/>
            <w:vAlign w:val="bottom"/>
            <w:tcBorders>
              <w:top w:val="single" w:sz="8" w:color="D5EEEE"/>
            </w:tcBorders>
            <w:shd w:val="clear" w:color="auto" w:fill="D5EEEE"/>
          </w:tcPr>
          <w:p>
            <w:pPr>
              <w:spacing w:after="0"/>
              <w:rPr>
                <w:sz w:val="19"/>
                <w:szCs w:val="19"/>
                <w:color w:val="auto"/>
              </w:rPr>
            </w:pPr>
          </w:p>
        </w:tc>
      </w:tr>
      <w:tr>
        <w:trPr>
          <w:trHeight w:val="230"/>
        </w:trPr>
        <w:tc>
          <w:tcPr>
            <w:tcW w:w="53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600" w:type="dxa"/>
            <w:vAlign w:val="bottom"/>
            <w:tcBorders>
              <w:bottom w:val="single" w:sz="8" w:color="D5EEE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280" w:type="dxa"/>
            <w:vAlign w:val="bottom"/>
            <w:tcBorders>
              <w:bottom w:val="single" w:sz="8" w:color="D5EEEE"/>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80" w:type="dxa"/>
            <w:vAlign w:val="bottom"/>
            <w:tcBorders>
              <w:bottom w:val="single" w:sz="8" w:color="D5EEEE"/>
            </w:tcBorders>
          </w:tcPr>
          <w:p>
            <w:pPr>
              <w:spacing w:after="0"/>
              <w:rPr>
                <w:sz w:val="19"/>
                <w:szCs w:val="19"/>
                <w:color w:val="auto"/>
              </w:rPr>
            </w:pPr>
          </w:p>
        </w:tc>
      </w:tr>
      <w:tr>
        <w:trPr>
          <w:trHeight w:val="245"/>
        </w:trPr>
        <w:tc>
          <w:tcPr>
            <w:tcW w:w="5360" w:type="dxa"/>
            <w:vAlign w:val="bottom"/>
            <w:tcBorders>
              <w:bottom w:val="single" w:sz="8" w:color="D5EEEE"/>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Total property, equipment and leasehold improvements, net</w:t>
            </w:r>
          </w:p>
        </w:tc>
        <w:tc>
          <w:tcPr>
            <w:tcW w:w="600" w:type="dxa"/>
            <w:vAlign w:val="bottom"/>
            <w:tcBorders>
              <w:bottom w:val="single" w:sz="8" w:color="D5EEEE"/>
            </w:tcBorders>
            <w:shd w:val="clear" w:color="auto" w:fill="D5EEEE"/>
          </w:tcPr>
          <w:p>
            <w:pPr>
              <w:spacing w:after="0"/>
              <w:rPr>
                <w:sz w:val="21"/>
                <w:szCs w:val="21"/>
                <w:color w:val="auto"/>
              </w:rPr>
            </w:pPr>
          </w:p>
        </w:tc>
        <w:tc>
          <w:tcPr>
            <w:tcW w:w="420" w:type="dxa"/>
            <w:vAlign w:val="bottom"/>
            <w:tcBorders>
              <w:bottom w:val="single" w:sz="8" w:color="auto"/>
            </w:tcBorders>
            <w:shd w:val="clear" w:color="auto" w:fill="D5EEEE"/>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178</w:t>
            </w:r>
          </w:p>
        </w:tc>
        <w:tc>
          <w:tcPr>
            <w:tcW w:w="280" w:type="dxa"/>
            <w:vAlign w:val="bottom"/>
            <w:tcBorders>
              <w:bottom w:val="single" w:sz="8" w:color="D5EEEE"/>
            </w:tcBorders>
            <w:shd w:val="clear" w:color="auto" w:fill="D5EEEE"/>
          </w:tcPr>
          <w:p>
            <w:pPr>
              <w:spacing w:after="0"/>
              <w:rPr>
                <w:sz w:val="21"/>
                <w:szCs w:val="21"/>
                <w:color w:val="auto"/>
              </w:rPr>
            </w:pPr>
          </w:p>
        </w:tc>
        <w:tc>
          <w:tcPr>
            <w:tcW w:w="540" w:type="dxa"/>
            <w:vAlign w:val="bottom"/>
            <w:tcBorders>
              <w:bottom w:val="single" w:sz="8" w:color="auto"/>
            </w:tcBorders>
            <w:shd w:val="clear" w:color="auto" w:fill="D5EEEE"/>
          </w:tcPr>
          <w:p>
            <w:pPr>
              <w:jc w:val="right"/>
              <w:ind w:right="3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157</w:t>
            </w:r>
          </w:p>
        </w:tc>
        <w:tc>
          <w:tcPr>
            <w:tcW w:w="80" w:type="dxa"/>
            <w:vAlign w:val="bottom"/>
            <w:tcBorders>
              <w:bottom w:val="single" w:sz="8" w:color="D5EEEE"/>
            </w:tcBorders>
            <w:shd w:val="clear" w:color="auto" w:fill="D5EEEE"/>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color w:val="auto"/>
        </w:rPr>
        <w:t>Depreciation was $132 and $94 for the years ended December 31, 2025 and 2024, respectively.</w:t>
      </w:r>
    </w:p>
    <w:p>
      <w:pPr>
        <w:spacing w:after="0" w:line="116" w:lineRule="exact"/>
        <w:rPr>
          <w:sz w:val="20"/>
          <w:szCs w:val="20"/>
          <w:color w:val="auto"/>
        </w:rPr>
      </w:pPr>
    </w:p>
    <w:p>
      <w:pPr>
        <w:ind w:left="488" w:hanging="488"/>
        <w:spacing w:after="0"/>
        <w:tabs>
          <w:tab w:leader="none" w:pos="488"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Accrued Expenses</w:t>
      </w:r>
    </w:p>
    <w:p>
      <w:pPr>
        <w:spacing w:after="0" w:line="124" w:lineRule="exact"/>
        <w:rPr>
          <w:rFonts w:ascii="Times New Roman" w:cs="Times New Roman" w:eastAsia="Times New Roman" w:hAnsi="Times New Roman"/>
          <w:sz w:val="20"/>
          <w:szCs w:val="20"/>
          <w:b w:val="1"/>
          <w:bCs w:val="1"/>
          <w:color w:val="auto"/>
        </w:rPr>
      </w:pPr>
    </w:p>
    <w:p>
      <w:pPr>
        <w:ind w:left="488"/>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Accrued expenses consisted of the following:</w:t>
      </w:r>
    </w:p>
    <w:p>
      <w:pPr>
        <w:spacing w:after="0" w:line="46"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9"/>
        </w:trPr>
        <w:tc>
          <w:tcPr>
            <w:tcW w:w="6200" w:type="dxa"/>
            <w:vAlign w:val="bottom"/>
            <w:tcBorders>
              <w:bottom w:val="single" w:sz="8" w:color="D5EEEE"/>
            </w:tcBorders>
          </w:tcPr>
          <w:p>
            <w:pPr>
              <w:spacing w:after="0"/>
              <w:rPr>
                <w:sz w:val="15"/>
                <w:szCs w:val="15"/>
                <w:color w:val="auto"/>
              </w:rPr>
            </w:pPr>
          </w:p>
        </w:tc>
        <w:tc>
          <w:tcPr>
            <w:tcW w:w="1120" w:type="dxa"/>
            <w:vAlign w:val="bottom"/>
            <w:tcBorders>
              <w:bottom w:val="single" w:sz="8" w:color="auto"/>
            </w:tcBorders>
          </w:tcPr>
          <w:p>
            <w:pPr>
              <w:jc w:val="right"/>
              <w:ind w:right="27"/>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5"/>
                <w:szCs w:val="15"/>
                <w:color w:val="auto"/>
              </w:rPr>
            </w:pPr>
          </w:p>
        </w:tc>
        <w:tc>
          <w:tcPr>
            <w:tcW w:w="340" w:type="dxa"/>
            <w:vAlign w:val="bottom"/>
            <w:tcBorders>
              <w:bottom w:val="single" w:sz="8" w:color="D5EEEE"/>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3"/>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5EEEE"/>
            </w:tcBorders>
          </w:tcPr>
          <w:p>
            <w:pPr>
              <w:spacing w:after="0"/>
              <w:rPr>
                <w:sz w:val="15"/>
                <w:szCs w:val="15"/>
                <w:color w:val="auto"/>
              </w:rPr>
            </w:pPr>
          </w:p>
        </w:tc>
      </w:tr>
      <w:tr>
        <w:trPr>
          <w:trHeight w:val="225"/>
        </w:trPr>
        <w:tc>
          <w:tcPr>
            <w:tcW w:w="620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Accrued compensation and benefits</w:t>
            </w:r>
          </w:p>
        </w:tc>
        <w:tc>
          <w:tcPr>
            <w:tcW w:w="1120" w:type="dxa"/>
            <w:vAlign w:val="bottom"/>
            <w:shd w:val="clear" w:color="auto" w:fill="D5EEEE"/>
          </w:tcPr>
          <w:p>
            <w:pPr>
              <w:jc w:val="right"/>
              <w:ind w:right="92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2,746</w:t>
            </w:r>
          </w:p>
        </w:tc>
        <w:tc>
          <w:tcPr>
            <w:tcW w:w="340" w:type="dxa"/>
            <w:vAlign w:val="bottom"/>
            <w:shd w:val="clear" w:color="auto" w:fill="D5EEEE"/>
          </w:tcPr>
          <w:p>
            <w:pPr>
              <w:spacing w:after="0"/>
              <w:rPr>
                <w:sz w:val="19"/>
                <w:szCs w:val="19"/>
                <w:color w:val="auto"/>
              </w:rPr>
            </w:pPr>
          </w:p>
        </w:tc>
        <w:tc>
          <w:tcPr>
            <w:tcW w:w="460" w:type="dxa"/>
            <w:vAlign w:val="bottom"/>
            <w:shd w:val="clear" w:color="auto" w:fill="D5EEEE"/>
          </w:tcPr>
          <w:p>
            <w:pPr>
              <w:jc w:val="right"/>
              <w:ind w:right="2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2,538</w:t>
            </w:r>
          </w:p>
        </w:tc>
        <w:tc>
          <w:tcPr>
            <w:tcW w:w="80" w:type="dxa"/>
            <w:vAlign w:val="bottom"/>
            <w:shd w:val="clear" w:color="auto" w:fill="D5EEEE"/>
          </w:tcPr>
          <w:p>
            <w:pPr>
              <w:spacing w:after="0"/>
              <w:rPr>
                <w:sz w:val="19"/>
                <w:szCs w:val="19"/>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Accrued R&amp;D projects</w:t>
            </w:r>
          </w:p>
        </w:tc>
        <w:tc>
          <w:tcPr>
            <w:tcW w:w="1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2,043</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3,482</w:t>
            </w:r>
          </w:p>
        </w:tc>
        <w:tc>
          <w:tcPr>
            <w:tcW w:w="80" w:type="dxa"/>
            <w:vAlign w:val="bottom"/>
          </w:tcPr>
          <w:p>
            <w:pPr>
              <w:spacing w:after="0"/>
              <w:rPr>
                <w:sz w:val="20"/>
                <w:szCs w:val="20"/>
                <w:color w:val="auto"/>
              </w:rPr>
            </w:pPr>
          </w:p>
        </w:tc>
      </w:tr>
      <w:tr>
        <w:trPr>
          <w:trHeight w:val="230"/>
        </w:trPr>
        <w:tc>
          <w:tcPr>
            <w:tcW w:w="62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Accrued consulting and professional fees</w:t>
            </w:r>
          </w:p>
        </w:tc>
        <w:tc>
          <w:tcPr>
            <w:tcW w:w="1120" w:type="dxa"/>
            <w:vAlign w:val="bottom"/>
            <w:shd w:val="clear" w:color="auto" w:fill="D5EEEE"/>
          </w:tcPr>
          <w:p>
            <w:pPr>
              <w:spacing w:after="0"/>
              <w:rPr>
                <w:sz w:val="20"/>
                <w:szCs w:val="20"/>
                <w:color w:val="auto"/>
              </w:rPr>
            </w:pPr>
          </w:p>
        </w:tc>
        <w:tc>
          <w:tcPr>
            <w:tcW w:w="900" w:type="dxa"/>
            <w:vAlign w:val="bottom"/>
            <w:gridSpan w:val="2"/>
            <w:shd w:val="clear" w:color="auto" w:fill="D5EEEE"/>
          </w:tcPr>
          <w:p>
            <w:pPr>
              <w:jc w:val="right"/>
              <w:ind w:right="340"/>
              <w:spacing w:after="0"/>
              <w:rPr>
                <w:sz w:val="20"/>
                <w:szCs w:val="20"/>
                <w:color w:val="auto"/>
              </w:rPr>
            </w:pPr>
            <w:r>
              <w:rPr>
                <w:rFonts w:ascii="Times New Roman" w:cs="Times New Roman" w:eastAsia="Times New Roman" w:hAnsi="Times New Roman"/>
                <w:sz w:val="20"/>
                <w:szCs w:val="20"/>
                <w:color w:val="auto"/>
              </w:rPr>
              <w:t>558</w:t>
            </w:r>
          </w:p>
        </w:tc>
        <w:tc>
          <w:tcPr>
            <w:tcW w:w="460" w:type="dxa"/>
            <w:vAlign w:val="bottom"/>
            <w:shd w:val="clear" w:color="auto" w:fill="D5EEEE"/>
          </w:tcPr>
          <w:p>
            <w:pPr>
              <w:spacing w:after="0"/>
              <w:rPr>
                <w:sz w:val="20"/>
                <w:szCs w:val="20"/>
                <w:color w:val="auto"/>
              </w:rPr>
            </w:pPr>
          </w:p>
        </w:tc>
        <w:tc>
          <w:tcPr>
            <w:tcW w:w="11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80" w:type="dxa"/>
            <w:vAlign w:val="bottom"/>
            <w:shd w:val="clear" w:color="auto" w:fill="D5EEEE"/>
          </w:tcPr>
          <w:p>
            <w:pPr>
              <w:spacing w:after="0"/>
              <w:rPr>
                <w:sz w:val="20"/>
                <w:szCs w:val="20"/>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20"/>
                <w:szCs w:val="20"/>
                <w:color w:val="auto"/>
              </w:rPr>
              <w:t>Accrued other</w:t>
            </w:r>
          </w:p>
        </w:tc>
        <w:tc>
          <w:tcPr>
            <w:tcW w:w="112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184</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80" w:type="dxa"/>
            <w:vAlign w:val="bottom"/>
          </w:tcPr>
          <w:p>
            <w:pPr>
              <w:spacing w:after="0"/>
              <w:rPr>
                <w:sz w:val="19"/>
                <w:szCs w:val="19"/>
                <w:color w:val="auto"/>
              </w:rPr>
            </w:pPr>
          </w:p>
        </w:tc>
      </w:tr>
      <w:tr>
        <w:trPr>
          <w:trHeight w:val="245"/>
        </w:trPr>
        <w:tc>
          <w:tcPr>
            <w:tcW w:w="6200" w:type="dxa"/>
            <w:vAlign w:val="bottom"/>
            <w:tcBorders>
              <w:top w:val="single" w:sz="8" w:color="D5EEEE"/>
              <w:bottom w:val="single" w:sz="8" w:color="D5EEEE"/>
            </w:tcBorders>
            <w:shd w:val="clear" w:color="auto" w:fill="D5EEEE"/>
          </w:tcPr>
          <w:p>
            <w:pPr>
              <w:ind w:left="100"/>
              <w:spacing w:after="0" w:line="225" w:lineRule="exact"/>
              <w:rPr>
                <w:sz w:val="20"/>
                <w:szCs w:val="20"/>
                <w:color w:val="auto"/>
              </w:rPr>
            </w:pPr>
            <w:r>
              <w:rPr>
                <w:rFonts w:ascii="Times New Roman" w:cs="Times New Roman" w:eastAsia="Times New Roman" w:hAnsi="Times New Roman"/>
                <w:sz w:val="20"/>
                <w:szCs w:val="20"/>
                <w:color w:val="auto"/>
              </w:rPr>
              <w:t>Total accrued expenses</w:t>
            </w:r>
          </w:p>
        </w:tc>
        <w:tc>
          <w:tcPr>
            <w:tcW w:w="1120" w:type="dxa"/>
            <w:vAlign w:val="bottom"/>
            <w:tcBorders>
              <w:top w:val="single" w:sz="8" w:color="auto"/>
              <w:bottom w:val="single" w:sz="8" w:color="auto"/>
            </w:tcBorders>
            <w:shd w:val="clear" w:color="auto" w:fill="D5EEEE"/>
          </w:tcPr>
          <w:p>
            <w:pPr>
              <w:jc w:val="right"/>
              <w:ind w:right="92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5,531</w:t>
            </w:r>
          </w:p>
        </w:tc>
        <w:tc>
          <w:tcPr>
            <w:tcW w:w="340" w:type="dxa"/>
            <w:vAlign w:val="bottom"/>
            <w:tcBorders>
              <w:top w:val="single" w:sz="8" w:color="D5EEEE"/>
              <w:bottom w:val="single" w:sz="8" w:color="D5EEEE"/>
            </w:tcBorders>
            <w:shd w:val="clear" w:color="auto" w:fill="D5EEEE"/>
          </w:tcPr>
          <w:p>
            <w:pPr>
              <w:spacing w:after="0"/>
              <w:rPr>
                <w:sz w:val="21"/>
                <w:szCs w:val="21"/>
                <w:color w:val="auto"/>
              </w:rPr>
            </w:pPr>
          </w:p>
        </w:tc>
        <w:tc>
          <w:tcPr>
            <w:tcW w:w="460" w:type="dxa"/>
            <w:vAlign w:val="bottom"/>
            <w:tcBorders>
              <w:top w:val="single" w:sz="8" w:color="auto"/>
              <w:bottom w:val="single" w:sz="8" w:color="auto"/>
            </w:tcBorders>
            <w:shd w:val="clear" w:color="auto" w:fill="D5EEEE"/>
          </w:tcPr>
          <w:p>
            <w:pPr>
              <w:jc w:val="right"/>
              <w:ind w:right="2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6,810</w:t>
            </w:r>
          </w:p>
        </w:tc>
        <w:tc>
          <w:tcPr>
            <w:tcW w:w="80" w:type="dxa"/>
            <w:vAlign w:val="bottom"/>
            <w:tcBorders>
              <w:top w:val="single" w:sz="8" w:color="D5EEEE"/>
              <w:bottom w:val="single" w:sz="8" w:color="D5EEEE"/>
            </w:tcBorders>
            <w:shd w:val="clear" w:color="auto" w:fill="D5EEEE"/>
          </w:tcPr>
          <w:p>
            <w:pPr>
              <w:spacing w:after="0"/>
              <w:rPr>
                <w:sz w:val="21"/>
                <w:szCs w:val="21"/>
                <w:color w:val="auto"/>
              </w:rPr>
            </w:pPr>
          </w:p>
        </w:tc>
      </w:tr>
      <w:tr>
        <w:trPr>
          <w:trHeight w:val="20"/>
        </w:trPr>
        <w:tc>
          <w:tcPr>
            <w:tcW w:w="6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3" w:lineRule="exact"/>
        <w:rPr>
          <w:sz w:val="20"/>
          <w:szCs w:val="20"/>
          <w:color w:val="auto"/>
        </w:rPr>
      </w:pPr>
    </w:p>
    <w:p>
      <w:pPr>
        <w:ind w:left="488" w:right="7640" w:hanging="488"/>
        <w:spacing w:after="0" w:line="358" w:lineRule="auto"/>
        <w:tabs>
          <w:tab w:leader="none" w:pos="488" w:val="left"/>
        </w:tabs>
        <w:numPr>
          <w:ilvl w:val="0"/>
          <w:numId w:val="5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Stockholders’ Equity </w:t>
      </w:r>
      <w:r>
        <w:rPr>
          <w:rFonts w:ascii="Times New Roman" w:cs="Times New Roman" w:eastAsia="Times New Roman" w:hAnsi="Times New Roman"/>
          <w:sz w:val="19"/>
          <w:szCs w:val="19"/>
          <w:b w:val="1"/>
          <w:bCs w:val="1"/>
          <w:i w:val="1"/>
          <w:iCs w:val="1"/>
          <w:color w:val="auto"/>
        </w:rPr>
        <w:t>Preferred Stock</w:t>
      </w:r>
    </w:p>
    <w:p>
      <w:pPr>
        <w:spacing w:after="0" w:line="2" w:lineRule="exact"/>
        <w:rPr>
          <w:sz w:val="20"/>
          <w:szCs w:val="20"/>
          <w:color w:val="auto"/>
        </w:rPr>
      </w:pPr>
    </w:p>
    <w:p>
      <w:pPr>
        <w:ind w:left="8" w:right="180" w:firstLine="490"/>
        <w:spacing w:after="0" w:line="248" w:lineRule="auto"/>
        <w:rPr>
          <w:sz w:val="20"/>
          <w:szCs w:val="20"/>
          <w:color w:val="auto"/>
        </w:rPr>
      </w:pPr>
      <w:r>
        <w:rPr>
          <w:rFonts w:ascii="Times New Roman" w:cs="Times New Roman" w:eastAsia="Times New Roman" w:hAnsi="Times New Roman"/>
          <w:sz w:val="20"/>
          <w:szCs w:val="20"/>
          <w:color w:val="auto"/>
        </w:rPr>
        <w:t>As of December 31, 2025 and 2024, the Company’s restated certificate of incorporation authorized the Company to issue 5,000,000 shares of preferred stock, with a par value of $0.001 per share.</w:t>
      </w:r>
    </w:p>
    <w:p>
      <w:pPr>
        <w:spacing w:after="0" w:line="49"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92" w:lineRule="exact"/>
        <w:rPr>
          <w:sz w:val="20"/>
          <w:szCs w:val="20"/>
          <w:color w:val="auto"/>
        </w:rPr>
      </w:pPr>
    </w:p>
    <w:p>
      <w:pPr>
        <w:ind w:left="8" w:right="180" w:firstLine="490"/>
        <w:spacing w:after="0" w:line="248" w:lineRule="auto"/>
        <w:rPr>
          <w:sz w:val="20"/>
          <w:szCs w:val="20"/>
          <w:color w:val="auto"/>
        </w:rPr>
      </w:pPr>
      <w:r>
        <w:rPr>
          <w:rFonts w:ascii="Times New Roman" w:cs="Times New Roman" w:eastAsia="Times New Roman" w:hAnsi="Times New Roman"/>
          <w:sz w:val="20"/>
          <w:szCs w:val="20"/>
          <w:color w:val="auto"/>
        </w:rPr>
        <w:t>As of December 31, 2025 and 2024, the Company’s restated certificate of incorporation authorized the Company to issue 200,000,000 shares of common stock, with a par value of $0.001 per share.</w:t>
      </w:r>
    </w:p>
    <w:p>
      <w:pPr>
        <w:sectPr>
          <w:pgSz w:w="12240" w:h="15840" w:orient="portrait"/>
          <w:cols w:equalWidth="0" w:num="1">
            <w:col w:w="9928"/>
          </w:cols>
          <w:pgMar w:left="1152" w:top="1132" w:right="11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928"/>
          </w:cols>
          <w:pgMar w:left="1152" w:top="1132" w:right="1160" w:bottom="186" w:gutter="0" w:footer="0" w:header="0"/>
          <w:type w:val="continuous"/>
        </w:sectPr>
      </w:pPr>
    </w:p>
    <w:bookmarkStart w:id="118" w:name="page119"/>
    <w:bookmarkEnd w:id="118"/>
    <w:p>
      <w:pPr>
        <w:ind w:left="480"/>
        <w:spacing w:after="0"/>
        <w:rPr>
          <w:sz w:val="20"/>
          <w:szCs w:val="20"/>
          <w:color w:val="auto"/>
        </w:rPr>
      </w:pPr>
      <w:r>
        <w:rPr>
          <w:rFonts w:ascii="Times New Roman" w:cs="Times New Roman" w:eastAsia="Times New Roman" w:hAnsi="Times New Roman"/>
          <w:sz w:val="20"/>
          <w:szCs w:val="20"/>
          <w:color w:val="auto"/>
        </w:rPr>
        <w:t>The Company had reserved shares of common stock for future issuance as shown in the table below:</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tcPr>
          <w:p>
            <w:pPr>
              <w:spacing w:after="0"/>
              <w:rPr>
                <w:sz w:val="17"/>
                <w:szCs w:val="17"/>
                <w:color w:val="auto"/>
              </w:rPr>
            </w:pPr>
          </w:p>
        </w:tc>
        <w:tc>
          <w:tcPr>
            <w:tcW w:w="260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7"/>
                <w:szCs w:val="17"/>
                <w:color w:val="auto"/>
              </w:rPr>
            </w:pPr>
          </w:p>
        </w:tc>
      </w:tr>
      <w:tr>
        <w:trPr>
          <w:trHeight w:val="193"/>
        </w:trPr>
        <w:tc>
          <w:tcPr>
            <w:tcW w:w="7260" w:type="dxa"/>
            <w:vAlign w:val="bottom"/>
          </w:tcPr>
          <w:p>
            <w:pPr>
              <w:spacing w:after="0"/>
              <w:rPr>
                <w:sz w:val="16"/>
                <w:szCs w:val="16"/>
                <w:color w:val="auto"/>
              </w:rPr>
            </w:pPr>
          </w:p>
        </w:tc>
        <w:tc>
          <w:tcPr>
            <w:tcW w:w="1200" w:type="dxa"/>
            <w:vAlign w:val="bottom"/>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6"/>
                <w:szCs w:val="16"/>
                <w:color w:val="auto"/>
              </w:rPr>
            </w:pPr>
          </w:p>
        </w:tc>
      </w:tr>
      <w:tr>
        <w:trPr>
          <w:trHeight w:val="220"/>
        </w:trPr>
        <w:tc>
          <w:tcPr>
            <w:tcW w:w="7260" w:type="dxa"/>
            <w:vAlign w:val="bottom"/>
            <w:tcBorders>
              <w:top w:val="single" w:sz="8" w:color="D5EEEE"/>
            </w:tcBorders>
            <w:shd w:val="clear" w:color="auto" w:fill="D5EEEE"/>
          </w:tcPr>
          <w:p>
            <w:pPr>
              <w:spacing w:after="0" w:line="220" w:lineRule="exact"/>
              <w:rPr>
                <w:sz w:val="20"/>
                <w:szCs w:val="20"/>
                <w:color w:val="auto"/>
              </w:rPr>
            </w:pPr>
            <w:r>
              <w:rPr>
                <w:rFonts w:ascii="Times New Roman" w:cs="Times New Roman" w:eastAsia="Times New Roman" w:hAnsi="Times New Roman"/>
                <w:sz w:val="20"/>
                <w:szCs w:val="20"/>
                <w:color w:val="auto"/>
              </w:rPr>
              <w:t>Shares of common stock reserved for future issuance upon exercise of outstanding</w:t>
            </w:r>
          </w:p>
        </w:tc>
        <w:tc>
          <w:tcPr>
            <w:tcW w:w="1200" w:type="dxa"/>
            <w:vAlign w:val="bottom"/>
            <w:tcBorders>
              <w:top w:val="single" w:sz="8" w:color="auto"/>
            </w:tcBorders>
            <w:shd w:val="clear" w:color="auto" w:fill="D5EEEE"/>
          </w:tcPr>
          <w:p>
            <w:pPr>
              <w:spacing w:after="0"/>
              <w:rPr>
                <w:sz w:val="19"/>
                <w:szCs w:val="19"/>
                <w:color w:val="auto"/>
              </w:rPr>
            </w:pPr>
          </w:p>
        </w:tc>
        <w:tc>
          <w:tcPr>
            <w:tcW w:w="200" w:type="dxa"/>
            <w:vAlign w:val="bottom"/>
            <w:tcBorders>
              <w:top w:val="single" w:sz="8" w:color="D5EEEE"/>
            </w:tcBorders>
            <w:shd w:val="clear" w:color="auto" w:fill="D5EEEE"/>
          </w:tcPr>
          <w:p>
            <w:pPr>
              <w:spacing w:after="0"/>
              <w:rPr>
                <w:sz w:val="19"/>
                <w:szCs w:val="19"/>
                <w:color w:val="auto"/>
              </w:rPr>
            </w:pPr>
          </w:p>
        </w:tc>
        <w:tc>
          <w:tcPr>
            <w:tcW w:w="1200" w:type="dxa"/>
            <w:vAlign w:val="bottom"/>
            <w:tcBorders>
              <w:top w:val="single" w:sz="8" w:color="auto"/>
            </w:tcBorders>
            <w:shd w:val="clear" w:color="auto" w:fill="D5EEEE"/>
          </w:tcPr>
          <w:p>
            <w:pPr>
              <w:spacing w:after="0"/>
              <w:rPr>
                <w:sz w:val="19"/>
                <w:szCs w:val="19"/>
                <w:color w:val="auto"/>
              </w:rPr>
            </w:pPr>
          </w:p>
        </w:tc>
        <w:tc>
          <w:tcPr>
            <w:tcW w:w="60" w:type="dxa"/>
            <w:vAlign w:val="bottom"/>
            <w:tcBorders>
              <w:top w:val="single" w:sz="8" w:color="D5EEEE"/>
            </w:tcBorders>
            <w:shd w:val="clear" w:color="auto" w:fill="D5EEEE"/>
          </w:tcPr>
          <w:p>
            <w:pPr>
              <w:spacing w:after="0"/>
              <w:rPr>
                <w:sz w:val="19"/>
                <w:szCs w:val="19"/>
                <w:color w:val="auto"/>
              </w:rPr>
            </w:pPr>
          </w:p>
        </w:tc>
      </w:tr>
      <w:tr>
        <w:trPr>
          <w:trHeight w:val="249"/>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warrants and pre-funded warrants</w:t>
            </w: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19,100,800</w:t>
            </w:r>
          </w:p>
        </w:tc>
        <w:tc>
          <w:tcPr>
            <w:tcW w:w="200" w:type="dxa"/>
            <w:vAlign w:val="bottom"/>
            <w:shd w:val="clear" w:color="auto" w:fill="D5EEEE"/>
          </w:tcPr>
          <w:p>
            <w:pPr>
              <w:spacing w:after="0"/>
              <w:rPr>
                <w:sz w:val="21"/>
                <w:szCs w:val="21"/>
                <w:color w:val="auto"/>
              </w:rPr>
            </w:pP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32,915,346</w:t>
            </w:r>
          </w:p>
        </w:tc>
        <w:tc>
          <w:tcPr>
            <w:tcW w:w="60" w:type="dxa"/>
            <w:vAlign w:val="bottom"/>
            <w:shd w:val="clear" w:color="auto" w:fill="D5EEEE"/>
          </w:tcPr>
          <w:p>
            <w:pPr>
              <w:spacing w:after="0"/>
              <w:rPr>
                <w:sz w:val="21"/>
                <w:szCs w:val="21"/>
                <w:color w:val="auto"/>
              </w:rPr>
            </w:pPr>
          </w:p>
        </w:tc>
      </w:tr>
      <w:tr>
        <w:trPr>
          <w:trHeight w:val="225"/>
        </w:trPr>
        <w:tc>
          <w:tcPr>
            <w:tcW w:w="72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Shares of common stock reserved for future issuance under the 2019 Stock Incentive</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Plan</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9,023,200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7,555,310</w:t>
            </w:r>
          </w:p>
        </w:tc>
        <w:tc>
          <w:tcPr>
            <w:tcW w:w="60" w:type="dxa"/>
            <w:vAlign w:val="bottom"/>
          </w:tcPr>
          <w:p>
            <w:pPr>
              <w:spacing w:after="0"/>
              <w:rPr>
                <w:sz w:val="21"/>
                <w:szCs w:val="21"/>
                <w:color w:val="auto"/>
              </w:rPr>
            </w:pPr>
          </w:p>
        </w:tc>
      </w:tr>
      <w:tr>
        <w:trPr>
          <w:trHeight w:val="225"/>
        </w:trPr>
        <w:tc>
          <w:tcPr>
            <w:tcW w:w="726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Shares of common stock reserved for future issuance under the 2019 Employee Stock</w:t>
            </w:r>
          </w:p>
        </w:tc>
        <w:tc>
          <w:tcPr>
            <w:tcW w:w="1200" w:type="dxa"/>
            <w:vAlign w:val="bottom"/>
            <w:shd w:val="clear" w:color="auto" w:fill="D5EEEE"/>
          </w:tcPr>
          <w:p>
            <w:pPr>
              <w:spacing w:after="0"/>
              <w:rPr>
                <w:sz w:val="19"/>
                <w:szCs w:val="19"/>
                <w:color w:val="auto"/>
              </w:rPr>
            </w:pPr>
          </w:p>
        </w:tc>
        <w:tc>
          <w:tcPr>
            <w:tcW w:w="200" w:type="dxa"/>
            <w:vAlign w:val="bottom"/>
            <w:shd w:val="clear" w:color="auto" w:fill="D5EEEE"/>
          </w:tcPr>
          <w:p>
            <w:pPr>
              <w:spacing w:after="0"/>
              <w:rPr>
                <w:sz w:val="19"/>
                <w:szCs w:val="19"/>
                <w:color w:val="auto"/>
              </w:rPr>
            </w:pPr>
          </w:p>
        </w:tc>
        <w:tc>
          <w:tcPr>
            <w:tcW w:w="1200" w:type="dxa"/>
            <w:vAlign w:val="bottom"/>
            <w:shd w:val="clear" w:color="auto" w:fill="D5EEEE"/>
          </w:tcPr>
          <w:p>
            <w:pPr>
              <w:spacing w:after="0"/>
              <w:rPr>
                <w:sz w:val="19"/>
                <w:szCs w:val="19"/>
                <w:color w:val="auto"/>
              </w:rPr>
            </w:pPr>
          </w:p>
        </w:tc>
        <w:tc>
          <w:tcPr>
            <w:tcW w:w="60" w:type="dxa"/>
            <w:vAlign w:val="bottom"/>
            <w:shd w:val="clear" w:color="auto" w:fill="D5EEEE"/>
          </w:tcPr>
          <w:p>
            <w:pPr>
              <w:spacing w:after="0"/>
              <w:rPr>
                <w:sz w:val="19"/>
                <w:szCs w:val="19"/>
                <w:color w:val="auto"/>
              </w:rPr>
            </w:pPr>
          </w:p>
        </w:tc>
      </w:tr>
      <w:tr>
        <w:trPr>
          <w:trHeight w:val="249"/>
        </w:trPr>
        <w:tc>
          <w:tcPr>
            <w:tcW w:w="72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Purchase Plan</w:t>
            </w:r>
          </w:p>
        </w:tc>
        <w:tc>
          <w:tcPr>
            <w:tcW w:w="12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1,103,842</w:t>
            </w:r>
          </w:p>
        </w:tc>
        <w:tc>
          <w:tcPr>
            <w:tcW w:w="14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1,131,973</w:t>
            </w:r>
          </w:p>
        </w:tc>
        <w:tc>
          <w:tcPr>
            <w:tcW w:w="60" w:type="dxa"/>
            <w:vAlign w:val="bottom"/>
            <w:shd w:val="clear" w:color="auto" w:fill="D5EEEE"/>
          </w:tcPr>
          <w:p>
            <w:pPr>
              <w:spacing w:after="0"/>
              <w:rPr>
                <w:sz w:val="21"/>
                <w:szCs w:val="21"/>
                <w:color w:val="auto"/>
              </w:rPr>
            </w:pPr>
          </w:p>
        </w:tc>
      </w:tr>
      <w:tr>
        <w:trPr>
          <w:trHeight w:val="225"/>
        </w:trPr>
        <w:tc>
          <w:tcPr>
            <w:tcW w:w="72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Shares of common stock reserved for future issuance under the 2012 Stock Incentive</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Plan</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278,418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288,944</w:t>
            </w:r>
          </w:p>
        </w:tc>
        <w:tc>
          <w:tcPr>
            <w:tcW w:w="60" w:type="dxa"/>
            <w:vAlign w:val="bottom"/>
          </w:tcPr>
          <w:p>
            <w:pPr>
              <w:spacing w:after="0"/>
              <w:rPr>
                <w:sz w:val="21"/>
                <w:szCs w:val="21"/>
                <w:color w:val="auto"/>
              </w:rPr>
            </w:pPr>
          </w:p>
        </w:tc>
      </w:tr>
      <w:tr>
        <w:trPr>
          <w:trHeight w:val="239"/>
        </w:trPr>
        <w:tc>
          <w:tcPr>
            <w:tcW w:w="7260" w:type="dxa"/>
            <w:vAlign w:val="bottom"/>
            <w:tcBorders>
              <w:top w:val="single" w:sz="8" w:color="D5EEEE"/>
            </w:tcBorders>
            <w:shd w:val="clear" w:color="auto" w:fill="D5EEEE"/>
          </w:tcPr>
          <w:p>
            <w:pPr>
              <w:spacing w:after="0"/>
              <w:rPr>
                <w:sz w:val="20"/>
                <w:szCs w:val="20"/>
                <w:color w:val="auto"/>
              </w:rPr>
            </w:pPr>
          </w:p>
        </w:tc>
        <w:tc>
          <w:tcPr>
            <w:tcW w:w="12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29,506,260</w:t>
            </w:r>
          </w:p>
        </w:tc>
        <w:tc>
          <w:tcPr>
            <w:tcW w:w="200" w:type="dxa"/>
            <w:vAlign w:val="bottom"/>
            <w:tcBorders>
              <w:top w:val="single" w:sz="8" w:color="D5EEEE"/>
            </w:tcBorders>
            <w:shd w:val="clear" w:color="auto" w:fill="D5EEEE"/>
          </w:tcPr>
          <w:p>
            <w:pPr>
              <w:spacing w:after="0"/>
              <w:rPr>
                <w:sz w:val="20"/>
                <w:szCs w:val="20"/>
                <w:color w:val="auto"/>
              </w:rPr>
            </w:pPr>
          </w:p>
        </w:tc>
        <w:tc>
          <w:tcPr>
            <w:tcW w:w="120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41,891,573</w:t>
            </w:r>
          </w:p>
        </w:tc>
        <w:tc>
          <w:tcPr>
            <w:tcW w:w="60" w:type="dxa"/>
            <w:vAlign w:val="bottom"/>
            <w:tcBorders>
              <w:top w:val="single" w:sz="8" w:color="D5EEEE"/>
            </w:tcBorders>
            <w:shd w:val="clear" w:color="auto" w:fill="D5EEEE"/>
          </w:tcPr>
          <w:p>
            <w:pPr>
              <w:spacing w:after="0"/>
              <w:rPr>
                <w:sz w:val="20"/>
                <w:szCs w:val="20"/>
                <w:color w:val="auto"/>
              </w:rPr>
            </w:pPr>
          </w:p>
        </w:tc>
      </w:tr>
      <w:tr>
        <w:trPr>
          <w:trHeight w:val="20"/>
        </w:trPr>
        <w:tc>
          <w:tcPr>
            <w:tcW w:w="7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w:t>
      </w:r>
    </w:p>
    <w:p>
      <w:pPr>
        <w:spacing w:after="0" w:line="12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In June 2020, the Company entered into the ATM Sales Agreement with SVB Securities, under which the Company was able to issue and sell shares of its common stock, from time to time, having an aggregate offering price of up to $12.0 million. In May 2022, the Company and SVB Securities amended the ATM Sales Agreement to increase the maximum aggregate offering price of common stock that it was able to issue and sell from time to time under the ATM Sales Agreement by $50.0 million, from $12.0 million to up to $62.0 million.</w:t>
      </w:r>
    </w:p>
    <w:p>
      <w:pPr>
        <w:spacing w:after="0" w:line="77"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Sales of common stock under the ATM Sales Agreement were able to be made by any method that was deemed an “at-the-market” offering as defined in Rule 415(a)(4) under the Securities Act of 1933, as amended (the “Securities Act”). The Company was not obligated to make any sales of its common stock under the ATM Sales Agreement. The Company began making sales pursuant to the ATM Sales Agreement in July 2020. As of August 15, 2023, the date of termination of the ATM Sales Agreement, the Company had issued and sold an aggregate of 4,333,394 shares of common stock for gross proceeds of $12.7 million pursuant to the ATM Sales Agreement, before deducting estimated commissions and allocated fees of $1.0 million.</w:t>
      </w:r>
    </w:p>
    <w:p>
      <w:pPr>
        <w:spacing w:after="0" w:line="8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In June 2023, the Company filed with the SEC a universal shelf registration statement on Form S-3 (the “2023 Shelf Registration Statement”), which allowed the Company to offer and sell up to $200.0 million of common stock, preferred stock, debt securities, units and/or warrants from time to time pursuant to one or more offerings at prices and terms to be determined at the time of sale. The 2023 Shelf Registration Statement was declared effective on August 15, 2023. Further, in June 2023, the Company entered into a new at-the-market sales agreement with Leerink Partners LLC (formerly SVB Securities LLC) (the “ATM Sales Agreement”), under which the Company may issue and sell shares of common stock, from time to time by any method that is deemed an “at-the-market” offering as defined in Rule 415(a)(4) under the Securities Act. The Company is not obligated to make any sales of its common stock under the ATM Sales Agreement. The Company filed a prospectus under the 2023 Shelf Registration Statement for the offer and sale of shares of the Company’s common stock having an aggregate offering price of up to $75.0 million pursuant to the ATM Sales Agreement. In accordance with the terms of the ATM Sales Agreement, the sales agreement we had entered into with SVB Securities LLC in 2020 terminated upon effectiveness of the 2023 Shelf Registration Statement, at which point the Company was no longer able to issue and sell shares of its common stock under such prior sales agreement. As of December 31, 2024, the Company had issued and sold 4,498,065 shares of common stock under the ATM Sales Agreement for gross proceeds of $14.6 million, before deducting estimated commissions and allocated fees of $0.5 million.</w:t>
      </w:r>
    </w:p>
    <w:p>
      <w:pPr>
        <w:spacing w:after="0" w:line="9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November 2025, the Company filed an automatic universal shelf registration statement on Form S-3 (the “2025 Shelf Registration Statement”) with the SEC, which became effective upon filing. The 2025 Shelf Registration Statement permits the Company to offer and sell an indeterminate amount of common stock, preferred stock, debt securities, units and/or warrants from time to time pursuant to one or more offerings at prices and terms to be determined at the time of sale. The 2025 Shelf Registration Statement was filed to replace the Company’s prior universal shelf registration statement. Concurrently with the filing of the 2025 Shelf Registration Statement, the Company filed a new prospectus supplement pursuant to which shares of the Company’s common stock having an aggregate offering price of up to $200.0 million may be offered and sold from time to time under the ATM Sales Agreement. No shares were sold under the ATM Sales Agreement during the year ended December 31, 2025.</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Private Placements</w:t>
      </w:r>
    </w:p>
    <w:p>
      <w:pPr>
        <w:spacing w:after="0" w:line="120" w:lineRule="exact"/>
        <w:rPr>
          <w:sz w:val="20"/>
          <w:szCs w:val="20"/>
          <w:color w:val="auto"/>
        </w:rPr>
      </w:pPr>
    </w:p>
    <w:p>
      <w:pPr>
        <w:ind w:firstLine="490"/>
        <w:spacing w:after="0" w:line="278" w:lineRule="auto"/>
        <w:rPr>
          <w:sz w:val="20"/>
          <w:szCs w:val="20"/>
          <w:color w:val="auto"/>
        </w:rPr>
      </w:pPr>
      <w:r>
        <w:rPr>
          <w:rFonts w:ascii="Times New Roman" w:cs="Times New Roman" w:eastAsia="Times New Roman" w:hAnsi="Times New Roman"/>
          <w:sz w:val="19"/>
          <w:szCs w:val="19"/>
          <w:color w:val="auto"/>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F-17</w:t>
      </w:r>
    </w:p>
    <w:p>
      <w:pPr>
        <w:sectPr>
          <w:pgSz w:w="12240" w:h="15840" w:orient="portrait"/>
          <w:cols w:equalWidth="0" w:num="1">
            <w:col w:w="9920"/>
          </w:cols>
          <w:pgMar w:left="1160" w:top="1109" w:right="1160" w:bottom="175" w:gutter="0" w:footer="0" w:header="0"/>
        </w:sectPr>
      </w:pPr>
    </w:p>
    <w:bookmarkStart w:id="119" w:name="page120"/>
    <w:bookmarkEnd w:id="119"/>
    <w:p>
      <w:pPr>
        <w:jc w:val="both"/>
        <w:ind w:right="240"/>
        <w:spacing w:after="0" w:line="258" w:lineRule="auto"/>
        <w:rPr>
          <w:sz w:val="20"/>
          <w:szCs w:val="20"/>
          <w:color w:val="auto"/>
        </w:rPr>
      </w:pPr>
      <w:r>
        <w:rPr>
          <w:rFonts w:ascii="Times New Roman" w:cs="Times New Roman" w:eastAsia="Times New Roman" w:hAnsi="Times New Roman"/>
          <w:sz w:val="20"/>
          <w:szCs w:val="20"/>
          <w:color w:val="auto"/>
        </w:rPr>
        <w:t>of 4,926,069 shares of the Company’s common stock and accompanying warrants to purchase an aggregate of 9,852,138 shares of the Company’s common stock. All of the pre-funded warrants and accompanying common stock warrants have been exercised.</w:t>
      </w:r>
    </w:p>
    <w:p>
      <w:pPr>
        <w:spacing w:after="0" w:line="6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The accompanying common stock warrants have an exercise price of $1.37 per share and became exercisable immediately upon issuance. Of the accompanying common stock warrants, warrants to purchase an aggregate of 1,851,852 shares of the Company’s common stock were scheduled to expire on April 18, 2025, and warrants to purchase an aggregate of 1,851,852 shares of the Company’s common stock will expire on October 18, 2028. On April 17, 2025, NEA exercised all of the warrants that would have expired on April 18, 2025. None of the accompanying common stock warrants issued to NEA in the private placement that expire on October 18, 2028 have been exercised.</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On April 6, 2022, the Company entered into a securities purchase agreement with certain purchasers, pursuant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the Company agreed to issue and sell to the purchasers, in a private placement priced at-the-market under Nasdaq</w:t>
      </w:r>
    </w:p>
    <w:p>
      <w:pPr>
        <w:spacing w:after="0"/>
        <w:rPr>
          <w:sz w:val="20"/>
          <w:szCs w:val="20"/>
          <w:color w:val="auto"/>
        </w:rPr>
      </w:pPr>
      <w:r>
        <w:rPr>
          <w:rFonts w:ascii="Times New Roman" w:cs="Times New Roman" w:eastAsia="Times New Roman" w:hAnsi="Times New Roman"/>
          <w:sz w:val="20"/>
          <w:szCs w:val="20"/>
          <w:color w:val="auto"/>
        </w:rPr>
        <w:t>rules, (i) 4,580,526 shares of the Company’s common stock at a purchase price of $1.90 per share, and (ii) pre-funded</w:t>
      </w:r>
    </w:p>
    <w:p>
      <w:pPr>
        <w:spacing w:after="0"/>
        <w:rPr>
          <w:sz w:val="20"/>
          <w:szCs w:val="20"/>
          <w:color w:val="auto"/>
        </w:rPr>
      </w:pPr>
      <w:r>
        <w:rPr>
          <w:rFonts w:ascii="Times New Roman" w:cs="Times New Roman" w:eastAsia="Times New Roman" w:hAnsi="Times New Roman"/>
          <w:sz w:val="20"/>
          <w:szCs w:val="20"/>
          <w:color w:val="auto"/>
        </w:rPr>
        <w:t>warrants to purchase up to an aggregate of 24,379,673 shares of common stock at a purchase price of $1.899 per warrant</w:t>
      </w:r>
    </w:p>
    <w:p>
      <w:pPr>
        <w:spacing w:after="0"/>
        <w:rPr>
          <w:sz w:val="20"/>
          <w:szCs w:val="20"/>
          <w:color w:val="auto"/>
        </w:rPr>
      </w:pPr>
      <w:r>
        <w:rPr>
          <w:rFonts w:ascii="Times New Roman" w:cs="Times New Roman" w:eastAsia="Times New Roman" w:hAnsi="Times New Roman"/>
          <w:sz w:val="20"/>
          <w:szCs w:val="20"/>
          <w:color w:val="auto"/>
        </w:rPr>
        <w:t>(the “April 2022 Private Placement”). Each pre-funded warrant has an exercise price of $0.001 per share, became</w:t>
      </w:r>
    </w:p>
    <w:p>
      <w:pPr>
        <w:spacing w:after="0"/>
        <w:rPr>
          <w:sz w:val="20"/>
          <w:szCs w:val="20"/>
          <w:color w:val="auto"/>
        </w:rPr>
      </w:pPr>
      <w:r>
        <w:rPr>
          <w:rFonts w:ascii="Times New Roman" w:cs="Times New Roman" w:eastAsia="Times New Roman" w:hAnsi="Times New Roman"/>
          <w:sz w:val="20"/>
          <w:szCs w:val="20"/>
          <w:color w:val="auto"/>
        </w:rPr>
        <w:t>exercisable immediately upon issuance and will be exercisable until the pre-funded warrant is exercised in full. The April</w:t>
      </w:r>
    </w:p>
    <w:p>
      <w:pPr>
        <w:spacing w:after="0"/>
        <w:rPr>
          <w:sz w:val="20"/>
          <w:szCs w:val="20"/>
          <w:color w:val="auto"/>
        </w:rPr>
      </w:pPr>
      <w:r>
        <w:rPr>
          <w:rFonts w:ascii="Times New Roman" w:cs="Times New Roman" w:eastAsia="Times New Roman" w:hAnsi="Times New Roman"/>
          <w:sz w:val="20"/>
          <w:szCs w:val="20"/>
          <w:color w:val="auto"/>
        </w:rPr>
        <w:t>2022 Private Placement, which closed on April 11, 2022, resulted in gross proceeds to the Company of approximately</w:t>
      </w:r>
    </w:p>
    <w:p>
      <w:pPr>
        <w:spacing w:after="0"/>
        <w:rPr>
          <w:sz w:val="20"/>
          <w:szCs w:val="20"/>
          <w:color w:val="auto"/>
        </w:rPr>
      </w:pPr>
      <w:r>
        <w:rPr>
          <w:rFonts w:ascii="Times New Roman" w:cs="Times New Roman" w:eastAsia="Times New Roman" w:hAnsi="Times New Roman"/>
          <w:sz w:val="19"/>
          <w:szCs w:val="19"/>
          <w:color w:val="auto"/>
        </w:rPr>
        <w:t>$55.0 million. NEA, an existing stockholder of the Company and a related party, as well as an affiliate of NEA, participated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offering. As of December 31, 2025, pre-funded warrants that were issued and sold in the April 2022 Private</w:t>
      </w:r>
    </w:p>
    <w:p>
      <w:pPr>
        <w:spacing w:after="0"/>
        <w:rPr>
          <w:sz w:val="20"/>
          <w:szCs w:val="20"/>
          <w:color w:val="auto"/>
        </w:rPr>
      </w:pPr>
      <w:r>
        <w:rPr>
          <w:rFonts w:ascii="Times New Roman" w:cs="Times New Roman" w:eastAsia="Times New Roman" w:hAnsi="Times New Roman"/>
          <w:sz w:val="20"/>
          <w:szCs w:val="20"/>
          <w:color w:val="auto"/>
        </w:rPr>
        <w:t>Placement to purchase 12,531,332 shares of common stock remain outstanding.</w:t>
      </w:r>
    </w:p>
    <w:p>
      <w:pPr>
        <w:spacing w:after="0" w:line="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Registered Offerings</w:t>
      </w:r>
    </w:p>
    <w:p>
      <w:pPr>
        <w:spacing w:after="0" w:line="115" w:lineRule="exact"/>
        <w:rPr>
          <w:sz w:val="20"/>
          <w:szCs w:val="20"/>
          <w:color w:val="auto"/>
        </w:rPr>
      </w:pPr>
    </w:p>
    <w:p>
      <w:pPr>
        <w:ind w:right="40" w:firstLine="490"/>
        <w:spacing w:after="0" w:line="238" w:lineRule="auto"/>
        <w:rPr>
          <w:sz w:val="20"/>
          <w:szCs w:val="20"/>
          <w:color w:val="auto"/>
        </w:rPr>
      </w:pPr>
      <w:r>
        <w:rPr>
          <w:rFonts w:ascii="Times New Roman" w:cs="Times New Roman" w:eastAsia="Times New Roman" w:hAnsi="Times New Roman"/>
          <w:sz w:val="20"/>
          <w:szCs w:val="20"/>
          <w:color w:val="auto"/>
        </w:rPr>
        <w:t>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 per share, became exercisable immediately upon issuance and will be exercisable until the pre-funded warrant is exercised in full. Under the terms of the Underwriting Agreement, the Company granted the Underwriters an option (the “Option”), exercisable for 30 days, to purchase up to an additional 4,275,000 shares of common stock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the Company of approximately $ 58.1 million. As of December 31, 2025, pre-funded warrants that were issued and sold in the September 2022 Offering to purchase 4,717,616 shares of common stock remain outstanding.</w:t>
      </w:r>
    </w:p>
    <w:p>
      <w:pPr>
        <w:spacing w:after="0" w:line="80"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On December 17, 2024, the Company issued and sold 12,500,000 shares of the Company’s common stock to certain investors in an underwritten registered direct offering (the “December 2024 Offering”), at an offering price of $4.00 per share of common stock pursuant to an underwriting agreement (the “Underwriting Agreement”) with Leerink Partners LLC, Stifel, Nicolaus &amp; Company, Incorporated and Oppenheimer &amp; Co. Inc, as representatives of the several underwriters. The December 2024 Offering resulted in aggregate gross proceeds to the Company of $50.0 million.</w:t>
      </w:r>
    </w:p>
    <w:p>
      <w:pPr>
        <w:spacing w:after="0" w:line="75" w:lineRule="exact"/>
        <w:rPr>
          <w:sz w:val="20"/>
          <w:szCs w:val="20"/>
          <w:color w:val="auto"/>
        </w:rPr>
      </w:pPr>
    </w:p>
    <w:p>
      <w:pPr>
        <w:ind w:firstLine="490"/>
        <w:spacing w:after="0" w:line="238" w:lineRule="auto"/>
        <w:rPr>
          <w:sz w:val="20"/>
          <w:szCs w:val="20"/>
          <w:color w:val="auto"/>
        </w:rPr>
      </w:pPr>
      <w:r>
        <w:rPr>
          <w:rFonts w:ascii="Times New Roman" w:cs="Times New Roman" w:eastAsia="Times New Roman" w:hAnsi="Times New Roman"/>
          <w:sz w:val="20"/>
          <w:szCs w:val="20"/>
          <w:color w:val="auto"/>
        </w:rPr>
        <w:t>On June 5, 2025, the Company issued and sold 17,400,000 shares of the Company's common stock to the public in an underwritten offering, or (the “June 2025 Offering”), at an offering price of $5.75 per share of common stock pursuant to an underwriting agreement with Morgan Stanley &amp; Co. LLC, Leerink Partners LLC, Stifel, Nicolaus &amp; Company, Incorporated and Cantor Fitzgerald &amp; Co., as representatives of the several underwriters. In connection with the offering, the Company also granted the underwriters a 30-day option to purchase up to an additional 2,610,000 shares of common stock at the price to the public, less underwriting discounts and commissions. The underwriters exercised the option in full and settled in cash, concurrent with the offering. The June 2025 Offering resulted in aggregate gross proceeds to the Company of approximately $115.1 million.</w:t>
      </w:r>
    </w:p>
    <w:p>
      <w:pPr>
        <w:sectPr>
          <w:pgSz w:w="12240" w:h="15840" w:orient="portrait"/>
          <w:cols w:equalWidth="0" w:num="1">
            <w:col w:w="9920"/>
          </w:cols>
          <w:pgMar w:left="1160" w:top="1132" w:right="11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920"/>
          </w:cols>
          <w:pgMar w:left="1160" w:top="1132" w:right="1160" w:bottom="186" w:gutter="0" w:footer="0" w:header="0"/>
          <w:type w:val="continuous"/>
        </w:sectPr>
      </w:pPr>
    </w:p>
    <w:bookmarkStart w:id="120" w:name="page121"/>
    <w:bookmarkEnd w:id="120"/>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Warrants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Warrant activity, including activity related to pre-funded warrants, is shown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390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60" w:type="dxa"/>
            <w:vAlign w:val="bottom"/>
          </w:tcPr>
          <w:p>
            <w:pPr>
              <w:spacing w:after="0"/>
              <w:rPr>
                <w:sz w:val="16"/>
                <w:szCs w:val="16"/>
                <w:color w:val="auto"/>
              </w:rPr>
            </w:pPr>
          </w:p>
        </w:tc>
      </w:tr>
      <w:tr>
        <w:trPr>
          <w:trHeight w:val="184"/>
        </w:trPr>
        <w:tc>
          <w:tcPr>
            <w:tcW w:w="390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Pre-funded</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60" w:type="dxa"/>
            <w:vAlign w:val="bottom"/>
          </w:tcPr>
          <w:p>
            <w:pPr>
              <w:spacing w:after="0"/>
              <w:rPr>
                <w:sz w:val="16"/>
                <w:szCs w:val="16"/>
                <w:color w:val="auto"/>
              </w:rPr>
            </w:pPr>
          </w:p>
        </w:tc>
      </w:tr>
      <w:tr>
        <w:trPr>
          <w:trHeight w:val="184"/>
        </w:trPr>
        <w:tc>
          <w:tcPr>
            <w:tcW w:w="390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Warrant</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Warrant</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60" w:type="dxa"/>
            <w:vAlign w:val="bottom"/>
          </w:tcPr>
          <w:p>
            <w:pPr>
              <w:spacing w:after="0"/>
              <w:rPr>
                <w:sz w:val="16"/>
                <w:szCs w:val="16"/>
                <w:color w:val="auto"/>
              </w:rPr>
            </w:pPr>
          </w:p>
        </w:tc>
      </w:tr>
      <w:tr>
        <w:trPr>
          <w:trHeight w:val="203"/>
        </w:trPr>
        <w:tc>
          <w:tcPr>
            <w:tcW w:w="390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7"/>
                <w:szCs w:val="17"/>
                <w:color w:val="auto"/>
              </w:rPr>
            </w:pPr>
          </w:p>
        </w:tc>
        <w:tc>
          <w:tcPr>
            <w:tcW w:w="580" w:type="dxa"/>
            <w:vAlign w:val="bottom"/>
          </w:tcPr>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Term</w:t>
            </w:r>
          </w:p>
        </w:tc>
        <w:tc>
          <w:tcPr>
            <w:tcW w:w="60" w:type="dxa"/>
            <w:vAlign w:val="bottom"/>
          </w:tcPr>
          <w:p>
            <w:pPr>
              <w:spacing w:after="0"/>
              <w:rPr>
                <w:sz w:val="17"/>
                <w:szCs w:val="17"/>
                <w:color w:val="auto"/>
              </w:rPr>
            </w:pPr>
          </w:p>
        </w:tc>
      </w:tr>
      <w:tr>
        <w:trPr>
          <w:trHeight w:val="239"/>
        </w:trPr>
        <w:tc>
          <w:tcPr>
            <w:tcW w:w="39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3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23,211,642</w:t>
            </w:r>
          </w:p>
        </w:tc>
        <w:tc>
          <w:tcPr>
            <w:tcW w:w="240" w:type="dxa"/>
            <w:vAlign w:val="bottom"/>
            <w:tcBorders>
              <w:top w:val="single" w:sz="8" w:color="D5EEEE"/>
            </w:tcBorders>
            <w:shd w:val="clear" w:color="auto" w:fill="D5EEEE"/>
          </w:tcPr>
          <w:p>
            <w:pPr>
              <w:spacing w:after="0"/>
              <w:rPr>
                <w:sz w:val="20"/>
                <w:szCs w:val="20"/>
                <w:color w:val="auto"/>
              </w:rPr>
            </w:pPr>
          </w:p>
        </w:tc>
        <w:tc>
          <w:tcPr>
            <w:tcW w:w="10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9,703,704</w:t>
            </w:r>
          </w:p>
        </w:tc>
        <w:tc>
          <w:tcPr>
            <w:tcW w:w="240" w:type="dxa"/>
            <w:vAlign w:val="bottom"/>
            <w:tcBorders>
              <w:top w:val="single" w:sz="8" w:color="D5EEEE"/>
            </w:tcBorders>
            <w:shd w:val="clear" w:color="auto" w:fill="D5EEEE"/>
          </w:tcPr>
          <w:p>
            <w:pPr>
              <w:spacing w:after="0"/>
              <w:rPr>
                <w:sz w:val="20"/>
                <w:szCs w:val="20"/>
                <w:color w:val="auto"/>
              </w:rPr>
            </w:pPr>
          </w:p>
        </w:tc>
        <w:tc>
          <w:tcPr>
            <w:tcW w:w="104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32,915,346</w:t>
            </w:r>
          </w:p>
        </w:tc>
        <w:tc>
          <w:tcPr>
            <w:tcW w:w="24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auto"/>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w w:val="99"/>
                <w:shd w:val="clear" w:color="auto" w:fill="D5EEEE"/>
              </w:rPr>
              <w:t>$</w:t>
            </w:r>
          </w:p>
        </w:tc>
        <w:tc>
          <w:tcPr>
            <w:tcW w:w="58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0.40</w:t>
            </w:r>
          </w:p>
        </w:tc>
        <w:tc>
          <w:tcPr>
            <w:tcW w:w="240" w:type="dxa"/>
            <w:vAlign w:val="bottom"/>
            <w:tcBorders>
              <w:top w:val="single" w:sz="8" w:color="D5EEEE"/>
            </w:tcBorders>
            <w:shd w:val="clear" w:color="auto" w:fill="D5EEEE"/>
          </w:tcPr>
          <w:p>
            <w:pPr>
              <w:spacing w:after="0"/>
              <w:rPr>
                <w:sz w:val="20"/>
                <w:szCs w:val="20"/>
                <w:color w:val="auto"/>
              </w:rPr>
            </w:pPr>
          </w:p>
        </w:tc>
        <w:tc>
          <w:tcPr>
            <w:tcW w:w="8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Borders>
              <w:top w:val="single" w:sz="8" w:color="D5EEEE"/>
            </w:tcBorders>
            <w:shd w:val="clear" w:color="auto" w:fill="D5EEEE"/>
          </w:tcPr>
          <w:p>
            <w:pPr>
              <w:spacing w:after="0"/>
              <w:rPr>
                <w:sz w:val="20"/>
                <w:szCs w:val="20"/>
                <w:color w:val="auto"/>
              </w:rPr>
            </w:pPr>
          </w:p>
        </w:tc>
      </w:tr>
      <w:tr>
        <w:trPr>
          <w:trHeight w:val="225"/>
        </w:trPr>
        <w:tc>
          <w:tcPr>
            <w:tcW w:w="3900" w:type="dxa"/>
            <w:vAlign w:val="bottom"/>
          </w:tcPr>
          <w:p>
            <w:pPr>
              <w:ind w:left="400"/>
              <w:spacing w:after="0" w:line="225" w:lineRule="exact"/>
              <w:rPr>
                <w:sz w:val="20"/>
                <w:szCs w:val="20"/>
                <w:color w:val="auto"/>
              </w:rPr>
            </w:pPr>
            <w:r>
              <w:rPr>
                <w:rFonts w:ascii="Times New Roman" w:cs="Times New Roman" w:eastAsia="Times New Roman" w:hAnsi="Times New Roman"/>
                <w:sz w:val="20"/>
                <w:szCs w:val="20"/>
                <w:color w:val="auto"/>
              </w:rPr>
              <w:t>Exercised</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auto"/>
              </w:rPr>
              <w:t>(13,814,54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9"/>
        </w:trPr>
        <w:tc>
          <w:tcPr>
            <w:tcW w:w="3900" w:type="dxa"/>
            <w:vAlign w:val="bottom"/>
          </w:tcPr>
          <w:p>
            <w:pPr>
              <w:spacing w:after="0"/>
              <w:rPr>
                <w:sz w:val="21"/>
                <w:szCs w:val="21"/>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(5,962,694)</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(7,851,852)</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w:t>
            </w: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390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rPr>
              <w:t>Outstanding as of December 31, 2025</w:t>
            </w:r>
          </w:p>
        </w:tc>
        <w:tc>
          <w:tcPr>
            <w:tcW w:w="136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17,248,948</w:t>
            </w:r>
          </w:p>
        </w:tc>
        <w:tc>
          <w:tcPr>
            <w:tcW w:w="240" w:type="dxa"/>
            <w:vAlign w:val="bottom"/>
            <w:tcBorders>
              <w:top w:val="single" w:sz="8" w:color="D5EEEE"/>
            </w:tcBorders>
            <w:shd w:val="clear" w:color="auto" w:fill="D5EEEE"/>
          </w:tcPr>
          <w:p>
            <w:pPr>
              <w:spacing w:after="0"/>
              <w:rPr>
                <w:sz w:val="20"/>
                <w:szCs w:val="20"/>
                <w:color w:val="auto"/>
              </w:rPr>
            </w:pPr>
          </w:p>
        </w:tc>
        <w:tc>
          <w:tcPr>
            <w:tcW w:w="10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1,851,852</w:t>
            </w:r>
          </w:p>
        </w:tc>
        <w:tc>
          <w:tcPr>
            <w:tcW w:w="240" w:type="dxa"/>
            <w:vAlign w:val="bottom"/>
            <w:tcBorders>
              <w:top w:val="single" w:sz="8" w:color="D5EEEE"/>
            </w:tcBorders>
            <w:shd w:val="clear" w:color="auto" w:fill="D5EEEE"/>
          </w:tcPr>
          <w:p>
            <w:pPr>
              <w:spacing w:after="0"/>
              <w:rPr>
                <w:sz w:val="20"/>
                <w:szCs w:val="20"/>
                <w:color w:val="auto"/>
              </w:rPr>
            </w:pPr>
          </w:p>
        </w:tc>
        <w:tc>
          <w:tcPr>
            <w:tcW w:w="1040" w:type="dxa"/>
            <w:vAlign w:val="bottom"/>
            <w:tcBorders>
              <w:top w:val="single" w:sz="8" w:color="auto"/>
              <w:bottom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19,100,800</w:t>
            </w:r>
          </w:p>
        </w:tc>
        <w:tc>
          <w:tcPr>
            <w:tcW w:w="240" w:type="dxa"/>
            <w:vAlign w:val="bottom"/>
            <w:tcBorders>
              <w:top w:val="single" w:sz="8" w:color="D5EEEE"/>
            </w:tcBorders>
            <w:shd w:val="clear" w:color="auto" w:fill="D5EEEE"/>
          </w:tcPr>
          <w:p>
            <w:pPr>
              <w:spacing w:after="0"/>
              <w:rPr>
                <w:sz w:val="20"/>
                <w:szCs w:val="20"/>
                <w:color w:val="auto"/>
              </w:rPr>
            </w:pPr>
          </w:p>
        </w:tc>
        <w:tc>
          <w:tcPr>
            <w:tcW w:w="120" w:type="dxa"/>
            <w:vAlign w:val="bottom"/>
            <w:tcBorders>
              <w:top w:val="single" w:sz="8" w:color="D5EEEE"/>
            </w:tcBorders>
            <w:shd w:val="clear" w:color="auto" w:fill="D5EEEE"/>
          </w:tcPr>
          <w:p>
            <w:pPr>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Borders>
              <w:top w:val="single" w:sz="8" w:color="D5EEEE"/>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1100" w:type="dxa"/>
            <w:vAlign w:val="bottom"/>
            <w:tcBorders>
              <w:top w:val="single" w:sz="8" w:color="D5EEEE"/>
            </w:tcBorders>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Borders>
              <w:top w:val="single" w:sz="8" w:color="D5EEEE"/>
            </w:tcBorders>
            <w:shd w:val="clear" w:color="auto" w:fill="D5EEEE"/>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right="80" w:firstLine="490"/>
        <w:spacing w:after="0" w:line="258" w:lineRule="auto"/>
        <w:rPr>
          <w:sz w:val="20"/>
          <w:szCs w:val="20"/>
          <w:color w:val="auto"/>
        </w:rPr>
      </w:pPr>
      <w:r>
        <w:rPr>
          <w:rFonts w:ascii="Times New Roman" w:cs="Times New Roman" w:eastAsia="Times New Roman" w:hAnsi="Times New Roman"/>
          <w:sz w:val="20"/>
          <w:szCs w:val="20"/>
          <w:color w:val="auto"/>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Stock-Based Awards</w:t>
      </w:r>
    </w:p>
    <w:p>
      <w:pPr>
        <w:spacing w:after="0" w:line="12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 further equity-based awards may be granted under the 2012 Plan.</w:t>
      </w:r>
    </w:p>
    <w:p>
      <w:pPr>
        <w:spacing w:after="0" w:line="77"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spacing w:after="0" w:line="77" w:lineRule="exact"/>
        <w:rPr>
          <w:sz w:val="20"/>
          <w:szCs w:val="20"/>
          <w:color w:val="auto"/>
        </w:rPr>
      </w:pPr>
    </w:p>
    <w:p>
      <w:pPr>
        <w:ind w:right="60" w:firstLine="540"/>
        <w:spacing w:after="0" w:line="265" w:lineRule="auto"/>
        <w:rPr>
          <w:sz w:val="20"/>
          <w:szCs w:val="20"/>
          <w:color w:val="auto"/>
        </w:rPr>
      </w:pPr>
      <w:r>
        <w:rPr>
          <w:rFonts w:ascii="Times New Roman" w:cs="Times New Roman" w:eastAsia="Times New Roman" w:hAnsi="Times New Roman"/>
          <w:sz w:val="19"/>
          <w:szCs w:val="19"/>
          <w:color w:val="auto"/>
        </w:rPr>
        <w:t>In April 2025, the Company’s board of directors approved, and the Company’s stockholders subsequently approved, an amendment to the 2019 Plan (the “Plan Amendment”), which (i) increased the number of shares authorized for issuance under the 2019 Plan by 6,000,000 shares to 16,490,422 shares and (ii) eliminated the evergreen provision of the 2019 Plan. Accordingly, the total number of shares of common stock that may be issued under both the 2019 Plan and the 2012 Plan was 16,212,645 as of December 31, 2025, of which 6,911,027 shares remained available for grant under the 2019 Plan.</w:t>
      </w:r>
    </w:p>
    <w:p>
      <w:pPr>
        <w:spacing w:after="0" w:line="6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The Company generally settles stock option exercises with newly issued shares of common stock. As of December 31, 2025 and 2024, respectively, options to purchase 9,023,200 and 7,555,310 shares of common stock were granted and outstanding, net of cancellations, under the 2019 Plan. As of December 31, 2025 and 2024, respectively, options to purchase 278,418 and 288,944 shares of common stock were granted and outstanding, net of cancellations, under the 2012 Plan.</w:t>
      </w:r>
    </w:p>
    <w:p>
      <w:pPr>
        <w:spacing w:after="0" w:line="86"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In February 2024, the Company granted options to purchase 832,250 shares of common stock subject to performance-based vesting (“PSOs”) to employees of the Company. The PSOs were subject to vesting based on performance criteria related to the timing and results of two of the Company’s clinical trials. By May 2025, the timing and results of both clinical trials had been determined, and the compensation committee of the Company's board of directors had certified to the satisfaction of the related performance metrics, resulting in PSOs to purchase 642,160 shares vesting and the remaining PSOs being cancelled.</w:t>
      </w:r>
    </w:p>
    <w:p>
      <w:pPr>
        <w:sectPr>
          <w:pgSz w:w="12240" w:h="15840" w:orient="portrait"/>
          <w:cols w:equalWidth="0" w:num="1">
            <w:col w:w="9920"/>
          </w:cols>
          <w:pgMar w:left="1160" w:top="1128" w:right="11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920"/>
          </w:cols>
          <w:pgMar w:left="1160" w:top="1128" w:right="1160" w:bottom="186" w:gutter="0" w:footer="0" w:header="0"/>
          <w:type w:val="continuous"/>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20"/>
          <w:szCs w:val="20"/>
          <w:color w:val="auto"/>
        </w:rPr>
        <w:t>A summary of the Company’s combined stock option activity for the 2019 Plan and the 2012 Plan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4"/>
        </w:trPr>
        <w:tc>
          <w:tcPr>
            <w:tcW w:w="4200" w:type="dxa"/>
            <w:vAlign w:val="bottom"/>
          </w:tcPr>
          <w:p>
            <w:pPr>
              <w:spacing w:after="0"/>
              <w:rPr>
                <w:sz w:val="16"/>
                <w:szCs w:val="16"/>
                <w:color w:val="auto"/>
              </w:rPr>
            </w:pP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84"/>
        </w:trPr>
        <w:tc>
          <w:tcPr>
            <w:tcW w:w="4200" w:type="dxa"/>
            <w:vAlign w:val="bottom"/>
          </w:tcPr>
          <w:p>
            <w:pPr>
              <w:spacing w:after="0"/>
              <w:rPr>
                <w:sz w:val="16"/>
                <w:szCs w:val="16"/>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Intrinsic</w:t>
            </w:r>
          </w:p>
        </w:tc>
      </w:tr>
      <w:tr>
        <w:trPr>
          <w:trHeight w:val="203"/>
        </w:trPr>
        <w:tc>
          <w:tcPr>
            <w:tcW w:w="4200" w:type="dxa"/>
            <w:vAlign w:val="bottom"/>
          </w:tcPr>
          <w:p>
            <w:pPr>
              <w:spacing w:after="0"/>
              <w:rPr>
                <w:sz w:val="17"/>
                <w:szCs w:val="17"/>
                <w:color w:val="auto"/>
              </w:rPr>
            </w:pP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193"/>
        </w:trPr>
        <w:tc>
          <w:tcPr>
            <w:tcW w:w="4200" w:type="dxa"/>
            <w:vAlign w:val="bottom"/>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16"/>
                <w:szCs w:val="16"/>
                <w:color w:val="auto"/>
              </w:rPr>
            </w:pPr>
          </w:p>
        </w:tc>
      </w:tr>
      <w:tr>
        <w:trPr>
          <w:trHeight w:val="244"/>
        </w:trPr>
        <w:tc>
          <w:tcPr>
            <w:tcW w:w="42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7,844,254</w:t>
            </w:r>
          </w:p>
        </w:tc>
        <w:tc>
          <w:tcPr>
            <w:tcW w:w="160" w:type="dxa"/>
            <w:vAlign w:val="bottom"/>
            <w:shd w:val="clear" w:color="auto" w:fill="D5EEEE"/>
          </w:tcPr>
          <w:p>
            <w:pPr>
              <w:spacing w:after="0"/>
              <w:rPr>
                <w:sz w:val="21"/>
                <w:szCs w:val="21"/>
                <w:color w:val="auto"/>
              </w:rPr>
            </w:pPr>
          </w:p>
        </w:tc>
        <w:tc>
          <w:tcPr>
            <w:tcW w:w="2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13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4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11,669</w:t>
            </w:r>
          </w:p>
        </w:tc>
        <w:tc>
          <w:tcPr>
            <w:tcW w:w="60" w:type="dxa"/>
            <w:vAlign w:val="bottom"/>
            <w:shd w:val="clear" w:color="auto" w:fill="D5EEEE"/>
          </w:tcPr>
          <w:p>
            <w:pPr>
              <w:spacing w:after="0"/>
              <w:rPr>
                <w:sz w:val="21"/>
                <w:szCs w:val="21"/>
                <w:color w:val="auto"/>
              </w:rPr>
            </w:pPr>
          </w:p>
        </w:tc>
      </w:tr>
      <w:tr>
        <w:trPr>
          <w:trHeight w:val="244"/>
        </w:trPr>
        <w:tc>
          <w:tcPr>
            <w:tcW w:w="4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2,999,800</w:t>
            </w:r>
          </w:p>
        </w:tc>
        <w:tc>
          <w:tcPr>
            <w:tcW w:w="16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2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Forfeited</w:t>
            </w:r>
          </w:p>
        </w:tc>
        <w:tc>
          <w:tcPr>
            <w:tcW w:w="1800" w:type="dxa"/>
            <w:vAlign w:val="bottom"/>
            <w:gridSpan w:val="2"/>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rPr>
              <w:t>(690,869)</w:t>
            </w:r>
          </w:p>
        </w:tc>
        <w:tc>
          <w:tcPr>
            <w:tcW w:w="2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3.38</w:t>
            </w:r>
          </w:p>
        </w:tc>
        <w:tc>
          <w:tcPr>
            <w:tcW w:w="280" w:type="dxa"/>
            <w:vAlign w:val="bottom"/>
            <w:shd w:val="clear" w:color="auto" w:fill="D5EEEE"/>
          </w:tcPr>
          <w:p>
            <w:pPr>
              <w:spacing w:after="0"/>
              <w:rPr>
                <w:sz w:val="21"/>
                <w:szCs w:val="21"/>
                <w:color w:val="auto"/>
              </w:rPr>
            </w:pPr>
          </w:p>
        </w:tc>
        <w:tc>
          <w:tcPr>
            <w:tcW w:w="108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12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r>
      <w:tr>
        <w:trPr>
          <w:trHeight w:val="244"/>
        </w:trPr>
        <w:tc>
          <w:tcPr>
            <w:tcW w:w="4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Exercised</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(851,567)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2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Expired</w:t>
            </w:r>
          </w:p>
        </w:tc>
        <w:tc>
          <w:tcPr>
            <w:tcW w:w="1800" w:type="dxa"/>
            <w:vAlign w:val="bottom"/>
            <w:gridSpan w:val="2"/>
            <w:shd w:val="clear" w:color="auto" w:fill="D5EEEE"/>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5EEEE"/>
          </w:tcPr>
          <w:p>
            <w:pPr>
              <w:spacing w:after="0"/>
              <w:rPr>
                <w:sz w:val="21"/>
                <w:szCs w:val="21"/>
                <w:color w:val="auto"/>
              </w:rPr>
            </w:pPr>
          </w:p>
        </w:tc>
        <w:tc>
          <w:tcPr>
            <w:tcW w:w="1080" w:type="dxa"/>
            <w:vAlign w:val="bottom"/>
            <w:shd w:val="clear" w:color="auto" w:fill="D5EEEE"/>
          </w:tcPr>
          <w:p>
            <w:pPr>
              <w:spacing w:after="0"/>
              <w:rPr>
                <w:sz w:val="21"/>
                <w:szCs w:val="21"/>
                <w:color w:val="auto"/>
              </w:rPr>
            </w:pPr>
          </w:p>
        </w:tc>
        <w:tc>
          <w:tcPr>
            <w:tcW w:w="28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120" w:type="dxa"/>
            <w:vAlign w:val="bottom"/>
            <w:shd w:val="clear" w:color="auto" w:fill="D5EEEE"/>
          </w:tcPr>
          <w:p>
            <w:pPr>
              <w:spacing w:after="0"/>
              <w:rPr>
                <w:sz w:val="21"/>
                <w:szCs w:val="21"/>
                <w:color w:val="auto"/>
              </w:rPr>
            </w:pPr>
          </w:p>
        </w:tc>
        <w:tc>
          <w:tcPr>
            <w:tcW w:w="60" w:type="dxa"/>
            <w:vAlign w:val="bottom"/>
            <w:shd w:val="clear" w:color="auto" w:fill="D5EEEE"/>
          </w:tcPr>
          <w:p>
            <w:pPr>
              <w:spacing w:after="0"/>
              <w:rPr>
                <w:sz w:val="21"/>
                <w:szCs w:val="21"/>
                <w:color w:val="auto"/>
              </w:rPr>
            </w:pPr>
          </w:p>
        </w:tc>
      </w:tr>
      <w:tr>
        <w:trPr>
          <w:trHeight w:val="279"/>
        </w:trPr>
        <w:tc>
          <w:tcPr>
            <w:tcW w:w="420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Outstanding as of December 31, 2025</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9,301,618</w:t>
            </w:r>
          </w:p>
        </w:tc>
        <w:tc>
          <w:tcPr>
            <w:tcW w:w="160" w:type="dxa"/>
            <w:vAlign w:val="bottom"/>
            <w:tcBorders>
              <w:bottom w:val="single" w:sz="8" w:color="D5EEEE"/>
            </w:tcBorders>
          </w:tcPr>
          <w:p>
            <w:pPr>
              <w:spacing w:after="0"/>
              <w:rPr>
                <w:sz w:val="24"/>
                <w:szCs w:val="24"/>
                <w:color w:val="auto"/>
              </w:rPr>
            </w:pPr>
          </w:p>
        </w:tc>
        <w:tc>
          <w:tcPr>
            <w:tcW w:w="200" w:type="dxa"/>
            <w:vAlign w:val="bottom"/>
            <w:tcBorders>
              <w:bottom w:val="single" w:sz="8" w:color="D5EEEE"/>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1360" w:type="dxa"/>
            <w:vAlign w:val="bottom"/>
            <w:tcBorders>
              <w:bottom w:val="single" w:sz="8" w:color="D5EEEE"/>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400" w:type="dxa"/>
            <w:vAlign w:val="bottom"/>
            <w:tcBorders>
              <w:bottom w:val="single" w:sz="8" w:color="D5EEEE"/>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D5EEEE"/>
            </w:tcBorders>
          </w:tcPr>
          <w:p>
            <w:pPr>
              <w:jc w:val="right"/>
              <w:spacing w:after="0"/>
              <w:rPr>
                <w:sz w:val="20"/>
                <w:szCs w:val="20"/>
                <w:color w:val="auto"/>
              </w:rPr>
            </w:pPr>
            <w:r>
              <w:rPr>
                <w:rFonts w:ascii="Times New Roman" w:cs="Times New Roman" w:eastAsia="Times New Roman" w:hAnsi="Times New Roman"/>
                <w:sz w:val="20"/>
                <w:szCs w:val="20"/>
                <w:color w:val="auto"/>
              </w:rPr>
              <w:t>82,723</w:t>
            </w:r>
          </w:p>
        </w:tc>
        <w:tc>
          <w:tcPr>
            <w:tcW w:w="60" w:type="dxa"/>
            <w:vAlign w:val="bottom"/>
            <w:tcBorders>
              <w:bottom w:val="single" w:sz="8" w:color="D5EEEE"/>
            </w:tcBorders>
          </w:tcPr>
          <w:p>
            <w:pPr>
              <w:spacing w:after="0"/>
              <w:rPr>
                <w:sz w:val="24"/>
                <w:szCs w:val="24"/>
                <w:color w:val="auto"/>
              </w:rPr>
            </w:pPr>
          </w:p>
        </w:tc>
      </w:tr>
      <w:tr>
        <w:trPr>
          <w:trHeight w:val="229"/>
        </w:trPr>
        <w:tc>
          <w:tcPr>
            <w:tcW w:w="42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Options exercisable as of December 31, 2025</w:t>
            </w:r>
          </w:p>
        </w:tc>
        <w:tc>
          <w:tcPr>
            <w:tcW w:w="164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5,179,850</w:t>
            </w:r>
          </w:p>
        </w:tc>
        <w:tc>
          <w:tcPr>
            <w:tcW w:w="160" w:type="dxa"/>
            <w:vAlign w:val="bottom"/>
            <w:shd w:val="clear" w:color="auto" w:fill="D5EEEE"/>
          </w:tcPr>
          <w:p>
            <w:pPr>
              <w:spacing w:after="0"/>
              <w:rPr>
                <w:sz w:val="19"/>
                <w:szCs w:val="19"/>
                <w:color w:val="auto"/>
              </w:rPr>
            </w:pPr>
          </w:p>
        </w:tc>
        <w:tc>
          <w:tcPr>
            <w:tcW w:w="20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3.34</w:t>
            </w:r>
          </w:p>
        </w:tc>
        <w:tc>
          <w:tcPr>
            <w:tcW w:w="13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40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47,568</w:t>
            </w:r>
          </w:p>
        </w:tc>
        <w:tc>
          <w:tcPr>
            <w:tcW w:w="60" w:type="dxa"/>
            <w:vAlign w:val="bottom"/>
            <w:shd w:val="clear" w:color="auto" w:fill="D5EEEE"/>
          </w:tcPr>
          <w:p>
            <w:pPr>
              <w:spacing w:after="0"/>
              <w:rPr>
                <w:sz w:val="19"/>
                <w:szCs w:val="19"/>
                <w:color w:val="auto"/>
              </w:rPr>
            </w:pPr>
          </w:p>
        </w:tc>
      </w:tr>
      <w:tr>
        <w:trPr>
          <w:trHeight w:val="266"/>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Options unvested as of December 31,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4,121,768</w:t>
            </w:r>
          </w:p>
        </w:tc>
        <w:tc>
          <w:tcPr>
            <w:tcW w:w="16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35,155</w:t>
            </w:r>
          </w:p>
        </w:tc>
        <w:tc>
          <w:tcPr>
            <w:tcW w:w="60" w:type="dxa"/>
            <w:vAlign w:val="bottom"/>
          </w:tcPr>
          <w:p>
            <w:pPr>
              <w:spacing w:after="0"/>
              <w:rPr>
                <w:sz w:val="23"/>
                <w:szCs w:val="23"/>
                <w:color w:val="auto"/>
              </w:rPr>
            </w:pPr>
          </w:p>
        </w:tc>
      </w:tr>
    </w:tbl>
    <w:p>
      <w:pPr>
        <w:spacing w:after="0" w:line="188" w:lineRule="exact"/>
        <w:rPr>
          <w:sz w:val="20"/>
          <w:szCs w:val="20"/>
          <w:color w:val="auto"/>
        </w:rPr>
      </w:pPr>
    </w:p>
    <w:p>
      <w:pPr>
        <w:ind w:right="500" w:firstLine="490"/>
        <w:spacing w:after="0" w:line="277" w:lineRule="auto"/>
        <w:rPr>
          <w:sz w:val="20"/>
          <w:szCs w:val="20"/>
          <w:color w:val="auto"/>
        </w:rPr>
      </w:pPr>
      <w:r>
        <w:rPr>
          <w:rFonts w:ascii="Times New Roman" w:cs="Times New Roman" w:eastAsia="Times New Roman" w:hAnsi="Times New Roman"/>
          <w:sz w:val="20"/>
          <w:szCs w:val="20"/>
          <w:color w:val="auto"/>
        </w:rPr>
        <w:t>The weighted average grant-date fair value per share of stock options granted was $4.01 and $2.17 for the years ended December 31, 2025 and 2024, respectively.</w:t>
      </w:r>
    </w:p>
    <w:p>
      <w:pPr>
        <w:spacing w:after="0" w:line="49" w:lineRule="exact"/>
        <w:rPr>
          <w:sz w:val="20"/>
          <w:szCs w:val="20"/>
          <w:color w:val="auto"/>
        </w:rPr>
      </w:pPr>
    </w:p>
    <w:p>
      <w:pPr>
        <w:ind w:right="220" w:firstLine="490"/>
        <w:spacing w:after="0" w:line="277" w:lineRule="auto"/>
        <w:rPr>
          <w:sz w:val="20"/>
          <w:szCs w:val="20"/>
          <w:color w:val="auto"/>
        </w:rPr>
      </w:pPr>
      <w:r>
        <w:rPr>
          <w:rFonts w:ascii="Times New Roman" w:cs="Times New Roman" w:eastAsia="Times New Roman" w:hAnsi="Times New Roman"/>
          <w:sz w:val="20"/>
          <w:szCs w:val="20"/>
          <w:color w:val="auto"/>
        </w:rPr>
        <w:t>The aggregate fair value of stock options that vested during the years ended December 31, 2025 and 2024 was $4.5 million and $2.4 million, respectively.</w:t>
      </w:r>
    </w:p>
    <w:p>
      <w:pPr>
        <w:spacing w:after="0" w:line="49" w:lineRule="exact"/>
        <w:rPr>
          <w:sz w:val="20"/>
          <w:szCs w:val="20"/>
          <w:color w:val="auto"/>
        </w:rPr>
      </w:pPr>
    </w:p>
    <w:p>
      <w:pPr>
        <w:ind w:right="40" w:firstLine="490"/>
        <w:spacing w:after="0" w:line="252" w:lineRule="auto"/>
        <w:rPr>
          <w:sz w:val="20"/>
          <w:szCs w:val="20"/>
          <w:color w:val="auto"/>
        </w:rPr>
      </w:pPr>
      <w:r>
        <w:rPr>
          <w:rFonts w:ascii="Times New Roman" w:cs="Times New Roman" w:eastAsia="Times New Roman" w:hAnsi="Times New Roman"/>
          <w:sz w:val="20"/>
          <w:szCs w:val="20"/>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years ended December 31, 2025 and 2024 was $4,337 and $305, respectively.</w:t>
      </w:r>
    </w:p>
    <w:p>
      <w:pPr>
        <w:spacing w:after="0" w:line="74" w:lineRule="exact"/>
        <w:rPr>
          <w:sz w:val="20"/>
          <w:szCs w:val="20"/>
          <w:color w:val="auto"/>
        </w:rPr>
      </w:pPr>
    </w:p>
    <w:p>
      <w:pPr>
        <w:ind w:right="400" w:firstLine="490"/>
        <w:spacing w:after="0" w:line="258" w:lineRule="auto"/>
        <w:rPr>
          <w:sz w:val="20"/>
          <w:szCs w:val="20"/>
          <w:color w:val="auto"/>
        </w:rPr>
      </w:pPr>
      <w:r>
        <w:rPr>
          <w:rFonts w:ascii="Times New Roman" w:cs="Times New Roman" w:eastAsia="Times New Roman" w:hAnsi="Times New Roman"/>
          <w:sz w:val="20"/>
          <w:szCs w:val="20"/>
          <w:color w:val="auto"/>
        </w:rPr>
        <w:t>The range of assumptions that the Company used to determine the fair value of the stock options granted were as follows:</w:t>
      </w:r>
    </w:p>
    <w:tbl>
      <w:tblPr>
        <w:tblLayout w:type="fixed"/>
        <w:tblInd w:w="0" w:type="dxa"/>
        <w:tblCellMar>
          <w:top w:w="0" w:type="dxa"/>
          <w:left w:w="0" w:type="dxa"/>
          <w:bottom w:w="0" w:type="dxa"/>
          <w:right w:w="0" w:type="dxa"/>
        </w:tblCellMar>
      </w:tblPr>
      <w:tr>
        <w:trPr>
          <w:trHeight w:val="183"/>
        </w:trPr>
        <w:tc>
          <w:tcPr>
            <w:tcW w:w="4560" w:type="dxa"/>
            <w:vAlign w:val="bottom"/>
          </w:tcPr>
          <w:p>
            <w:pPr>
              <w:spacing w:after="0"/>
              <w:rPr>
                <w:sz w:val="15"/>
                <w:szCs w:val="15"/>
                <w:color w:val="auto"/>
              </w:rPr>
            </w:pPr>
          </w:p>
        </w:tc>
        <w:tc>
          <w:tcPr>
            <w:tcW w:w="3720" w:type="dxa"/>
            <w:vAlign w:val="bottom"/>
            <w:tcBorders>
              <w:bottom w:val="single" w:sz="8" w:color="auto"/>
            </w:tcBorders>
            <w:gridSpan w:val="3"/>
          </w:tcPr>
          <w:p>
            <w:pPr>
              <w:ind w:left="17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93"/>
        </w:trPr>
        <w:tc>
          <w:tcPr>
            <w:tcW w:w="4560" w:type="dxa"/>
            <w:vAlign w:val="bottom"/>
            <w:tcBorders>
              <w:bottom w:val="single" w:sz="8" w:color="D5EEEE"/>
            </w:tcBorders>
          </w:tcPr>
          <w:p>
            <w:pPr>
              <w:spacing w:after="0"/>
              <w:rPr>
                <w:sz w:val="16"/>
                <w:szCs w:val="16"/>
                <w:color w:val="auto"/>
              </w:rPr>
            </w:pPr>
          </w:p>
        </w:tc>
        <w:tc>
          <w:tcPr>
            <w:tcW w:w="2480" w:type="dxa"/>
            <w:vAlign w:val="bottom"/>
            <w:tcBorders>
              <w:bottom w:val="single" w:sz="8" w:color="auto"/>
            </w:tcBorders>
          </w:tcPr>
          <w:p>
            <w:pPr>
              <w:jc w:val="right"/>
              <w:ind w:right="10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bottom w:val="single" w:sz="8" w:color="D5EEEE"/>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9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D5EEEE"/>
            </w:tcBorders>
          </w:tcPr>
          <w:p>
            <w:pPr>
              <w:spacing w:after="0"/>
              <w:rPr>
                <w:sz w:val="16"/>
                <w:szCs w:val="16"/>
                <w:color w:val="auto"/>
              </w:rPr>
            </w:pPr>
          </w:p>
        </w:tc>
      </w:tr>
      <w:tr>
        <w:trPr>
          <w:trHeight w:val="239"/>
        </w:trPr>
        <w:tc>
          <w:tcPr>
            <w:tcW w:w="45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Risk-free interest rate</w:t>
            </w:r>
          </w:p>
        </w:tc>
        <w:tc>
          <w:tcPr>
            <w:tcW w:w="24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3.8% - 4.4%</w:t>
            </w:r>
          </w:p>
        </w:tc>
        <w:tc>
          <w:tcPr>
            <w:tcW w:w="340" w:type="dxa"/>
            <w:vAlign w:val="bottom"/>
            <w:shd w:val="clear" w:color="auto" w:fill="D5EEEE"/>
          </w:tcPr>
          <w:p>
            <w:pPr>
              <w:spacing w:after="0"/>
              <w:rPr>
                <w:sz w:val="20"/>
                <w:szCs w:val="20"/>
                <w:color w:val="auto"/>
              </w:rPr>
            </w:pPr>
          </w:p>
        </w:tc>
        <w:tc>
          <w:tcPr>
            <w:tcW w:w="900" w:type="dxa"/>
            <w:vAlign w:val="bottom"/>
            <w:shd w:val="clear" w:color="auto" w:fill="D5EEEE"/>
          </w:tcPr>
          <w:p>
            <w:pPr>
              <w:spacing w:after="0"/>
              <w:rPr>
                <w:sz w:val="20"/>
                <w:szCs w:val="20"/>
                <w:color w:val="auto"/>
              </w:rPr>
            </w:pPr>
          </w:p>
        </w:tc>
        <w:tc>
          <w:tcPr>
            <w:tcW w:w="1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 - 4.3%</w:t>
            </w:r>
          </w:p>
        </w:tc>
        <w:tc>
          <w:tcPr>
            <w:tcW w:w="60" w:type="dxa"/>
            <w:vAlign w:val="bottom"/>
            <w:shd w:val="clear" w:color="auto" w:fill="D5EEEE"/>
          </w:tcPr>
          <w:p>
            <w:pPr>
              <w:spacing w:after="0"/>
              <w:rPr>
                <w:sz w:val="20"/>
                <w:szCs w:val="20"/>
                <w:color w:val="auto"/>
              </w:rPr>
            </w:pPr>
          </w:p>
        </w:tc>
      </w:tr>
      <w:tr>
        <w:trPr>
          <w:trHeight w:val="244"/>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98.0% - 110.1%</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97.3% - 114.6%</w:t>
            </w:r>
          </w:p>
        </w:tc>
        <w:tc>
          <w:tcPr>
            <w:tcW w:w="60" w:type="dxa"/>
            <w:vAlign w:val="bottom"/>
          </w:tcPr>
          <w:p>
            <w:pPr>
              <w:spacing w:after="0"/>
              <w:rPr>
                <w:sz w:val="21"/>
                <w:szCs w:val="21"/>
                <w:color w:val="auto"/>
              </w:rPr>
            </w:pPr>
          </w:p>
        </w:tc>
      </w:tr>
      <w:tr>
        <w:trPr>
          <w:trHeight w:val="244"/>
        </w:trPr>
        <w:tc>
          <w:tcPr>
            <w:tcW w:w="456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Expected dividend yield</w:t>
            </w:r>
          </w:p>
        </w:tc>
        <w:tc>
          <w:tcPr>
            <w:tcW w:w="3720" w:type="dxa"/>
            <w:vAlign w:val="bottom"/>
            <w:gridSpan w:val="3"/>
            <w:shd w:val="clear" w:color="auto" w:fill="D5EEEE"/>
          </w:tcPr>
          <w:p>
            <w:pPr>
              <w:jc w:val="right"/>
              <w:ind w:right="126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shd w:val="clear" w:color="auto" w:fill="D5EEEE"/>
          </w:tcPr>
          <w:p>
            <w:pPr>
              <w:spacing w:after="0"/>
              <w:rPr>
                <w:sz w:val="21"/>
                <w:szCs w:val="21"/>
                <w:color w:val="auto"/>
              </w:rPr>
            </w:pPr>
          </w:p>
        </w:tc>
      </w:tr>
      <w:tr>
        <w:trPr>
          <w:trHeight w:val="266"/>
        </w:trPr>
        <w:tc>
          <w:tcPr>
            <w:tcW w:w="456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2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5.5 - 7.0</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5.5 - 7.0</w:t>
            </w:r>
          </w:p>
        </w:tc>
        <w:tc>
          <w:tcPr>
            <w:tcW w:w="60" w:type="dxa"/>
            <w:vAlign w:val="bottom"/>
          </w:tcPr>
          <w:p>
            <w:pPr>
              <w:spacing w:after="0"/>
              <w:rPr>
                <w:sz w:val="23"/>
                <w:szCs w:val="23"/>
                <w:color w:val="auto"/>
              </w:rPr>
            </w:pPr>
          </w:p>
        </w:tc>
      </w:tr>
    </w:tbl>
    <w:p>
      <w:pPr>
        <w:spacing w:after="0" w:line="188" w:lineRule="exact"/>
        <w:rPr>
          <w:sz w:val="20"/>
          <w:szCs w:val="20"/>
          <w:color w:val="auto"/>
        </w:rPr>
      </w:pPr>
    </w:p>
    <w:p>
      <w:pPr>
        <w:ind w:right="320" w:firstLine="490"/>
        <w:spacing w:after="0" w:line="277" w:lineRule="auto"/>
        <w:rPr>
          <w:sz w:val="20"/>
          <w:szCs w:val="20"/>
          <w:color w:val="auto"/>
        </w:rPr>
      </w:pPr>
      <w:r>
        <w:rPr>
          <w:rFonts w:ascii="Times New Roman" w:cs="Times New Roman" w:eastAsia="Times New Roman" w:hAnsi="Times New Roman"/>
          <w:sz w:val="20"/>
          <w:szCs w:val="20"/>
          <w:color w:val="auto"/>
        </w:rPr>
        <w:t>In April 2019, the Company’s board of directors adopted the 2019 Employee Stock Purchase Plan (the “2019 ESPP”), which became effective on May 7, 2019. The 2019 ESPP is administered by the Company’s board of directors.</w:t>
      </w:r>
    </w:p>
    <w:p>
      <w:pPr>
        <w:spacing w:after="0" w:line="49"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total number of shares of common stock that may be issued under the 2019 ESPP was 1,103,842 as of December 31, 2025.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No annual increase was made on January 1, 2024 and 2025, respectively.</w:t>
      </w:r>
    </w:p>
    <w:p>
      <w:pPr>
        <w:spacing w:after="0" w:line="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the classifications of stock-based compensation expenses for the 2012 Plan, the 2019</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and the 2019 ESPP recognized in the Consolidated Statements of Comprehensive Loss: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79"/>
        </w:trPr>
        <w:tc>
          <w:tcPr>
            <w:tcW w:w="4340" w:type="dxa"/>
            <w:vAlign w:val="bottom"/>
            <w:tcBorders>
              <w:bottom w:val="single" w:sz="8" w:color="D5EEEE"/>
            </w:tcBorders>
          </w:tcPr>
          <w:p>
            <w:pPr>
              <w:spacing w:after="0"/>
              <w:rPr>
                <w:sz w:val="15"/>
                <w:szCs w:val="15"/>
                <w:color w:val="auto"/>
              </w:rPr>
            </w:pPr>
          </w:p>
        </w:tc>
        <w:tc>
          <w:tcPr>
            <w:tcW w:w="880" w:type="dxa"/>
            <w:vAlign w:val="bottom"/>
            <w:tcBorders>
              <w:bottom w:val="single" w:sz="8" w:color="D5EEEE"/>
            </w:tcBorders>
          </w:tcPr>
          <w:p>
            <w:pPr>
              <w:spacing w:after="0"/>
              <w:rPr>
                <w:sz w:val="15"/>
                <w:szCs w:val="15"/>
                <w:color w:val="auto"/>
              </w:rPr>
            </w:pPr>
          </w:p>
        </w:tc>
        <w:tc>
          <w:tcPr>
            <w:tcW w:w="132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D5EEEE"/>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825"/>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5EEEE"/>
            </w:tcBorders>
          </w:tcPr>
          <w:p>
            <w:pPr>
              <w:spacing w:after="0"/>
              <w:rPr>
                <w:sz w:val="15"/>
                <w:szCs w:val="15"/>
                <w:color w:val="auto"/>
              </w:rPr>
            </w:pPr>
          </w:p>
        </w:tc>
      </w:tr>
      <w:tr>
        <w:trPr>
          <w:trHeight w:val="225"/>
        </w:trPr>
        <w:tc>
          <w:tcPr>
            <w:tcW w:w="434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General and administrative expense</w:t>
            </w:r>
          </w:p>
        </w:tc>
        <w:tc>
          <w:tcPr>
            <w:tcW w:w="880" w:type="dxa"/>
            <w:vAlign w:val="bottom"/>
            <w:shd w:val="clear" w:color="auto" w:fill="D5EEEE"/>
          </w:tcPr>
          <w:p>
            <w:pPr>
              <w:spacing w:after="0"/>
              <w:rPr>
                <w:sz w:val="19"/>
                <w:szCs w:val="19"/>
                <w:color w:val="auto"/>
              </w:rPr>
            </w:pPr>
          </w:p>
        </w:tc>
        <w:tc>
          <w:tcPr>
            <w:tcW w:w="1320" w:type="dxa"/>
            <w:vAlign w:val="bottom"/>
            <w:shd w:val="clear" w:color="auto" w:fill="D5EEEE"/>
          </w:tcPr>
          <w:p>
            <w:pPr>
              <w:jc w:val="right"/>
              <w:ind w:right="112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2,944</w:t>
            </w:r>
          </w:p>
        </w:tc>
        <w:tc>
          <w:tcPr>
            <w:tcW w:w="320" w:type="dxa"/>
            <w:vAlign w:val="bottom"/>
            <w:shd w:val="clear" w:color="auto" w:fill="D5EEEE"/>
          </w:tcPr>
          <w:p>
            <w:pPr>
              <w:spacing w:after="0"/>
              <w:rPr>
                <w:sz w:val="19"/>
                <w:szCs w:val="19"/>
                <w:color w:val="auto"/>
              </w:rPr>
            </w:pPr>
          </w:p>
        </w:tc>
        <w:tc>
          <w:tcPr>
            <w:tcW w:w="840" w:type="dxa"/>
            <w:vAlign w:val="bottom"/>
            <w:shd w:val="clear" w:color="auto" w:fill="D5EEEE"/>
          </w:tcPr>
          <w:p>
            <w:pPr>
              <w:jc w:val="right"/>
              <w:ind w:right="6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2,145</w:t>
            </w:r>
          </w:p>
        </w:tc>
        <w:tc>
          <w:tcPr>
            <w:tcW w:w="80" w:type="dxa"/>
            <w:vAlign w:val="bottom"/>
            <w:shd w:val="clear" w:color="auto" w:fill="D5EEEE"/>
          </w:tcPr>
          <w:p>
            <w:pPr>
              <w:spacing w:after="0"/>
              <w:rPr>
                <w:sz w:val="19"/>
                <w:szCs w:val="19"/>
                <w:color w:val="auto"/>
              </w:rPr>
            </w:pPr>
          </w:p>
        </w:tc>
      </w:tr>
      <w:tr>
        <w:trPr>
          <w:trHeight w:val="230"/>
        </w:trPr>
        <w:tc>
          <w:tcPr>
            <w:tcW w:w="43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880" w:type="dxa"/>
            <w:vAlign w:val="bottom"/>
            <w:tcBorders>
              <w:bottom w:val="single" w:sz="8" w:color="D5EEEE"/>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2,241</w:t>
            </w:r>
          </w:p>
        </w:tc>
        <w:tc>
          <w:tcPr>
            <w:tcW w:w="320" w:type="dxa"/>
            <w:vAlign w:val="bottom"/>
            <w:tcBorders>
              <w:bottom w:val="single" w:sz="8" w:color="D5EEEE"/>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1,443</w:t>
            </w:r>
          </w:p>
        </w:tc>
        <w:tc>
          <w:tcPr>
            <w:tcW w:w="80" w:type="dxa"/>
            <w:vAlign w:val="bottom"/>
            <w:tcBorders>
              <w:bottom w:val="single" w:sz="8" w:color="D5EEEE"/>
            </w:tcBorders>
          </w:tcPr>
          <w:p>
            <w:pPr>
              <w:spacing w:after="0"/>
              <w:rPr>
                <w:sz w:val="19"/>
                <w:szCs w:val="19"/>
                <w:color w:val="auto"/>
              </w:rPr>
            </w:pPr>
          </w:p>
        </w:tc>
      </w:tr>
      <w:tr>
        <w:trPr>
          <w:trHeight w:val="245"/>
        </w:trPr>
        <w:tc>
          <w:tcPr>
            <w:tcW w:w="4340" w:type="dxa"/>
            <w:vAlign w:val="bottom"/>
            <w:tcBorders>
              <w:bottom w:val="single" w:sz="8" w:color="D5EEEE"/>
            </w:tcBorders>
            <w:shd w:val="clear" w:color="auto" w:fill="D5EEEE"/>
          </w:tcPr>
          <w:p>
            <w:pPr>
              <w:ind w:left="100"/>
              <w:spacing w:after="0" w:line="225" w:lineRule="exact"/>
              <w:rPr>
                <w:sz w:val="20"/>
                <w:szCs w:val="20"/>
                <w:color w:val="auto"/>
              </w:rPr>
            </w:pPr>
            <w:r>
              <w:rPr>
                <w:rFonts w:ascii="Times New Roman" w:cs="Times New Roman" w:eastAsia="Times New Roman" w:hAnsi="Times New Roman"/>
                <w:sz w:val="20"/>
                <w:szCs w:val="20"/>
                <w:color w:val="auto"/>
              </w:rPr>
              <w:t>Total stock-based compensation expenses</w:t>
            </w:r>
          </w:p>
        </w:tc>
        <w:tc>
          <w:tcPr>
            <w:tcW w:w="880" w:type="dxa"/>
            <w:vAlign w:val="bottom"/>
            <w:tcBorders>
              <w:bottom w:val="single" w:sz="8" w:color="D5EEEE"/>
            </w:tcBorders>
            <w:shd w:val="clear" w:color="auto" w:fill="D5EEEE"/>
          </w:tcPr>
          <w:p>
            <w:pPr>
              <w:spacing w:after="0"/>
              <w:rPr>
                <w:sz w:val="21"/>
                <w:szCs w:val="21"/>
                <w:color w:val="auto"/>
              </w:rPr>
            </w:pPr>
          </w:p>
        </w:tc>
        <w:tc>
          <w:tcPr>
            <w:tcW w:w="1320" w:type="dxa"/>
            <w:vAlign w:val="bottom"/>
            <w:tcBorders>
              <w:bottom w:val="single" w:sz="8" w:color="auto"/>
            </w:tcBorders>
            <w:shd w:val="clear" w:color="auto" w:fill="D5EEEE"/>
          </w:tcPr>
          <w:p>
            <w:pPr>
              <w:jc w:val="right"/>
              <w:ind w:right="112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5,185</w:t>
            </w:r>
          </w:p>
        </w:tc>
        <w:tc>
          <w:tcPr>
            <w:tcW w:w="320" w:type="dxa"/>
            <w:vAlign w:val="bottom"/>
            <w:tcBorders>
              <w:bottom w:val="single" w:sz="8" w:color="D5EEEE"/>
            </w:tcBorders>
            <w:shd w:val="clear" w:color="auto" w:fill="D5EEEE"/>
          </w:tcPr>
          <w:p>
            <w:pPr>
              <w:spacing w:after="0"/>
              <w:rPr>
                <w:sz w:val="21"/>
                <w:szCs w:val="21"/>
                <w:color w:val="auto"/>
              </w:rPr>
            </w:pPr>
          </w:p>
        </w:tc>
        <w:tc>
          <w:tcPr>
            <w:tcW w:w="840" w:type="dxa"/>
            <w:vAlign w:val="bottom"/>
            <w:tcBorders>
              <w:bottom w:val="single" w:sz="8" w:color="auto"/>
            </w:tcBorders>
            <w:shd w:val="clear" w:color="auto" w:fill="D5EEEE"/>
          </w:tcPr>
          <w:p>
            <w:pPr>
              <w:jc w:val="right"/>
              <w:ind w:right="64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3,588</w:t>
            </w:r>
          </w:p>
        </w:tc>
        <w:tc>
          <w:tcPr>
            <w:tcW w:w="80" w:type="dxa"/>
            <w:vAlign w:val="bottom"/>
            <w:tcBorders>
              <w:bottom w:val="single" w:sz="8" w:color="D5EEEE"/>
            </w:tcBorders>
            <w:shd w:val="clear" w:color="auto" w:fill="D5EEEE"/>
          </w:tcPr>
          <w:p>
            <w:pPr>
              <w:spacing w:after="0"/>
              <w:rPr>
                <w:sz w:val="21"/>
                <w:szCs w:val="21"/>
                <w:color w:val="auto"/>
              </w:rPr>
            </w:pPr>
          </w:p>
        </w:tc>
      </w:tr>
      <w:tr>
        <w:trPr>
          <w:trHeight w:val="20"/>
        </w:trPr>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total unrecognized compensation cost related to the unvested share-based awards was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$11.5 million, which is expected to be recognized over a weighted average period of 2.7 years. As of December 31, 2024,</w:t>
      </w:r>
    </w:p>
    <w:p>
      <w:pPr>
        <w:spacing w:after="0"/>
        <w:rPr>
          <w:sz w:val="20"/>
          <w:szCs w:val="20"/>
          <w:color w:val="auto"/>
        </w:rPr>
      </w:pPr>
      <w:r>
        <w:rPr>
          <w:rFonts w:ascii="Times New Roman" w:cs="Times New Roman" w:eastAsia="Times New Roman" w:hAnsi="Times New Roman"/>
          <w:sz w:val="20"/>
          <w:szCs w:val="20"/>
          <w:color w:val="auto"/>
        </w:rPr>
        <w:t>total unrecognized compensation cost related to the unvested share-based awards was $6.8 million, which was expected to</w:t>
      </w:r>
    </w:p>
    <w:p>
      <w:pPr>
        <w:spacing w:after="0"/>
        <w:rPr>
          <w:sz w:val="20"/>
          <w:szCs w:val="20"/>
          <w:color w:val="auto"/>
        </w:rPr>
      </w:pPr>
      <w:r>
        <w:rPr>
          <w:rFonts w:ascii="Times New Roman" w:cs="Times New Roman" w:eastAsia="Times New Roman" w:hAnsi="Times New Roman"/>
          <w:sz w:val="20"/>
          <w:szCs w:val="20"/>
          <w:color w:val="auto"/>
        </w:rPr>
        <w:t>be recognized over a weighted average period of 2.7 years.</w:t>
      </w:r>
    </w:p>
    <w:p>
      <w:pPr>
        <w:sectPr>
          <w:pgSz w:w="12240" w:h="15840" w:orient="portrait"/>
          <w:cols w:equalWidth="0" w:num="1">
            <w:col w:w="9920"/>
          </w:cols>
          <w:pgMar w:left="1160" w:top="1132" w:right="1160" w:bottom="186"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920"/>
          </w:cols>
          <w:pgMar w:left="1160" w:top="1132" w:right="1160" w:bottom="186" w:gutter="0" w:footer="0" w:header="0"/>
          <w:type w:val="continuous"/>
        </w:sectPr>
      </w:pPr>
    </w:p>
    <w:bookmarkStart w:id="122" w:name="page123"/>
    <w:bookmarkEnd w:id="122"/>
    <w:p>
      <w:pPr>
        <w:ind w:left="488" w:hanging="488"/>
        <w:spacing w:after="0"/>
        <w:tabs>
          <w:tab w:leader="none" w:pos="488"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105" w:lineRule="exact"/>
        <w:rPr>
          <w:sz w:val="20"/>
          <w:szCs w:val="20"/>
          <w:color w:val="auto"/>
        </w:rPr>
      </w:pPr>
    </w:p>
    <w:p>
      <w:pPr>
        <w:ind w:left="8" w:right="120" w:firstLine="490"/>
        <w:spacing w:after="0" w:line="253" w:lineRule="auto"/>
        <w:rPr>
          <w:sz w:val="20"/>
          <w:szCs w:val="20"/>
          <w:color w:val="auto"/>
        </w:rPr>
      </w:pPr>
      <w:r>
        <w:rPr>
          <w:rFonts w:ascii="Times New Roman" w:cs="Times New Roman" w:eastAsia="Times New Roman" w:hAnsi="Times New Roman"/>
          <w:sz w:val="20"/>
          <w:szCs w:val="20"/>
          <w:color w:val="auto"/>
        </w:rPr>
        <w:t>The Company recorded an income tax benefit related to state research and development tax credits. The components of the income tax benefit for the periods shown are as follows:</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10"/>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5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ind w:right="40"/>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60"/>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Federal</w:t>
            </w:r>
          </w:p>
        </w:tc>
        <w:tc>
          <w:tcPr>
            <w:tcW w:w="480" w:type="dxa"/>
            <w:vAlign w:val="bottom"/>
            <w:tcBorders>
              <w:left w:val="single" w:sz="8" w:color="D5EEEE"/>
            </w:tcBorders>
            <w:shd w:val="clear" w:color="auto" w:fill="D5EEEE"/>
          </w:tcPr>
          <w:p>
            <w:pPr>
              <w:jc w:val="right"/>
              <w:ind w:right="280"/>
              <w:spacing w:after="0"/>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40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200" w:type="dxa"/>
            <w:vAlign w:val="bottom"/>
            <w:gridSpan w:val="4"/>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gridSpan w:val="2"/>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300" w:type="dxa"/>
            <w:vAlign w:val="bottom"/>
            <w:shd w:val="clear" w:color="auto" w:fill="D5EEEE"/>
          </w:tcPr>
          <w:p>
            <w:pPr>
              <w:spacing w:after="0"/>
              <w:rPr>
                <w:sz w:val="20"/>
                <w:szCs w:val="20"/>
                <w:color w:val="auto"/>
              </w:rPr>
            </w:pPr>
          </w:p>
        </w:tc>
        <w:tc>
          <w:tcPr>
            <w:tcW w:w="72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520" w:type="dxa"/>
            <w:vAlign w:val="bottom"/>
            <w:shd w:val="clear" w:color="auto" w:fill="D5EEEE"/>
          </w:tcPr>
          <w:p>
            <w:pPr>
              <w:spacing w:after="0"/>
              <w:rPr>
                <w:sz w:val="20"/>
                <w:szCs w:val="20"/>
                <w:color w:val="auto"/>
              </w:rPr>
            </w:pPr>
          </w:p>
        </w:tc>
        <w:tc>
          <w:tcPr>
            <w:tcW w:w="800" w:type="dxa"/>
            <w:vAlign w:val="bottom"/>
            <w:gridSpan w:val="5"/>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State</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(64)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25"/>
        </w:trPr>
        <w:tc>
          <w:tcPr>
            <w:tcW w:w="4500" w:type="dxa"/>
            <w:vAlign w:val="bottom"/>
            <w:tcBorders>
              <w:top w:val="single" w:sz="8" w:color="D5EEEE"/>
            </w:tcBorders>
            <w:shd w:val="clear" w:color="auto" w:fill="D5EEEE"/>
          </w:tcPr>
          <w:p>
            <w:pPr>
              <w:spacing w:after="0"/>
              <w:rPr>
                <w:sz w:val="19"/>
                <w:szCs w:val="19"/>
                <w:color w:val="auto"/>
              </w:rPr>
            </w:pPr>
          </w:p>
        </w:tc>
        <w:tc>
          <w:tcPr>
            <w:tcW w:w="480" w:type="dxa"/>
            <w:vAlign w:val="bottom"/>
            <w:tcBorders>
              <w:top w:val="single" w:sz="8" w:color="auto"/>
              <w:left w:val="single" w:sz="8" w:color="D5EEEE"/>
              <w:bottom w:val="single" w:sz="8" w:color="auto"/>
            </w:tcBorders>
            <w:shd w:val="clear" w:color="auto" w:fill="D5EEEE"/>
          </w:tcPr>
          <w:p>
            <w:pPr>
              <w:spacing w:after="0"/>
              <w:rPr>
                <w:sz w:val="19"/>
                <w:szCs w:val="19"/>
                <w:color w:val="auto"/>
              </w:rPr>
            </w:pPr>
          </w:p>
        </w:tc>
        <w:tc>
          <w:tcPr>
            <w:tcW w:w="440" w:type="dxa"/>
            <w:vAlign w:val="bottom"/>
            <w:tcBorders>
              <w:top w:val="single" w:sz="8" w:color="auto"/>
              <w:bottom w:val="single" w:sz="8" w:color="auto"/>
            </w:tcBorders>
            <w:shd w:val="clear" w:color="auto" w:fill="D5EEEE"/>
          </w:tcPr>
          <w:p>
            <w:pPr>
              <w:spacing w:after="0"/>
              <w:rPr>
                <w:sz w:val="19"/>
                <w:szCs w:val="19"/>
                <w:color w:val="auto"/>
              </w:rPr>
            </w:pPr>
          </w:p>
        </w:tc>
        <w:tc>
          <w:tcPr>
            <w:tcW w:w="20" w:type="dxa"/>
            <w:vAlign w:val="bottom"/>
            <w:tcBorders>
              <w:top w:val="single" w:sz="8" w:color="auto"/>
              <w:bottom w:val="single" w:sz="8" w:color="auto"/>
            </w:tcBorders>
            <w:shd w:val="clear" w:color="auto" w:fill="D5EEEE"/>
          </w:tcPr>
          <w:p>
            <w:pPr>
              <w:spacing w:after="0"/>
              <w:rPr>
                <w:sz w:val="19"/>
                <w:szCs w:val="19"/>
                <w:color w:val="auto"/>
              </w:rPr>
            </w:pPr>
          </w:p>
        </w:tc>
        <w:tc>
          <w:tcPr>
            <w:tcW w:w="400" w:type="dxa"/>
            <w:vAlign w:val="bottom"/>
            <w:tcBorders>
              <w:top w:val="single" w:sz="8" w:color="auto"/>
              <w:bottom w:val="single" w:sz="8" w:color="auto"/>
            </w:tcBorders>
            <w:shd w:val="clear" w:color="auto" w:fill="D5EEEE"/>
          </w:tcPr>
          <w:p>
            <w:pPr>
              <w:spacing w:after="0"/>
              <w:rPr>
                <w:sz w:val="19"/>
                <w:szCs w:val="19"/>
                <w:color w:val="auto"/>
              </w:rPr>
            </w:pPr>
          </w:p>
        </w:tc>
        <w:tc>
          <w:tcPr>
            <w:tcW w:w="100" w:type="dxa"/>
            <w:vAlign w:val="bottom"/>
            <w:tcBorders>
              <w:top w:val="single" w:sz="8" w:color="auto"/>
              <w:bottom w:val="single" w:sz="8" w:color="auto"/>
            </w:tcBorders>
            <w:shd w:val="clear" w:color="auto" w:fill="D5EEEE"/>
          </w:tcPr>
          <w:p>
            <w:pPr>
              <w:spacing w:after="0"/>
              <w:rPr>
                <w:sz w:val="19"/>
                <w:szCs w:val="19"/>
                <w:color w:val="auto"/>
              </w:rPr>
            </w:pPr>
          </w:p>
        </w:tc>
        <w:tc>
          <w:tcPr>
            <w:tcW w:w="180" w:type="dxa"/>
            <w:vAlign w:val="bottom"/>
            <w:tcBorders>
              <w:top w:val="single" w:sz="8" w:color="auto"/>
              <w:bottom w:val="single" w:sz="8" w:color="auto"/>
            </w:tcBorders>
            <w:shd w:val="clear" w:color="auto" w:fill="D5EEEE"/>
          </w:tcPr>
          <w:p>
            <w:pPr>
              <w:spacing w:after="0"/>
              <w:rPr>
                <w:sz w:val="19"/>
                <w:szCs w:val="19"/>
                <w:color w:val="auto"/>
              </w:rPr>
            </w:pPr>
          </w:p>
        </w:tc>
        <w:tc>
          <w:tcPr>
            <w:tcW w:w="88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(64)</w:t>
            </w:r>
          </w:p>
        </w:tc>
        <w:tc>
          <w:tcPr>
            <w:tcW w:w="20" w:type="dxa"/>
            <w:vAlign w:val="bottom"/>
            <w:tcBorders>
              <w:top w:val="single" w:sz="8" w:color="D5EEEE"/>
            </w:tcBorders>
            <w:shd w:val="clear" w:color="auto" w:fill="D5EEEE"/>
          </w:tcPr>
          <w:p>
            <w:pPr>
              <w:spacing w:after="0"/>
              <w:rPr>
                <w:sz w:val="19"/>
                <w:szCs w:val="19"/>
                <w:color w:val="auto"/>
              </w:rPr>
            </w:pPr>
          </w:p>
        </w:tc>
        <w:tc>
          <w:tcPr>
            <w:tcW w:w="120" w:type="dxa"/>
            <w:vAlign w:val="bottom"/>
            <w:tcBorders>
              <w:top w:val="single" w:sz="8" w:color="D5EEEE"/>
            </w:tcBorders>
            <w:shd w:val="clear" w:color="auto" w:fill="D5EEEE"/>
          </w:tcPr>
          <w:p>
            <w:pPr>
              <w:spacing w:after="0"/>
              <w:rPr>
                <w:sz w:val="19"/>
                <w:szCs w:val="19"/>
                <w:color w:val="auto"/>
              </w:rPr>
            </w:pPr>
          </w:p>
        </w:tc>
        <w:tc>
          <w:tcPr>
            <w:tcW w:w="180" w:type="dxa"/>
            <w:vAlign w:val="bottom"/>
            <w:tcBorders>
              <w:top w:val="single" w:sz="8" w:color="D5EEEE"/>
            </w:tcBorders>
            <w:shd w:val="clear" w:color="auto" w:fill="D5EEEE"/>
          </w:tcPr>
          <w:p>
            <w:pPr>
              <w:spacing w:after="0"/>
              <w:rPr>
                <w:sz w:val="19"/>
                <w:szCs w:val="19"/>
                <w:color w:val="auto"/>
              </w:rPr>
            </w:pPr>
          </w:p>
        </w:tc>
        <w:tc>
          <w:tcPr>
            <w:tcW w:w="20" w:type="dxa"/>
            <w:vAlign w:val="bottom"/>
            <w:tcBorders>
              <w:top w:val="single" w:sz="8" w:color="D5EEEE"/>
            </w:tcBorders>
            <w:shd w:val="clear" w:color="auto" w:fill="D5EEEE"/>
          </w:tcPr>
          <w:p>
            <w:pPr>
              <w:spacing w:after="0"/>
              <w:rPr>
                <w:sz w:val="19"/>
                <w:szCs w:val="19"/>
                <w:color w:val="auto"/>
              </w:rPr>
            </w:pPr>
          </w:p>
        </w:tc>
        <w:tc>
          <w:tcPr>
            <w:tcW w:w="140" w:type="dxa"/>
            <w:vAlign w:val="bottom"/>
            <w:tcBorders>
              <w:top w:val="single" w:sz="8" w:color="auto"/>
              <w:bottom w:val="single" w:sz="8" w:color="auto"/>
            </w:tcBorders>
            <w:shd w:val="clear" w:color="auto" w:fill="D5EEEE"/>
          </w:tcPr>
          <w:p>
            <w:pPr>
              <w:spacing w:after="0"/>
              <w:rPr>
                <w:sz w:val="19"/>
                <w:szCs w:val="19"/>
                <w:color w:val="auto"/>
              </w:rPr>
            </w:pPr>
          </w:p>
        </w:tc>
        <w:tc>
          <w:tcPr>
            <w:tcW w:w="300" w:type="dxa"/>
            <w:vAlign w:val="bottom"/>
            <w:tcBorders>
              <w:top w:val="single" w:sz="8" w:color="auto"/>
              <w:bottom w:val="single" w:sz="8" w:color="auto"/>
            </w:tcBorders>
            <w:shd w:val="clear" w:color="auto" w:fill="D5EEEE"/>
          </w:tcPr>
          <w:p>
            <w:pPr>
              <w:spacing w:after="0"/>
              <w:rPr>
                <w:sz w:val="19"/>
                <w:szCs w:val="19"/>
                <w:color w:val="auto"/>
              </w:rPr>
            </w:pPr>
          </w:p>
        </w:tc>
        <w:tc>
          <w:tcPr>
            <w:tcW w:w="720" w:type="dxa"/>
            <w:vAlign w:val="bottom"/>
            <w:tcBorders>
              <w:top w:val="single" w:sz="8" w:color="auto"/>
              <w:bottom w:val="single" w:sz="8" w:color="auto"/>
            </w:tcBorders>
            <w:shd w:val="clear" w:color="auto" w:fill="D5EEEE"/>
          </w:tcPr>
          <w:p>
            <w:pPr>
              <w:spacing w:after="0"/>
              <w:rPr>
                <w:sz w:val="19"/>
                <w:szCs w:val="19"/>
                <w:color w:val="auto"/>
              </w:rPr>
            </w:pPr>
          </w:p>
        </w:tc>
        <w:tc>
          <w:tcPr>
            <w:tcW w:w="100" w:type="dxa"/>
            <w:vAlign w:val="bottom"/>
            <w:tcBorders>
              <w:top w:val="single" w:sz="8" w:color="auto"/>
              <w:bottom w:val="single" w:sz="8" w:color="auto"/>
            </w:tcBorders>
            <w:shd w:val="clear" w:color="auto" w:fill="D5EEEE"/>
          </w:tcPr>
          <w:p>
            <w:pPr>
              <w:spacing w:after="0"/>
              <w:rPr>
                <w:sz w:val="19"/>
                <w:szCs w:val="19"/>
                <w:color w:val="auto"/>
              </w:rPr>
            </w:pPr>
          </w:p>
        </w:tc>
        <w:tc>
          <w:tcPr>
            <w:tcW w:w="520" w:type="dxa"/>
            <w:vAlign w:val="bottom"/>
            <w:tcBorders>
              <w:top w:val="single" w:sz="8" w:color="auto"/>
              <w:bottom w:val="single" w:sz="8" w:color="auto"/>
            </w:tcBorders>
            <w:shd w:val="clear" w:color="auto" w:fill="D5EEEE"/>
          </w:tcPr>
          <w:p>
            <w:pPr>
              <w:spacing w:after="0"/>
              <w:rPr>
                <w:sz w:val="19"/>
                <w:szCs w:val="19"/>
                <w:color w:val="auto"/>
              </w:rPr>
            </w:pPr>
          </w:p>
        </w:tc>
        <w:tc>
          <w:tcPr>
            <w:tcW w:w="740" w:type="dxa"/>
            <w:vAlign w:val="bottom"/>
            <w:tcBorders>
              <w:top w:val="single" w:sz="8" w:color="auto"/>
              <w:bottom w:val="single" w:sz="8" w:color="auto"/>
            </w:tcBorders>
            <w:gridSpan w:val="3"/>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(30)</w:t>
            </w:r>
          </w:p>
        </w:tc>
        <w:tc>
          <w:tcPr>
            <w:tcW w:w="20" w:type="dxa"/>
            <w:vAlign w:val="bottom"/>
            <w:tcBorders>
              <w:top w:val="single" w:sz="8" w:color="D5EEEE"/>
            </w:tcBorders>
            <w:shd w:val="clear" w:color="auto" w:fill="D5EEEE"/>
          </w:tcPr>
          <w:p>
            <w:pPr>
              <w:spacing w:after="0"/>
              <w:rPr>
                <w:sz w:val="19"/>
                <w:szCs w:val="19"/>
                <w:color w:val="auto"/>
              </w:rPr>
            </w:pPr>
          </w:p>
        </w:tc>
        <w:tc>
          <w:tcPr>
            <w:tcW w:w="40" w:type="dxa"/>
            <w:vAlign w:val="bottom"/>
            <w:tcBorders>
              <w:top w:val="single" w:sz="8" w:color="D5EEEE"/>
            </w:tcBorders>
            <w:shd w:val="clear" w:color="auto" w:fill="D5EEE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Deferred:</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Federal</w:t>
            </w:r>
          </w:p>
        </w:tc>
        <w:tc>
          <w:tcPr>
            <w:tcW w:w="480" w:type="dxa"/>
            <w:vAlign w:val="bottom"/>
            <w:tcBorders>
              <w:left w:val="single" w:sz="8" w:color="D5EEEE"/>
            </w:tcBorders>
            <w:shd w:val="clear" w:color="auto" w:fill="D5EEEE"/>
          </w:tcPr>
          <w:p>
            <w:pPr>
              <w:spacing w:after="0"/>
              <w:rPr>
                <w:sz w:val="20"/>
                <w:szCs w:val="20"/>
                <w:color w:val="auto"/>
              </w:rPr>
            </w:pPr>
          </w:p>
        </w:tc>
        <w:tc>
          <w:tcPr>
            <w:tcW w:w="44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40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1200" w:type="dxa"/>
            <w:vAlign w:val="bottom"/>
            <w:gridSpan w:val="4"/>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D5EEEE"/>
          </w:tcPr>
          <w:p>
            <w:pPr>
              <w:spacing w:after="0"/>
              <w:rPr>
                <w:sz w:val="20"/>
                <w:szCs w:val="20"/>
                <w:color w:val="auto"/>
              </w:rPr>
            </w:pPr>
          </w:p>
        </w:tc>
        <w:tc>
          <w:tcPr>
            <w:tcW w:w="140" w:type="dxa"/>
            <w:vAlign w:val="bottom"/>
            <w:shd w:val="clear" w:color="auto" w:fill="D5EEEE"/>
          </w:tcPr>
          <w:p>
            <w:pPr>
              <w:spacing w:after="0"/>
              <w:rPr>
                <w:sz w:val="20"/>
                <w:szCs w:val="20"/>
                <w:color w:val="auto"/>
              </w:rPr>
            </w:pPr>
          </w:p>
        </w:tc>
        <w:tc>
          <w:tcPr>
            <w:tcW w:w="300" w:type="dxa"/>
            <w:vAlign w:val="bottom"/>
            <w:shd w:val="clear" w:color="auto" w:fill="D5EEEE"/>
          </w:tcPr>
          <w:p>
            <w:pPr>
              <w:spacing w:after="0"/>
              <w:rPr>
                <w:sz w:val="20"/>
                <w:szCs w:val="20"/>
                <w:color w:val="auto"/>
              </w:rPr>
            </w:pPr>
          </w:p>
        </w:tc>
        <w:tc>
          <w:tcPr>
            <w:tcW w:w="720" w:type="dxa"/>
            <w:vAlign w:val="bottom"/>
            <w:shd w:val="clear" w:color="auto" w:fill="D5EEEE"/>
          </w:tcPr>
          <w:p>
            <w:pPr>
              <w:spacing w:after="0"/>
              <w:rPr>
                <w:sz w:val="20"/>
                <w:szCs w:val="20"/>
                <w:color w:val="auto"/>
              </w:rPr>
            </w:pPr>
          </w:p>
        </w:tc>
        <w:tc>
          <w:tcPr>
            <w:tcW w:w="100" w:type="dxa"/>
            <w:vAlign w:val="bottom"/>
            <w:shd w:val="clear" w:color="auto" w:fill="D5EEEE"/>
          </w:tcPr>
          <w:p>
            <w:pPr>
              <w:spacing w:after="0"/>
              <w:rPr>
                <w:sz w:val="20"/>
                <w:szCs w:val="20"/>
                <w:color w:val="auto"/>
              </w:rPr>
            </w:pPr>
          </w:p>
        </w:tc>
        <w:tc>
          <w:tcPr>
            <w:tcW w:w="520" w:type="dxa"/>
            <w:vAlign w:val="bottom"/>
            <w:shd w:val="clear" w:color="auto" w:fill="D5EEEE"/>
          </w:tcPr>
          <w:p>
            <w:pPr>
              <w:spacing w:after="0"/>
              <w:rPr>
                <w:sz w:val="20"/>
                <w:szCs w:val="20"/>
                <w:color w:val="auto"/>
              </w:rPr>
            </w:pPr>
          </w:p>
        </w:tc>
        <w:tc>
          <w:tcPr>
            <w:tcW w:w="800" w:type="dxa"/>
            <w:vAlign w:val="bottom"/>
            <w:gridSpan w:val="5"/>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State</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gridSpan w:val="5"/>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45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500" w:type="dxa"/>
            <w:vAlign w:val="bottom"/>
            <w:tcBorders>
              <w:top w:val="single" w:sz="8" w:color="D5EEEE"/>
              <w:bottom w:val="single" w:sz="8" w:color="D5EEEE"/>
            </w:tcBorders>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Income tax benefit</w:t>
            </w:r>
          </w:p>
        </w:tc>
        <w:tc>
          <w:tcPr>
            <w:tcW w:w="480" w:type="dxa"/>
            <w:vAlign w:val="bottom"/>
            <w:tcBorders>
              <w:top w:val="single" w:sz="8" w:color="auto"/>
              <w:left w:val="single" w:sz="8" w:color="D5EEEE"/>
              <w:bottom w:val="single" w:sz="8" w:color="auto"/>
            </w:tcBorders>
            <w:shd w:val="clear" w:color="auto" w:fill="D5EEEE"/>
          </w:tcPr>
          <w:p>
            <w:pPr>
              <w:jc w:val="right"/>
              <w:ind w:right="2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top w:val="single" w:sz="8" w:color="auto"/>
              <w:bottom w:val="single" w:sz="8" w:color="auto"/>
            </w:tcBorders>
            <w:shd w:val="clear" w:color="auto" w:fill="D5EEEE"/>
          </w:tcPr>
          <w:p>
            <w:pPr>
              <w:spacing w:after="0"/>
              <w:rPr>
                <w:sz w:val="21"/>
                <w:szCs w:val="21"/>
                <w:color w:val="auto"/>
              </w:rPr>
            </w:pPr>
          </w:p>
        </w:tc>
        <w:tc>
          <w:tcPr>
            <w:tcW w:w="20" w:type="dxa"/>
            <w:vAlign w:val="bottom"/>
            <w:tcBorders>
              <w:top w:val="single" w:sz="8" w:color="auto"/>
              <w:bottom w:val="single" w:sz="8" w:color="auto"/>
            </w:tcBorders>
            <w:shd w:val="clear" w:color="auto" w:fill="D5EEEE"/>
          </w:tcPr>
          <w:p>
            <w:pPr>
              <w:spacing w:after="0"/>
              <w:rPr>
                <w:sz w:val="21"/>
                <w:szCs w:val="21"/>
                <w:color w:val="auto"/>
              </w:rPr>
            </w:pPr>
          </w:p>
        </w:tc>
        <w:tc>
          <w:tcPr>
            <w:tcW w:w="400" w:type="dxa"/>
            <w:vAlign w:val="bottom"/>
            <w:tcBorders>
              <w:top w:val="single" w:sz="8" w:color="auto"/>
              <w:bottom w:val="single" w:sz="8" w:color="auto"/>
            </w:tcBorders>
            <w:shd w:val="clear" w:color="auto" w:fill="D5EEEE"/>
          </w:tcPr>
          <w:p>
            <w:pPr>
              <w:spacing w:after="0"/>
              <w:rPr>
                <w:sz w:val="21"/>
                <w:szCs w:val="21"/>
                <w:color w:val="auto"/>
              </w:rPr>
            </w:pPr>
          </w:p>
        </w:tc>
        <w:tc>
          <w:tcPr>
            <w:tcW w:w="100" w:type="dxa"/>
            <w:vAlign w:val="bottom"/>
            <w:tcBorders>
              <w:top w:val="single" w:sz="8" w:color="auto"/>
              <w:bottom w:val="single" w:sz="8" w:color="auto"/>
            </w:tcBorders>
            <w:shd w:val="clear" w:color="auto" w:fill="D5EEEE"/>
          </w:tcPr>
          <w:p>
            <w:pPr>
              <w:spacing w:after="0"/>
              <w:rPr>
                <w:sz w:val="21"/>
                <w:szCs w:val="21"/>
                <w:color w:val="auto"/>
              </w:rPr>
            </w:pPr>
          </w:p>
        </w:tc>
        <w:tc>
          <w:tcPr>
            <w:tcW w:w="180" w:type="dxa"/>
            <w:vAlign w:val="bottom"/>
            <w:tcBorders>
              <w:top w:val="single" w:sz="8" w:color="auto"/>
              <w:bottom w:val="single" w:sz="8" w:color="auto"/>
            </w:tcBorders>
            <w:shd w:val="clear" w:color="auto" w:fill="D5EEEE"/>
          </w:tcPr>
          <w:p>
            <w:pPr>
              <w:spacing w:after="0"/>
              <w:rPr>
                <w:sz w:val="21"/>
                <w:szCs w:val="21"/>
                <w:color w:val="auto"/>
              </w:rPr>
            </w:pPr>
          </w:p>
        </w:tc>
        <w:tc>
          <w:tcPr>
            <w:tcW w:w="88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(64)</w:t>
            </w:r>
          </w:p>
        </w:tc>
        <w:tc>
          <w:tcPr>
            <w:tcW w:w="20" w:type="dxa"/>
            <w:vAlign w:val="bottom"/>
            <w:tcBorders>
              <w:top w:val="single" w:sz="8" w:color="D5EEEE"/>
              <w:bottom w:val="single" w:sz="8" w:color="D5EEEE"/>
            </w:tcBorders>
            <w:shd w:val="clear" w:color="auto" w:fill="D5EEEE"/>
          </w:tcPr>
          <w:p>
            <w:pPr>
              <w:spacing w:after="0"/>
              <w:rPr>
                <w:sz w:val="21"/>
                <w:szCs w:val="21"/>
                <w:color w:val="auto"/>
              </w:rPr>
            </w:pPr>
          </w:p>
        </w:tc>
        <w:tc>
          <w:tcPr>
            <w:tcW w:w="120" w:type="dxa"/>
            <w:vAlign w:val="bottom"/>
            <w:tcBorders>
              <w:top w:val="single" w:sz="8" w:color="D5EEEE"/>
              <w:bottom w:val="single" w:sz="8" w:color="D5EEEE"/>
            </w:tcBorders>
            <w:shd w:val="clear" w:color="auto" w:fill="D5EEEE"/>
          </w:tcPr>
          <w:p>
            <w:pPr>
              <w:spacing w:after="0"/>
              <w:rPr>
                <w:sz w:val="21"/>
                <w:szCs w:val="21"/>
                <w:color w:val="auto"/>
              </w:rPr>
            </w:pPr>
          </w:p>
        </w:tc>
        <w:tc>
          <w:tcPr>
            <w:tcW w:w="180" w:type="dxa"/>
            <w:vAlign w:val="bottom"/>
            <w:tcBorders>
              <w:top w:val="single" w:sz="8" w:color="D5EEEE"/>
              <w:bottom w:val="single" w:sz="8" w:color="D5EEEE"/>
            </w:tcBorders>
            <w:shd w:val="clear" w:color="auto" w:fill="D5EEEE"/>
          </w:tcPr>
          <w:p>
            <w:pPr>
              <w:spacing w:after="0"/>
              <w:rPr>
                <w:sz w:val="21"/>
                <w:szCs w:val="21"/>
                <w:color w:val="auto"/>
              </w:rPr>
            </w:pPr>
          </w:p>
        </w:tc>
        <w:tc>
          <w:tcPr>
            <w:tcW w:w="20" w:type="dxa"/>
            <w:vAlign w:val="bottom"/>
            <w:tcBorders>
              <w:top w:val="single" w:sz="8" w:color="D5EEEE"/>
              <w:bottom w:val="single" w:sz="8" w:color="D5EEEE"/>
            </w:tcBorders>
            <w:shd w:val="clear" w:color="auto" w:fill="D5EEEE"/>
          </w:tcPr>
          <w:p>
            <w:pPr>
              <w:spacing w:after="0"/>
              <w:rPr>
                <w:sz w:val="21"/>
                <w:szCs w:val="21"/>
                <w:color w:val="auto"/>
              </w:rPr>
            </w:pPr>
          </w:p>
        </w:tc>
        <w:tc>
          <w:tcPr>
            <w:tcW w:w="14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300" w:type="dxa"/>
            <w:vAlign w:val="bottom"/>
            <w:tcBorders>
              <w:top w:val="single" w:sz="8" w:color="auto"/>
              <w:bottom w:val="single" w:sz="8" w:color="auto"/>
            </w:tcBorders>
            <w:shd w:val="clear" w:color="auto" w:fill="D5EEEE"/>
          </w:tcPr>
          <w:p>
            <w:pPr>
              <w:spacing w:after="0"/>
              <w:rPr>
                <w:sz w:val="21"/>
                <w:szCs w:val="21"/>
                <w:color w:val="auto"/>
              </w:rPr>
            </w:pPr>
          </w:p>
        </w:tc>
        <w:tc>
          <w:tcPr>
            <w:tcW w:w="720" w:type="dxa"/>
            <w:vAlign w:val="bottom"/>
            <w:tcBorders>
              <w:top w:val="single" w:sz="8" w:color="auto"/>
              <w:bottom w:val="single" w:sz="8" w:color="auto"/>
            </w:tcBorders>
            <w:shd w:val="clear" w:color="auto" w:fill="D5EEEE"/>
          </w:tcPr>
          <w:p>
            <w:pPr>
              <w:spacing w:after="0"/>
              <w:rPr>
                <w:sz w:val="21"/>
                <w:szCs w:val="21"/>
                <w:color w:val="auto"/>
              </w:rPr>
            </w:pPr>
          </w:p>
        </w:tc>
        <w:tc>
          <w:tcPr>
            <w:tcW w:w="100" w:type="dxa"/>
            <w:vAlign w:val="bottom"/>
            <w:tcBorders>
              <w:top w:val="single" w:sz="8" w:color="auto"/>
              <w:bottom w:val="single" w:sz="8" w:color="auto"/>
            </w:tcBorders>
            <w:shd w:val="clear" w:color="auto" w:fill="D5EEEE"/>
          </w:tcPr>
          <w:p>
            <w:pPr>
              <w:spacing w:after="0"/>
              <w:rPr>
                <w:sz w:val="21"/>
                <w:szCs w:val="21"/>
                <w:color w:val="auto"/>
              </w:rPr>
            </w:pPr>
          </w:p>
        </w:tc>
        <w:tc>
          <w:tcPr>
            <w:tcW w:w="520" w:type="dxa"/>
            <w:vAlign w:val="bottom"/>
            <w:tcBorders>
              <w:top w:val="single" w:sz="8" w:color="auto"/>
              <w:bottom w:val="single" w:sz="8" w:color="auto"/>
            </w:tcBorders>
            <w:shd w:val="clear" w:color="auto" w:fill="D5EEEE"/>
          </w:tcPr>
          <w:p>
            <w:pPr>
              <w:spacing w:after="0"/>
              <w:rPr>
                <w:sz w:val="21"/>
                <w:szCs w:val="21"/>
                <w:color w:val="auto"/>
              </w:rPr>
            </w:pPr>
          </w:p>
        </w:tc>
        <w:tc>
          <w:tcPr>
            <w:tcW w:w="740" w:type="dxa"/>
            <w:vAlign w:val="bottom"/>
            <w:tcBorders>
              <w:top w:val="single" w:sz="8" w:color="auto"/>
              <w:bottom w:val="single" w:sz="8" w:color="auto"/>
            </w:tcBorders>
            <w:gridSpan w:val="3"/>
            <w:shd w:val="clear" w:color="auto" w:fill="D5EEEE"/>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(30)</w:t>
            </w:r>
          </w:p>
        </w:tc>
        <w:tc>
          <w:tcPr>
            <w:tcW w:w="20" w:type="dxa"/>
            <w:vAlign w:val="bottom"/>
            <w:tcBorders>
              <w:top w:val="single" w:sz="8" w:color="D5EEEE"/>
              <w:bottom w:val="single" w:sz="8" w:color="D5EEEE"/>
            </w:tcBorders>
            <w:shd w:val="clear" w:color="auto" w:fill="D5EEEE"/>
          </w:tcPr>
          <w:p>
            <w:pPr>
              <w:spacing w:after="0"/>
              <w:rPr>
                <w:sz w:val="21"/>
                <w:szCs w:val="21"/>
                <w:color w:val="auto"/>
              </w:rPr>
            </w:pPr>
          </w:p>
        </w:tc>
        <w:tc>
          <w:tcPr>
            <w:tcW w:w="40" w:type="dxa"/>
            <w:vAlign w:val="bottom"/>
            <w:tcBorders>
              <w:top w:val="single" w:sz="8" w:color="D5EEEE"/>
              <w:bottom w:val="single" w:sz="8" w:color="D5EEEE"/>
            </w:tcBorders>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9920" w:type="dxa"/>
            <w:vAlign w:val="bottom"/>
            <w:gridSpan w:val="22"/>
          </w:tcPr>
          <w:p>
            <w:pPr>
              <w:ind w:left="480"/>
              <w:spacing w:after="0"/>
              <w:rPr>
                <w:sz w:val="20"/>
                <w:szCs w:val="20"/>
                <w:color w:val="auto"/>
              </w:rPr>
            </w:pPr>
            <w:r>
              <w:rPr>
                <w:rFonts w:ascii="Times New Roman" w:cs="Times New Roman" w:eastAsia="Times New Roman" w:hAnsi="Times New Roman"/>
                <w:sz w:val="20"/>
                <w:szCs w:val="20"/>
                <w:color w:val="auto"/>
              </w:rPr>
              <w:t>The following table provides a reconciliation between income tax benefit and the expected tax benefit at the statutory</w:t>
            </w:r>
          </w:p>
        </w:tc>
        <w:tc>
          <w:tcPr>
            <w:tcW w:w="0" w:type="dxa"/>
            <w:vAlign w:val="bottom"/>
          </w:tcPr>
          <w:p>
            <w:pPr>
              <w:spacing w:after="0"/>
              <w:rPr>
                <w:sz w:val="1"/>
                <w:szCs w:val="1"/>
                <w:color w:val="auto"/>
              </w:rPr>
            </w:pPr>
          </w:p>
        </w:tc>
      </w:tr>
      <w:tr>
        <w:trPr>
          <w:trHeight w:val="266"/>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rate:</w:t>
            </w: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0" w:type="dxa"/>
            <w:vAlign w:val="bottom"/>
            <w:gridSpan w:val="10"/>
            <w:vMerge w:val="restart"/>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10"/>
            <w:vMerge w:val="continue"/>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Borders>
              <w:bottom w:val="single" w:sz="8" w:color="D5EEEE"/>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5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U.S. Federal statutory tax rate</w:t>
            </w:r>
          </w:p>
        </w:tc>
        <w:tc>
          <w:tcPr>
            <w:tcW w:w="480" w:type="dxa"/>
            <w:vAlign w:val="bottom"/>
            <w:tcBorders>
              <w:left w:val="single" w:sz="8" w:color="D5EEEE"/>
            </w:tcBorders>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(8,993)</w:t>
            </w:r>
          </w:p>
        </w:tc>
        <w:tc>
          <w:tcPr>
            <w:tcW w:w="100" w:type="dxa"/>
            <w:vAlign w:val="bottom"/>
            <w:shd w:val="clear" w:color="auto" w:fill="D5EEE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60" w:type="dxa"/>
            <w:vAlign w:val="bottom"/>
            <w:gridSpan w:val="2"/>
          </w:tcPr>
          <w:p>
            <w:pPr>
              <w:spacing w:after="0"/>
              <w:rPr>
                <w:sz w:val="20"/>
                <w:szCs w:val="20"/>
                <w:color w:val="auto"/>
              </w:rPr>
            </w:pPr>
          </w:p>
        </w:tc>
        <w:tc>
          <w:tcPr>
            <w:tcW w:w="30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shd w:val="clear" w:color="auto" w:fill="D5EEEE"/>
              </w:rPr>
              <w:t>$</w:t>
            </w: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shd w:val="clear" w:color="auto" w:fill="D5EEEE"/>
              </w:rPr>
              <w:t>(10,068</w:t>
            </w:r>
          </w:p>
        </w:tc>
        <w:tc>
          <w:tcPr>
            <w:tcW w:w="10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5EEEE"/>
              </w:rPr>
              <w:t>)</w:t>
            </w:r>
          </w:p>
        </w:tc>
        <w:tc>
          <w:tcPr>
            <w:tcW w:w="520" w:type="dxa"/>
            <w:vAlign w:val="bottom"/>
          </w:tcPr>
          <w:p>
            <w:pPr>
              <w:spacing w:after="0"/>
              <w:rPr>
                <w:sz w:val="20"/>
                <w:szCs w:val="20"/>
                <w:color w:val="auto"/>
              </w:rPr>
            </w:pPr>
          </w:p>
        </w:tc>
        <w:tc>
          <w:tcPr>
            <w:tcW w:w="8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24"/>
        </w:trPr>
        <w:tc>
          <w:tcPr>
            <w:tcW w:w="450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State and local income taxes, net of federal income tax</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effect</w:t>
            </w:r>
          </w:p>
        </w:tc>
        <w:tc>
          <w:tcPr>
            <w:tcW w:w="48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(69)</w:t>
            </w:r>
          </w:p>
        </w:tc>
        <w:tc>
          <w:tcPr>
            <w:tcW w:w="18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0.1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Tax credits</w:t>
            </w:r>
          </w:p>
        </w:tc>
        <w:tc>
          <w:tcPr>
            <w:tcW w:w="480" w:type="dxa"/>
            <w:vAlign w:val="bottom"/>
            <w:tcBorders>
              <w:left w:val="single" w:sz="8" w:color="D5EEEE"/>
            </w:tcBorders>
            <w:shd w:val="clear" w:color="auto" w:fill="D5EEEE"/>
          </w:tcPr>
          <w:p>
            <w:pPr>
              <w:spacing w:after="0"/>
              <w:rPr>
                <w:sz w:val="21"/>
                <w:szCs w:val="21"/>
                <w:color w:val="auto"/>
              </w:rPr>
            </w:pPr>
          </w:p>
        </w:tc>
        <w:tc>
          <w:tcPr>
            <w:tcW w:w="44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40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88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72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520" w:type="dxa"/>
            <w:vAlign w:val="bottom"/>
            <w:shd w:val="clear" w:color="auto" w:fill="D5EEEE"/>
          </w:tcPr>
          <w:p>
            <w:pPr>
              <w:spacing w:after="0"/>
              <w:rPr>
                <w:sz w:val="21"/>
                <w:szCs w:val="21"/>
                <w:color w:val="auto"/>
              </w:rPr>
            </w:pPr>
          </w:p>
        </w:tc>
        <w:tc>
          <w:tcPr>
            <w:tcW w:w="600" w:type="dxa"/>
            <w:vAlign w:val="bottom"/>
            <w:shd w:val="clear" w:color="auto" w:fill="D5EEEE"/>
          </w:tcPr>
          <w:p>
            <w:pPr>
              <w:spacing w:after="0"/>
              <w:rPr>
                <w:sz w:val="21"/>
                <w:szCs w:val="21"/>
                <w:color w:val="auto"/>
              </w:rPr>
            </w:pPr>
          </w:p>
        </w:tc>
        <w:tc>
          <w:tcPr>
            <w:tcW w:w="1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4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Federal R&amp;D tax credit</w:t>
            </w:r>
          </w:p>
        </w:tc>
        <w:tc>
          <w:tcPr>
            <w:tcW w:w="480" w:type="dxa"/>
            <w:vAlign w:val="bottom"/>
          </w:tcPr>
          <w:p>
            <w:pPr>
              <w:spacing w:after="0"/>
              <w:rPr>
                <w:sz w:val="21"/>
                <w:szCs w:val="21"/>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(1,181)</w:t>
            </w:r>
          </w:p>
        </w:tc>
        <w:tc>
          <w:tcPr>
            <w:tcW w:w="18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2.7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(1,116)</w:t>
            </w: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480" w:type="dxa"/>
            <w:vAlign w:val="bottom"/>
            <w:tcBorders>
              <w:left w:val="single" w:sz="8" w:color="D5EEEE"/>
            </w:tcBorders>
            <w:shd w:val="clear" w:color="auto" w:fill="D5EEEE"/>
          </w:tcPr>
          <w:p>
            <w:pPr>
              <w:spacing w:after="0"/>
              <w:rPr>
                <w:sz w:val="21"/>
                <w:szCs w:val="21"/>
                <w:color w:val="auto"/>
              </w:rPr>
            </w:pPr>
          </w:p>
        </w:tc>
        <w:tc>
          <w:tcPr>
            <w:tcW w:w="860" w:type="dxa"/>
            <w:vAlign w:val="bottom"/>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8,961</w:t>
            </w:r>
          </w:p>
        </w:tc>
        <w:tc>
          <w:tcPr>
            <w:tcW w:w="10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200" w:type="dxa"/>
            <w:vAlign w:val="bottom"/>
            <w:gridSpan w:val="4"/>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(20.9)</w:t>
            </w:r>
          </w:p>
        </w:tc>
        <w:tc>
          <w:tcPr>
            <w:tcW w:w="2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10,356</w:t>
            </w:r>
          </w:p>
        </w:tc>
        <w:tc>
          <w:tcPr>
            <w:tcW w:w="100" w:type="dxa"/>
            <w:vAlign w:val="bottom"/>
            <w:shd w:val="clear" w:color="auto" w:fill="D5EEEE"/>
          </w:tcPr>
          <w:p>
            <w:pPr>
              <w:spacing w:after="0"/>
              <w:rPr>
                <w:sz w:val="21"/>
                <w:szCs w:val="21"/>
                <w:color w:val="auto"/>
              </w:rPr>
            </w:pPr>
          </w:p>
        </w:tc>
        <w:tc>
          <w:tcPr>
            <w:tcW w:w="520" w:type="dxa"/>
            <w:vAlign w:val="bottom"/>
            <w:shd w:val="clear" w:color="auto" w:fill="D5EEEE"/>
          </w:tcPr>
          <w:p>
            <w:pPr>
              <w:spacing w:after="0"/>
              <w:rPr>
                <w:sz w:val="21"/>
                <w:szCs w:val="21"/>
                <w:color w:val="auto"/>
              </w:rPr>
            </w:pPr>
          </w:p>
        </w:tc>
        <w:tc>
          <w:tcPr>
            <w:tcW w:w="720" w:type="dxa"/>
            <w:vAlign w:val="bottom"/>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(21.6)</w:t>
            </w:r>
          </w:p>
        </w:tc>
        <w:tc>
          <w:tcPr>
            <w:tcW w:w="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4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shd w:val="clear" w:color="auto" w:fill="D5EEEE"/>
          </w:tcPr>
          <w:p>
            <w:pPr>
              <w:ind w:left="400"/>
              <w:spacing w:after="0"/>
              <w:rPr>
                <w:sz w:val="20"/>
                <w:szCs w:val="20"/>
                <w:color w:val="auto"/>
              </w:rPr>
            </w:pPr>
            <w:r>
              <w:rPr>
                <w:rFonts w:ascii="Times New Roman" w:cs="Times New Roman" w:eastAsia="Times New Roman" w:hAnsi="Times New Roman"/>
                <w:sz w:val="20"/>
                <w:szCs w:val="20"/>
                <w:color w:val="auto"/>
              </w:rPr>
              <w:t>Stock based compensation</w:t>
            </w:r>
          </w:p>
        </w:tc>
        <w:tc>
          <w:tcPr>
            <w:tcW w:w="480" w:type="dxa"/>
            <w:vAlign w:val="bottom"/>
            <w:tcBorders>
              <w:left w:val="single" w:sz="8" w:color="D5EEEE"/>
            </w:tcBorders>
            <w:shd w:val="clear" w:color="auto" w:fill="D5EEEE"/>
          </w:tcPr>
          <w:p>
            <w:pPr>
              <w:spacing w:after="0"/>
              <w:rPr>
                <w:sz w:val="21"/>
                <w:szCs w:val="21"/>
                <w:color w:val="auto"/>
              </w:rPr>
            </w:pPr>
          </w:p>
        </w:tc>
        <w:tc>
          <w:tcPr>
            <w:tcW w:w="860" w:type="dxa"/>
            <w:vAlign w:val="bottom"/>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1,204</w:t>
            </w:r>
          </w:p>
        </w:tc>
        <w:tc>
          <w:tcPr>
            <w:tcW w:w="100" w:type="dxa"/>
            <w:vAlign w:val="bottom"/>
            <w:shd w:val="clear" w:color="auto" w:fill="D5EEEE"/>
          </w:tcPr>
          <w:p>
            <w:pPr>
              <w:spacing w:after="0"/>
              <w:rPr>
                <w:sz w:val="21"/>
                <w:szCs w:val="21"/>
                <w:color w:val="auto"/>
              </w:rPr>
            </w:pPr>
          </w:p>
        </w:tc>
        <w:tc>
          <w:tcPr>
            <w:tcW w:w="180" w:type="dxa"/>
            <w:vAlign w:val="bottom"/>
            <w:shd w:val="clear" w:color="auto" w:fill="D5EEEE"/>
          </w:tcPr>
          <w:p>
            <w:pPr>
              <w:spacing w:after="0"/>
              <w:rPr>
                <w:sz w:val="21"/>
                <w:szCs w:val="21"/>
                <w:color w:val="auto"/>
              </w:rPr>
            </w:pPr>
          </w:p>
        </w:tc>
        <w:tc>
          <w:tcPr>
            <w:tcW w:w="1200" w:type="dxa"/>
            <w:vAlign w:val="bottom"/>
            <w:gridSpan w:val="4"/>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shd w:val="clear" w:color="auto" w:fill="D5EEEE"/>
          </w:tcPr>
          <w:p>
            <w:pPr>
              <w:spacing w:after="0"/>
              <w:rPr>
                <w:sz w:val="21"/>
                <w:szCs w:val="21"/>
                <w:color w:val="auto"/>
              </w:rPr>
            </w:pPr>
          </w:p>
        </w:tc>
        <w:tc>
          <w:tcPr>
            <w:tcW w:w="140" w:type="dxa"/>
            <w:vAlign w:val="bottom"/>
            <w:shd w:val="clear" w:color="auto" w:fill="D5EEEE"/>
          </w:tcPr>
          <w:p>
            <w:pPr>
              <w:spacing w:after="0"/>
              <w:rPr>
                <w:sz w:val="21"/>
                <w:szCs w:val="21"/>
                <w:color w:val="auto"/>
              </w:rPr>
            </w:pPr>
          </w:p>
        </w:tc>
        <w:tc>
          <w:tcPr>
            <w:tcW w:w="300" w:type="dxa"/>
            <w:vAlign w:val="bottom"/>
            <w:shd w:val="clear" w:color="auto" w:fill="D5EEEE"/>
          </w:tcPr>
          <w:p>
            <w:pPr>
              <w:spacing w:after="0"/>
              <w:rPr>
                <w:sz w:val="21"/>
                <w:szCs w:val="21"/>
                <w:color w:val="auto"/>
              </w:rPr>
            </w:pP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895</w:t>
            </w:r>
          </w:p>
        </w:tc>
        <w:tc>
          <w:tcPr>
            <w:tcW w:w="100" w:type="dxa"/>
            <w:vAlign w:val="bottom"/>
            <w:shd w:val="clear" w:color="auto" w:fill="D5EEEE"/>
          </w:tcPr>
          <w:p>
            <w:pPr>
              <w:spacing w:after="0"/>
              <w:rPr>
                <w:sz w:val="21"/>
                <w:szCs w:val="21"/>
                <w:color w:val="auto"/>
              </w:rPr>
            </w:pPr>
          </w:p>
        </w:tc>
        <w:tc>
          <w:tcPr>
            <w:tcW w:w="520" w:type="dxa"/>
            <w:vAlign w:val="bottom"/>
            <w:shd w:val="clear" w:color="auto" w:fill="D5EEEE"/>
          </w:tcPr>
          <w:p>
            <w:pPr>
              <w:spacing w:after="0"/>
              <w:rPr>
                <w:sz w:val="21"/>
                <w:szCs w:val="21"/>
                <w:color w:val="auto"/>
              </w:rPr>
            </w:pPr>
          </w:p>
        </w:tc>
        <w:tc>
          <w:tcPr>
            <w:tcW w:w="720" w:type="dxa"/>
            <w:vAlign w:val="bottom"/>
            <w:gridSpan w:val="2"/>
            <w:shd w:val="clear" w:color="auto" w:fill="D5EEEE"/>
          </w:tcPr>
          <w:p>
            <w:pPr>
              <w:jc w:val="right"/>
              <w:ind w:right="60"/>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shd w:val="clear" w:color="auto" w:fill="D5EEEE"/>
          </w:tcPr>
          <w:p>
            <w:pPr>
              <w:spacing w:after="0"/>
              <w:rPr>
                <w:sz w:val="21"/>
                <w:szCs w:val="21"/>
                <w:color w:val="auto"/>
              </w:rPr>
            </w:pPr>
          </w:p>
        </w:tc>
        <w:tc>
          <w:tcPr>
            <w:tcW w:w="20" w:type="dxa"/>
            <w:vAlign w:val="bottom"/>
            <w:shd w:val="clear" w:color="auto" w:fill="D5EEEE"/>
          </w:tcPr>
          <w:p>
            <w:pPr>
              <w:spacing w:after="0"/>
              <w:rPr>
                <w:sz w:val="21"/>
                <w:szCs w:val="21"/>
                <w:color w:val="auto"/>
              </w:rPr>
            </w:pPr>
          </w:p>
        </w:tc>
        <w:tc>
          <w:tcPr>
            <w:tcW w:w="40" w:type="dxa"/>
            <w:vAlign w:val="bottom"/>
            <w:shd w:val="clear" w:color="auto" w:fill="D5EEE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Other</w:t>
            </w:r>
          </w:p>
        </w:tc>
        <w:tc>
          <w:tcPr>
            <w:tcW w:w="48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0.0</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5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D5EEEE"/>
          </w:tcPr>
          <w:p>
            <w:pPr>
              <w:spacing w:after="0"/>
              <w:rPr>
                <w:sz w:val="20"/>
                <w:szCs w:val="20"/>
                <w:color w:val="auto"/>
              </w:rPr>
            </w:pPr>
            <w:r>
              <w:rPr>
                <w:rFonts w:ascii="Times New Roman" w:cs="Times New Roman" w:eastAsia="Times New Roman" w:hAnsi="Times New Roman"/>
                <w:sz w:val="20"/>
                <w:szCs w:val="20"/>
                <w:color w:val="auto"/>
              </w:rPr>
              <w:t>Income tax benefit and effective income tax rate</w:t>
            </w:r>
          </w:p>
        </w:tc>
        <w:tc>
          <w:tcPr>
            <w:tcW w:w="480" w:type="dxa"/>
            <w:vAlign w:val="bottom"/>
            <w:tcBorders>
              <w:left w:val="single" w:sz="8" w:color="D5EEEE"/>
            </w:tcBorders>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D5EEE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D5EEEE"/>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4500" w:type="dxa"/>
            <w:vAlign w:val="bottom"/>
            <w:vMerge w:val="continue"/>
            <w:shd w:val="clear" w:color="auto" w:fill="D5EEEE"/>
          </w:tcPr>
          <w:p>
            <w:pPr>
              <w:spacing w:after="0"/>
              <w:rPr>
                <w:sz w:val="22"/>
                <w:szCs w:val="22"/>
                <w:color w:val="auto"/>
              </w:rPr>
            </w:pPr>
          </w:p>
        </w:tc>
        <w:tc>
          <w:tcPr>
            <w:tcW w:w="480" w:type="dxa"/>
            <w:vAlign w:val="bottom"/>
            <w:tcBorders>
              <w:left w:val="single" w:sz="8" w:color="D5EEEE"/>
            </w:tcBorders>
            <w:shd w:val="clear" w:color="auto" w:fill="D5EEEE"/>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00" w:type="dxa"/>
            <w:vAlign w:val="bottom"/>
            <w:shd w:val="clear" w:color="auto" w:fill="D5EEEE"/>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160" w:type="dxa"/>
            <w:vAlign w:val="bottom"/>
            <w:gridSpan w:val="2"/>
          </w:tcPr>
          <w:p>
            <w:pPr>
              <w:spacing w:after="0"/>
              <w:rPr>
                <w:sz w:val="22"/>
                <w:szCs w:val="22"/>
                <w:color w:val="auto"/>
              </w:rPr>
            </w:pPr>
          </w:p>
        </w:tc>
        <w:tc>
          <w:tcPr>
            <w:tcW w:w="300" w:type="dxa"/>
            <w:vAlign w:val="bottom"/>
            <w:shd w:val="clear" w:color="auto" w:fill="D5EEEE"/>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shd w:val="clear" w:color="auto" w:fill="D5EEEE"/>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0"/>
        </w:trPr>
        <w:tc>
          <w:tcPr>
            <w:tcW w:w="4500" w:type="dxa"/>
            <w:vAlign w:val="bottom"/>
            <w:tcBorders>
              <w:top w:val="single" w:sz="8" w:color="D5EEE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EEEE"/>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320" w:type="dxa"/>
            <w:vAlign w:val="bottom"/>
            <w:gridSpan w:val="11"/>
          </w:tcPr>
          <w:p>
            <w:pPr>
              <w:ind w:left="480"/>
              <w:spacing w:after="0"/>
              <w:rPr>
                <w:sz w:val="20"/>
                <w:szCs w:val="20"/>
                <w:color w:val="auto"/>
              </w:rPr>
            </w:pPr>
            <w:r>
              <w:rPr>
                <w:rFonts w:ascii="Times New Roman" w:cs="Times New Roman" w:eastAsia="Times New Roman" w:hAnsi="Times New Roman"/>
                <w:sz w:val="20"/>
                <w:szCs w:val="20"/>
                <w:color w:val="auto"/>
              </w:rPr>
              <w:t>The following table summarizes income taxes paid, net of refunds received: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10"/>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500" w:type="dxa"/>
            <w:vAlign w:val="bottom"/>
            <w:tcBorders>
              <w:bottom w:val="single" w:sz="8" w:color="D5EEEE"/>
            </w:tcBorders>
          </w:tcPr>
          <w:p>
            <w:pPr>
              <w:spacing w:after="0"/>
              <w:rPr>
                <w:sz w:val="16"/>
                <w:szCs w:val="16"/>
                <w:color w:val="auto"/>
              </w:rPr>
            </w:pPr>
          </w:p>
        </w:tc>
        <w:tc>
          <w:tcPr>
            <w:tcW w:w="480" w:type="dxa"/>
            <w:vAlign w:val="bottom"/>
            <w:tcBorders>
              <w:bottom w:val="single" w:sz="8" w:color="D5EEEE"/>
            </w:tcBorders>
          </w:tcPr>
          <w:p>
            <w:pPr>
              <w:spacing w:after="0"/>
              <w:rPr>
                <w:sz w:val="16"/>
                <w:szCs w:val="16"/>
                <w:color w:val="auto"/>
              </w:rPr>
            </w:pPr>
          </w:p>
        </w:tc>
        <w:tc>
          <w:tcPr>
            <w:tcW w:w="44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D5EEEE"/>
            </w:tcBorders>
          </w:tcPr>
          <w:p>
            <w:pPr>
              <w:spacing w:after="0"/>
              <w:rPr>
                <w:sz w:val="16"/>
                <w:szCs w:val="16"/>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20" w:type="dxa"/>
            <w:vAlign w:val="bottom"/>
            <w:tcBorders>
              <w:bottom w:val="single" w:sz="8" w:color="D5EEEE"/>
            </w:tcBorders>
          </w:tcPr>
          <w:p>
            <w:pPr>
              <w:spacing w:after="0"/>
              <w:rPr>
                <w:sz w:val="16"/>
                <w:szCs w:val="16"/>
                <w:color w:val="auto"/>
              </w:rPr>
            </w:pPr>
          </w:p>
        </w:tc>
        <w:tc>
          <w:tcPr>
            <w:tcW w:w="40" w:type="dxa"/>
            <w:vAlign w:val="bottom"/>
            <w:tcBorders>
              <w:bottom w:val="single" w:sz="8" w:color="D5EEEE"/>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50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U.S. Federal</w:t>
            </w:r>
          </w:p>
        </w:tc>
        <w:tc>
          <w:tcPr>
            <w:tcW w:w="480" w:type="dxa"/>
            <w:vAlign w:val="bottom"/>
            <w:tcBorders>
              <w:left w:val="single" w:sz="8" w:color="D5EEEE"/>
            </w:tcBorders>
            <w:shd w:val="clear" w:color="auto" w:fill="D5EEEE"/>
          </w:tcPr>
          <w:p>
            <w:pPr>
              <w:spacing w:after="0"/>
              <w:rPr>
                <w:sz w:val="20"/>
                <w:szCs w:val="20"/>
                <w:color w:val="auto"/>
              </w:rPr>
            </w:pPr>
          </w:p>
        </w:tc>
        <w:tc>
          <w:tcPr>
            <w:tcW w:w="44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400" w:type="dxa"/>
            <w:vAlign w:val="bottom"/>
            <w:shd w:val="clear" w:color="auto" w:fill="D5EEEE"/>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D5EEEE"/>
          </w:tcPr>
          <w:p>
            <w:pPr>
              <w:spacing w:after="0"/>
              <w:rPr>
                <w:sz w:val="20"/>
                <w:szCs w:val="20"/>
                <w:color w:val="auto"/>
              </w:rPr>
            </w:pPr>
          </w:p>
        </w:tc>
        <w:tc>
          <w:tcPr>
            <w:tcW w:w="180" w:type="dxa"/>
            <w:vAlign w:val="bottom"/>
            <w:shd w:val="clear" w:color="auto" w:fill="D5EEEE"/>
          </w:tcPr>
          <w:p>
            <w:pPr>
              <w:spacing w:after="0"/>
              <w:rPr>
                <w:sz w:val="20"/>
                <w:szCs w:val="20"/>
                <w:color w:val="auto"/>
              </w:rPr>
            </w:pPr>
          </w:p>
        </w:tc>
        <w:tc>
          <w:tcPr>
            <w:tcW w:w="880" w:type="dxa"/>
            <w:vAlign w:val="bottom"/>
            <w:shd w:val="clear" w:color="auto" w:fill="D5EEEE"/>
          </w:tcPr>
          <w:p>
            <w:pPr>
              <w:spacing w:after="0"/>
              <w:rPr>
                <w:sz w:val="20"/>
                <w:szCs w:val="20"/>
                <w:color w:val="auto"/>
              </w:rPr>
            </w:pPr>
          </w:p>
        </w:tc>
        <w:tc>
          <w:tcPr>
            <w:tcW w:w="20" w:type="dxa"/>
            <w:vAlign w:val="bottom"/>
            <w:shd w:val="clear" w:color="auto" w:fill="D5EEEE"/>
          </w:tcPr>
          <w:p>
            <w:pPr>
              <w:spacing w:after="0"/>
              <w:rPr>
                <w:sz w:val="20"/>
                <w:szCs w:val="20"/>
                <w:color w:val="auto"/>
              </w:rPr>
            </w:pPr>
          </w:p>
        </w:tc>
        <w:tc>
          <w:tcPr>
            <w:tcW w:w="120" w:type="dxa"/>
            <w:vAlign w:val="bottom"/>
            <w:shd w:val="clear" w:color="auto" w:fill="D5EEEE"/>
          </w:tcPr>
          <w:p>
            <w:pPr>
              <w:spacing w:after="0"/>
              <w:rPr>
                <w:sz w:val="20"/>
                <w:szCs w:val="20"/>
                <w:color w:val="auto"/>
              </w:rPr>
            </w:pPr>
          </w:p>
        </w:tc>
        <w:tc>
          <w:tcPr>
            <w:tcW w:w="340" w:type="dxa"/>
            <w:vAlign w:val="bottom"/>
            <w:gridSpan w:val="3"/>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D5EEEE"/>
          </w:tcPr>
          <w:p>
            <w:pPr>
              <w:spacing w:after="0"/>
              <w:rPr>
                <w:sz w:val="20"/>
                <w:szCs w:val="20"/>
                <w:color w:val="auto"/>
              </w:rPr>
            </w:pPr>
          </w:p>
        </w:tc>
        <w:tc>
          <w:tcPr>
            <w:tcW w:w="720" w:type="dxa"/>
            <w:vAlign w:val="bottom"/>
            <w:shd w:val="clear" w:color="auto" w:fill="D5EEEE"/>
          </w:tcPr>
          <w:p>
            <w:pPr>
              <w:jc w:val="right"/>
              <w:ind w:right="525"/>
              <w:spacing w:after="0"/>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shd w:val="clear" w:color="auto" w:fill="D5EEEE"/>
          </w:tcPr>
          <w:p>
            <w:pPr>
              <w:spacing w:after="0"/>
              <w:rPr>
                <w:sz w:val="20"/>
                <w:szCs w:val="20"/>
                <w:color w:val="auto"/>
              </w:rPr>
            </w:pPr>
          </w:p>
        </w:tc>
        <w:tc>
          <w:tcPr>
            <w:tcW w:w="520" w:type="dxa"/>
            <w:vAlign w:val="bottom"/>
            <w:shd w:val="clear" w:color="auto" w:fill="D5EEEE"/>
          </w:tcPr>
          <w:p>
            <w:pPr>
              <w:spacing w:after="0"/>
              <w:rPr>
                <w:sz w:val="20"/>
                <w:szCs w:val="20"/>
                <w:color w:val="auto"/>
              </w:rPr>
            </w:pPr>
          </w:p>
        </w:tc>
        <w:tc>
          <w:tcPr>
            <w:tcW w:w="72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gridSpan w:val="2"/>
            <w:shd w:val="clear" w:color="auto" w:fill="D5EEEE"/>
          </w:tcPr>
          <w:p>
            <w:pPr>
              <w:spacing w:after="0"/>
              <w:rPr>
                <w:sz w:val="20"/>
                <w:szCs w:val="20"/>
                <w:color w:val="auto"/>
              </w:rPr>
            </w:pPr>
          </w:p>
        </w:tc>
        <w:tc>
          <w:tcPr>
            <w:tcW w:w="40" w:type="dxa"/>
            <w:vAlign w:val="bottom"/>
            <w:shd w:val="clear" w:color="auto" w:fill="D5EEE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 State and Local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500" w:type="dxa"/>
            <w:vAlign w:val="bottom"/>
            <w:shd w:val="clear" w:color="auto" w:fill="D5EEEE"/>
          </w:tcPr>
          <w:p>
            <w:pPr>
              <w:ind w:left="300"/>
              <w:spacing w:after="0"/>
              <w:rPr>
                <w:sz w:val="20"/>
                <w:szCs w:val="20"/>
                <w:color w:val="auto"/>
              </w:rPr>
            </w:pPr>
            <w:r>
              <w:rPr>
                <w:rFonts w:ascii="Times New Roman" w:cs="Times New Roman" w:eastAsia="Times New Roman" w:hAnsi="Times New Roman"/>
                <w:sz w:val="20"/>
                <w:szCs w:val="20"/>
                <w:color w:val="auto"/>
              </w:rPr>
              <w:t>Connecticut</w:t>
            </w:r>
          </w:p>
        </w:tc>
        <w:tc>
          <w:tcPr>
            <w:tcW w:w="480" w:type="dxa"/>
            <w:vAlign w:val="bottom"/>
            <w:tcBorders>
              <w:left w:val="single" w:sz="8" w:color="D5EEEE"/>
            </w:tcBorders>
            <w:shd w:val="clear" w:color="auto" w:fill="D5EEEE"/>
          </w:tcPr>
          <w:p>
            <w:pPr>
              <w:spacing w:after="0"/>
              <w:rPr>
                <w:sz w:val="22"/>
                <w:szCs w:val="22"/>
                <w:color w:val="auto"/>
              </w:rPr>
            </w:pPr>
          </w:p>
        </w:tc>
        <w:tc>
          <w:tcPr>
            <w:tcW w:w="440" w:type="dxa"/>
            <w:vAlign w:val="bottom"/>
            <w:shd w:val="clear" w:color="auto" w:fill="D5EEEE"/>
          </w:tcPr>
          <w:p>
            <w:pPr>
              <w:spacing w:after="0"/>
              <w:rPr>
                <w:sz w:val="22"/>
                <w:szCs w:val="22"/>
                <w:color w:val="auto"/>
              </w:rPr>
            </w:pPr>
          </w:p>
        </w:tc>
        <w:tc>
          <w:tcPr>
            <w:tcW w:w="20" w:type="dxa"/>
            <w:vAlign w:val="bottom"/>
            <w:shd w:val="clear" w:color="auto" w:fill="D5EEEE"/>
          </w:tcPr>
          <w:p>
            <w:pPr>
              <w:spacing w:after="0"/>
              <w:rPr>
                <w:sz w:val="22"/>
                <w:szCs w:val="22"/>
                <w:color w:val="auto"/>
              </w:rPr>
            </w:pPr>
          </w:p>
        </w:tc>
        <w:tc>
          <w:tcPr>
            <w:tcW w:w="400" w:type="dxa"/>
            <w:vAlign w:val="bottom"/>
            <w:shd w:val="clear" w:color="auto" w:fill="D5EEEE"/>
          </w:tcPr>
          <w:p>
            <w:pPr>
              <w:spacing w:after="0"/>
              <w:rPr>
                <w:sz w:val="22"/>
                <w:szCs w:val="22"/>
                <w:color w:val="auto"/>
              </w:rPr>
            </w:pPr>
          </w:p>
        </w:tc>
        <w:tc>
          <w:tcPr>
            <w:tcW w:w="100" w:type="dxa"/>
            <w:vAlign w:val="bottom"/>
            <w:shd w:val="clear" w:color="auto" w:fill="D5EEEE"/>
          </w:tcPr>
          <w:p>
            <w:pPr>
              <w:spacing w:after="0"/>
              <w:rPr>
                <w:sz w:val="22"/>
                <w:szCs w:val="22"/>
                <w:color w:val="auto"/>
              </w:rPr>
            </w:pPr>
          </w:p>
        </w:tc>
        <w:tc>
          <w:tcPr>
            <w:tcW w:w="180" w:type="dxa"/>
            <w:vAlign w:val="bottom"/>
            <w:shd w:val="clear" w:color="auto" w:fill="D5EEEE"/>
          </w:tcPr>
          <w:p>
            <w:pPr>
              <w:spacing w:after="0"/>
              <w:rPr>
                <w:sz w:val="22"/>
                <w:szCs w:val="22"/>
                <w:color w:val="auto"/>
              </w:rPr>
            </w:pPr>
          </w:p>
        </w:tc>
        <w:tc>
          <w:tcPr>
            <w:tcW w:w="1660" w:type="dxa"/>
            <w:vAlign w:val="bottom"/>
            <w:gridSpan w:val="7"/>
            <w:shd w:val="clear" w:color="auto" w:fill="D5EEEE"/>
          </w:tcPr>
          <w:p>
            <w:pPr>
              <w:jc w:val="right"/>
              <w:ind w:right="140"/>
              <w:spacing w:after="0"/>
              <w:rPr>
                <w:sz w:val="20"/>
                <w:szCs w:val="20"/>
                <w:color w:val="auto"/>
              </w:rPr>
            </w:pPr>
            <w:r>
              <w:rPr>
                <w:rFonts w:ascii="Times New Roman" w:cs="Times New Roman" w:eastAsia="Times New Roman" w:hAnsi="Times New Roman"/>
                <w:sz w:val="20"/>
                <w:szCs w:val="20"/>
                <w:color w:val="auto"/>
              </w:rPr>
              <w:t>(33)</w:t>
            </w:r>
          </w:p>
        </w:tc>
        <w:tc>
          <w:tcPr>
            <w:tcW w:w="720" w:type="dxa"/>
            <w:vAlign w:val="bottom"/>
            <w:shd w:val="clear" w:color="auto" w:fill="D5EEEE"/>
          </w:tcPr>
          <w:p>
            <w:pPr>
              <w:spacing w:after="0"/>
              <w:rPr>
                <w:sz w:val="22"/>
                <w:szCs w:val="22"/>
                <w:color w:val="auto"/>
              </w:rPr>
            </w:pPr>
          </w:p>
        </w:tc>
        <w:tc>
          <w:tcPr>
            <w:tcW w:w="100" w:type="dxa"/>
            <w:vAlign w:val="bottom"/>
            <w:shd w:val="clear" w:color="auto" w:fill="D5EEEE"/>
          </w:tcPr>
          <w:p>
            <w:pPr>
              <w:spacing w:after="0"/>
              <w:rPr>
                <w:sz w:val="22"/>
                <w:szCs w:val="22"/>
                <w:color w:val="auto"/>
              </w:rPr>
            </w:pPr>
          </w:p>
        </w:tc>
        <w:tc>
          <w:tcPr>
            <w:tcW w:w="520" w:type="dxa"/>
            <w:vAlign w:val="bottom"/>
            <w:shd w:val="clear" w:color="auto" w:fill="D5EEEE"/>
          </w:tcPr>
          <w:p>
            <w:pPr>
              <w:spacing w:after="0"/>
              <w:rPr>
                <w:sz w:val="22"/>
                <w:szCs w:val="22"/>
                <w:color w:val="auto"/>
              </w:rPr>
            </w:pPr>
          </w:p>
        </w:tc>
        <w:tc>
          <w:tcPr>
            <w:tcW w:w="800" w:type="dxa"/>
            <w:vAlign w:val="bottom"/>
            <w:gridSpan w:val="5"/>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rPr>
                <w:sz w:val="1"/>
                <w:szCs w:val="1"/>
                <w:color w:val="auto"/>
              </w:rPr>
            </w:pPr>
          </w:p>
        </w:tc>
      </w:tr>
      <w:tr>
        <w:trPr>
          <w:trHeight w:val="219"/>
        </w:trPr>
        <w:tc>
          <w:tcPr>
            <w:tcW w:w="4500" w:type="dxa"/>
            <w:vAlign w:val="bottom"/>
            <w:tcBorders>
              <w:top w:val="single" w:sz="8" w:color="D5EEEE"/>
            </w:tcBorders>
          </w:tcPr>
          <w:p>
            <w:pPr>
              <w:spacing w:after="0" w:line="219" w:lineRule="exact"/>
              <w:rPr>
                <w:sz w:val="20"/>
                <w:szCs w:val="20"/>
                <w:color w:val="auto"/>
              </w:rPr>
            </w:pPr>
            <w:r>
              <w:rPr>
                <w:rFonts w:ascii="Times New Roman" w:cs="Times New Roman" w:eastAsia="Times New Roman" w:hAnsi="Times New Roman"/>
                <w:sz w:val="20"/>
                <w:szCs w:val="20"/>
                <w:color w:val="auto"/>
              </w:rPr>
              <w:t>Total income taxes paid, net of (refunds) received</w:t>
            </w:r>
          </w:p>
        </w:tc>
        <w:tc>
          <w:tcPr>
            <w:tcW w:w="480" w:type="dxa"/>
            <w:vAlign w:val="bottom"/>
            <w:tcBorders>
              <w:top w:val="single" w:sz="8" w:color="D5EEEE"/>
            </w:tcBorders>
          </w:tcPr>
          <w:p>
            <w:pPr>
              <w:spacing w:after="0"/>
              <w:rPr>
                <w:sz w:val="19"/>
                <w:szCs w:val="19"/>
                <w:color w:val="auto"/>
              </w:rPr>
            </w:pPr>
          </w:p>
        </w:tc>
        <w:tc>
          <w:tcPr>
            <w:tcW w:w="440" w:type="dxa"/>
            <w:vAlign w:val="bottom"/>
            <w:tcBorders>
              <w:top w:val="single" w:sz="8" w:color="D5EEEE"/>
            </w:tcBorders>
          </w:tcPr>
          <w:p>
            <w:pPr>
              <w:spacing w:after="0"/>
              <w:rPr>
                <w:sz w:val="19"/>
                <w:szCs w:val="19"/>
                <w:color w:val="auto"/>
              </w:rPr>
            </w:pPr>
          </w:p>
        </w:tc>
        <w:tc>
          <w:tcPr>
            <w:tcW w:w="20" w:type="dxa"/>
            <w:vAlign w:val="bottom"/>
            <w:tcBorders>
              <w:top w:val="single" w:sz="8" w:color="D5EEEE"/>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6"/>
          </w:tcPr>
          <w:p>
            <w:pPr>
              <w:jc w:val="right"/>
              <w:spacing w:after="0" w:line="219" w:lineRule="exact"/>
              <w:rPr>
                <w:sz w:val="20"/>
                <w:szCs w:val="20"/>
                <w:color w:val="auto"/>
              </w:rPr>
            </w:pPr>
            <w:r>
              <w:rPr>
                <w:rFonts w:ascii="Times New Roman" w:cs="Times New Roman" w:eastAsia="Times New Roman" w:hAnsi="Times New Roman"/>
                <w:sz w:val="20"/>
                <w:szCs w:val="20"/>
                <w:color w:val="auto"/>
              </w:rPr>
              <w:t>(33)</w:t>
            </w:r>
          </w:p>
        </w:tc>
        <w:tc>
          <w:tcPr>
            <w:tcW w:w="300" w:type="dxa"/>
            <w:vAlign w:val="bottom"/>
            <w:tcBorders>
              <w:top w:val="single" w:sz="8" w:color="D5EEEE"/>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525"/>
              <w:spacing w:after="0" w:line="219" w:lineRule="exact"/>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line="219" w:lineRule="exact"/>
              <w:rPr>
                <w:sz w:val="20"/>
                <w:szCs w:val="20"/>
                <w:color w:val="auto"/>
              </w:rPr>
            </w:pPr>
            <w:r>
              <w:rPr>
                <w:rFonts w:ascii="Times New Roman" w:cs="Times New Roman" w:eastAsia="Times New Roman" w:hAnsi="Times New Roman"/>
                <w:sz w:val="20"/>
                <w:szCs w:val="20"/>
                <w:color w:val="auto"/>
              </w:rPr>
              <w:t>(32)</w:t>
            </w:r>
          </w:p>
        </w:tc>
        <w:tc>
          <w:tcPr>
            <w:tcW w:w="80" w:type="dxa"/>
            <w:vAlign w:val="bottom"/>
            <w:tcBorders>
              <w:top w:val="single" w:sz="8" w:color="D5EEEE"/>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3774440</wp:posOffset>
                </wp:positionH>
                <wp:positionV relativeFrom="paragraph">
                  <wp:posOffset>-2798445</wp:posOffset>
                </wp:positionV>
                <wp:extent cx="759460" cy="15494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9460" cy="154940"/>
                        </a:xfrm>
                        <a:prstGeom prst="rect">
                          <a:avLst/>
                        </a:prstGeom>
                        <a:solidFill>
                          <a:srgbClr val="D5EEEE"/>
                        </a:solidFill>
                      </wps:spPr>
                      <wps:bodyPr/>
                    </wps:wsp>
                  </a:graphicData>
                </a:graphic>
              </wp:anchor>
            </w:drawing>
          </mc:Choice>
          <mc:Fallback>
            <w:pict>
              <v:rect id="Shape 24" o:spid="_x0000_s1049" style="position:absolute;margin-left:297.2pt;margin-top:-220.3499pt;width:59.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4533900</wp:posOffset>
                </wp:positionH>
                <wp:positionV relativeFrom="paragraph">
                  <wp:posOffset>-2807970</wp:posOffset>
                </wp:positionV>
                <wp:extent cx="218440" cy="16446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440" cy="164465"/>
                        </a:xfrm>
                        <a:prstGeom prst="rect">
                          <a:avLst/>
                        </a:prstGeom>
                        <a:solidFill>
                          <a:srgbClr val="D5EEEE"/>
                        </a:solidFill>
                      </wps:spPr>
                      <wps:bodyPr/>
                    </wps:wsp>
                  </a:graphicData>
                </a:graphic>
              </wp:anchor>
            </w:drawing>
          </mc:Choice>
          <mc:Fallback>
            <w:pict>
              <v:rect id="Shape 25" o:spid="_x0000_s1050" style="position:absolute;margin-left:357pt;margin-top:-221.0999pt;width:17.2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5462905</wp:posOffset>
                </wp:positionH>
                <wp:positionV relativeFrom="paragraph">
                  <wp:posOffset>-2798445</wp:posOffset>
                </wp:positionV>
                <wp:extent cx="713105" cy="15494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05" cy="154940"/>
                        </a:xfrm>
                        <a:prstGeom prst="rect">
                          <a:avLst/>
                        </a:prstGeom>
                        <a:solidFill>
                          <a:srgbClr val="D5EEEE"/>
                        </a:solidFill>
                      </wps:spPr>
                      <wps:bodyPr/>
                    </wps:wsp>
                  </a:graphicData>
                </a:graphic>
              </wp:anchor>
            </w:drawing>
          </mc:Choice>
          <mc:Fallback>
            <w:pict>
              <v:rect id="Shape 26" o:spid="_x0000_s1051" style="position:absolute;margin-left:430.15pt;margin-top:-220.3499pt;width:56.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3774440</wp:posOffset>
                </wp:positionH>
                <wp:positionV relativeFrom="paragraph">
                  <wp:posOffset>-1403350</wp:posOffset>
                </wp:positionV>
                <wp:extent cx="759460" cy="15494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9460" cy="154940"/>
                        </a:xfrm>
                        <a:prstGeom prst="rect">
                          <a:avLst/>
                        </a:prstGeom>
                        <a:solidFill>
                          <a:srgbClr val="D5EEEE"/>
                        </a:solidFill>
                      </wps:spPr>
                      <wps:bodyPr/>
                    </wps:wsp>
                  </a:graphicData>
                </a:graphic>
              </wp:anchor>
            </w:drawing>
          </mc:Choice>
          <mc:Fallback>
            <w:pict>
              <v:rect id="Shape 27" o:spid="_x0000_s1052" style="position:absolute;margin-left:297.2pt;margin-top:-110.4999pt;width:59.8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4533900</wp:posOffset>
                </wp:positionH>
                <wp:positionV relativeFrom="paragraph">
                  <wp:posOffset>-1412875</wp:posOffset>
                </wp:positionV>
                <wp:extent cx="218440" cy="16446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8440" cy="164465"/>
                        </a:xfrm>
                        <a:prstGeom prst="rect">
                          <a:avLst/>
                        </a:prstGeom>
                        <a:solidFill>
                          <a:srgbClr val="D5EEEE"/>
                        </a:solidFill>
                      </wps:spPr>
                      <wps:bodyPr/>
                    </wps:wsp>
                  </a:graphicData>
                </a:graphic>
              </wp:anchor>
            </w:drawing>
          </mc:Choice>
          <mc:Fallback>
            <w:pict>
              <v:rect id="Shape 28" o:spid="_x0000_s1053" style="position:absolute;margin-left:357pt;margin-top:-111.2499pt;width:17.2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5462905</wp:posOffset>
                </wp:positionH>
                <wp:positionV relativeFrom="paragraph">
                  <wp:posOffset>-1403350</wp:posOffset>
                </wp:positionV>
                <wp:extent cx="713105" cy="15494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05" cy="154940"/>
                        </a:xfrm>
                        <a:prstGeom prst="rect">
                          <a:avLst/>
                        </a:prstGeom>
                        <a:solidFill>
                          <a:srgbClr val="D5EEEE"/>
                        </a:solidFill>
                      </wps:spPr>
                      <wps:bodyPr/>
                    </wps:wsp>
                  </a:graphicData>
                </a:graphic>
              </wp:anchor>
            </w:drawing>
          </mc:Choice>
          <mc:Fallback>
            <w:pict>
              <v:rect id="Shape 29" o:spid="_x0000_s1054" style="position:absolute;margin-left:430.15pt;margin-top:-110.4999pt;width:56.1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191"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and liabilities are as follows:</w:t>
      </w:r>
    </w:p>
    <w:p>
      <w:pPr>
        <w:spacing w:after="0" w:line="230"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7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79"/>
        </w:trPr>
        <w:tc>
          <w:tcPr>
            <w:tcW w:w="4800" w:type="dxa"/>
            <w:vAlign w:val="bottom"/>
            <w:tcBorders>
              <w:bottom w:val="single" w:sz="8" w:color="D5EEEE"/>
            </w:tcBorders>
          </w:tcPr>
          <w:p>
            <w:pPr>
              <w:spacing w:after="0"/>
              <w:rPr>
                <w:sz w:val="15"/>
                <w:szCs w:val="15"/>
                <w:color w:val="auto"/>
              </w:rPr>
            </w:pPr>
          </w:p>
        </w:tc>
        <w:tc>
          <w:tcPr>
            <w:tcW w:w="1540" w:type="dxa"/>
            <w:vAlign w:val="bottom"/>
            <w:tcBorders>
              <w:bottom w:val="single" w:sz="8" w:color="auto"/>
            </w:tcBorders>
          </w:tcPr>
          <w:p>
            <w:pPr>
              <w:jc w:val="right"/>
              <w:ind w:right="107"/>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800" w:type="dxa"/>
            <w:vAlign w:val="bottom"/>
            <w:tcBorders>
              <w:bottom w:val="single" w:sz="8" w:color="auto"/>
            </w:tcBorders>
          </w:tcPr>
          <w:p>
            <w:pPr>
              <w:spacing w:after="0"/>
              <w:rPr>
                <w:sz w:val="15"/>
                <w:szCs w:val="15"/>
                <w:color w:val="auto"/>
              </w:rPr>
            </w:pPr>
          </w:p>
        </w:tc>
        <w:tc>
          <w:tcPr>
            <w:tcW w:w="340" w:type="dxa"/>
            <w:vAlign w:val="bottom"/>
            <w:tcBorders>
              <w:bottom w:val="single" w:sz="8" w:color="D5EEEE"/>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922"/>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D5EEEE"/>
            </w:tcBorders>
          </w:tcPr>
          <w:p>
            <w:pPr>
              <w:spacing w:after="0"/>
              <w:rPr>
                <w:sz w:val="15"/>
                <w:szCs w:val="15"/>
                <w:color w:val="auto"/>
              </w:rPr>
            </w:pPr>
          </w:p>
        </w:tc>
        <w:tc>
          <w:tcPr>
            <w:tcW w:w="60" w:type="dxa"/>
            <w:vAlign w:val="bottom"/>
            <w:tcBorders>
              <w:bottom w:val="single" w:sz="8" w:color="D5EEEE"/>
            </w:tcBorders>
          </w:tcPr>
          <w:p>
            <w:pPr>
              <w:spacing w:after="0"/>
              <w:rPr>
                <w:sz w:val="15"/>
                <w:szCs w:val="15"/>
                <w:color w:val="auto"/>
              </w:rPr>
            </w:pPr>
          </w:p>
        </w:tc>
      </w:tr>
      <w:tr>
        <w:trPr>
          <w:trHeight w:val="225"/>
        </w:trPr>
        <w:tc>
          <w:tcPr>
            <w:tcW w:w="480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Net operating loss carryforwards</w:t>
            </w:r>
          </w:p>
        </w:tc>
        <w:tc>
          <w:tcPr>
            <w:tcW w:w="1540" w:type="dxa"/>
            <w:vAlign w:val="bottom"/>
            <w:shd w:val="clear" w:color="auto" w:fill="D5EEEE"/>
          </w:tcPr>
          <w:p>
            <w:pPr>
              <w:jc w:val="right"/>
              <w:ind w:right="134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64,173</w:t>
            </w:r>
          </w:p>
        </w:tc>
        <w:tc>
          <w:tcPr>
            <w:tcW w:w="340" w:type="dxa"/>
            <w:vAlign w:val="bottom"/>
            <w:shd w:val="clear" w:color="auto" w:fill="D5EEEE"/>
          </w:tcPr>
          <w:p>
            <w:pPr>
              <w:spacing w:after="0"/>
              <w:rPr>
                <w:sz w:val="19"/>
                <w:szCs w:val="19"/>
                <w:color w:val="auto"/>
              </w:rPr>
            </w:pPr>
          </w:p>
        </w:tc>
        <w:tc>
          <w:tcPr>
            <w:tcW w:w="660" w:type="dxa"/>
            <w:vAlign w:val="bottom"/>
            <w:shd w:val="clear" w:color="auto" w:fill="D5EEEE"/>
          </w:tcPr>
          <w:p>
            <w:pPr>
              <w:jc w:val="right"/>
              <w:ind w:right="4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53,797</w:t>
            </w:r>
          </w:p>
        </w:tc>
        <w:tc>
          <w:tcPr>
            <w:tcW w:w="20" w:type="dxa"/>
            <w:vAlign w:val="bottom"/>
            <w:shd w:val="clear" w:color="auto" w:fill="D5EEEE"/>
          </w:tcPr>
          <w:p>
            <w:pPr>
              <w:spacing w:after="0"/>
              <w:rPr>
                <w:sz w:val="19"/>
                <w:szCs w:val="19"/>
                <w:color w:val="auto"/>
              </w:rPr>
            </w:pPr>
          </w:p>
        </w:tc>
        <w:tc>
          <w:tcPr>
            <w:tcW w:w="60" w:type="dxa"/>
            <w:vAlign w:val="bottom"/>
            <w:shd w:val="clear" w:color="auto" w:fill="D5EEEE"/>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Capitalized R&amp;D</w:t>
            </w:r>
          </w:p>
        </w:tc>
        <w:tc>
          <w:tcPr>
            <w:tcW w:w="1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17,598</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800" w:type="dxa"/>
            <w:vAlign w:val="bottom"/>
            <w:shd w:val="clear" w:color="auto" w:fill="D5EEEE"/>
          </w:tcPr>
          <w:p>
            <w:pPr>
              <w:spacing w:after="0"/>
              <w:rPr>
                <w:sz w:val="20"/>
                <w:szCs w:val="20"/>
                <w:color w:val="auto"/>
              </w:rPr>
            </w:pPr>
            <w:r>
              <w:rPr>
                <w:rFonts w:ascii="Times New Roman" w:cs="Times New Roman" w:eastAsia="Times New Roman" w:hAnsi="Times New Roman"/>
                <w:sz w:val="20"/>
                <w:szCs w:val="20"/>
                <w:color w:val="auto"/>
              </w:rPr>
              <w:t>Federal and state tax credits</w:t>
            </w:r>
          </w:p>
        </w:tc>
        <w:tc>
          <w:tcPr>
            <w:tcW w:w="1540" w:type="dxa"/>
            <w:vAlign w:val="bottom"/>
            <w:shd w:val="clear" w:color="auto" w:fill="D5EEEE"/>
          </w:tcPr>
          <w:p>
            <w:pPr>
              <w:spacing w:after="0"/>
              <w:rPr>
                <w:sz w:val="20"/>
                <w:szCs w:val="20"/>
                <w:color w:val="auto"/>
              </w:rPr>
            </w:pPr>
          </w:p>
        </w:tc>
        <w:tc>
          <w:tcPr>
            <w:tcW w:w="1140" w:type="dxa"/>
            <w:vAlign w:val="bottom"/>
            <w:gridSpan w:val="2"/>
            <w:shd w:val="clear" w:color="auto" w:fill="D5EEEE"/>
          </w:tcPr>
          <w:p>
            <w:pPr>
              <w:jc w:val="right"/>
              <w:ind w:right="340"/>
              <w:spacing w:after="0"/>
              <w:rPr>
                <w:sz w:val="20"/>
                <w:szCs w:val="20"/>
                <w:color w:val="auto"/>
              </w:rPr>
            </w:pPr>
            <w:r>
              <w:rPr>
                <w:rFonts w:ascii="Times New Roman" w:cs="Times New Roman" w:eastAsia="Times New Roman" w:hAnsi="Times New Roman"/>
                <w:sz w:val="20"/>
                <w:szCs w:val="20"/>
                <w:color w:val="auto"/>
              </w:rPr>
              <w:t>8,798</w:t>
            </w:r>
          </w:p>
        </w:tc>
        <w:tc>
          <w:tcPr>
            <w:tcW w:w="660" w:type="dxa"/>
            <w:vAlign w:val="bottom"/>
            <w:shd w:val="clear" w:color="auto" w:fill="D5EEEE"/>
          </w:tcPr>
          <w:p>
            <w:pPr>
              <w:spacing w:after="0"/>
              <w:rPr>
                <w:sz w:val="20"/>
                <w:szCs w:val="20"/>
                <w:color w:val="auto"/>
              </w:rPr>
            </w:pPr>
          </w:p>
        </w:tc>
        <w:tc>
          <w:tcPr>
            <w:tcW w:w="1780" w:type="dxa"/>
            <w:vAlign w:val="bottom"/>
            <w:gridSpan w:val="3"/>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7,532</w:t>
            </w:r>
          </w:p>
        </w:tc>
      </w:tr>
      <w:tr>
        <w:trPr>
          <w:trHeight w:val="23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54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3,300</w:t>
            </w:r>
          </w:p>
        </w:tc>
        <w:tc>
          <w:tcPr>
            <w:tcW w:w="660" w:type="dxa"/>
            <w:vAlign w:val="bottom"/>
          </w:tcPr>
          <w:p>
            <w:pPr>
              <w:spacing w:after="0"/>
              <w:rPr>
                <w:sz w:val="19"/>
                <w:szCs w:val="19"/>
                <w:color w:val="auto"/>
              </w:rPr>
            </w:pPr>
          </w:p>
        </w:tc>
        <w:tc>
          <w:tcPr>
            <w:tcW w:w="17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4,232</w:t>
            </w:r>
          </w:p>
        </w:tc>
      </w:tr>
      <w:tr>
        <w:trPr>
          <w:trHeight w:val="225"/>
        </w:trPr>
        <w:tc>
          <w:tcPr>
            <w:tcW w:w="4800" w:type="dxa"/>
            <w:vAlign w:val="bottom"/>
            <w:tcBorders>
              <w:top w:val="single" w:sz="8" w:color="D5EEEE"/>
              <w:bottom w:val="single" w:sz="8" w:color="D5EEEE"/>
            </w:tcBorders>
            <w:shd w:val="clear" w:color="auto" w:fill="D5EEEE"/>
          </w:tcPr>
          <w:p>
            <w:pPr>
              <w:ind w:left="100"/>
              <w:spacing w:after="0" w:line="225" w:lineRule="exact"/>
              <w:rPr>
                <w:sz w:val="20"/>
                <w:szCs w:val="20"/>
                <w:color w:val="auto"/>
              </w:rPr>
            </w:pPr>
            <w:r>
              <w:rPr>
                <w:rFonts w:ascii="Times New Roman" w:cs="Times New Roman" w:eastAsia="Times New Roman" w:hAnsi="Times New Roman"/>
                <w:sz w:val="20"/>
                <w:szCs w:val="20"/>
                <w:color w:val="auto"/>
              </w:rPr>
              <w:t>Deferred tax assets</w:t>
            </w:r>
          </w:p>
        </w:tc>
        <w:tc>
          <w:tcPr>
            <w:tcW w:w="1540" w:type="dxa"/>
            <w:vAlign w:val="bottom"/>
            <w:tcBorders>
              <w:top w:val="single" w:sz="8" w:color="auto"/>
              <w:bottom w:val="single" w:sz="8" w:color="auto"/>
            </w:tcBorders>
            <w:shd w:val="clear" w:color="auto" w:fill="D5EEEE"/>
          </w:tcPr>
          <w:p>
            <w:pPr>
              <w:spacing w:after="0"/>
              <w:rPr>
                <w:sz w:val="19"/>
                <w:szCs w:val="19"/>
                <w:color w:val="auto"/>
              </w:rPr>
            </w:pPr>
          </w:p>
        </w:tc>
        <w:tc>
          <w:tcPr>
            <w:tcW w:w="80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93,869</w:t>
            </w:r>
          </w:p>
        </w:tc>
        <w:tc>
          <w:tcPr>
            <w:tcW w:w="340" w:type="dxa"/>
            <w:vAlign w:val="bottom"/>
            <w:tcBorders>
              <w:top w:val="single" w:sz="8" w:color="D5EEEE"/>
              <w:bottom w:val="single" w:sz="8" w:color="D5EEEE"/>
            </w:tcBorders>
            <w:shd w:val="clear" w:color="auto" w:fill="D5EEEE"/>
          </w:tcPr>
          <w:p>
            <w:pPr>
              <w:spacing w:after="0"/>
              <w:rPr>
                <w:sz w:val="19"/>
                <w:szCs w:val="19"/>
                <w:color w:val="auto"/>
              </w:rPr>
            </w:pPr>
          </w:p>
        </w:tc>
        <w:tc>
          <w:tcPr>
            <w:tcW w:w="660" w:type="dxa"/>
            <w:vAlign w:val="bottom"/>
            <w:tcBorders>
              <w:top w:val="single" w:sz="8" w:color="auto"/>
              <w:bottom w:val="single" w:sz="8" w:color="auto"/>
            </w:tcBorders>
            <w:shd w:val="clear" w:color="auto" w:fill="D5EEEE"/>
          </w:tcPr>
          <w:p>
            <w:pPr>
              <w:spacing w:after="0"/>
              <w:rPr>
                <w:sz w:val="19"/>
                <w:szCs w:val="19"/>
                <w:color w:val="auto"/>
              </w:rPr>
            </w:pPr>
          </w:p>
        </w:tc>
        <w:tc>
          <w:tcPr>
            <w:tcW w:w="170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82,800</w:t>
            </w:r>
          </w:p>
        </w:tc>
        <w:tc>
          <w:tcPr>
            <w:tcW w:w="20" w:type="dxa"/>
            <w:vAlign w:val="bottom"/>
            <w:tcBorders>
              <w:top w:val="single" w:sz="8" w:color="D5EEEE"/>
              <w:bottom w:val="single" w:sz="8" w:color="D5EEEE"/>
            </w:tcBorders>
            <w:shd w:val="clear" w:color="auto" w:fill="D5EEEE"/>
          </w:tcPr>
          <w:p>
            <w:pPr>
              <w:spacing w:after="0"/>
              <w:rPr>
                <w:sz w:val="19"/>
                <w:szCs w:val="19"/>
                <w:color w:val="auto"/>
              </w:rPr>
            </w:pPr>
          </w:p>
        </w:tc>
        <w:tc>
          <w:tcPr>
            <w:tcW w:w="60" w:type="dxa"/>
            <w:vAlign w:val="bottom"/>
            <w:tcBorders>
              <w:top w:val="single" w:sz="8" w:color="D5EEEE"/>
              <w:bottom w:val="single" w:sz="8" w:color="D5EEEE"/>
            </w:tcBorders>
            <w:shd w:val="clear" w:color="auto" w:fill="D5EEEE"/>
          </w:tcPr>
          <w:p>
            <w:pPr>
              <w:spacing w:after="0"/>
              <w:rPr>
                <w:sz w:val="19"/>
                <w:szCs w:val="19"/>
                <w:color w:val="auto"/>
              </w:rPr>
            </w:pPr>
          </w:p>
        </w:tc>
      </w:tr>
      <w:tr>
        <w:trPr>
          <w:trHeight w:val="45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54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(183)</w:t>
            </w:r>
          </w:p>
        </w:tc>
        <w:tc>
          <w:tcPr>
            <w:tcW w:w="660" w:type="dxa"/>
            <w:vAlign w:val="bottom"/>
          </w:tcPr>
          <w:p>
            <w:pPr>
              <w:spacing w:after="0"/>
              <w:rPr>
                <w:sz w:val="24"/>
                <w:szCs w:val="24"/>
                <w:color w:val="auto"/>
              </w:rPr>
            </w:pP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(351)</w:t>
            </w:r>
          </w:p>
        </w:tc>
      </w:tr>
      <w:tr>
        <w:trPr>
          <w:trHeight w:val="225"/>
        </w:trPr>
        <w:tc>
          <w:tcPr>
            <w:tcW w:w="4800" w:type="dxa"/>
            <w:vAlign w:val="bottom"/>
            <w:tcBorders>
              <w:top w:val="single" w:sz="8" w:color="D5EEEE"/>
              <w:bottom w:val="single" w:sz="8" w:color="D5EEEE"/>
            </w:tcBorders>
            <w:shd w:val="clear" w:color="auto" w:fill="D5EEEE"/>
          </w:tcPr>
          <w:p>
            <w:pPr>
              <w:ind w:left="100"/>
              <w:spacing w:after="0" w:line="225" w:lineRule="exact"/>
              <w:rPr>
                <w:sz w:val="20"/>
                <w:szCs w:val="20"/>
                <w:color w:val="auto"/>
              </w:rPr>
            </w:pPr>
            <w:r>
              <w:rPr>
                <w:rFonts w:ascii="Times New Roman" w:cs="Times New Roman" w:eastAsia="Times New Roman" w:hAnsi="Times New Roman"/>
                <w:sz w:val="20"/>
                <w:szCs w:val="20"/>
                <w:color w:val="auto"/>
              </w:rPr>
              <w:t>Deferred tax liabilities</w:t>
            </w:r>
          </w:p>
        </w:tc>
        <w:tc>
          <w:tcPr>
            <w:tcW w:w="1540" w:type="dxa"/>
            <w:vAlign w:val="bottom"/>
            <w:tcBorders>
              <w:top w:val="single" w:sz="8" w:color="auto"/>
              <w:bottom w:val="single" w:sz="8" w:color="auto"/>
            </w:tcBorders>
            <w:shd w:val="clear" w:color="auto" w:fill="D5EEEE"/>
          </w:tcPr>
          <w:p>
            <w:pPr>
              <w:spacing w:after="0"/>
              <w:rPr>
                <w:sz w:val="19"/>
                <w:szCs w:val="19"/>
                <w:color w:val="auto"/>
              </w:rPr>
            </w:pPr>
          </w:p>
        </w:tc>
        <w:tc>
          <w:tcPr>
            <w:tcW w:w="80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(183)</w:t>
            </w:r>
          </w:p>
        </w:tc>
        <w:tc>
          <w:tcPr>
            <w:tcW w:w="340" w:type="dxa"/>
            <w:vAlign w:val="bottom"/>
            <w:tcBorders>
              <w:top w:val="single" w:sz="8" w:color="D5EEEE"/>
              <w:bottom w:val="single" w:sz="8" w:color="D5EEEE"/>
            </w:tcBorders>
            <w:shd w:val="clear" w:color="auto" w:fill="D5EEEE"/>
          </w:tcPr>
          <w:p>
            <w:pPr>
              <w:spacing w:after="0"/>
              <w:rPr>
                <w:sz w:val="19"/>
                <w:szCs w:val="19"/>
                <w:color w:val="auto"/>
              </w:rPr>
            </w:pPr>
          </w:p>
        </w:tc>
        <w:tc>
          <w:tcPr>
            <w:tcW w:w="660" w:type="dxa"/>
            <w:vAlign w:val="bottom"/>
            <w:tcBorders>
              <w:top w:val="single" w:sz="8" w:color="auto"/>
              <w:bottom w:val="single" w:sz="8" w:color="auto"/>
            </w:tcBorders>
            <w:shd w:val="clear" w:color="auto" w:fill="D5EEEE"/>
          </w:tcPr>
          <w:p>
            <w:pPr>
              <w:spacing w:after="0"/>
              <w:rPr>
                <w:sz w:val="19"/>
                <w:szCs w:val="19"/>
                <w:color w:val="auto"/>
              </w:rPr>
            </w:pPr>
          </w:p>
        </w:tc>
        <w:tc>
          <w:tcPr>
            <w:tcW w:w="170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(351)</w:t>
            </w:r>
          </w:p>
        </w:tc>
        <w:tc>
          <w:tcPr>
            <w:tcW w:w="20" w:type="dxa"/>
            <w:vAlign w:val="bottom"/>
            <w:tcBorders>
              <w:top w:val="single" w:sz="8" w:color="D5EEEE"/>
              <w:bottom w:val="single" w:sz="8" w:color="D5EEEE"/>
            </w:tcBorders>
            <w:shd w:val="clear" w:color="auto" w:fill="D5EEEE"/>
          </w:tcPr>
          <w:p>
            <w:pPr>
              <w:spacing w:after="0"/>
              <w:rPr>
                <w:sz w:val="19"/>
                <w:szCs w:val="19"/>
                <w:color w:val="auto"/>
              </w:rPr>
            </w:pPr>
          </w:p>
        </w:tc>
        <w:tc>
          <w:tcPr>
            <w:tcW w:w="60" w:type="dxa"/>
            <w:vAlign w:val="bottom"/>
            <w:tcBorders>
              <w:top w:val="single" w:sz="8" w:color="D5EEEE"/>
              <w:bottom w:val="single" w:sz="8" w:color="D5EEEE"/>
            </w:tcBorders>
            <w:shd w:val="clear" w:color="auto" w:fill="D5EEEE"/>
          </w:tcPr>
          <w:p>
            <w:pPr>
              <w:spacing w:after="0"/>
              <w:rPr>
                <w:sz w:val="19"/>
                <w:szCs w:val="19"/>
                <w:color w:val="auto"/>
              </w:rPr>
            </w:pPr>
          </w:p>
        </w:tc>
      </w:tr>
      <w:tr>
        <w:trPr>
          <w:trHeight w:val="455"/>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54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(93,686)</w:t>
            </w:r>
          </w:p>
        </w:tc>
        <w:tc>
          <w:tcPr>
            <w:tcW w:w="660" w:type="dxa"/>
            <w:vAlign w:val="bottom"/>
          </w:tcPr>
          <w:p>
            <w:pPr>
              <w:spacing w:after="0"/>
              <w:rPr>
                <w:sz w:val="24"/>
                <w:szCs w:val="24"/>
                <w:color w:val="auto"/>
              </w:rPr>
            </w:pP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(82,449)</w:t>
            </w:r>
          </w:p>
        </w:tc>
      </w:tr>
      <w:tr>
        <w:trPr>
          <w:trHeight w:val="245"/>
        </w:trPr>
        <w:tc>
          <w:tcPr>
            <w:tcW w:w="4800" w:type="dxa"/>
            <w:vAlign w:val="bottom"/>
            <w:tcBorders>
              <w:top w:val="single" w:sz="8" w:color="D5EEEE"/>
              <w:bottom w:val="single" w:sz="8" w:color="D5EEEE"/>
            </w:tcBorders>
            <w:shd w:val="clear" w:color="auto" w:fill="D5EEEE"/>
          </w:tcPr>
          <w:p>
            <w:pPr>
              <w:ind w:left="100"/>
              <w:spacing w:after="0" w:line="225" w:lineRule="exact"/>
              <w:rPr>
                <w:sz w:val="20"/>
                <w:szCs w:val="20"/>
                <w:color w:val="auto"/>
              </w:rPr>
            </w:pPr>
            <w:r>
              <w:rPr>
                <w:rFonts w:ascii="Times New Roman" w:cs="Times New Roman" w:eastAsia="Times New Roman" w:hAnsi="Times New Roman"/>
                <w:sz w:val="20"/>
                <w:szCs w:val="20"/>
                <w:color w:val="auto"/>
              </w:rPr>
              <w:t>Net deferred tax asset</w:t>
            </w:r>
          </w:p>
        </w:tc>
        <w:tc>
          <w:tcPr>
            <w:tcW w:w="1540" w:type="dxa"/>
            <w:vAlign w:val="bottom"/>
            <w:tcBorders>
              <w:top w:val="single" w:sz="8" w:color="auto"/>
              <w:bottom w:val="single" w:sz="8" w:color="auto"/>
            </w:tcBorders>
            <w:shd w:val="clear" w:color="auto" w:fill="D5EEEE"/>
          </w:tcPr>
          <w:p>
            <w:pPr>
              <w:jc w:val="right"/>
              <w:ind w:right="1347"/>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340" w:type="dxa"/>
            <w:vAlign w:val="bottom"/>
            <w:tcBorders>
              <w:top w:val="single" w:sz="8" w:color="D5EEEE"/>
              <w:bottom w:val="single" w:sz="8" w:color="D5EEEE"/>
            </w:tcBorders>
            <w:shd w:val="clear" w:color="auto" w:fill="D5EEEE"/>
          </w:tcPr>
          <w:p>
            <w:pPr>
              <w:spacing w:after="0"/>
              <w:rPr>
                <w:sz w:val="21"/>
                <w:szCs w:val="21"/>
                <w:color w:val="auto"/>
              </w:rPr>
            </w:pPr>
          </w:p>
        </w:tc>
        <w:tc>
          <w:tcPr>
            <w:tcW w:w="660" w:type="dxa"/>
            <w:vAlign w:val="bottom"/>
            <w:tcBorders>
              <w:top w:val="single" w:sz="8" w:color="auto"/>
              <w:bottom w:val="single" w:sz="8" w:color="auto"/>
            </w:tcBorders>
            <w:shd w:val="clear" w:color="auto" w:fill="D5EEEE"/>
          </w:tcPr>
          <w:p>
            <w:pPr>
              <w:jc w:val="right"/>
              <w:ind w:right="46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700" w:type="dxa"/>
            <w:vAlign w:val="bottom"/>
            <w:tcBorders>
              <w:top w:val="single" w:sz="8" w:color="auto"/>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D5EEEE"/>
              <w:bottom w:val="single" w:sz="8" w:color="D5EEEE"/>
            </w:tcBorders>
            <w:shd w:val="clear" w:color="auto" w:fill="D5EEEE"/>
          </w:tcPr>
          <w:p>
            <w:pPr>
              <w:spacing w:after="0"/>
              <w:rPr>
                <w:sz w:val="21"/>
                <w:szCs w:val="21"/>
                <w:color w:val="auto"/>
              </w:rPr>
            </w:pPr>
          </w:p>
        </w:tc>
        <w:tc>
          <w:tcPr>
            <w:tcW w:w="60" w:type="dxa"/>
            <w:vAlign w:val="bottom"/>
            <w:tcBorders>
              <w:top w:val="single" w:sz="8" w:color="D5EEEE"/>
              <w:bottom w:val="single" w:sz="8" w:color="D5EEEE"/>
            </w:tcBorders>
            <w:shd w:val="clear" w:color="auto" w:fill="D5EEEE"/>
          </w:tcPr>
          <w:p>
            <w:pPr>
              <w:spacing w:after="0"/>
              <w:rPr>
                <w:sz w:val="21"/>
                <w:szCs w:val="21"/>
                <w:color w:val="auto"/>
              </w:rPr>
            </w:pPr>
          </w:p>
        </w:tc>
      </w:tr>
      <w:tr>
        <w:trPr>
          <w:trHeight w:val="20"/>
        </w:trPr>
        <w:tc>
          <w:tcPr>
            <w:tcW w:w="48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28"/>
          </w:cols>
          <w:pgMar w:left="1152" w:top="1128" w:right="11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928"/>
          </w:cols>
          <w:pgMar w:left="1152" w:top="1128" w:right="1160" w:bottom="186" w:gutter="0" w:footer="0" w:header="0"/>
          <w:type w:val="continuous"/>
        </w:sectPr>
      </w:pPr>
    </w:p>
    <w:bookmarkStart w:id="123" w:name="page124"/>
    <w:bookmarkEnd w:id="123"/>
    <w:p>
      <w:pPr>
        <w:ind w:firstLine="490"/>
        <w:spacing w:after="0" w:line="243" w:lineRule="auto"/>
        <w:rPr>
          <w:sz w:val="20"/>
          <w:szCs w:val="20"/>
          <w:color w:val="auto"/>
        </w:rPr>
      </w:pPr>
      <w:r>
        <w:rPr>
          <w:rFonts w:ascii="Times New Roman" w:cs="Times New Roman" w:eastAsia="Times New Roman" w:hAnsi="Times New Roman"/>
          <w:sz w:val="20"/>
          <w:szCs w:val="20"/>
          <w:color w:val="auto"/>
        </w:rPr>
        <w:t>For the years ended December 31, 2025 and 2024, the Company generated federal and state net operating losses (“NOLs”) of approximately $38.5 million and $13.1 million, respectively. At December 31, 2025 and 2024, the federal and state net operating loss balances were approximately $238.3 million and $199.8 million, respectively. The federal operating losses generated prior to 2018 will expire in years 2031 through 2037, unless previously utilized. The federal operating losses generated in 2018 or later can be carried forward indefinitely, however will only offset 80% of taxable income in a carryforward year. The state operating losses generated will expire in years 2031 through 2044, unless previously utilized. The Company also generated federal R&amp;D tax credits for the years ended December 31, 2025 and 2024 of approximately $1.2 million and $1.1 million, respectively. At December 31, 2025 and 2024, the federal R&amp;D tax credit carryforwards were approximately $8.5 million and $7.3 million, respectively. These credits will expire in years 2032 through 2055, unless previously utilized. The Company completed a detailed Section 382 analysis, and due to multiple historical ownership changes, the Company’s NOLs as of December 31, 2022, in the amount of $178.4 million and R&amp;D tax credits in the amount of $5.4 million are subject to limitation. If a further ownership change occurs, the Company’s ability to use its tax attributes might be further limited.</w:t>
      </w:r>
    </w:p>
    <w:p>
      <w:pPr>
        <w:spacing w:after="0" w:line="83"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The Company also generated state research tax credits for the years ended December 31, 2025 and 2024 of approximately $372 and $296, respectively. At December 31, 2025 and 2024, the state R&amp;D tax credit carryforwards were approximately $351 and $244, respectively. The Company applied to exchange a portion of these credits for cash under a state-run program. These amounts, $64 and $30 for the years ended December 31, 2025 and 2024, respectively, were recognized as current income tax benefits in the Company’s Consolidated Statements of Comprehensive Loss. At each of December 31, 2025 and 2024, the Company’s Consolidated Balance Sheets reflect income tax receivables of $72 and $130 respectively, related to these credits. Because of the net operating loss and research credit carryforwards, tax years 2011 through 2024 remain open to U.S. federal and state tax examinations.</w:t>
      </w:r>
    </w:p>
    <w:p>
      <w:pPr>
        <w:spacing w:after="0" w:line="192" w:lineRule="exact"/>
        <w:rPr>
          <w:sz w:val="20"/>
          <w:szCs w:val="20"/>
          <w:color w:val="auto"/>
        </w:rPr>
      </w:pPr>
    </w:p>
    <w:p>
      <w:pPr>
        <w:ind w:right="340" w:firstLine="720"/>
        <w:spacing w:after="0" w:line="252" w:lineRule="auto"/>
        <w:rPr>
          <w:sz w:val="20"/>
          <w:szCs w:val="20"/>
          <w:color w:val="auto"/>
        </w:rPr>
      </w:pPr>
      <w:r>
        <w:rPr>
          <w:rFonts w:ascii="Times New Roman" w:cs="Times New Roman" w:eastAsia="Times New Roman" w:hAnsi="Times New Roman"/>
          <w:sz w:val="20"/>
          <w:szCs w:val="20"/>
          <w:color w:val="auto"/>
        </w:rPr>
        <w:t>On July 4, 2025, the One Big Beautiful Bill Act (“OBBBA”) was enacted in the U.S. The OBBBA includes significant provisions, such as the permanent extension of certain expiring provisions of the Tax Cuts and Jobs Act and restoration of favorable tax treatment for certain business provisions including the expensing of domestic research and development expenditures. The OBBBA did not have a material impact on our Consolidated Financial Statements.</w:t>
      </w:r>
    </w:p>
    <w:p>
      <w:pPr>
        <w:spacing w:after="0" w:line="184" w:lineRule="exact"/>
        <w:rPr>
          <w:sz w:val="20"/>
          <w:szCs w:val="20"/>
          <w:color w:val="auto"/>
        </w:rPr>
      </w:pPr>
    </w:p>
    <w:p>
      <w:pPr>
        <w:ind w:right="100" w:firstLine="720"/>
        <w:spacing w:after="0" w:line="244" w:lineRule="auto"/>
        <w:rPr>
          <w:sz w:val="20"/>
          <w:szCs w:val="20"/>
          <w:color w:val="auto"/>
        </w:rPr>
      </w:pPr>
      <w:r>
        <w:rPr>
          <w:rFonts w:ascii="Times New Roman" w:cs="Times New Roman" w:eastAsia="Times New Roman" w:hAnsi="Times New Roman"/>
          <w:sz w:val="20"/>
          <w:szCs w:val="20"/>
          <w:color w:val="auto"/>
        </w:rPr>
        <w:t>Income taxes are provided using the asset/liability method, in which deferred taxes are recognized for the tax consequences of temporary differences between the financial statement carrying amounts and tax bases of existing assets and liabilities. The Company reviews deferred tax assets for recoverability on a regular basis. In assessing the need for a valuation allowance, the Company considers both positive and negative evidence related to the likelihood of realization of the deferred tax assets. The weight given to the positive and negative evidence is commensurate with the extent to which the evidence may be objectively verified. Accounting guidance states that a cumulative loss in recent years is a significant piece of negative evidence that is difficult to overcome in determining that a valuation allowance is not needed against deferred tax assets. As such, it is generally difficult for positive evidence regarding projected future taxable income exclusive of reversing taxable temporary differences to outweigh objective negative evidence of recent financial reporting losses.</w:t>
      </w:r>
    </w:p>
    <w:p>
      <w:pPr>
        <w:spacing w:after="0" w:line="82"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The Company determined that operating losses it incurred since its inception on March 17, 2011, represented negative evidence sufficient to conclude a valuation allowance was necessary. As such, the Company has recorded a valuation allowance of $93.7 million and $82.4 million at December 31, 2025 and 2024, respectively, as a reserve against its net deferred tax assets. These balances reflect increases in the valuation allowance of $11.2 million and $12.9 million in 2025 and 2024, respectively, both representing an increase in net deferred tax assets.</w:t>
      </w:r>
    </w:p>
    <w:p>
      <w:pPr>
        <w:spacing w:after="0" w:line="77"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The Company applies the provisions of ASC 740, which prescribes a comprehensive model for how a company should recognize, measure, present, and disclose in its financial statements uncertain tax positions that the Company has taken or expects to take on a tax return. The financial statements reflect expected future tax consequences of such positions presuming the taxing authorities possess full knowledge of the position and all relevant facts. As a result of the implementation of ASC 740, the Company recognized no adjustment for unrecognized income tax benefits. The Company has not, as of yet, conducted a study of R&amp;D tax credit carryforwards. Such a study could result in an adjustment to the Company’s R&amp;D tax credit carryforwards; however, until a study is completed and any potential adjustment is known, no amounts are being presented as an uncertain tax position. A full valuation allowance has been provided against the Company’s R&amp;D tax credits and, if an adjustment is required in the future, this adjustment would be offset by a corresponding adjustment to the valuation allowance. For the years ended December 31, 2025 and 2024, the Company had no unrecognized tax benefits or related interest and penalties accrued. In the event the Company determines that accrual of interest or penalties are necessary in the future, the amount will be presented as a component of interest expense.</w:t>
      </w:r>
    </w:p>
    <w:p>
      <w:pPr>
        <w:sectPr>
          <w:pgSz w:w="12240" w:h="15840" w:orient="portrait"/>
          <w:cols w:equalWidth="0" w:num="1">
            <w:col w:w="9880"/>
          </w:cols>
          <w:pgMar w:left="1160" w:top="1132" w:right="120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880"/>
          </w:cols>
          <w:pgMar w:left="1160" w:top="1132" w:right="1200" w:bottom="186" w:gutter="0" w:footer="0" w:header="0"/>
          <w:type w:val="continuous"/>
        </w:sectPr>
      </w:pPr>
    </w:p>
    <w:bookmarkStart w:id="124" w:name="page125"/>
    <w:bookmarkEnd w:id="124"/>
    <w:p>
      <w:pPr>
        <w:ind w:left="488" w:hanging="488"/>
        <w:spacing w:after="0"/>
        <w:tabs>
          <w:tab w:leader="none" w:pos="488"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Net Loss per Share</w:t>
      </w:r>
    </w:p>
    <w:p>
      <w:pPr>
        <w:spacing w:after="0" w:line="124" w:lineRule="exact"/>
        <w:rPr>
          <w:sz w:val="20"/>
          <w:szCs w:val="20"/>
          <w:color w:val="auto"/>
        </w:rPr>
      </w:pPr>
    </w:p>
    <w:p>
      <w:pPr>
        <w:ind w:left="8" w:right="540" w:firstLine="490"/>
        <w:spacing w:after="0" w:line="277" w:lineRule="auto"/>
        <w:rPr>
          <w:sz w:val="20"/>
          <w:szCs w:val="20"/>
          <w:color w:val="auto"/>
        </w:rPr>
      </w:pPr>
      <w:r>
        <w:rPr>
          <w:rFonts w:ascii="Times New Roman" w:cs="Times New Roman" w:eastAsia="Times New Roman" w:hAnsi="Times New Roman"/>
          <w:sz w:val="20"/>
          <w:szCs w:val="20"/>
          <w:color w:val="auto"/>
        </w:rPr>
        <w:t>The following table summarizes the computation of basic and diluted net loss per share attributable to common stockholders of the Company:</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0" w:type="dxa"/>
            <w:vAlign w:val="bottom"/>
            <w:gridSpan w:val="5"/>
          </w:tcPr>
          <w:p>
            <w:pPr>
              <w:ind w:left="5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9"/>
        </w:trPr>
        <w:tc>
          <w:tcPr>
            <w:tcW w:w="5940" w:type="dxa"/>
            <w:vAlign w:val="bottom"/>
            <w:tcBorders>
              <w:bottom w:val="single" w:sz="8" w:color="D5EEEE"/>
            </w:tcBorders>
          </w:tcPr>
          <w:p>
            <w:pPr>
              <w:spacing w:after="0"/>
              <w:rPr>
                <w:sz w:val="15"/>
                <w:szCs w:val="15"/>
                <w:color w:val="auto"/>
              </w:rPr>
            </w:pPr>
          </w:p>
        </w:tc>
        <w:tc>
          <w:tcPr>
            <w:tcW w:w="180" w:type="dxa"/>
            <w:vAlign w:val="bottom"/>
            <w:tcBorders>
              <w:bottom w:val="single" w:sz="8" w:color="D5EEEE"/>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08"/>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bottom w:val="single" w:sz="8" w:color="D5EEEE"/>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05"/>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D5EEEE"/>
            </w:tcBorders>
          </w:tcPr>
          <w:p>
            <w:pPr>
              <w:spacing w:after="0"/>
              <w:rPr>
                <w:sz w:val="15"/>
                <w:szCs w:val="15"/>
                <w:color w:val="auto"/>
              </w:rPr>
            </w:pPr>
          </w:p>
        </w:tc>
      </w:tr>
      <w:tr>
        <w:trPr>
          <w:trHeight w:val="225"/>
        </w:trPr>
        <w:tc>
          <w:tcPr>
            <w:tcW w:w="594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Net loss</w:t>
            </w:r>
          </w:p>
        </w:tc>
        <w:tc>
          <w:tcPr>
            <w:tcW w:w="180" w:type="dxa"/>
            <w:vAlign w:val="bottom"/>
            <w:shd w:val="clear" w:color="auto" w:fill="D5EEEE"/>
          </w:tcPr>
          <w:p>
            <w:pPr>
              <w:spacing w:after="0"/>
              <w:rPr>
                <w:sz w:val="19"/>
                <w:szCs w:val="19"/>
                <w:color w:val="auto"/>
              </w:rPr>
            </w:pPr>
          </w:p>
        </w:tc>
        <w:tc>
          <w:tcPr>
            <w:tcW w:w="400" w:type="dxa"/>
            <w:vAlign w:val="bottom"/>
            <w:shd w:val="clear" w:color="auto" w:fill="D5EEEE"/>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(42,759)</w:t>
            </w:r>
          </w:p>
        </w:tc>
        <w:tc>
          <w:tcPr>
            <w:tcW w:w="260" w:type="dxa"/>
            <w:vAlign w:val="bottom"/>
            <w:shd w:val="clear" w:color="auto" w:fill="D5EEEE"/>
          </w:tcPr>
          <w:p>
            <w:pPr>
              <w:spacing w:after="0"/>
              <w:rPr>
                <w:sz w:val="19"/>
                <w:szCs w:val="19"/>
                <w:color w:val="auto"/>
              </w:rPr>
            </w:pPr>
          </w:p>
        </w:tc>
        <w:tc>
          <w:tcPr>
            <w:tcW w:w="420" w:type="dxa"/>
            <w:vAlign w:val="bottom"/>
            <w:shd w:val="clear" w:color="auto" w:fill="D5EEEE"/>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(47,911)</w:t>
            </w:r>
          </w:p>
        </w:tc>
        <w:tc>
          <w:tcPr>
            <w:tcW w:w="80" w:type="dxa"/>
            <w:vAlign w:val="bottom"/>
            <w:shd w:val="clear" w:color="auto" w:fill="D5EEEE"/>
          </w:tcPr>
          <w:p>
            <w:pPr>
              <w:spacing w:after="0"/>
              <w:rPr>
                <w:sz w:val="19"/>
                <w:szCs w:val="19"/>
                <w:color w:val="auto"/>
              </w:rPr>
            </w:pPr>
          </w:p>
        </w:tc>
      </w:tr>
      <w:tr>
        <w:trPr>
          <w:trHeight w:val="211"/>
        </w:trPr>
        <w:tc>
          <w:tcPr>
            <w:tcW w:w="594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Weighted average common shares used in net loss per share attributable</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94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to common stockholders, basic and diluted</w:t>
            </w:r>
          </w:p>
        </w:tc>
        <w:tc>
          <w:tcPr>
            <w:tcW w:w="180" w:type="dxa"/>
            <w:vAlign w:val="bottom"/>
            <w:tcBorders>
              <w:bottom w:val="single" w:sz="8" w:color="D5EEEE"/>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134,747,198</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101,971,873</w:t>
            </w:r>
          </w:p>
        </w:tc>
        <w:tc>
          <w:tcPr>
            <w:tcW w:w="80" w:type="dxa"/>
            <w:vAlign w:val="bottom"/>
            <w:tcBorders>
              <w:bottom w:val="single" w:sz="8" w:color="D5EEEE"/>
            </w:tcBorders>
          </w:tcPr>
          <w:p>
            <w:pPr>
              <w:spacing w:after="0"/>
              <w:rPr>
                <w:sz w:val="21"/>
                <w:szCs w:val="21"/>
                <w:color w:val="auto"/>
              </w:rPr>
            </w:pPr>
          </w:p>
        </w:tc>
      </w:tr>
      <w:tr>
        <w:trPr>
          <w:trHeight w:val="225"/>
        </w:trPr>
        <w:tc>
          <w:tcPr>
            <w:tcW w:w="594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Basic and diluted net loss per common share outstanding</w:t>
            </w:r>
          </w:p>
        </w:tc>
        <w:tc>
          <w:tcPr>
            <w:tcW w:w="180" w:type="dxa"/>
            <w:vAlign w:val="bottom"/>
            <w:shd w:val="clear" w:color="auto" w:fill="D5EEEE"/>
          </w:tcPr>
          <w:p>
            <w:pPr>
              <w:spacing w:after="0"/>
              <w:rPr>
                <w:sz w:val="19"/>
                <w:szCs w:val="19"/>
                <w:color w:val="auto"/>
              </w:rPr>
            </w:pPr>
          </w:p>
        </w:tc>
        <w:tc>
          <w:tcPr>
            <w:tcW w:w="400" w:type="dxa"/>
            <w:vAlign w:val="bottom"/>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580" w:type="dxa"/>
            <w:vAlign w:val="bottom"/>
            <w:gridSpan w:val="2"/>
          </w:tcPr>
          <w:p>
            <w:pPr>
              <w:jc w:val="right"/>
              <w:ind w:right="200"/>
              <w:spacing w:after="0" w:line="225" w:lineRule="exact"/>
              <w:rPr>
                <w:sz w:val="20"/>
                <w:szCs w:val="20"/>
                <w:color w:val="auto"/>
              </w:rPr>
            </w:pPr>
            <w:r>
              <w:rPr>
                <w:rFonts w:ascii="Times New Roman" w:cs="Times New Roman" w:eastAsia="Times New Roman" w:hAnsi="Times New Roman"/>
                <w:sz w:val="20"/>
                <w:szCs w:val="20"/>
                <w:color w:val="auto"/>
              </w:rPr>
              <w:t>(0.32)</w:t>
            </w:r>
          </w:p>
        </w:tc>
        <w:tc>
          <w:tcPr>
            <w:tcW w:w="420" w:type="dxa"/>
            <w:vAlign w:val="bottom"/>
            <w:shd w:val="clear" w:color="auto" w:fill="D5EEEE"/>
          </w:tcPr>
          <w:p>
            <w:pPr>
              <w:jc w:val="right"/>
              <w:ind w:right="2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(0.47)</w:t>
            </w:r>
          </w:p>
        </w:tc>
        <w:tc>
          <w:tcPr>
            <w:tcW w:w="80" w:type="dxa"/>
            <w:vAlign w:val="bottom"/>
            <w:shd w:val="clear" w:color="auto" w:fill="D5EEEE"/>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3888105</wp:posOffset>
                </wp:positionH>
                <wp:positionV relativeFrom="paragraph">
                  <wp:posOffset>-174625</wp:posOffset>
                </wp:positionV>
                <wp:extent cx="1092200" cy="14605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2200" cy="146050"/>
                        </a:xfrm>
                        <a:prstGeom prst="rect">
                          <a:avLst/>
                        </a:prstGeom>
                        <a:solidFill>
                          <a:srgbClr val="D5EEEE"/>
                        </a:solidFill>
                      </wps:spPr>
                      <wps:bodyPr/>
                    </wps:wsp>
                  </a:graphicData>
                </a:graphic>
              </wp:anchor>
            </w:drawing>
          </mc:Choice>
          <mc:Fallback>
            <w:pict>
              <v:rect id="Shape 30" o:spid="_x0000_s1055" style="position:absolute;margin-left:306.15pt;margin-top:-13.7499pt;width:86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mc:AlternateContent>
          <mc:Choice Requires="wps">
            <w:drawing>
              <wp:anchor simplePos="0" relativeHeight="251657728" behindDoc="1" locked="0" layoutInCell="0" allowOverlap="1">
                <wp:simplePos x="0" y="0"/>
                <wp:positionH relativeFrom="column">
                  <wp:posOffset>4980940</wp:posOffset>
                </wp:positionH>
                <wp:positionV relativeFrom="paragraph">
                  <wp:posOffset>-183515</wp:posOffset>
                </wp:positionV>
                <wp:extent cx="173355" cy="15557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355" cy="155575"/>
                        </a:xfrm>
                        <a:prstGeom prst="rect">
                          <a:avLst/>
                        </a:prstGeom>
                        <a:solidFill>
                          <a:srgbClr val="D5EEEE"/>
                        </a:solidFill>
                      </wps:spPr>
                      <wps:bodyPr/>
                    </wps:wsp>
                  </a:graphicData>
                </a:graphic>
              </wp:anchor>
            </w:drawing>
          </mc:Choice>
          <mc:Fallback>
            <w:pict>
              <v:rect id="Shape 31" o:spid="_x0000_s1056" style="position:absolute;margin-left:392.2pt;margin-top:-14.4499pt;width:13.6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5EEEE" stroked="f"/>
            </w:pict>
          </mc:Fallback>
        </mc:AlternateContent>
      </w:r>
    </w:p>
    <w:p>
      <w:pPr>
        <w:spacing w:after="0" w:line="237" w:lineRule="exact"/>
        <w:rPr>
          <w:sz w:val="20"/>
          <w:szCs w:val="20"/>
          <w:color w:val="auto"/>
        </w:rPr>
      </w:pPr>
    </w:p>
    <w:p>
      <w:pPr>
        <w:ind w:left="8" w:firstLine="490"/>
        <w:spacing w:after="0" w:line="247" w:lineRule="auto"/>
        <w:rPr>
          <w:sz w:val="20"/>
          <w:szCs w:val="20"/>
          <w:color w:val="auto"/>
        </w:rPr>
      </w:pPr>
      <w:r>
        <w:rPr>
          <w:rFonts w:ascii="Times New Roman" w:cs="Times New Roman" w:eastAsia="Times New Roman" w:hAnsi="Times New Roman"/>
          <w:sz w:val="20"/>
          <w:szCs w:val="20"/>
          <w:color w:val="auto"/>
        </w:rPr>
        <w:t>Basic shares outstanding includes the weighted average effect of the Company’s pre-funded warrants from the date of issuance, the exercise of which requires little or no consideration for the delivery of shares of common stock. As of December 31, 2025 and 2024, the Company had pre-funded warrants to purchase 17,248,948 and 23,211,642 shares of common stock outstanding, respectively, which were issued in the April 2022 Private Placement and the September 2022 Offering, which warrants are included in the weighted average common shares used in calculating the net loss per share attributable to common stockholders, basic and diluted, for the years ended December 31, 2025 and 2024.</w:t>
      </w:r>
    </w:p>
    <w:p>
      <w:pPr>
        <w:spacing w:after="0" w:line="80"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color w:val="auto"/>
        </w:rPr>
        <w:t>The Company’s potential dilutive securities, which include stock options and warrants that are not pre-funded, have</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been excluded from the computation of diluted net loss per share attributable to common stockholders whenever the effect</w:t>
      </w:r>
    </w:p>
    <w:p>
      <w:pPr>
        <w:ind w:left="8"/>
        <w:spacing w:after="0"/>
        <w:rPr>
          <w:sz w:val="20"/>
          <w:szCs w:val="20"/>
          <w:color w:val="auto"/>
        </w:rPr>
      </w:pPr>
      <w:r>
        <w:rPr>
          <w:rFonts w:ascii="Times New Roman" w:cs="Times New Roman" w:eastAsia="Times New Roman" w:hAnsi="Times New Roman"/>
          <w:sz w:val="20"/>
          <w:szCs w:val="20"/>
          <w:color w:val="auto"/>
        </w:rPr>
        <w:t>of including them would be to reduce the net loss per share. In periods where there is a net loss, the weighted average</w:t>
      </w:r>
    </w:p>
    <w:p>
      <w:pPr>
        <w:ind w:left="8"/>
        <w:spacing w:after="0"/>
        <w:rPr>
          <w:sz w:val="20"/>
          <w:szCs w:val="20"/>
          <w:color w:val="auto"/>
        </w:rPr>
      </w:pPr>
      <w:r>
        <w:rPr>
          <w:rFonts w:ascii="Times New Roman" w:cs="Times New Roman" w:eastAsia="Times New Roman" w:hAnsi="Times New Roman"/>
          <w:sz w:val="20"/>
          <w:szCs w:val="20"/>
          <w:color w:val="auto"/>
        </w:rPr>
        <w:t>number of common shares outstanding used to calculate both basic and diluted net loss per share attributable to common</w:t>
      </w:r>
    </w:p>
    <w:p>
      <w:pPr>
        <w:ind w:left="8"/>
        <w:spacing w:after="0"/>
        <w:rPr>
          <w:sz w:val="20"/>
          <w:szCs w:val="20"/>
          <w:color w:val="auto"/>
        </w:rPr>
      </w:pPr>
      <w:r>
        <w:rPr>
          <w:rFonts w:ascii="Times New Roman" w:cs="Times New Roman" w:eastAsia="Times New Roman" w:hAnsi="Times New Roman"/>
          <w:sz w:val="20"/>
          <w:szCs w:val="20"/>
          <w:color w:val="auto"/>
        </w:rPr>
        <w:t>stockholders is the same. The following potential common shares, presented based on shares outstanding as of</w:t>
      </w:r>
    </w:p>
    <w:p>
      <w:pPr>
        <w:ind w:left="8"/>
        <w:spacing w:after="0"/>
        <w:rPr>
          <w:sz w:val="20"/>
          <w:szCs w:val="20"/>
          <w:color w:val="auto"/>
        </w:rPr>
      </w:pPr>
      <w:r>
        <w:rPr>
          <w:rFonts w:ascii="Times New Roman" w:cs="Times New Roman" w:eastAsia="Times New Roman" w:hAnsi="Times New Roman"/>
          <w:sz w:val="20"/>
          <w:szCs w:val="20"/>
          <w:color w:val="auto"/>
        </w:rPr>
        <w:t>December 31, 2025 and 2024, respectively, were excluded from the calculation of diluted net loss per share attributable to</w:t>
      </w:r>
    </w:p>
    <w:p>
      <w:pPr>
        <w:ind w:left="8"/>
        <w:spacing w:after="0"/>
        <w:rPr>
          <w:sz w:val="20"/>
          <w:szCs w:val="20"/>
          <w:color w:val="auto"/>
        </w:rPr>
      </w:pPr>
      <w:r>
        <w:rPr>
          <w:rFonts w:ascii="Times New Roman" w:cs="Times New Roman" w:eastAsia="Times New Roman" w:hAnsi="Times New Roman"/>
          <w:sz w:val="20"/>
          <w:szCs w:val="20"/>
          <w:color w:val="auto"/>
        </w:rPr>
        <w:t>common stockholders for the periods indicated because including them would have had an anti-dilutive effect:</w:t>
      </w:r>
    </w:p>
    <w:p>
      <w:pPr>
        <w:spacing w:after="0" w:line="92" w:lineRule="exact"/>
        <w:rPr>
          <w:sz w:val="20"/>
          <w:szCs w:val="20"/>
          <w:color w:val="auto"/>
        </w:rPr>
      </w:pPr>
    </w:p>
    <w:p>
      <w:pPr>
        <w:ind w:left="6648"/>
        <w:spacing w:after="0"/>
        <w:rPr>
          <w:sz w:val="20"/>
          <w:szCs w:val="20"/>
          <w:color w:val="auto"/>
        </w:rPr>
      </w:pPr>
      <w:r>
        <w:rPr>
          <w:rFonts w:ascii="Times New Roman" w:cs="Times New Roman" w:eastAsia="Times New Roman" w:hAnsi="Times New Roman"/>
          <w:sz w:val="16"/>
          <w:szCs w:val="16"/>
          <w:b w:val="1"/>
          <w:bCs w:val="1"/>
          <w:color w:val="auto"/>
        </w:rPr>
        <w:t>Shares as of December 31,</w:t>
      </w:r>
    </w:p>
    <w:p>
      <w:pPr>
        <w:spacing w:after="0" w:line="19" w:lineRule="exact"/>
        <w:rPr>
          <w:sz w:val="20"/>
          <w:szCs w:val="20"/>
          <w:color w:val="auto"/>
        </w:rPr>
      </w:pPr>
    </w:p>
    <w:tbl>
      <w:tblPr>
        <w:tblLayout w:type="fixed"/>
        <w:tblInd w:w="8" w:type="dxa"/>
        <w:tblCellMar>
          <w:top w:w="0" w:type="dxa"/>
          <w:left w:w="0" w:type="dxa"/>
          <w:bottom w:w="0" w:type="dxa"/>
          <w:right w:w="0" w:type="dxa"/>
        </w:tblCellMar>
      </w:tblPr>
      <w:tr>
        <w:trPr>
          <w:trHeight w:val="179"/>
        </w:trPr>
        <w:tc>
          <w:tcPr>
            <w:tcW w:w="5260" w:type="dxa"/>
            <w:vAlign w:val="bottom"/>
            <w:tcBorders>
              <w:bottom w:val="single" w:sz="8" w:color="D5EEEE"/>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c>
          <w:tcPr>
            <w:tcW w:w="9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D5EEEE"/>
            </w:tcBorders>
          </w:tcPr>
          <w:p>
            <w:pPr>
              <w:spacing w:after="0"/>
              <w:rPr>
                <w:sz w:val="15"/>
                <w:szCs w:val="15"/>
                <w:color w:val="auto"/>
              </w:rPr>
            </w:pPr>
          </w:p>
        </w:tc>
        <w:tc>
          <w:tcPr>
            <w:tcW w:w="2120" w:type="dxa"/>
            <w:vAlign w:val="bottom"/>
            <w:tcBorders>
              <w:top w:val="single" w:sz="8" w:color="auto"/>
              <w:bottom w:val="single" w:sz="8" w:color="auto"/>
            </w:tcBorders>
          </w:tcPr>
          <w:p>
            <w:pPr>
              <w:jc w:val="right"/>
              <w:ind w:right="805"/>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D5EEEE"/>
            </w:tcBorders>
          </w:tcPr>
          <w:p>
            <w:pPr>
              <w:spacing w:after="0"/>
              <w:rPr>
                <w:sz w:val="15"/>
                <w:szCs w:val="15"/>
                <w:color w:val="auto"/>
              </w:rPr>
            </w:pPr>
          </w:p>
        </w:tc>
      </w:tr>
      <w:tr>
        <w:trPr>
          <w:trHeight w:val="225"/>
        </w:trPr>
        <w:tc>
          <w:tcPr>
            <w:tcW w:w="5260" w:type="dxa"/>
            <w:vAlign w:val="bottom"/>
            <w:shd w:val="clear" w:color="auto" w:fill="D5EEEE"/>
          </w:tcPr>
          <w:p>
            <w:pPr>
              <w:spacing w:after="0" w:line="225" w:lineRule="exact"/>
              <w:rPr>
                <w:sz w:val="20"/>
                <w:szCs w:val="20"/>
                <w:color w:val="auto"/>
              </w:rPr>
            </w:pPr>
            <w:r>
              <w:rPr>
                <w:rFonts w:ascii="Times New Roman" w:cs="Times New Roman" w:eastAsia="Times New Roman" w:hAnsi="Times New Roman"/>
                <w:sz w:val="20"/>
                <w:szCs w:val="20"/>
                <w:color w:val="auto"/>
              </w:rPr>
              <w:t>Stock Options</w:t>
            </w:r>
          </w:p>
        </w:tc>
        <w:tc>
          <w:tcPr>
            <w:tcW w:w="1220" w:type="dxa"/>
            <w:vAlign w:val="bottom"/>
            <w:shd w:val="clear" w:color="auto" w:fill="D5EEEE"/>
          </w:tcPr>
          <w:p>
            <w:pPr>
              <w:spacing w:after="0"/>
              <w:rPr>
                <w:sz w:val="19"/>
                <w:szCs w:val="19"/>
                <w:color w:val="auto"/>
              </w:rPr>
            </w:pPr>
          </w:p>
        </w:tc>
        <w:tc>
          <w:tcPr>
            <w:tcW w:w="90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9,301,618</w:t>
            </w:r>
          </w:p>
        </w:tc>
        <w:tc>
          <w:tcPr>
            <w:tcW w:w="320" w:type="dxa"/>
            <w:vAlign w:val="bottom"/>
            <w:shd w:val="clear" w:color="auto" w:fill="D5EEEE"/>
          </w:tcPr>
          <w:p>
            <w:pPr>
              <w:spacing w:after="0"/>
              <w:rPr>
                <w:sz w:val="19"/>
                <w:szCs w:val="19"/>
                <w:color w:val="auto"/>
              </w:rPr>
            </w:pPr>
          </w:p>
        </w:tc>
        <w:tc>
          <w:tcPr>
            <w:tcW w:w="2120" w:type="dxa"/>
            <w:vAlign w:val="bottom"/>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5,312,300</w:t>
            </w:r>
          </w:p>
        </w:tc>
        <w:tc>
          <w:tcPr>
            <w:tcW w:w="100" w:type="dxa"/>
            <w:vAlign w:val="bottom"/>
            <w:shd w:val="clear" w:color="auto" w:fill="D5EEEE"/>
          </w:tcPr>
          <w:p>
            <w:pPr>
              <w:spacing w:after="0"/>
              <w:rPr>
                <w:sz w:val="19"/>
                <w:szCs w:val="19"/>
                <w:color w:val="auto"/>
              </w:rPr>
            </w:pPr>
          </w:p>
        </w:tc>
      </w:tr>
      <w:tr>
        <w:trPr>
          <w:trHeight w:val="230"/>
        </w:trPr>
        <w:tc>
          <w:tcPr>
            <w:tcW w:w="5260" w:type="dxa"/>
            <w:vAlign w:val="bottom"/>
            <w:tcBorders>
              <w:bottom w:val="single" w:sz="8" w:color="D5EEEE"/>
            </w:tcBorders>
          </w:tcPr>
          <w:p>
            <w:pPr>
              <w:spacing w:after="0"/>
              <w:rPr>
                <w:sz w:val="20"/>
                <w:szCs w:val="20"/>
                <w:color w:val="auto"/>
              </w:rPr>
            </w:pPr>
            <w:r>
              <w:rPr>
                <w:rFonts w:ascii="Times New Roman" w:cs="Times New Roman" w:eastAsia="Times New Roman" w:hAnsi="Times New Roman"/>
                <w:sz w:val="20"/>
                <w:szCs w:val="20"/>
                <w:color w:val="auto"/>
              </w:rPr>
              <w:t>Warrants</w:t>
            </w:r>
          </w:p>
        </w:tc>
        <w:tc>
          <w:tcPr>
            <w:tcW w:w="1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1,851,852</w:t>
            </w:r>
          </w:p>
        </w:tc>
        <w:tc>
          <w:tcPr>
            <w:tcW w:w="320" w:type="dxa"/>
            <w:vAlign w:val="bottom"/>
            <w:tcBorders>
              <w:bottom w:val="single" w:sz="8" w:color="D5EEEE"/>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9,703,704</w:t>
            </w:r>
          </w:p>
        </w:tc>
        <w:tc>
          <w:tcPr>
            <w:tcW w:w="100" w:type="dxa"/>
            <w:vAlign w:val="bottom"/>
            <w:tcBorders>
              <w:bottom w:val="single" w:sz="8" w:color="D5EEEE"/>
            </w:tcBorders>
          </w:tcPr>
          <w:p>
            <w:pPr>
              <w:spacing w:after="0"/>
              <w:rPr>
                <w:sz w:val="19"/>
                <w:szCs w:val="19"/>
                <w:color w:val="auto"/>
              </w:rPr>
            </w:pPr>
          </w:p>
        </w:tc>
      </w:tr>
      <w:tr>
        <w:trPr>
          <w:trHeight w:val="245"/>
        </w:trPr>
        <w:tc>
          <w:tcPr>
            <w:tcW w:w="5260" w:type="dxa"/>
            <w:vAlign w:val="bottom"/>
            <w:tcBorders>
              <w:bottom w:val="single" w:sz="8" w:color="D5EEEE"/>
            </w:tcBorders>
            <w:shd w:val="clear" w:color="auto" w:fill="D5EEEE"/>
          </w:tcPr>
          <w:p>
            <w:pPr>
              <w:ind w:left="100"/>
              <w:spacing w:after="0" w:line="225" w:lineRule="exact"/>
              <w:rPr>
                <w:sz w:val="20"/>
                <w:szCs w:val="20"/>
                <w:color w:val="auto"/>
              </w:rPr>
            </w:pPr>
            <w:r>
              <w:rPr>
                <w:rFonts w:ascii="Times New Roman" w:cs="Times New Roman" w:eastAsia="Times New Roman" w:hAnsi="Times New Roman"/>
                <w:sz w:val="20"/>
                <w:szCs w:val="20"/>
                <w:color w:val="auto"/>
              </w:rPr>
              <w:t>Total potential common shares</w:t>
            </w:r>
          </w:p>
        </w:tc>
        <w:tc>
          <w:tcPr>
            <w:tcW w:w="1220" w:type="dxa"/>
            <w:vAlign w:val="bottom"/>
            <w:tcBorders>
              <w:bottom w:val="single" w:sz="8" w:color="auto"/>
            </w:tcBorders>
            <w:shd w:val="clear" w:color="auto" w:fill="D5EEEE"/>
          </w:tcPr>
          <w:p>
            <w:pPr>
              <w:spacing w:after="0"/>
              <w:rPr>
                <w:sz w:val="21"/>
                <w:szCs w:val="21"/>
                <w:color w:val="auto"/>
              </w:rPr>
            </w:pPr>
          </w:p>
        </w:tc>
        <w:tc>
          <w:tcPr>
            <w:tcW w:w="90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w w:val="97"/>
              </w:rPr>
              <w:t>11,153,470</w:t>
            </w:r>
          </w:p>
        </w:tc>
        <w:tc>
          <w:tcPr>
            <w:tcW w:w="320" w:type="dxa"/>
            <w:vAlign w:val="bottom"/>
            <w:tcBorders>
              <w:bottom w:val="single" w:sz="8" w:color="D5EEEE"/>
            </w:tcBorders>
            <w:shd w:val="clear" w:color="auto" w:fill="D5EEEE"/>
          </w:tcPr>
          <w:p>
            <w:pPr>
              <w:spacing w:after="0"/>
              <w:rPr>
                <w:sz w:val="21"/>
                <w:szCs w:val="21"/>
                <w:color w:val="auto"/>
              </w:rPr>
            </w:pPr>
          </w:p>
        </w:tc>
        <w:tc>
          <w:tcPr>
            <w:tcW w:w="2120" w:type="dxa"/>
            <w:vAlign w:val="bottom"/>
            <w:tcBorders>
              <w:bottom w:val="single" w:sz="8" w:color="auto"/>
            </w:tcBorders>
            <w:shd w:val="clear" w:color="auto" w:fill="D5EEEE"/>
          </w:tcPr>
          <w:p>
            <w:pPr>
              <w:jc w:val="right"/>
              <w:spacing w:after="0" w:line="225" w:lineRule="exact"/>
              <w:rPr>
                <w:sz w:val="20"/>
                <w:szCs w:val="20"/>
                <w:color w:val="auto"/>
              </w:rPr>
            </w:pPr>
            <w:r>
              <w:rPr>
                <w:rFonts w:ascii="Times New Roman" w:cs="Times New Roman" w:eastAsia="Times New Roman" w:hAnsi="Times New Roman"/>
                <w:sz w:val="20"/>
                <w:szCs w:val="20"/>
                <w:color w:val="auto"/>
              </w:rPr>
              <w:t>15,016,004</w:t>
            </w:r>
          </w:p>
        </w:tc>
        <w:tc>
          <w:tcPr>
            <w:tcW w:w="100" w:type="dxa"/>
            <w:vAlign w:val="bottom"/>
            <w:tcBorders>
              <w:bottom w:val="single" w:sz="8" w:color="D5EEEE"/>
            </w:tcBorders>
            <w:shd w:val="clear" w:color="auto" w:fill="D5EEEE"/>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left="488" w:hanging="488"/>
        <w:spacing w:after="0"/>
        <w:tabs>
          <w:tab w:leader="none" w:pos="488"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Segments</w:t>
      </w:r>
    </w:p>
    <w:p>
      <w:pPr>
        <w:spacing w:after="0" w:line="124" w:lineRule="exact"/>
        <w:rPr>
          <w:sz w:val="20"/>
          <w:szCs w:val="20"/>
          <w:color w:val="auto"/>
        </w:rPr>
      </w:pPr>
    </w:p>
    <w:p>
      <w:pPr>
        <w:ind w:left="8" w:right="20" w:firstLine="490"/>
        <w:spacing w:after="0" w:line="247" w:lineRule="auto"/>
        <w:rPr>
          <w:sz w:val="20"/>
          <w:szCs w:val="20"/>
          <w:color w:val="auto"/>
        </w:rPr>
      </w:pPr>
      <w:r>
        <w:rPr>
          <w:rFonts w:ascii="Times New Roman" w:cs="Times New Roman" w:eastAsia="Times New Roman" w:hAnsi="Times New Roman"/>
          <w:sz w:val="20"/>
          <w:szCs w:val="20"/>
          <w:color w:val="auto"/>
        </w:rPr>
        <w:t>The Company operates and manages its business as one reportable segment, which is also the Company’s only operating segment. Such segment is the business of developing and commercializing the investigational therapy Haduvio (oral nalbuphine ER) for the treatment of chronic cough in patients with IPF, non-IPF ILD, and RCC. The Company’s chief operating decision maker (“CODM”) is the President and Chief Executive Officer. The CODM assesses performance for the segment and decides how to allocate resources based on consolidated net loss that is also reported on the Company’s consolidated statements of comprehensive loss.</w:t>
      </w:r>
    </w:p>
    <w:p>
      <w:pPr>
        <w:spacing w:after="0" w:line="80"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color w:val="auto"/>
        </w:rPr>
        <w:t>The measure of segment assets is reported on the consolidated balance sheets as total consolidated assets.</w:t>
      </w:r>
    </w:p>
    <w:p>
      <w:pPr>
        <w:spacing w:after="0" w:line="120" w:lineRule="exact"/>
        <w:rPr>
          <w:sz w:val="20"/>
          <w:szCs w:val="20"/>
          <w:color w:val="auto"/>
        </w:rPr>
      </w:pPr>
    </w:p>
    <w:p>
      <w:pPr>
        <w:ind w:left="8" w:right="340" w:firstLine="490"/>
        <w:spacing w:after="0" w:line="258" w:lineRule="auto"/>
        <w:rPr>
          <w:sz w:val="20"/>
          <w:szCs w:val="20"/>
          <w:color w:val="auto"/>
        </w:rPr>
      </w:pPr>
      <w:r>
        <w:rPr>
          <w:rFonts w:ascii="Times New Roman" w:cs="Times New Roman" w:eastAsia="Times New Roman" w:hAnsi="Times New Roman"/>
          <w:sz w:val="20"/>
          <w:szCs w:val="20"/>
          <w:color w:val="auto"/>
        </w:rPr>
        <w:t>The CODM uses consolidated net loss to evaluate the Company’s spend and monitor budget versus actual results. The monitoring of budgeted versus actual results is used in assessing performance of the segment and in establishing resource allocation across the organization.</w:t>
      </w:r>
    </w:p>
    <w:p>
      <w:pPr>
        <w:spacing w:after="0" w:line="68" w:lineRule="exact"/>
        <w:rPr>
          <w:sz w:val="20"/>
          <w:szCs w:val="20"/>
          <w:color w:val="auto"/>
        </w:rPr>
      </w:pPr>
    </w:p>
    <w:p>
      <w:pPr>
        <w:ind w:left="8" w:right="400" w:firstLine="490"/>
        <w:spacing w:after="0" w:line="277" w:lineRule="auto"/>
        <w:rPr>
          <w:sz w:val="20"/>
          <w:szCs w:val="20"/>
          <w:color w:val="auto"/>
        </w:rPr>
      </w:pPr>
      <w:r>
        <w:rPr>
          <w:rFonts w:ascii="Times New Roman" w:cs="Times New Roman" w:eastAsia="Times New Roman" w:hAnsi="Times New Roman"/>
          <w:sz w:val="20"/>
          <w:szCs w:val="20"/>
          <w:color w:val="auto"/>
        </w:rPr>
        <w:t>The accounting policies of the segment are the same as those described in Note 2 of the notes to the consolidated financial statements included in this Annual Report on Form 10-K.</w:t>
      </w:r>
    </w:p>
    <w:p>
      <w:pPr>
        <w:sectPr>
          <w:pgSz w:w="12240" w:h="15840" w:orient="portrait"/>
          <w:cols w:equalWidth="0" w:num="1">
            <w:col w:w="9928"/>
          </w:cols>
          <w:pgMar w:left="1152" w:top="1128" w:right="116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928"/>
          </w:cols>
          <w:pgMar w:left="1152" w:top="1128" w:right="1160" w:bottom="186" w:gutter="0" w:footer="0" w:header="0"/>
          <w:type w:val="continuous"/>
        </w:sectPr>
      </w:pPr>
    </w:p>
    <w:bookmarkStart w:id="125" w:name="page126"/>
    <w:bookmarkEnd w:id="125"/>
    <w:p>
      <w:pPr>
        <w:ind w:left="488"/>
        <w:spacing w:after="0"/>
        <w:rPr>
          <w:sz w:val="20"/>
          <w:szCs w:val="20"/>
          <w:color w:val="auto"/>
        </w:rPr>
      </w:pPr>
      <w:r>
        <w:rPr>
          <w:rFonts w:ascii="Times New Roman" w:cs="Times New Roman" w:eastAsia="Times New Roman" w:hAnsi="Times New Roman"/>
          <w:sz w:val="20"/>
          <w:szCs w:val="20"/>
          <w:color w:val="auto"/>
        </w:rPr>
        <w:t>The following table presents reportable segment loss, including significant expense categories, attributable to the</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Company’s reportable segment for the periods presented:</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3"/>
        </w:trPr>
        <w:tc>
          <w:tcPr>
            <w:tcW w:w="6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9"/>
        </w:trPr>
        <w:tc>
          <w:tcPr>
            <w:tcW w:w="6740" w:type="dxa"/>
            <w:vAlign w:val="bottom"/>
            <w:tcBorders>
              <w:top w:val="single" w:sz="8" w:color="D5EEEE"/>
            </w:tcBorders>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Chronic cough in IPF clinical trial expense</w:t>
            </w:r>
          </w:p>
        </w:tc>
        <w:tc>
          <w:tcPr>
            <w:tcW w:w="20" w:type="dxa"/>
            <w:vAlign w:val="bottom"/>
            <w:tcBorders>
              <w:top w:val="single" w:sz="8" w:color="D5EEEE"/>
            </w:tcBorders>
            <w:shd w:val="clear" w:color="auto" w:fill="D5EEEE"/>
          </w:tcPr>
          <w:p>
            <w:pPr>
              <w:spacing w:after="0"/>
              <w:rPr>
                <w:sz w:val="20"/>
                <w:szCs w:val="20"/>
                <w:color w:val="auto"/>
              </w:rPr>
            </w:pPr>
          </w:p>
        </w:tc>
        <w:tc>
          <w:tcPr>
            <w:tcW w:w="860" w:type="dxa"/>
            <w:vAlign w:val="bottom"/>
            <w:tcBorders>
              <w:top w:val="single" w:sz="8" w:color="auto"/>
            </w:tcBorders>
            <w:shd w:val="clear" w:color="auto" w:fill="D5EEEE"/>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7,992</w:t>
            </w:r>
          </w:p>
        </w:tc>
        <w:tc>
          <w:tcPr>
            <w:tcW w:w="140" w:type="dxa"/>
            <w:vAlign w:val="bottom"/>
            <w:tcBorders>
              <w:top w:val="single" w:sz="8" w:color="D5EEEE"/>
            </w:tcBorders>
            <w:shd w:val="clear" w:color="auto" w:fill="D5EEEE"/>
          </w:tcPr>
          <w:p>
            <w:pPr>
              <w:spacing w:after="0"/>
              <w:rPr>
                <w:sz w:val="20"/>
                <w:szCs w:val="20"/>
                <w:color w:val="auto"/>
              </w:rPr>
            </w:pPr>
          </w:p>
        </w:tc>
        <w:tc>
          <w:tcPr>
            <w:tcW w:w="100" w:type="dxa"/>
            <w:vAlign w:val="bottom"/>
            <w:tcBorders>
              <w:top w:val="single" w:sz="8" w:color="D5EEEE"/>
            </w:tcBorders>
            <w:shd w:val="clear" w:color="auto" w:fill="D5EEEE"/>
          </w:tcPr>
          <w:p>
            <w:pPr>
              <w:spacing w:after="0"/>
              <w:rPr>
                <w:sz w:val="20"/>
                <w:szCs w:val="20"/>
                <w:color w:val="auto"/>
              </w:rPr>
            </w:pPr>
          </w:p>
        </w:tc>
        <w:tc>
          <w:tcPr>
            <w:tcW w:w="860" w:type="dxa"/>
            <w:vAlign w:val="bottom"/>
            <w:tcBorders>
              <w:top w:val="single" w:sz="8" w:color="auto"/>
            </w:tcBorders>
            <w:shd w:val="clear" w:color="auto" w:fill="D5EEEE"/>
          </w:tcPr>
          <w:p>
            <w:pPr>
              <w:jc w:val="right"/>
              <w:ind w:right="66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tcBorders>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w w:val="94"/>
              </w:rPr>
              <w:t>14,615</w:t>
            </w:r>
          </w:p>
        </w:tc>
        <w:tc>
          <w:tcPr>
            <w:tcW w:w="80" w:type="dxa"/>
            <w:vAlign w:val="bottom"/>
            <w:tcBorders>
              <w:top w:val="single" w:sz="8" w:color="D5EEEE"/>
            </w:tcBorders>
            <w:shd w:val="clear" w:color="auto" w:fill="D5EEEE"/>
          </w:tcPr>
          <w:p>
            <w:pPr>
              <w:spacing w:after="0"/>
              <w:rPr>
                <w:sz w:val="20"/>
                <w:szCs w:val="20"/>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Refractory chronic cough clinical trial expense</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6,042</w:t>
            </w:r>
          </w:p>
        </w:tc>
        <w:tc>
          <w:tcPr>
            <w:tcW w:w="80" w:type="dxa"/>
            <w:vAlign w:val="bottom"/>
          </w:tcPr>
          <w:p>
            <w:pPr>
              <w:spacing w:after="0"/>
              <w:rPr>
                <w:sz w:val="21"/>
                <w:szCs w:val="21"/>
                <w:color w:val="auto"/>
              </w:rPr>
            </w:pPr>
          </w:p>
        </w:tc>
      </w:tr>
      <w:tr>
        <w:trPr>
          <w:trHeight w:val="244"/>
        </w:trPr>
        <w:tc>
          <w:tcPr>
            <w:tcW w:w="6740" w:type="dxa"/>
            <w:vAlign w:val="bottom"/>
            <w:shd w:val="clear" w:color="auto" w:fill="D5EEEE"/>
          </w:tcPr>
          <w:p>
            <w:pPr>
              <w:ind w:left="100"/>
              <w:spacing w:after="0" w:line="243" w:lineRule="exact"/>
              <w:rPr>
                <w:sz w:val="20"/>
                <w:szCs w:val="20"/>
                <w:color w:val="auto"/>
              </w:rPr>
            </w:pPr>
            <w:r>
              <w:rPr>
                <w:rFonts w:ascii="Times New Roman" w:cs="Times New Roman" w:eastAsia="Times New Roman" w:hAnsi="Times New Roman"/>
                <w:sz w:val="20"/>
                <w:szCs w:val="20"/>
                <w:color w:val="auto"/>
              </w:rPr>
              <w:t xml:space="preserve">Other clinical trials and studies </w:t>
            </w:r>
            <w:r>
              <w:rPr>
                <w:rFonts w:ascii="Times New Roman" w:cs="Times New Roman" w:eastAsia="Times New Roman" w:hAnsi="Times New Roman"/>
                <w:sz w:val="26"/>
                <w:szCs w:val="26"/>
                <w:color w:val="auto"/>
                <w:vertAlign w:val="superscript"/>
              </w:rPr>
              <w:t>1</w:t>
            </w:r>
          </w:p>
        </w:tc>
        <w:tc>
          <w:tcPr>
            <w:tcW w:w="20" w:type="dxa"/>
            <w:vAlign w:val="bottom"/>
            <w:shd w:val="clear" w:color="auto" w:fill="D5EEEE"/>
          </w:tcPr>
          <w:p>
            <w:pPr>
              <w:spacing w:after="0"/>
              <w:rPr>
                <w:sz w:val="21"/>
                <w:szCs w:val="21"/>
                <w:color w:val="auto"/>
              </w:rPr>
            </w:pPr>
          </w:p>
        </w:tc>
        <w:tc>
          <w:tcPr>
            <w:tcW w:w="860" w:type="dxa"/>
            <w:vAlign w:val="bottom"/>
            <w:shd w:val="clear" w:color="auto" w:fill="D5EEEE"/>
          </w:tcPr>
          <w:p>
            <w:pPr>
              <w:spacing w:after="0"/>
              <w:rPr>
                <w:sz w:val="21"/>
                <w:szCs w:val="21"/>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6,219</w:t>
            </w:r>
          </w:p>
        </w:tc>
        <w:tc>
          <w:tcPr>
            <w:tcW w:w="1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860" w:type="dxa"/>
            <w:vAlign w:val="bottom"/>
            <w:shd w:val="clear" w:color="auto" w:fill="D5EEEE"/>
          </w:tcPr>
          <w:p>
            <w:pPr>
              <w:spacing w:after="0"/>
              <w:rPr>
                <w:sz w:val="21"/>
                <w:szCs w:val="21"/>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4,313</w:t>
            </w:r>
          </w:p>
        </w:tc>
        <w:tc>
          <w:tcPr>
            <w:tcW w:w="80" w:type="dxa"/>
            <w:vAlign w:val="bottom"/>
            <w:shd w:val="clear" w:color="auto" w:fill="D5EEEE"/>
          </w:tcPr>
          <w:p>
            <w:pPr>
              <w:spacing w:after="0"/>
              <w:rPr>
                <w:sz w:val="21"/>
                <w:szCs w:val="21"/>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Clinical trial material</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3,235</w:t>
            </w:r>
          </w:p>
        </w:tc>
        <w:tc>
          <w:tcPr>
            <w:tcW w:w="80" w:type="dxa"/>
            <w:vAlign w:val="bottom"/>
          </w:tcPr>
          <w:p>
            <w:pPr>
              <w:spacing w:after="0"/>
              <w:rPr>
                <w:sz w:val="21"/>
                <w:szCs w:val="21"/>
                <w:color w:val="auto"/>
              </w:rPr>
            </w:pPr>
          </w:p>
        </w:tc>
      </w:tr>
      <w:tr>
        <w:trPr>
          <w:trHeight w:val="244"/>
        </w:trPr>
        <w:tc>
          <w:tcPr>
            <w:tcW w:w="6740" w:type="dxa"/>
            <w:vAlign w:val="bottom"/>
            <w:shd w:val="clear" w:color="auto" w:fill="D5EEEE"/>
          </w:tcPr>
          <w:p>
            <w:pPr>
              <w:ind w:left="100"/>
              <w:spacing w:after="0" w:line="243" w:lineRule="exact"/>
              <w:rPr>
                <w:sz w:val="20"/>
                <w:szCs w:val="20"/>
                <w:color w:val="auto"/>
              </w:rPr>
            </w:pPr>
            <w:r>
              <w:rPr>
                <w:rFonts w:ascii="Times New Roman" w:cs="Times New Roman" w:eastAsia="Times New Roman" w:hAnsi="Times New Roman"/>
                <w:sz w:val="20"/>
                <w:szCs w:val="20"/>
                <w:color w:val="auto"/>
              </w:rPr>
              <w:t xml:space="preserve">Other clinical development expenses </w:t>
            </w:r>
            <w:r>
              <w:rPr>
                <w:rFonts w:ascii="Times New Roman" w:cs="Times New Roman" w:eastAsia="Times New Roman" w:hAnsi="Times New Roman"/>
                <w:sz w:val="26"/>
                <w:szCs w:val="26"/>
                <w:color w:val="auto"/>
                <w:vertAlign w:val="superscript"/>
              </w:rPr>
              <w:t>2</w:t>
            </w:r>
          </w:p>
        </w:tc>
        <w:tc>
          <w:tcPr>
            <w:tcW w:w="20" w:type="dxa"/>
            <w:vAlign w:val="bottom"/>
            <w:shd w:val="clear" w:color="auto" w:fill="D5EEEE"/>
          </w:tcPr>
          <w:p>
            <w:pPr>
              <w:spacing w:after="0"/>
              <w:rPr>
                <w:sz w:val="21"/>
                <w:szCs w:val="21"/>
                <w:color w:val="auto"/>
              </w:rPr>
            </w:pPr>
          </w:p>
        </w:tc>
        <w:tc>
          <w:tcPr>
            <w:tcW w:w="860" w:type="dxa"/>
            <w:vAlign w:val="bottom"/>
            <w:shd w:val="clear" w:color="auto" w:fill="D5EEEE"/>
          </w:tcPr>
          <w:p>
            <w:pPr>
              <w:spacing w:after="0"/>
              <w:rPr>
                <w:sz w:val="21"/>
                <w:szCs w:val="21"/>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5,942</w:t>
            </w:r>
          </w:p>
        </w:tc>
        <w:tc>
          <w:tcPr>
            <w:tcW w:w="1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860" w:type="dxa"/>
            <w:vAlign w:val="bottom"/>
            <w:shd w:val="clear" w:color="auto" w:fill="D5EEEE"/>
          </w:tcPr>
          <w:p>
            <w:pPr>
              <w:spacing w:after="0"/>
              <w:rPr>
                <w:sz w:val="21"/>
                <w:szCs w:val="21"/>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4,008</w:t>
            </w:r>
          </w:p>
        </w:tc>
        <w:tc>
          <w:tcPr>
            <w:tcW w:w="80" w:type="dxa"/>
            <w:vAlign w:val="bottom"/>
            <w:shd w:val="clear" w:color="auto" w:fill="D5EEEE"/>
          </w:tcPr>
          <w:p>
            <w:pPr>
              <w:spacing w:after="0"/>
              <w:rPr>
                <w:sz w:val="21"/>
                <w:szCs w:val="21"/>
                <w:color w:val="auto"/>
              </w:rPr>
            </w:pPr>
          </w:p>
        </w:tc>
      </w:tr>
      <w:tr>
        <w:trPr>
          <w:trHeight w:val="244"/>
        </w:trPr>
        <w:tc>
          <w:tcPr>
            <w:tcW w:w="67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Employee compensation (excluding stock compensation expense)</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4"/>
              </w:rPr>
              <w:t>11,820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9,265</w:t>
            </w:r>
          </w:p>
        </w:tc>
        <w:tc>
          <w:tcPr>
            <w:tcW w:w="80" w:type="dxa"/>
            <w:vAlign w:val="bottom"/>
          </w:tcPr>
          <w:p>
            <w:pPr>
              <w:spacing w:after="0"/>
              <w:rPr>
                <w:sz w:val="21"/>
                <w:szCs w:val="21"/>
                <w:color w:val="auto"/>
              </w:rPr>
            </w:pPr>
          </w:p>
        </w:tc>
      </w:tr>
      <w:tr>
        <w:trPr>
          <w:trHeight w:val="244"/>
        </w:trPr>
        <w:tc>
          <w:tcPr>
            <w:tcW w:w="67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Stock compensation expense</w:t>
            </w:r>
          </w:p>
        </w:tc>
        <w:tc>
          <w:tcPr>
            <w:tcW w:w="20" w:type="dxa"/>
            <w:vAlign w:val="bottom"/>
            <w:shd w:val="clear" w:color="auto" w:fill="D5EEEE"/>
          </w:tcPr>
          <w:p>
            <w:pPr>
              <w:spacing w:after="0"/>
              <w:rPr>
                <w:sz w:val="21"/>
                <w:szCs w:val="21"/>
                <w:color w:val="auto"/>
              </w:rPr>
            </w:pPr>
          </w:p>
        </w:tc>
        <w:tc>
          <w:tcPr>
            <w:tcW w:w="860" w:type="dxa"/>
            <w:vAlign w:val="bottom"/>
            <w:shd w:val="clear" w:color="auto" w:fill="D5EEEE"/>
          </w:tcPr>
          <w:p>
            <w:pPr>
              <w:spacing w:after="0"/>
              <w:rPr>
                <w:sz w:val="21"/>
                <w:szCs w:val="21"/>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5,185</w:t>
            </w:r>
          </w:p>
        </w:tc>
        <w:tc>
          <w:tcPr>
            <w:tcW w:w="140" w:type="dxa"/>
            <w:vAlign w:val="bottom"/>
            <w:shd w:val="clear" w:color="auto" w:fill="D5EEEE"/>
          </w:tcPr>
          <w:p>
            <w:pPr>
              <w:spacing w:after="0"/>
              <w:rPr>
                <w:sz w:val="21"/>
                <w:szCs w:val="21"/>
                <w:color w:val="auto"/>
              </w:rPr>
            </w:pPr>
          </w:p>
        </w:tc>
        <w:tc>
          <w:tcPr>
            <w:tcW w:w="100" w:type="dxa"/>
            <w:vAlign w:val="bottom"/>
            <w:shd w:val="clear" w:color="auto" w:fill="D5EEEE"/>
          </w:tcPr>
          <w:p>
            <w:pPr>
              <w:spacing w:after="0"/>
              <w:rPr>
                <w:sz w:val="21"/>
                <w:szCs w:val="21"/>
                <w:color w:val="auto"/>
              </w:rPr>
            </w:pPr>
          </w:p>
        </w:tc>
        <w:tc>
          <w:tcPr>
            <w:tcW w:w="860" w:type="dxa"/>
            <w:vAlign w:val="bottom"/>
            <w:shd w:val="clear" w:color="auto" w:fill="D5EEEE"/>
          </w:tcPr>
          <w:p>
            <w:pPr>
              <w:spacing w:after="0"/>
              <w:rPr>
                <w:sz w:val="21"/>
                <w:szCs w:val="21"/>
                <w:color w:val="auto"/>
              </w:rPr>
            </w:pPr>
          </w:p>
        </w:tc>
        <w:tc>
          <w:tcPr>
            <w:tcW w:w="560" w:type="dxa"/>
            <w:vAlign w:val="bottom"/>
            <w:shd w:val="clear" w:color="auto" w:fill="D5EEEE"/>
          </w:tcPr>
          <w:p>
            <w:pPr>
              <w:jc w:val="right"/>
              <w:spacing w:after="0"/>
              <w:rPr>
                <w:sz w:val="20"/>
                <w:szCs w:val="20"/>
                <w:color w:val="auto"/>
              </w:rPr>
            </w:pPr>
            <w:r>
              <w:rPr>
                <w:rFonts w:ascii="Times New Roman" w:cs="Times New Roman" w:eastAsia="Times New Roman" w:hAnsi="Times New Roman"/>
                <w:sz w:val="20"/>
                <w:szCs w:val="20"/>
                <w:color w:val="auto"/>
              </w:rPr>
              <w:t>3,588</w:t>
            </w:r>
          </w:p>
        </w:tc>
        <w:tc>
          <w:tcPr>
            <w:tcW w:w="80" w:type="dxa"/>
            <w:vAlign w:val="bottom"/>
            <w:shd w:val="clear" w:color="auto" w:fill="D5EEEE"/>
          </w:tcPr>
          <w:p>
            <w:pPr>
              <w:spacing w:after="0"/>
              <w:rPr>
                <w:sz w:val="21"/>
                <w:szCs w:val="21"/>
                <w:color w:val="auto"/>
              </w:rPr>
            </w:pPr>
          </w:p>
        </w:tc>
      </w:tr>
      <w:tr>
        <w:trPr>
          <w:trHeight w:val="244"/>
        </w:trPr>
        <w:tc>
          <w:tcPr>
            <w:tcW w:w="6740" w:type="dxa"/>
            <w:vAlign w:val="bottom"/>
          </w:tcPr>
          <w:p>
            <w:pPr>
              <w:ind w:left="100"/>
              <w:spacing w:after="0" w:line="243" w:lineRule="exact"/>
              <w:rPr>
                <w:sz w:val="20"/>
                <w:szCs w:val="20"/>
                <w:color w:val="auto"/>
              </w:rPr>
            </w:pPr>
            <w:r>
              <w:rPr>
                <w:rFonts w:ascii="Times New Roman" w:cs="Times New Roman" w:eastAsia="Times New Roman" w:hAnsi="Times New Roman"/>
                <w:sz w:val="20"/>
                <w:szCs w:val="20"/>
                <w:color w:val="auto"/>
              </w:rPr>
              <w:t xml:space="preserve">Other segment items </w:t>
            </w:r>
            <w:r>
              <w:rPr>
                <w:rFonts w:ascii="Times New Roman" w:cs="Times New Roman" w:eastAsia="Times New Roman" w:hAnsi="Times New Roman"/>
                <w:sz w:val="26"/>
                <w:szCs w:val="26"/>
                <w:color w:val="auto"/>
                <w:vertAlign w:val="superscript"/>
              </w:rPr>
              <w:t>3</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6,447</w:t>
            </w:r>
          </w:p>
        </w:tc>
        <w:tc>
          <w:tcPr>
            <w:tcW w:w="80" w:type="dxa"/>
            <w:vAlign w:val="bottom"/>
          </w:tcPr>
          <w:p>
            <w:pPr>
              <w:spacing w:after="0"/>
              <w:rPr>
                <w:sz w:val="21"/>
                <w:szCs w:val="21"/>
                <w:color w:val="auto"/>
              </w:rPr>
            </w:pPr>
          </w:p>
        </w:tc>
      </w:tr>
      <w:tr>
        <w:trPr>
          <w:trHeight w:val="244"/>
        </w:trPr>
        <w:tc>
          <w:tcPr>
            <w:tcW w:w="6740" w:type="dxa"/>
            <w:vAlign w:val="bottom"/>
            <w:shd w:val="clear" w:color="auto" w:fill="D5EEEE"/>
          </w:tcPr>
          <w:p>
            <w:pPr>
              <w:ind w:left="100"/>
              <w:spacing w:after="0"/>
              <w:rPr>
                <w:sz w:val="20"/>
                <w:szCs w:val="20"/>
                <w:color w:val="auto"/>
              </w:rPr>
            </w:pPr>
            <w:r>
              <w:rPr>
                <w:rFonts w:ascii="Times New Roman" w:cs="Times New Roman" w:eastAsia="Times New Roman" w:hAnsi="Times New Roman"/>
                <w:sz w:val="20"/>
                <w:szCs w:val="20"/>
                <w:color w:val="auto"/>
              </w:rPr>
              <w:t>Interest income, net</w:t>
            </w:r>
          </w:p>
        </w:tc>
        <w:tc>
          <w:tcPr>
            <w:tcW w:w="20" w:type="dxa"/>
            <w:vAlign w:val="bottom"/>
            <w:shd w:val="clear" w:color="auto" w:fill="D5EEEE"/>
          </w:tcPr>
          <w:p>
            <w:pPr>
              <w:spacing w:after="0"/>
              <w:rPr>
                <w:sz w:val="21"/>
                <w:szCs w:val="21"/>
                <w:color w:val="auto"/>
              </w:rPr>
            </w:pPr>
          </w:p>
        </w:tc>
        <w:tc>
          <w:tcPr>
            <w:tcW w:w="860" w:type="dxa"/>
            <w:vAlign w:val="bottom"/>
            <w:shd w:val="clear" w:color="auto" w:fill="D5EEEE"/>
          </w:tcPr>
          <w:p>
            <w:pPr>
              <w:spacing w:after="0"/>
              <w:rPr>
                <w:sz w:val="21"/>
                <w:szCs w:val="21"/>
                <w:color w:val="auto"/>
              </w:rPr>
            </w:pPr>
          </w:p>
        </w:tc>
        <w:tc>
          <w:tcPr>
            <w:tcW w:w="700" w:type="dxa"/>
            <w:vAlign w:val="bottom"/>
            <w:gridSpan w:val="2"/>
            <w:shd w:val="clear" w:color="auto" w:fill="D5EEEE"/>
          </w:tcPr>
          <w:p>
            <w:pPr>
              <w:jc w:val="right"/>
              <w:ind w:right="80"/>
              <w:spacing w:after="0"/>
              <w:rPr>
                <w:sz w:val="20"/>
                <w:szCs w:val="20"/>
                <w:color w:val="auto"/>
              </w:rPr>
            </w:pPr>
            <w:r>
              <w:rPr>
                <w:rFonts w:ascii="Times New Roman" w:cs="Times New Roman" w:eastAsia="Times New Roman" w:hAnsi="Times New Roman"/>
                <w:sz w:val="20"/>
                <w:szCs w:val="20"/>
                <w:color w:val="auto"/>
              </w:rPr>
              <w:t>(6,536)</w:t>
            </w:r>
          </w:p>
        </w:tc>
        <w:tc>
          <w:tcPr>
            <w:tcW w:w="100" w:type="dxa"/>
            <w:vAlign w:val="bottom"/>
            <w:shd w:val="clear" w:color="auto" w:fill="D5EEEE"/>
          </w:tcPr>
          <w:p>
            <w:pPr>
              <w:spacing w:after="0"/>
              <w:rPr>
                <w:sz w:val="21"/>
                <w:szCs w:val="21"/>
                <w:color w:val="auto"/>
              </w:rPr>
            </w:pPr>
          </w:p>
        </w:tc>
        <w:tc>
          <w:tcPr>
            <w:tcW w:w="860" w:type="dxa"/>
            <w:vAlign w:val="bottom"/>
            <w:shd w:val="clear" w:color="auto" w:fill="D5EEEE"/>
          </w:tcPr>
          <w:p>
            <w:pPr>
              <w:spacing w:after="0"/>
              <w:rPr>
                <w:sz w:val="21"/>
                <w:szCs w:val="21"/>
                <w:color w:val="auto"/>
              </w:rPr>
            </w:pPr>
          </w:p>
        </w:tc>
        <w:tc>
          <w:tcPr>
            <w:tcW w:w="640" w:type="dxa"/>
            <w:vAlign w:val="bottom"/>
            <w:gridSpan w:val="2"/>
            <w:shd w:val="clear" w:color="auto" w:fill="D5EEEE"/>
          </w:tcPr>
          <w:p>
            <w:pPr>
              <w:jc w:val="right"/>
              <w:ind w:right="20"/>
              <w:spacing w:after="0"/>
              <w:rPr>
                <w:sz w:val="20"/>
                <w:szCs w:val="20"/>
                <w:color w:val="auto"/>
              </w:rPr>
            </w:pPr>
            <w:r>
              <w:rPr>
                <w:rFonts w:ascii="Times New Roman" w:cs="Times New Roman" w:eastAsia="Times New Roman" w:hAnsi="Times New Roman"/>
                <w:sz w:val="20"/>
                <w:szCs w:val="20"/>
                <w:color w:val="auto"/>
              </w:rPr>
              <w:t>(3,602)</w:t>
            </w:r>
          </w:p>
        </w:tc>
      </w:tr>
      <w:tr>
        <w:trPr>
          <w:trHeight w:val="239"/>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42,759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20"/>
                <w:szCs w:val="20"/>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47,911</w:t>
            </w:r>
          </w:p>
        </w:tc>
        <w:tc>
          <w:tcPr>
            <w:tcW w:w="8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left="8" w:right="240" w:hanging="8"/>
        <w:spacing w:after="0" w:line="254" w:lineRule="auto"/>
        <w:tabs>
          <w:tab w:leader="none" w:pos="24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expense related to the Company’s drug-drug interaction study, human abuse potential study, Phase 2 CANAL trial of Haduvio for the treatment of IPF-related chronic cough.</w:t>
      </w:r>
    </w:p>
    <w:p>
      <w:pPr>
        <w:spacing w:after="0" w:line="1" w:lineRule="exact"/>
        <w:rPr>
          <w:rFonts w:ascii="Times New Roman" w:cs="Times New Roman" w:eastAsia="Times New Roman" w:hAnsi="Times New Roman"/>
          <w:sz w:val="17"/>
          <w:szCs w:val="17"/>
          <w:color w:val="auto"/>
        </w:rPr>
      </w:pPr>
    </w:p>
    <w:p>
      <w:pPr>
        <w:ind w:left="248" w:hanging="248"/>
        <w:spacing w:after="0"/>
        <w:tabs>
          <w:tab w:leader="none" w:pos="24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expense related to general research and development activities, regulatory, medical affairs, and quality assurance.</w:t>
      </w:r>
    </w:p>
    <w:p>
      <w:pPr>
        <w:ind w:left="248" w:hanging="248"/>
        <w:spacing w:after="0"/>
        <w:tabs>
          <w:tab w:leader="none" w:pos="24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general administrative expense, interest expense, net, other (expense) income, net and income tax benefit.</w:t>
      </w:r>
    </w:p>
    <w:p>
      <w:pPr>
        <w:spacing w:after="0" w:line="199" w:lineRule="exact"/>
        <w:rPr>
          <w:sz w:val="20"/>
          <w:szCs w:val="20"/>
          <w:color w:val="auto"/>
        </w:rPr>
      </w:pPr>
    </w:p>
    <w:p>
      <w:pPr>
        <w:ind w:left="488" w:hanging="488"/>
        <w:spacing w:after="0"/>
        <w:tabs>
          <w:tab w:leader="none" w:pos="488"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Collaborative and Licensing Agreements</w:t>
      </w:r>
    </w:p>
    <w:p>
      <w:pPr>
        <w:spacing w:after="0" w:line="124" w:lineRule="exact"/>
        <w:rPr>
          <w:sz w:val="20"/>
          <w:szCs w:val="20"/>
          <w:color w:val="auto"/>
        </w:rPr>
      </w:pPr>
    </w:p>
    <w:p>
      <w:pPr>
        <w:ind w:left="8" w:right="580" w:firstLine="490"/>
        <w:spacing w:after="0" w:line="277" w:lineRule="auto"/>
        <w:rPr>
          <w:sz w:val="20"/>
          <w:szCs w:val="20"/>
          <w:color w:val="auto"/>
        </w:rPr>
      </w:pPr>
      <w:r>
        <w:rPr>
          <w:rFonts w:ascii="Times New Roman" w:cs="Times New Roman" w:eastAsia="Times New Roman" w:hAnsi="Times New Roman"/>
          <w:sz w:val="20"/>
          <w:szCs w:val="20"/>
          <w:color w:val="auto"/>
        </w:rPr>
        <w:t>The Company enters into collaborative and licensing agreements with pharmaceutical companies to in-license, develop, manufacture and/or market products that fit within its business strategy.</w:t>
      </w:r>
    </w:p>
    <w:p>
      <w:pPr>
        <w:spacing w:after="0" w:line="49"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b w:val="1"/>
          <w:bCs w:val="1"/>
          <w:i w:val="1"/>
          <w:iCs w:val="1"/>
          <w:color w:val="auto"/>
        </w:rPr>
        <w:t>Keenova Therapeutics plc</w:t>
      </w:r>
    </w:p>
    <w:p>
      <w:pPr>
        <w:spacing w:after="0" w:line="120" w:lineRule="exact"/>
        <w:rPr>
          <w:sz w:val="20"/>
          <w:szCs w:val="20"/>
          <w:color w:val="auto"/>
        </w:rPr>
      </w:pPr>
    </w:p>
    <w:p>
      <w:pPr>
        <w:ind w:left="8" w:right="80" w:firstLine="490"/>
        <w:spacing w:after="0" w:line="249" w:lineRule="auto"/>
        <w:rPr>
          <w:sz w:val="20"/>
          <w:szCs w:val="20"/>
          <w:color w:val="auto"/>
        </w:rPr>
      </w:pPr>
      <w:r>
        <w:rPr>
          <w:rFonts w:ascii="Times New Roman" w:cs="Times New Roman" w:eastAsia="Times New Roman" w:hAnsi="Times New Roman"/>
          <w:sz w:val="20"/>
          <w:szCs w:val="20"/>
          <w:color w:val="auto"/>
        </w:rPr>
        <w:t>In May 2011, the Company entered into an agreement with Penwest Pharmaceuticals Co., which subsequently merged into Endo, Inc. and which has since been merged into Mallinckrodt plc which was then renamed Keenova Therapeutics plc (“Keenova”), for an exclusive worldwide sublicensable license under certain patent rights and know-how controlled by Keenova to develop and commercialize products incorporating nalbuphine hydrochloride in any formulation, including an extended-release formulation such as Haduvio, in all fields and for any use.</w:t>
      </w:r>
    </w:p>
    <w:p>
      <w:pPr>
        <w:spacing w:after="0" w:line="77" w:lineRule="exact"/>
        <w:rPr>
          <w:sz w:val="20"/>
          <w:szCs w:val="20"/>
          <w:color w:val="auto"/>
        </w:rPr>
      </w:pPr>
    </w:p>
    <w:p>
      <w:pPr>
        <w:ind w:left="8" w:right="20" w:firstLine="490"/>
        <w:spacing w:after="0" w:line="246" w:lineRule="auto"/>
        <w:rPr>
          <w:sz w:val="20"/>
          <w:szCs w:val="20"/>
          <w:color w:val="auto"/>
        </w:rPr>
      </w:pPr>
      <w:r>
        <w:rPr>
          <w:rFonts w:ascii="Times New Roman" w:cs="Times New Roman" w:eastAsia="Times New Roman" w:hAnsi="Times New Roman"/>
          <w:sz w:val="20"/>
          <w:szCs w:val="20"/>
          <w:color w:val="auto"/>
        </w:rPr>
        <w:t>Under the license agreement, the Company paid Keenova a non-creditable, non-refundable upfront license fee. The Company may also become obligated to make milestone payments to Keenova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the Company, its affiliates and sublicensees. In addition, the Company is obligated to pay Keenova a low-to-mid double-digit percentage of certain income it receives from sublicensees, based on the date of the definitive agreement under which the sublicense was granted.</w:t>
      </w:r>
    </w:p>
    <w:p>
      <w:pPr>
        <w:spacing w:after="0" w:line="61" w:lineRule="exact"/>
        <w:rPr>
          <w:sz w:val="20"/>
          <w:szCs w:val="20"/>
          <w:color w:val="auto"/>
        </w:rPr>
      </w:pPr>
    </w:p>
    <w:p>
      <w:pPr>
        <w:ind w:left="8" w:right="80" w:firstLine="490"/>
        <w:spacing w:after="0" w:line="226" w:lineRule="auto"/>
        <w:rPr>
          <w:sz w:val="20"/>
          <w:szCs w:val="20"/>
          <w:color w:val="auto"/>
        </w:rPr>
      </w:pPr>
      <w:r>
        <w:rPr>
          <w:rFonts w:ascii="Times New Roman" w:cs="Times New Roman" w:eastAsia="Times New Roman" w:hAnsi="Times New Roman"/>
          <w:sz w:val="20"/>
          <w:szCs w:val="20"/>
          <w:color w:val="auto"/>
        </w:rPr>
        <w:t>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w:t>
      </w:r>
    </w:p>
    <w:p>
      <w:pPr>
        <w:spacing w:after="0" w:line="63" w:lineRule="exact"/>
        <w:rPr>
          <w:sz w:val="20"/>
          <w:szCs w:val="20"/>
          <w:color w:val="auto"/>
        </w:rPr>
      </w:pPr>
    </w:p>
    <w:p>
      <w:pPr>
        <w:ind w:left="8" w:right="140" w:firstLine="490"/>
        <w:spacing w:after="0" w:line="236" w:lineRule="auto"/>
        <w:rPr>
          <w:sz w:val="20"/>
          <w:szCs w:val="20"/>
          <w:color w:val="auto"/>
        </w:rPr>
      </w:pPr>
      <w:r>
        <w:rPr>
          <w:rFonts w:ascii="Times New Roman" w:cs="Times New Roman" w:eastAsia="Times New Roman" w:hAnsi="Times New Roman"/>
          <w:sz w:val="20"/>
          <w:szCs w:val="20"/>
          <w:color w:val="auto"/>
        </w:rPr>
        <w:t>Under the agreement, the Company has granted Keenova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w:t>
      </w:r>
    </w:p>
    <w:p>
      <w:pPr>
        <w:spacing w:after="0" w:line="63" w:lineRule="exact"/>
        <w:rPr>
          <w:sz w:val="20"/>
          <w:szCs w:val="20"/>
          <w:color w:val="auto"/>
        </w:rPr>
      </w:pPr>
    </w:p>
    <w:p>
      <w:pPr>
        <w:ind w:left="8" w:firstLine="490"/>
        <w:spacing w:after="0" w:line="224" w:lineRule="auto"/>
        <w:rPr>
          <w:sz w:val="20"/>
          <w:szCs w:val="20"/>
          <w:color w:val="auto"/>
        </w:rPr>
      </w:pPr>
      <w:r>
        <w:rPr>
          <w:rFonts w:ascii="Times New Roman" w:cs="Times New Roman" w:eastAsia="Times New Roman" w:hAnsi="Times New Roman"/>
          <w:sz w:val="20"/>
          <w:szCs w:val="20"/>
          <w:color w:val="auto"/>
        </w:rPr>
        <w:t>Both the Company and Keenova have the right to terminate the agreement if the other party materially breaches the agreement and fails to cure the breach within specified cure periods. Keenova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spacing w:after="0" w:line="66" w:lineRule="exact"/>
        <w:rPr>
          <w:sz w:val="20"/>
          <w:szCs w:val="20"/>
          <w:color w:val="auto"/>
        </w:rPr>
      </w:pPr>
    </w:p>
    <w:p>
      <w:pPr>
        <w:ind w:left="8" w:right="120" w:firstLine="490"/>
        <w:spacing w:after="0" w:line="231" w:lineRule="auto"/>
        <w:rPr>
          <w:sz w:val="20"/>
          <w:szCs w:val="20"/>
          <w:color w:val="auto"/>
        </w:rPr>
      </w:pPr>
      <w:r>
        <w:rPr>
          <w:rFonts w:ascii="Times New Roman" w:cs="Times New Roman" w:eastAsia="Times New Roman" w:hAnsi="Times New Roman"/>
          <w:sz w:val="20"/>
          <w:szCs w:val="20"/>
          <w:color w:val="auto"/>
        </w:rPr>
        <w:t>Upon termination of the agreement, the Company must transfer to Keenova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Keenova a perpetual, royalty-free</w:t>
      </w:r>
    </w:p>
    <w:p>
      <w:pPr>
        <w:spacing w:after="0" w:line="3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20"/>
          <w:szCs w:val="20"/>
          <w:color w:val="auto"/>
        </w:rPr>
        <w:t>F-24</w:t>
      </w:r>
    </w:p>
    <w:p>
      <w:pPr>
        <w:sectPr>
          <w:pgSz w:w="12240" w:h="15840" w:orient="portrait"/>
          <w:cols w:equalWidth="0" w:num="1">
            <w:col w:w="9928"/>
          </w:cols>
          <w:pgMar w:left="1152" w:top="1132" w:right="1160" w:bottom="175" w:gutter="0" w:footer="0" w:header="0"/>
        </w:sectPr>
      </w:pPr>
    </w:p>
    <w:bookmarkStart w:id="126" w:name="page127"/>
    <w:bookmarkEnd w:id="126"/>
    <w:p>
      <w:pPr>
        <w:ind w:left="8"/>
        <w:spacing w:after="0" w:line="236" w:lineRule="auto"/>
        <w:rPr>
          <w:sz w:val="20"/>
          <w:szCs w:val="20"/>
          <w:color w:val="auto"/>
        </w:rPr>
      </w:pPr>
      <w:r>
        <w:rPr>
          <w:rFonts w:ascii="Times New Roman" w:cs="Times New Roman" w:eastAsia="Times New Roman" w:hAnsi="Times New Roman"/>
          <w:sz w:val="20"/>
          <w:szCs w:val="20"/>
          <w:color w:val="auto"/>
        </w:rPr>
        <w:t>(except for pass-through payments to third parties), worldwide, exclusive, sublicensable license, under any improvements the Company made to the licensed know-how and any related patent rights the Company has, to manufacture and commercialize the licensed products.</w:t>
      </w:r>
    </w:p>
    <w:p>
      <w:pPr>
        <w:spacing w:after="0" w:line="77" w:lineRule="exact"/>
        <w:rPr>
          <w:sz w:val="20"/>
          <w:szCs w:val="20"/>
          <w:color w:val="auto"/>
        </w:rPr>
      </w:pPr>
    </w:p>
    <w:p>
      <w:pPr>
        <w:ind w:left="488" w:hanging="488"/>
        <w:spacing w:after="0"/>
        <w:tabs>
          <w:tab w:leader="none" w:pos="488"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124" w:lineRule="exact"/>
        <w:rPr>
          <w:sz w:val="20"/>
          <w:szCs w:val="20"/>
          <w:color w:val="auto"/>
        </w:rPr>
      </w:pPr>
    </w:p>
    <w:p>
      <w:pPr>
        <w:ind w:left="8" w:right="300" w:firstLine="490"/>
        <w:spacing w:after="0" w:line="252" w:lineRule="auto"/>
        <w:rPr>
          <w:sz w:val="20"/>
          <w:szCs w:val="20"/>
          <w:color w:val="auto"/>
        </w:rPr>
      </w:pPr>
      <w:r>
        <w:rPr>
          <w:rFonts w:ascii="Times New Roman" w:cs="Times New Roman" w:eastAsia="Times New Roman" w:hAnsi="Times New Roman"/>
          <w:sz w:val="20"/>
          <w:szCs w:val="20"/>
          <w:color w:val="auto"/>
        </w:rPr>
        <w:t>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w:t>
      </w:r>
    </w:p>
    <w:p>
      <w:pPr>
        <w:spacing w:after="0" w:line="74"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20"/>
          <w:szCs w:val="20"/>
          <w:color w:val="auto"/>
        </w:rPr>
        <w:t>The Company also has commitments under lease and licensing agreements (Note 5 and Note 12).</w:t>
      </w:r>
    </w:p>
    <w:p>
      <w:pPr>
        <w:sectPr>
          <w:pgSz w:w="12240" w:h="15840" w:orient="portrait"/>
          <w:cols w:equalWidth="0" w:num="1">
            <w:col w:w="9748"/>
          </w:cols>
          <w:pgMar w:left="1152" w:top="1113" w:right="1340" w:bottom="1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87"/>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748"/>
          </w:cols>
          <w:pgMar w:left="1152" w:top="1113" w:right="1340" w:bottom="186"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36"/>
          <w:szCs w:val="36"/>
          <w:u w:val="single" w:color="auto"/>
          <w:color w:val="000634"/>
        </w:rPr>
        <w:t>Executive Management</w:t>
      </w:r>
    </w:p>
    <w:p>
      <w:pPr>
        <w:spacing w:after="0" w:line="41"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Jennifer Good</w:t>
      </w:r>
    </w:p>
    <w:p>
      <w:pPr>
        <w:spacing w:after="0" w:line="27" w:lineRule="exact"/>
        <w:rPr>
          <w:sz w:val="20"/>
          <w:szCs w:val="20"/>
          <w:color w:val="auto"/>
        </w:rPr>
      </w:pPr>
    </w:p>
    <w:p>
      <w:pPr>
        <w:spacing w:after="0"/>
        <w:rPr>
          <w:sz w:val="20"/>
          <w:szCs w:val="20"/>
          <w:color w:val="auto"/>
        </w:rPr>
      </w:pPr>
      <w:r>
        <w:rPr>
          <w:rFonts w:ascii="Calibri" w:cs="Calibri" w:eastAsia="Calibri" w:hAnsi="Calibri"/>
          <w:sz w:val="20"/>
          <w:szCs w:val="20"/>
          <w:color w:val="auto"/>
        </w:rPr>
        <w:t>Co-Founder, President and Chief Executive Officer</w:t>
      </w:r>
    </w:p>
    <w:p>
      <w:pPr>
        <w:spacing w:after="0" w:line="336"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Thomas Sciascia, M.D.</w:t>
      </w:r>
    </w:p>
    <w:p>
      <w:pPr>
        <w:spacing w:after="0" w:line="27" w:lineRule="exact"/>
        <w:rPr>
          <w:sz w:val="20"/>
          <w:szCs w:val="20"/>
          <w:color w:val="auto"/>
        </w:rPr>
      </w:pPr>
    </w:p>
    <w:p>
      <w:pPr>
        <w:spacing w:after="0"/>
        <w:rPr>
          <w:sz w:val="20"/>
          <w:szCs w:val="20"/>
          <w:color w:val="auto"/>
        </w:rPr>
      </w:pPr>
      <w:r>
        <w:rPr>
          <w:rFonts w:ascii="Calibri" w:cs="Calibri" w:eastAsia="Calibri" w:hAnsi="Calibri"/>
          <w:sz w:val="20"/>
          <w:szCs w:val="20"/>
          <w:color w:val="auto"/>
        </w:rPr>
        <w:t>Co-Founder, Chief Scientific Officer</w:t>
      </w:r>
    </w:p>
    <w:p>
      <w:pPr>
        <w:spacing w:after="0" w:line="291"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James Cassella, Ph.D.</w:t>
      </w:r>
    </w:p>
    <w:p>
      <w:pPr>
        <w:spacing w:after="0" w:line="27" w:lineRule="exact"/>
        <w:rPr>
          <w:sz w:val="20"/>
          <w:szCs w:val="20"/>
          <w:color w:val="auto"/>
        </w:rPr>
      </w:pPr>
    </w:p>
    <w:p>
      <w:pPr>
        <w:spacing w:after="0"/>
        <w:rPr>
          <w:sz w:val="20"/>
          <w:szCs w:val="20"/>
          <w:color w:val="auto"/>
        </w:rPr>
      </w:pPr>
      <w:r>
        <w:rPr>
          <w:rFonts w:ascii="Calibri" w:cs="Calibri" w:eastAsia="Calibri" w:hAnsi="Calibri"/>
          <w:sz w:val="20"/>
          <w:szCs w:val="20"/>
          <w:color w:val="auto"/>
        </w:rPr>
        <w:t>Chief Development Officer</w:t>
      </w:r>
    </w:p>
    <w:p>
      <w:pPr>
        <w:spacing w:after="0" w:line="335"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David Hastings</w:t>
      </w:r>
    </w:p>
    <w:p>
      <w:pPr>
        <w:spacing w:after="0" w:line="27" w:lineRule="exact"/>
        <w:rPr>
          <w:sz w:val="20"/>
          <w:szCs w:val="20"/>
          <w:color w:val="auto"/>
        </w:rPr>
      </w:pPr>
    </w:p>
    <w:p>
      <w:pPr>
        <w:spacing w:after="0"/>
        <w:rPr>
          <w:sz w:val="20"/>
          <w:szCs w:val="20"/>
          <w:color w:val="auto"/>
        </w:rPr>
      </w:pPr>
      <w:r>
        <w:rPr>
          <w:rFonts w:ascii="Calibri" w:cs="Calibri" w:eastAsia="Calibri" w:hAnsi="Calibri"/>
          <w:sz w:val="20"/>
          <w:szCs w:val="20"/>
          <w:color w:val="auto"/>
        </w:rPr>
        <w:t>Chief Financial Officer</w:t>
      </w:r>
    </w:p>
    <w:p>
      <w:pPr>
        <w:spacing w:after="0" w:line="336"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Farrell Simon, Pharm.D.</w:t>
      </w:r>
    </w:p>
    <w:p>
      <w:pPr>
        <w:spacing w:after="0" w:line="27" w:lineRule="exact"/>
        <w:rPr>
          <w:sz w:val="20"/>
          <w:szCs w:val="20"/>
          <w:color w:val="auto"/>
        </w:rPr>
      </w:pPr>
    </w:p>
    <w:p>
      <w:pPr>
        <w:spacing w:after="0"/>
        <w:rPr>
          <w:sz w:val="20"/>
          <w:szCs w:val="20"/>
          <w:color w:val="auto"/>
        </w:rPr>
      </w:pPr>
      <w:r>
        <w:rPr>
          <w:rFonts w:ascii="Calibri" w:cs="Calibri" w:eastAsia="Calibri" w:hAnsi="Calibri"/>
          <w:sz w:val="20"/>
          <w:szCs w:val="20"/>
          <w:color w:val="auto"/>
        </w:rPr>
        <w:t>Chief Commercial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alibri" w:cs="Calibri" w:eastAsia="Calibri" w:hAnsi="Calibri"/>
          <w:sz w:val="36"/>
          <w:szCs w:val="36"/>
          <w:u w:val="single" w:color="auto"/>
          <w:color w:val="000634"/>
        </w:rPr>
        <w:t>Board of Directors</w:t>
      </w:r>
    </w:p>
    <w:p>
      <w:pPr>
        <w:spacing w:after="0" w:line="40"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David Meeker, M.D.</w:t>
      </w:r>
    </w:p>
    <w:p>
      <w:pPr>
        <w:spacing w:after="0" w:line="27" w:lineRule="exact"/>
        <w:rPr>
          <w:sz w:val="20"/>
          <w:szCs w:val="20"/>
          <w:color w:val="auto"/>
        </w:rPr>
      </w:pPr>
    </w:p>
    <w:p>
      <w:pPr>
        <w:ind w:right="940"/>
        <w:spacing w:after="0" w:line="278" w:lineRule="auto"/>
        <w:rPr>
          <w:sz w:val="20"/>
          <w:szCs w:val="20"/>
          <w:color w:val="auto"/>
        </w:rPr>
      </w:pPr>
      <w:r>
        <w:rPr>
          <w:rFonts w:ascii="Calibri" w:cs="Calibri" w:eastAsia="Calibri" w:hAnsi="Calibri"/>
          <w:sz w:val="20"/>
          <w:szCs w:val="20"/>
          <w:color w:val="auto"/>
        </w:rPr>
        <w:t>President and Chief Executive Officer, Rhythm Pharmaceuticals, Inc.</w:t>
      </w:r>
    </w:p>
    <w:p>
      <w:pPr>
        <w:spacing w:after="0" w:line="280"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Dominick Colangelo</w:t>
      </w:r>
    </w:p>
    <w:p>
      <w:pPr>
        <w:spacing w:after="0" w:line="27" w:lineRule="exact"/>
        <w:rPr>
          <w:sz w:val="20"/>
          <w:szCs w:val="20"/>
          <w:color w:val="auto"/>
        </w:rPr>
      </w:pPr>
    </w:p>
    <w:p>
      <w:pPr>
        <w:spacing w:after="0"/>
        <w:rPr>
          <w:sz w:val="20"/>
          <w:szCs w:val="20"/>
          <w:color w:val="auto"/>
        </w:rPr>
      </w:pPr>
      <w:r>
        <w:rPr>
          <w:rFonts w:ascii="Calibri" w:cs="Calibri" w:eastAsia="Calibri" w:hAnsi="Calibri"/>
          <w:sz w:val="19"/>
          <w:szCs w:val="19"/>
          <w:color w:val="auto"/>
        </w:rPr>
        <w:t>President and Chief Executive Officer, Vericel Corporation</w:t>
      </w:r>
    </w:p>
    <w:p>
      <w:pPr>
        <w:spacing w:after="0" w:line="345"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Jennifer Good</w:t>
      </w:r>
    </w:p>
    <w:p>
      <w:pPr>
        <w:spacing w:after="0" w:line="27" w:lineRule="exact"/>
        <w:rPr>
          <w:sz w:val="20"/>
          <w:szCs w:val="20"/>
          <w:color w:val="auto"/>
        </w:rPr>
      </w:pPr>
    </w:p>
    <w:p>
      <w:pPr>
        <w:ind w:right="120"/>
        <w:spacing w:after="0" w:line="277" w:lineRule="auto"/>
        <w:rPr>
          <w:sz w:val="20"/>
          <w:szCs w:val="20"/>
          <w:color w:val="auto"/>
        </w:rPr>
      </w:pPr>
      <w:r>
        <w:rPr>
          <w:rFonts w:ascii="Calibri" w:cs="Calibri" w:eastAsia="Calibri" w:hAnsi="Calibri"/>
          <w:sz w:val="20"/>
          <w:szCs w:val="20"/>
          <w:color w:val="auto"/>
        </w:rPr>
        <w:t>Co-Founder, President and Chief Executive Officer, Trevi Therapeutics, Inc.</w:t>
      </w:r>
    </w:p>
    <w:p>
      <w:pPr>
        <w:spacing w:after="0" w:line="282"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Michael Heffernan</w:t>
      </w:r>
    </w:p>
    <w:p>
      <w:pPr>
        <w:spacing w:after="0" w:line="27" w:lineRule="exact"/>
        <w:rPr>
          <w:sz w:val="20"/>
          <w:szCs w:val="20"/>
          <w:color w:val="auto"/>
        </w:rPr>
      </w:pPr>
    </w:p>
    <w:p>
      <w:pPr>
        <w:ind w:right="220"/>
        <w:spacing w:after="0" w:line="253" w:lineRule="auto"/>
        <w:rPr>
          <w:sz w:val="20"/>
          <w:szCs w:val="20"/>
          <w:color w:val="auto"/>
        </w:rPr>
      </w:pPr>
      <w:r>
        <w:rPr>
          <w:rFonts w:ascii="Calibri" w:cs="Calibri" w:eastAsia="Calibri" w:hAnsi="Calibri"/>
          <w:sz w:val="20"/>
          <w:szCs w:val="20"/>
          <w:color w:val="auto"/>
        </w:rPr>
        <w:t>Founder, former Chief Executive Officer and Chairman, Collegium Pharmaceutical</w:t>
      </w:r>
    </w:p>
    <w:p>
      <w:pPr>
        <w:spacing w:after="0" w:line="310"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Edward Mathers</w:t>
      </w:r>
    </w:p>
    <w:p>
      <w:pPr>
        <w:spacing w:after="0" w:line="27" w:lineRule="exact"/>
        <w:rPr>
          <w:sz w:val="20"/>
          <w:szCs w:val="20"/>
          <w:color w:val="auto"/>
        </w:rPr>
      </w:pPr>
    </w:p>
    <w:p>
      <w:pPr>
        <w:spacing w:after="0"/>
        <w:rPr>
          <w:sz w:val="20"/>
          <w:szCs w:val="20"/>
          <w:color w:val="auto"/>
        </w:rPr>
      </w:pPr>
      <w:r>
        <w:rPr>
          <w:rFonts w:ascii="Calibri" w:cs="Calibri" w:eastAsia="Calibri" w:hAnsi="Calibri"/>
          <w:sz w:val="20"/>
          <w:szCs w:val="20"/>
          <w:color w:val="auto"/>
        </w:rPr>
        <w:t>Partner, New Enterprise Associates, Inc.</w:t>
      </w:r>
    </w:p>
    <w:p>
      <w:pPr>
        <w:spacing w:after="0" w:line="336"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Anne VanLent</w:t>
      </w:r>
    </w:p>
    <w:p>
      <w:pPr>
        <w:spacing w:after="0" w:line="27" w:lineRule="exact"/>
        <w:rPr>
          <w:sz w:val="20"/>
          <w:szCs w:val="20"/>
          <w:color w:val="auto"/>
        </w:rPr>
      </w:pPr>
    </w:p>
    <w:p>
      <w:pPr>
        <w:spacing w:after="0"/>
        <w:rPr>
          <w:sz w:val="20"/>
          <w:szCs w:val="20"/>
          <w:color w:val="auto"/>
        </w:rPr>
      </w:pPr>
      <w:r>
        <w:rPr>
          <w:rFonts w:ascii="Calibri" w:cs="Calibri" w:eastAsia="Calibri" w:hAnsi="Calibri"/>
          <w:sz w:val="20"/>
          <w:szCs w:val="20"/>
          <w:color w:val="auto"/>
        </w:rPr>
        <w:t>President, AMV Advisors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36"/>
          <w:szCs w:val="36"/>
          <w:u w:val="single" w:color="auto"/>
          <w:color w:val="000634"/>
        </w:rPr>
        <w:t>Stockholder Information</w:t>
      </w:r>
    </w:p>
    <w:p>
      <w:pPr>
        <w:spacing w:after="0" w:line="41"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Executive Offices</w:t>
      </w:r>
    </w:p>
    <w:p>
      <w:pPr>
        <w:spacing w:after="0" w:line="27" w:lineRule="exact"/>
        <w:rPr>
          <w:sz w:val="20"/>
          <w:szCs w:val="20"/>
          <w:color w:val="auto"/>
        </w:rPr>
      </w:pPr>
    </w:p>
    <w:p>
      <w:pPr>
        <w:spacing w:after="0"/>
        <w:rPr>
          <w:sz w:val="20"/>
          <w:szCs w:val="20"/>
          <w:color w:val="auto"/>
        </w:rPr>
      </w:pPr>
      <w:r>
        <w:rPr>
          <w:rFonts w:ascii="Calibri" w:cs="Calibri" w:eastAsia="Calibri" w:hAnsi="Calibri"/>
          <w:sz w:val="20"/>
          <w:szCs w:val="20"/>
          <w:color w:val="auto"/>
        </w:rPr>
        <w:t>Trevi Therapeutics, Inc.</w:t>
      </w:r>
    </w:p>
    <w:p>
      <w:pPr>
        <w:spacing w:after="0" w:line="20" w:lineRule="exact"/>
        <w:rPr>
          <w:sz w:val="20"/>
          <w:szCs w:val="20"/>
          <w:color w:val="auto"/>
        </w:rPr>
      </w:pPr>
    </w:p>
    <w:p>
      <w:pPr>
        <w:spacing w:after="0"/>
        <w:rPr>
          <w:sz w:val="20"/>
          <w:szCs w:val="20"/>
          <w:color w:val="auto"/>
        </w:rPr>
      </w:pPr>
      <w:r>
        <w:rPr>
          <w:rFonts w:ascii="Calibri" w:cs="Calibri" w:eastAsia="Calibri" w:hAnsi="Calibri"/>
          <w:sz w:val="20"/>
          <w:szCs w:val="20"/>
          <w:color w:val="auto"/>
        </w:rPr>
        <w:t>195 Church Street, 16th Floor</w:t>
      </w:r>
    </w:p>
    <w:p>
      <w:pPr>
        <w:spacing w:after="0" w:line="50" w:lineRule="exact"/>
        <w:rPr>
          <w:sz w:val="20"/>
          <w:szCs w:val="20"/>
          <w:color w:val="auto"/>
        </w:rPr>
      </w:pPr>
    </w:p>
    <w:p>
      <w:pPr>
        <w:spacing w:after="0"/>
        <w:rPr>
          <w:sz w:val="20"/>
          <w:szCs w:val="20"/>
          <w:color w:val="auto"/>
        </w:rPr>
      </w:pPr>
      <w:r>
        <w:rPr>
          <w:rFonts w:ascii="Calibri" w:cs="Calibri" w:eastAsia="Calibri" w:hAnsi="Calibri"/>
          <w:sz w:val="20"/>
          <w:szCs w:val="20"/>
          <w:color w:val="auto"/>
        </w:rPr>
        <w:t>New Haven, CT 06510</w:t>
      </w:r>
    </w:p>
    <w:p>
      <w:pPr>
        <w:spacing w:after="0" w:line="339"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Investor Relations</w:t>
      </w:r>
    </w:p>
    <w:p>
      <w:pPr>
        <w:spacing w:after="0" w:line="27" w:lineRule="exact"/>
        <w:rPr>
          <w:sz w:val="20"/>
          <w:szCs w:val="20"/>
          <w:color w:val="auto"/>
        </w:rPr>
      </w:pPr>
    </w:p>
    <w:p>
      <w:pPr>
        <w:spacing w:after="0"/>
        <w:rPr>
          <w:sz w:val="20"/>
          <w:szCs w:val="20"/>
          <w:color w:val="auto"/>
        </w:rPr>
      </w:pPr>
      <w:r>
        <w:rPr>
          <w:rFonts w:ascii="Calibri" w:cs="Calibri" w:eastAsia="Calibri" w:hAnsi="Calibri"/>
          <w:sz w:val="20"/>
          <w:szCs w:val="20"/>
          <w:color w:val="auto"/>
        </w:rPr>
        <w:t>You can contact Jonathan Carlson directly at:</w:t>
      </w:r>
    </w:p>
    <w:p>
      <w:pPr>
        <w:spacing w:after="0" w:line="290" w:lineRule="exact"/>
        <w:rPr>
          <w:sz w:val="20"/>
          <w:szCs w:val="20"/>
          <w:color w:val="auto"/>
        </w:rPr>
      </w:pPr>
    </w:p>
    <w:p>
      <w:pPr>
        <w:spacing w:after="0"/>
        <w:rPr>
          <w:sz w:val="20"/>
          <w:szCs w:val="20"/>
          <w:color w:val="auto"/>
        </w:rPr>
      </w:pPr>
      <w:r>
        <w:rPr>
          <w:rFonts w:ascii="Calibri" w:cs="Calibri" w:eastAsia="Calibri" w:hAnsi="Calibri"/>
          <w:sz w:val="20"/>
          <w:szCs w:val="20"/>
          <w:color w:val="auto"/>
        </w:rPr>
        <w:t>Trevi Therapeutics, Inc.</w:t>
      </w:r>
    </w:p>
    <w:p>
      <w:pPr>
        <w:spacing w:after="0" w:line="26" w:lineRule="exact"/>
        <w:rPr>
          <w:sz w:val="20"/>
          <w:szCs w:val="20"/>
          <w:color w:val="auto"/>
        </w:rPr>
      </w:pPr>
    </w:p>
    <w:p>
      <w:pPr>
        <w:spacing w:after="0"/>
        <w:rPr>
          <w:sz w:val="20"/>
          <w:szCs w:val="20"/>
          <w:color w:val="auto"/>
        </w:rPr>
      </w:pPr>
      <w:r>
        <w:rPr>
          <w:rFonts w:ascii="Calibri" w:cs="Calibri" w:eastAsia="Calibri" w:hAnsi="Calibri"/>
          <w:sz w:val="20"/>
          <w:szCs w:val="20"/>
          <w:color w:val="auto"/>
        </w:rPr>
        <w:t>195 Church Street, 16th Floor</w:t>
      </w:r>
    </w:p>
    <w:p>
      <w:pPr>
        <w:spacing w:after="0" w:line="50" w:lineRule="exact"/>
        <w:rPr>
          <w:sz w:val="20"/>
          <w:szCs w:val="20"/>
          <w:color w:val="auto"/>
        </w:rPr>
      </w:pPr>
    </w:p>
    <w:p>
      <w:pPr>
        <w:spacing w:after="0"/>
        <w:rPr>
          <w:sz w:val="20"/>
          <w:szCs w:val="20"/>
          <w:color w:val="auto"/>
        </w:rPr>
      </w:pPr>
      <w:r>
        <w:rPr>
          <w:rFonts w:ascii="Calibri" w:cs="Calibri" w:eastAsia="Calibri" w:hAnsi="Calibri"/>
          <w:sz w:val="20"/>
          <w:szCs w:val="20"/>
          <w:color w:val="auto"/>
        </w:rPr>
        <w:t>New Haven, CT 06510</w:t>
      </w:r>
    </w:p>
    <w:p>
      <w:pPr>
        <w:spacing w:after="0" w:line="50" w:lineRule="exact"/>
        <w:rPr>
          <w:sz w:val="20"/>
          <w:szCs w:val="20"/>
          <w:color w:val="auto"/>
        </w:rPr>
      </w:pPr>
    </w:p>
    <w:p>
      <w:pPr>
        <w:spacing w:after="0"/>
        <w:rPr>
          <w:sz w:val="20"/>
          <w:szCs w:val="20"/>
          <w:color w:val="auto"/>
        </w:rPr>
      </w:pPr>
      <w:r>
        <w:rPr>
          <w:rFonts w:ascii="Calibri" w:cs="Calibri" w:eastAsia="Calibri" w:hAnsi="Calibri"/>
          <w:sz w:val="20"/>
          <w:szCs w:val="20"/>
          <w:color w:val="auto"/>
        </w:rPr>
        <w:t>Telephone: (203) 654 3286</w:t>
      </w:r>
    </w:p>
    <w:p>
      <w:pPr>
        <w:spacing w:after="0" w:line="27" w:lineRule="exact"/>
        <w:rPr>
          <w:sz w:val="20"/>
          <w:szCs w:val="20"/>
          <w:color w:val="auto"/>
        </w:rPr>
      </w:pPr>
    </w:p>
    <w:p>
      <w:pPr>
        <w:spacing w:after="0"/>
        <w:rPr>
          <w:sz w:val="20"/>
          <w:szCs w:val="20"/>
          <w:color w:val="auto"/>
        </w:rPr>
      </w:pPr>
      <w:r>
        <w:rPr>
          <w:rFonts w:ascii="Calibri" w:cs="Calibri" w:eastAsia="Calibri" w:hAnsi="Calibri"/>
          <w:sz w:val="20"/>
          <w:szCs w:val="20"/>
          <w:color w:val="auto"/>
        </w:rPr>
        <w:t>Email: carlsonj@trevitherapeutics.com</w:t>
      </w:r>
    </w:p>
    <w:p>
      <w:pPr>
        <w:spacing w:after="0" w:line="336"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Transfer Agent &amp; Registrar</w:t>
      </w:r>
    </w:p>
    <w:p>
      <w:pPr>
        <w:spacing w:after="0" w:line="27" w:lineRule="exact"/>
        <w:rPr>
          <w:sz w:val="20"/>
          <w:szCs w:val="20"/>
          <w:color w:val="auto"/>
        </w:rPr>
      </w:pPr>
    </w:p>
    <w:p>
      <w:pPr>
        <w:spacing w:after="0"/>
        <w:rPr>
          <w:sz w:val="20"/>
          <w:szCs w:val="20"/>
          <w:color w:val="auto"/>
        </w:rPr>
      </w:pPr>
      <w:r>
        <w:rPr>
          <w:rFonts w:ascii="Calibri" w:cs="Calibri" w:eastAsia="Calibri" w:hAnsi="Calibri"/>
          <w:sz w:val="20"/>
          <w:szCs w:val="20"/>
          <w:color w:val="auto"/>
        </w:rPr>
        <w:t>Computershare</w:t>
      </w:r>
    </w:p>
    <w:p>
      <w:pPr>
        <w:spacing w:after="0" w:line="20" w:lineRule="exact"/>
        <w:rPr>
          <w:sz w:val="20"/>
          <w:szCs w:val="20"/>
          <w:color w:val="auto"/>
        </w:rPr>
      </w:pPr>
    </w:p>
    <w:p>
      <w:pPr>
        <w:spacing w:after="0"/>
        <w:rPr>
          <w:sz w:val="20"/>
          <w:szCs w:val="20"/>
          <w:color w:val="auto"/>
        </w:rPr>
      </w:pPr>
      <w:r>
        <w:rPr>
          <w:rFonts w:ascii="Calibri" w:cs="Calibri" w:eastAsia="Calibri" w:hAnsi="Calibri"/>
          <w:sz w:val="20"/>
          <w:szCs w:val="20"/>
          <w:color w:val="auto"/>
        </w:rPr>
        <w:t>P.O. Box 43006</w:t>
      </w:r>
    </w:p>
    <w:p>
      <w:pPr>
        <w:spacing w:after="0" w:line="26" w:lineRule="exact"/>
        <w:rPr>
          <w:sz w:val="20"/>
          <w:szCs w:val="20"/>
          <w:color w:val="auto"/>
        </w:rPr>
      </w:pPr>
    </w:p>
    <w:p>
      <w:pPr>
        <w:spacing w:after="0"/>
        <w:rPr>
          <w:sz w:val="20"/>
          <w:szCs w:val="20"/>
          <w:color w:val="auto"/>
        </w:rPr>
      </w:pPr>
      <w:r>
        <w:rPr>
          <w:rFonts w:ascii="Calibri" w:cs="Calibri" w:eastAsia="Calibri" w:hAnsi="Calibri"/>
          <w:sz w:val="20"/>
          <w:szCs w:val="20"/>
          <w:color w:val="auto"/>
        </w:rPr>
        <w:t>Providence, RI 02940-3006</w:t>
      </w:r>
    </w:p>
    <w:p>
      <w:pPr>
        <w:spacing w:after="0" w:line="26" w:lineRule="exact"/>
        <w:rPr>
          <w:sz w:val="20"/>
          <w:szCs w:val="20"/>
          <w:color w:val="auto"/>
        </w:rPr>
      </w:pPr>
    </w:p>
    <w:p>
      <w:pPr>
        <w:spacing w:after="0"/>
        <w:rPr>
          <w:sz w:val="20"/>
          <w:szCs w:val="20"/>
          <w:color w:val="auto"/>
        </w:rPr>
      </w:pPr>
      <w:r>
        <w:rPr>
          <w:rFonts w:ascii="Calibri" w:cs="Calibri" w:eastAsia="Calibri" w:hAnsi="Calibri"/>
          <w:sz w:val="20"/>
          <w:szCs w:val="20"/>
          <w:color w:val="auto"/>
        </w:rPr>
        <w:t>Stockholder Inquiries: (877) 373-6374</w:t>
      </w:r>
    </w:p>
    <w:p>
      <w:pPr>
        <w:spacing w:after="0" w:line="342"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Legal Counsel</w:t>
      </w:r>
    </w:p>
    <w:p>
      <w:pPr>
        <w:spacing w:after="0" w:line="27" w:lineRule="exact"/>
        <w:rPr>
          <w:sz w:val="20"/>
          <w:szCs w:val="20"/>
          <w:color w:val="auto"/>
        </w:rPr>
      </w:pPr>
    </w:p>
    <w:p>
      <w:pPr>
        <w:ind w:right="1160"/>
        <w:spacing w:after="0" w:line="292" w:lineRule="auto"/>
        <w:rPr>
          <w:sz w:val="20"/>
          <w:szCs w:val="20"/>
          <w:color w:val="auto"/>
        </w:rPr>
      </w:pPr>
      <w:r>
        <w:rPr>
          <w:rFonts w:ascii="Calibri" w:cs="Calibri" w:eastAsia="Calibri" w:hAnsi="Calibri"/>
          <w:sz w:val="20"/>
          <w:szCs w:val="20"/>
          <w:color w:val="auto"/>
        </w:rPr>
        <w:t>Wilmer Cutler Pickering Hale and Dorr LLP Boston, MA</w:t>
      </w:r>
    </w:p>
    <w:p>
      <w:pPr>
        <w:spacing w:after="0" w:line="266"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Independent Registered Public Accountant</w:t>
      </w:r>
    </w:p>
    <w:p>
      <w:pPr>
        <w:spacing w:after="0" w:line="27" w:lineRule="exact"/>
        <w:rPr>
          <w:sz w:val="20"/>
          <w:szCs w:val="20"/>
          <w:color w:val="auto"/>
        </w:rPr>
      </w:pPr>
    </w:p>
    <w:p>
      <w:pPr>
        <w:spacing w:after="0"/>
        <w:rPr>
          <w:sz w:val="20"/>
          <w:szCs w:val="20"/>
          <w:color w:val="auto"/>
        </w:rPr>
      </w:pPr>
      <w:r>
        <w:rPr>
          <w:rFonts w:ascii="Calibri" w:cs="Calibri" w:eastAsia="Calibri" w:hAnsi="Calibri"/>
          <w:sz w:val="20"/>
          <w:szCs w:val="20"/>
          <w:color w:val="auto"/>
        </w:rPr>
        <w:t>Ernst &amp; Young LLP</w:t>
      </w:r>
    </w:p>
    <w:p>
      <w:pPr>
        <w:spacing w:after="0" w:line="24" w:lineRule="exact"/>
        <w:rPr>
          <w:sz w:val="20"/>
          <w:szCs w:val="20"/>
          <w:color w:val="auto"/>
        </w:rPr>
      </w:pPr>
    </w:p>
    <w:p>
      <w:pPr>
        <w:spacing w:after="0"/>
        <w:rPr>
          <w:sz w:val="20"/>
          <w:szCs w:val="20"/>
          <w:color w:val="auto"/>
        </w:rPr>
      </w:pPr>
      <w:r>
        <w:rPr>
          <w:rFonts w:ascii="Calibri" w:cs="Calibri" w:eastAsia="Calibri" w:hAnsi="Calibri"/>
          <w:sz w:val="20"/>
          <w:szCs w:val="20"/>
          <w:color w:val="auto"/>
        </w:rPr>
        <w:t>New York, NY</w:t>
      </w:r>
    </w:p>
    <w:p>
      <w:pPr>
        <w:spacing w:after="0" w:line="284"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auto"/>
        </w:rPr>
        <w:t>Stock Exchange</w:t>
      </w:r>
    </w:p>
    <w:p>
      <w:pPr>
        <w:spacing w:after="0" w:line="27" w:lineRule="exact"/>
        <w:rPr>
          <w:sz w:val="20"/>
          <w:szCs w:val="20"/>
          <w:color w:val="auto"/>
        </w:rPr>
      </w:pPr>
    </w:p>
    <w:p>
      <w:pPr>
        <w:ind w:right="140"/>
        <w:spacing w:after="0" w:line="277" w:lineRule="auto"/>
        <w:rPr>
          <w:sz w:val="20"/>
          <w:szCs w:val="20"/>
          <w:color w:val="auto"/>
        </w:rPr>
      </w:pPr>
      <w:r>
        <w:rPr>
          <w:rFonts w:ascii="Calibri" w:cs="Calibri" w:eastAsia="Calibri" w:hAnsi="Calibri"/>
          <w:sz w:val="20"/>
          <w:szCs w:val="20"/>
          <w:color w:val="auto"/>
        </w:rPr>
        <w:t>Trevi Therapeutics, Inc. is traded on the Nasdaq Global Market under the ticker symbol “TRVI”</w:t>
      </w:r>
    </w:p>
    <w:p>
      <w:pPr>
        <w:sectPr>
          <w:pgSz w:w="12240" w:h="15840" w:orient="portrait"/>
          <w:cols w:equalWidth="0" w:num="2">
            <w:col w:w="4680" w:space="280"/>
            <w:col w:w="4580"/>
          </w:cols>
          <w:pgMar w:left="1260" w:top="1144" w:right="1440"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2053590</wp:posOffset>
            </wp:positionH>
            <wp:positionV relativeFrom="page">
              <wp:posOffset>6937375</wp:posOffset>
            </wp:positionV>
            <wp:extent cx="3714750" cy="1619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6">
                      <a:extLst>
                        <a:ext uri="{28A0092B-C50C-407E-A947-70E740481C1C}"/>
                      </a:extLst>
                    </a:blip>
                    <a:srcRect/>
                    <a:stretch>
                      <a:fillRect/>
                    </a:stretch>
                  </pic:blipFill>
                  <pic:spPr bwMode="auto">
                    <a:xfrm>
                      <a:off x="0" y="0"/>
                      <a:ext cx="3714750" cy="161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9"/>
        <w:spacing w:after="0"/>
        <w:rPr>
          <w:sz w:val="20"/>
          <w:szCs w:val="20"/>
          <w:color w:val="auto"/>
        </w:rPr>
      </w:pPr>
      <w:r>
        <w:rPr>
          <w:rFonts w:ascii="Calibri" w:cs="Calibri" w:eastAsia="Calibri" w:hAnsi="Calibri"/>
          <w:sz w:val="30"/>
          <w:szCs w:val="30"/>
          <w:color w:val="auto"/>
        </w:rPr>
        <w:t>195 Church Street, 16th FL</w:t>
      </w:r>
    </w:p>
    <w:p>
      <w:pPr>
        <w:spacing w:after="0" w:line="33" w:lineRule="exact"/>
        <w:rPr>
          <w:sz w:val="20"/>
          <w:szCs w:val="20"/>
          <w:color w:val="auto"/>
        </w:rPr>
      </w:pPr>
    </w:p>
    <w:p>
      <w:pPr>
        <w:jc w:val="center"/>
        <w:ind w:right="-319"/>
        <w:spacing w:after="0"/>
        <w:rPr>
          <w:sz w:val="20"/>
          <w:szCs w:val="20"/>
          <w:color w:val="auto"/>
        </w:rPr>
      </w:pPr>
      <w:r>
        <w:rPr>
          <w:rFonts w:ascii="Calibri" w:cs="Calibri" w:eastAsia="Calibri" w:hAnsi="Calibri"/>
          <w:sz w:val="30"/>
          <w:szCs w:val="30"/>
          <w:color w:val="auto"/>
        </w:rPr>
        <w:t>New Haven, CT 06510</w:t>
      </w:r>
    </w:p>
    <w:sectPr>
      <w:pgSz w:w="12240" w:h="15840" w:orient="portrait"/>
      <w:cols w:equalWidth="0" w:num="1">
        <w:col w:w="9360"/>
      </w:cols>
      <w:pgMar w:left="1440" w:top="1440" w:right="1440" w:bottom="99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Unicode MS">
    <w:panose1 w:val="020B0604020202020204"/>
    <w:charset w:val="00"/>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C3DBD3D"/>
    <w:multiLevelType w:val="hybridMultilevel"/>
    <w:lvl w:ilvl="0">
      <w:lvlJc w:val="left"/>
      <w:lvlText w:val="շ"/>
      <w:numFmt w:val="bullet"/>
      <w:start w:val="1"/>
    </w:lvl>
  </w:abstractNum>
  <w:abstractNum w:abstractNumId="1">
    <w:nsid w:val="737B8DDC"/>
    <w:multiLevelType w:val="hybridMultilevel"/>
    <w:lvl w:ilvl="0">
      <w:lvlJc w:val="left"/>
      <w:lvlText w:val="ն"/>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1"/>
      <w:numFmt w:val="decimal"/>
      <w:start w:val="97"/>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1."/>
      <w:numFmt w:val="decimal"/>
      <w:start w:val="2"/>
    </w:lvl>
  </w:abstractNum>
  <w:abstractNum w:abstractNumId="49">
    <w:nsid w:val="649BB77C"/>
    <w:multiLevelType w:val="hybridMultilevel"/>
    <w:lvl w:ilvl="0">
      <w:lvlJc w:val="left"/>
      <w:lvlText w:val="%1."/>
      <w:numFmt w:val="decimal"/>
      <w:start w:val="3"/>
    </w:lvl>
  </w:abstractNum>
  <w:abstractNum w:abstractNumId="50">
    <w:nsid w:val="275AC794"/>
    <w:multiLevelType w:val="hybridMultilevel"/>
    <w:lvl w:ilvl="0">
      <w:lvlJc w:val="left"/>
      <w:lvlText w:val="%1."/>
      <w:numFmt w:val="decimal"/>
      <w:start w:val="4"/>
    </w:lvl>
  </w:abstractNum>
  <w:abstractNum w:abstractNumId="51">
    <w:nsid w:val="39386575"/>
    <w:multiLevelType w:val="hybridMultilevel"/>
    <w:lvl w:ilvl="0">
      <w:lvlJc w:val="left"/>
      <w:lvlText w:val="%1."/>
      <w:numFmt w:val="decimal"/>
      <w:start w:val="5"/>
    </w:lvl>
  </w:abstractNum>
  <w:abstractNum w:abstractNumId="52">
    <w:nsid w:val="1CF10FD8"/>
    <w:multiLevelType w:val="hybridMultilevel"/>
    <w:lvl w:ilvl="0">
      <w:lvlJc w:val="left"/>
      <w:lvlText w:val="%1."/>
      <w:numFmt w:val="decimal"/>
      <w:start w:val="6"/>
    </w:lvl>
  </w:abstractNum>
  <w:abstractNum w:abstractNumId="53">
    <w:nsid w:val="180115BE"/>
    <w:multiLevelType w:val="hybridMultilevel"/>
    <w:lvl w:ilvl="0">
      <w:lvlJc w:val="left"/>
      <w:lvlText w:val="%1."/>
      <w:numFmt w:val="decimal"/>
      <w:start w:val="7"/>
    </w:lvl>
  </w:abstractNum>
  <w:abstractNum w:abstractNumId="54">
    <w:nsid w:val="235BA861"/>
    <w:multiLevelType w:val="hybridMultilevel"/>
    <w:lvl w:ilvl="0">
      <w:lvlJc w:val="left"/>
      <w:lvlText w:val="%1."/>
      <w:numFmt w:val="decimal"/>
      <w:start w:val="8"/>
    </w:lvl>
  </w:abstractNum>
  <w:abstractNum w:abstractNumId="55">
    <w:nsid w:val="47398C89"/>
    <w:multiLevelType w:val="hybridMultilevel"/>
    <w:lvl w:ilvl="0">
      <w:lvlJc w:val="left"/>
      <w:lvlText w:val="%1."/>
      <w:numFmt w:val="decimal"/>
      <w:start w:val="9"/>
    </w:lvl>
  </w:abstractNum>
  <w:abstractNum w:abstractNumId="56">
    <w:nsid w:val="354FE9F9"/>
    <w:multiLevelType w:val="hybridMultilevel"/>
    <w:lvl w:ilvl="0">
      <w:lvlJc w:val="left"/>
      <w:lvlText w:val="%1."/>
      <w:numFmt w:val="decimal"/>
      <w:start w:val="10"/>
    </w:lvl>
  </w:abstractNum>
  <w:abstractNum w:abstractNumId="57">
    <w:nsid w:val="15B5AF5C"/>
    <w:multiLevelType w:val="hybridMultilevel"/>
    <w:lvl w:ilvl="0">
      <w:lvlJc w:val="left"/>
      <w:lvlText w:val="%1."/>
      <w:numFmt w:val="decimal"/>
      <w:start w:val="1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decimal"/>
      <w:start w:val="12"/>
    </w:lvl>
  </w:abstractNum>
  <w:abstractNum w:abstractNumId="60">
    <w:nsid w:val="10233C99"/>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2026-04-21T15:02:42Z</dcterms:created>
  <dcterms:modified xsi:type="dcterms:W3CDTF">2026-04-21T15:02:42Z</dcterms:modified>
</cp:coreProperties>
</file>