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Trevi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Stephanie Brecher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New Enterprise Associates, 1954 Greenspring Drive, Suite 600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Timonium, MD, 21093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(410)842-4000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New Enterprise Associates 16,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15,074,080.00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15,074,080.00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15,074,080.00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NEA Partners 16,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15,074,080.00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15,074,080.00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15,074,080.00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NEA 16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15,074,080.00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15,074,080.00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15,074,080.00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10.5 %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NEA 18 Venture Growth Equity,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15,074,080.00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15,074,080.00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15,074,080.00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NEA Partners 18 VGE,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15,074,080.00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15,074,080.00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15,074,080.00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NEA 18 VGE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15,074,080.00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15,074,080.00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15,074,080.00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Forest Baskett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14,125,132.00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14,125,132.00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14,125,132.00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9.8 %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Ali Behbahani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15,074,080.00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15,074,080.00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15,074,080.00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10.5 %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Carmen Chang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15,074,080.00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15,074,080.00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15,074,080.00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Anthony A. Florence, Jr.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8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15,074,080.00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15,074,080.00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15,074,080.00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8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Mohamad H. Makhzoumi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0099"/>
          </w:cols>
          <w:pgMar w:left="360" w:top="189" w:right="1440" w:bottom="0" w:gutter="0" w:footer="0" w:header="0"/>
          <w:type w:val="continuous"/>
        </w:sectPr>
      </w:pPr>
    </w:p>
    <w:bookmarkStart w:id="9" w:name="page10"/>
    <w:bookmarkEnd w:id="9"/>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15,074,080.00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15,074,080.00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15,074,080.00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Scott D. Sandell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355" w:right="1440" w:bottom="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15,074,080.00</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Sole Dispositive Power</w:t>
            </w:r>
          </w:p>
        </w:tc>
      </w:tr>
      <w:tr>
        <w:trPr>
          <w:trHeight w:val="294"/>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440" w:type="dxa"/>
            <w:vAlign w:val="bottom"/>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r>
    </w:tbl>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15,074,080.00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15,074,080.00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10.5 %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Paul Walker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15,074,080.00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15,074,080.00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15,074,080.00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02"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02" w:right="1440" w:bottom="0" w:gutter="0" w:footer="0" w:header="0"/>
          <w:type w:val="continuous"/>
        </w:sectPr>
      </w:pPr>
    </w:p>
    <w:bookmarkStart w:id="11" w:name="page12"/>
    <w:bookmarkEnd w:id="11"/>
    <w:p>
      <w:pPr>
        <w:ind w:left="1120" w:right="5560" w:hanging="1112"/>
        <w:spacing w:after="0" w:line="371" w:lineRule="auto"/>
        <w:tabs>
          <w:tab w:leader="none" w:pos="11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10.5 %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Trevi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195 Church Street, 16th Floor, New Haven, CONNECTICUT , 06510.</w:t>
      </w:r>
    </w:p>
    <w:p>
      <w:pPr>
        <w:spacing w:after="0" w:line="20" w:lineRule="exact"/>
        <w:rPr>
          <w:sz w:val="20"/>
          <w:szCs w:val="20"/>
          <w:color w:val="auto"/>
        </w:rPr>
      </w:pPr>
    </w:p>
    <w:p>
      <w:pPr>
        <w:jc w:val="right"/>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9 ("Amendment No. 9") to Schedule 13D amends and supplements the statement on Schedule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13D originally filed on May 20, 2019 (the "Schedule 13D"), Amendment No. 1 thereto filed on April 16, 2020</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("Amendment No. 1"), Amendment No. 2 thereto filed on November 2, 2021 ("Amendment No. 2"), Amendment No.</w:t>
      </w:r>
    </w:p>
    <w:p>
      <w:pPr>
        <w:spacing w:after="0" w:line="1" w:lineRule="exact"/>
        <w:rPr>
          <w:sz w:val="20"/>
          <w:szCs w:val="20"/>
          <w:color w:val="auto"/>
        </w:rPr>
      </w:pPr>
    </w:p>
    <w:p>
      <w:pPr>
        <w:jc w:val="both"/>
        <w:ind w:left="960"/>
        <w:spacing w:after="0" w:line="231" w:lineRule="auto"/>
        <w:rPr>
          <w:sz w:val="20"/>
          <w:szCs w:val="20"/>
          <w:color w:val="auto"/>
        </w:rPr>
      </w:pPr>
      <w:r>
        <w:rPr>
          <w:rFonts w:ascii="Times New Roman" w:cs="Times New Roman" w:eastAsia="Times New Roman" w:hAnsi="Times New Roman"/>
          <w:sz w:val="22"/>
          <w:szCs w:val="22"/>
          <w:color w:val="auto"/>
        </w:rPr>
        <w:t>3 thereto filed on April 25, 2022 ("Amendment No. 3"), Amendment No. 4 thereto filed on May 21, 2024 ("Amendment No. 4"), Amendment No. 5 thereto filed on November 8, 2024 ("Amendment No. 5"), Amendment No. 6 thereto filed on March 20, 2025 ("Amendment No. 6"), Amendment No. 7 thereto filed on August 11, 2025 ("Amendment No. 7") and Amendment No. 8 thereto filed on February 13, 2026 ("Amendment No. 8"), relating to the Common Stock of the Issuer. Certain terms used but not defined in this Amendment No. 9 have the meanings assigned thereto in the Schedule 13D (and Amendment No. 1, Amendment No. 2, Amendment No. 3, Amendment No. 4, Amendment No. 5, Amendment No. 6, Amendment No. 7 and Amendment No. 8 thereto). Except as specifically provided herein, this Amendment No. 9 does not modify any of the information previously reported on the Schedule 13D (and Amendment No. 1, Amendment No. 2, Amendment No. 3, Amendment No. 4, Amendment No. 5, Amendment No. 6, Amendment No. 7 and Amendment No. 8 thereto). This Amendment No. 9 is being filed to report that the beneficial ownership of Common Stock by the Reporting Persons (as defined below) has decreased by more than 1% as a result of an increase in the number of Common Stock outstanding.</w:t>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100"/>
        <w:spacing w:after="0" w:line="246" w:lineRule="auto"/>
        <w:rPr>
          <w:sz w:val="20"/>
          <w:szCs w:val="20"/>
          <w:color w:val="auto"/>
        </w:rPr>
      </w:pPr>
      <w:r>
        <w:rPr>
          <w:rFonts w:ascii="Times New Roman" w:cs="Times New Roman" w:eastAsia="Times New Roman" w:hAnsi="Times New Roman"/>
          <w:sz w:val="21"/>
          <w:szCs w:val="21"/>
          <w:color w:val="auto"/>
        </w:rPr>
        <w:t>New Enterprise Associates 16, L.P. ("NEA 16") and NEA 18 Venture Growth Equity, L.P. ("NEA 18 VGE" and together with NEA 16, the "Funds"); NEA Partners 16, L.P. ("NEA Partners 16"), which is the sole general partner of NEA 16; NEA Partners 18 VGE, L.P. ("NEA Partners 18 VGE" and together with NEA Partners 16, the "GPLPs"), which is the sole general partner of NEA 18 VGE; NEA 16 GP, LLC ("NEA 16 LLC"), which is the sole general partner of NEA Partners 16; and NEA 18 VGE GP, LLC ("NEA 18 VGE LLC" and together with NEA 16 LLC, the</w:t>
      </w:r>
    </w:p>
    <w:p>
      <w:pPr>
        <w:spacing w:after="0" w:line="1" w:lineRule="exact"/>
        <w:rPr>
          <w:sz w:val="20"/>
          <w:szCs w:val="20"/>
          <w:color w:val="auto"/>
        </w:rPr>
      </w:pPr>
    </w:p>
    <w:p>
      <w:pPr>
        <w:ind w:left="920" w:right="220" w:hanging="912"/>
        <w:spacing w:after="0" w:line="204" w:lineRule="auto"/>
        <w:tabs>
          <w:tab w:leader="none" w:pos="92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"GP LLCs"), which is the sole general partner of NEA Partners 18 VGE; Forest Baskett ("Baskett"), Ali Behbahani ("Behbahani"), Carmen Chang ("Chang"), Anthony A. Florence, Jr. ("Florence"), Mohamad H. Makhzoumi ("Makhzoumi"), Scott D. Sandell ("Sandell") and Paul Walker ("Walker") (together, the "Managers"). Behbahani, Chang, Florence, Makhzoumi, Sandell and Walker (the "Plural Managers") are managers of NEA 16 LLC and NEA 18 VGE LLC. Baskett is a manager of NEA 16 LLC. The persons named in this Item 2 are referred to individually herein as a "Reporting Person" and collectively as the "Reporting Persons" and the GPLPs and the GP LLCs are referred to herein as the "Control Entities."</w:t>
      </w:r>
    </w:p>
    <w:p>
      <w:pPr>
        <w:spacing w:after="0" w:line="20" w:lineRule="exact"/>
        <w:rPr>
          <w:rFonts w:ascii="Times New Roman" w:cs="Times New Roman" w:eastAsia="Times New Roman" w:hAnsi="Times New Roman"/>
          <w:sz w:val="43"/>
          <w:szCs w:val="43"/>
          <w:color w:val="auto"/>
          <w:vertAlign w:val="subscript"/>
        </w:rPr>
      </w:pPr>
    </w:p>
    <w:p>
      <w:pPr>
        <w:ind w:left="920" w:right="260"/>
        <w:spacing w:after="0" w:line="253"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The address of the principal business office of each Fund, each Control Entity and Sandell is New Enterprise Associates, 1954 Greenspring Drive, Suite 600, Timonium, MD 21093. The address of the principal business office</w:t>
      </w:r>
    </w:p>
    <w:p>
      <w:pPr>
        <w:ind w:left="920" w:right="280" w:hanging="912"/>
        <w:spacing w:after="0" w:line="235"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Baskett, Behbahani, Chang, Makhzoumi and Walker is New Enterprise Associates, 2855 Sand Hill Road, Menlo Park, CA 94025. The address of the principal business office of Florence is New Enterprise Associates, 104 5th Avenue, 19th Floor, New York, NY 10011.</w:t>
      </w:r>
    </w:p>
    <w:p>
      <w:pPr>
        <w:spacing w:after="0" w:line="15" w:lineRule="exact"/>
        <w:rPr>
          <w:rFonts w:ascii="Times New Roman" w:cs="Times New Roman" w:eastAsia="Times New Roman" w:hAnsi="Times New Roman"/>
          <w:sz w:val="22"/>
          <w:szCs w:val="22"/>
          <w:color w:val="auto"/>
        </w:rPr>
      </w:pPr>
    </w:p>
    <w:p>
      <w:pPr>
        <w:ind w:left="920" w:right="22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principal business of NEA 16 and NEA 18 VGE is to invest in and assist growth-oriented businesses located principally in the United States. The principal business of NEA Partners 16 is to act as the sole general partner of NEA 16. The principal business of NEA Partners 18 VGE is to act as the sole general partner of NEA 18 VGE. The</w:t>
      </w:r>
    </w:p>
    <w:p>
      <w:pPr>
        <w:spacing w:after="0" w:line="1" w:lineRule="exact"/>
        <w:rPr>
          <w:rFonts w:ascii="Times New Roman" w:cs="Times New Roman" w:eastAsia="Times New Roman" w:hAnsi="Times New Roman"/>
          <w:sz w:val="22"/>
          <w:szCs w:val="22"/>
          <w:color w:val="auto"/>
        </w:rPr>
      </w:pPr>
    </w:p>
    <w:p>
      <w:pPr>
        <w:ind w:left="920" w:right="140" w:hanging="912"/>
        <w:spacing w:after="0" w:line="234"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principal business of NEA 16 LLC is to act as the sole general partner of NEA Partners 16. The principal business of NEA 18 VGE LLC is to act as the sole general partner of NEA Partners 18 VGE. The principal business of each of the Managers is to manage the Control Entities, NEA 16, NEA 18 VGE and a number of affiliated partnerships with similar businesses, as applicable.</w:t>
      </w:r>
    </w:p>
    <w:p>
      <w:pPr>
        <w:spacing w:after="0" w:line="15" w:lineRule="exact"/>
        <w:rPr>
          <w:rFonts w:ascii="Times New Roman" w:cs="Times New Roman" w:eastAsia="Times New Roman" w:hAnsi="Times New Roman"/>
          <w:sz w:val="22"/>
          <w:szCs w:val="22"/>
          <w:color w:val="auto"/>
        </w:rPr>
      </w:pPr>
    </w:p>
    <w:p>
      <w:pPr>
        <w:ind w:left="920" w:right="580" w:hanging="912"/>
        <w:spacing w:after="0" w:line="282" w:lineRule="auto"/>
        <w:tabs>
          <w:tab w:leader="none" w:pos="92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five years prior to the date hereof, none of the Reporting Persons has been convicted in a criminal proceeding or has been a party to a civil proceeding ending in a judgment, decree or final order enjoining future</w:t>
      </w:r>
    </w:p>
    <w:p>
      <w:pPr>
        <w:sectPr>
          <w:pgSz w:w="11900" w:h="16838" w:orient="portrait"/>
          <w:cols w:equalWidth="0" w:num="1">
            <w:col w:w="11160"/>
          </w:cols>
          <w:pgMar w:left="360" w:top="112" w:right="379" w:bottom="0" w:gutter="0" w:footer="0" w:header="0"/>
        </w:sectPr>
      </w:pPr>
    </w:p>
    <w:bookmarkStart w:id="12" w:name="page13"/>
    <w:bookmarkEnd w:id="12"/>
    <w:p>
      <w:pPr>
        <w:ind w:left="920" w:right="40"/>
        <w:spacing w:after="0" w:line="256" w:lineRule="auto"/>
        <w:rPr>
          <w:sz w:val="20"/>
          <w:szCs w:val="20"/>
          <w:color w:val="auto"/>
        </w:rPr>
      </w:pPr>
      <w:r>
        <w:rPr>
          <w:rFonts w:ascii="Times New Roman" w:cs="Times New Roman" w:eastAsia="Times New Roman" w:hAnsi="Times New Roman"/>
          <w:sz w:val="22"/>
          <w:szCs w:val="22"/>
          <w:color w:val="auto"/>
        </w:rPr>
        <w:t>violations of, or prohibiting or mandating activities subject to, federal or state securities laws or finding any violation with respect to such laws.</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During the five years prior to the date hereof, none of the Reporting Persons has been convicted in a criminal</w:t>
      </w:r>
    </w:p>
    <w:p>
      <w:pPr>
        <w:spacing w:after="0" w:line="14" w:lineRule="exact"/>
        <w:rPr>
          <w:sz w:val="20"/>
          <w:szCs w:val="20"/>
          <w:color w:val="auto"/>
        </w:rPr>
      </w:pPr>
    </w:p>
    <w:p>
      <w:pPr>
        <w:ind w:left="920" w:right="40" w:hanging="912"/>
        <w:spacing w:after="0" w:line="184" w:lineRule="auto"/>
        <w:tabs>
          <w:tab w:leader="none" w:pos="920" w:val="left"/>
        </w:tabs>
        <w:numPr>
          <w:ilvl w:val="0"/>
          <w:numId w:val="1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proceeding or has been a party to a civil proceeding ending in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NEA 16 LLC and NEA 18 VGE LLC are each a limited liability company organized under the laws of the State of</w:t>
      </w:r>
    </w:p>
    <w:p>
      <w:pPr>
        <w:spacing w:after="0" w:line="14" w:lineRule="exact"/>
        <w:rPr>
          <w:rFonts w:ascii="Times New Roman" w:cs="Times New Roman" w:eastAsia="Times New Roman" w:hAnsi="Times New Roman"/>
          <w:sz w:val="42"/>
          <w:szCs w:val="42"/>
          <w:color w:val="auto"/>
          <w:vertAlign w:val="subscript"/>
        </w:rPr>
      </w:pPr>
    </w:p>
    <w:p>
      <w:pPr>
        <w:ind w:left="920" w:right="220" w:hanging="912"/>
        <w:spacing w:after="0" w:line="237"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Delaware. NEA 16, NEA 18 VGE, NEA Partners 16 and NEA Partners 18 VGE are limited partnerships organized under the laws of the State of Delaware. Each of the Managers is a United States citizen.</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spacing w:after="0" w:line="244" w:lineRule="auto"/>
        <w:rPr>
          <w:sz w:val="20"/>
          <w:szCs w:val="20"/>
          <w:color w:val="auto"/>
        </w:rPr>
      </w:pPr>
      <w:r>
        <w:rPr>
          <w:rFonts w:ascii="Times New Roman" w:cs="Times New Roman" w:eastAsia="Times New Roman" w:hAnsi="Times New Roman"/>
          <w:sz w:val="21"/>
          <w:szCs w:val="21"/>
          <w:color w:val="auto"/>
        </w:rPr>
        <w:t>The Funds acquired the Firm Shares for investment purposes. Depending on market conditions, its continuing evaluation of the business and prospects of the Issuer and other factors, the Funds and other Reporting Persons may dispose of or acquire additional shares of the Issuer, including shares that may be acquired upon exercise of the NEA 16 Warrants prior to expiration. Except as set forth above, none of the Reporting Persons has any present plans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assets of the Issuer or any of its subsidiaries; (d) Any change in the present board of directors or management of the Issuer, including any plans or proposals to change the number or term of directors or to fill any existing vacancies on the board; (e) Any material change in the present capitalization or dividend policy of the Issuer; (f) Any other material change in the Issuer's business or corporate structure; (g) Changes in the Issuer's charter, bylaws or instruments corresponding thereto or other actions which may impede the acquisition of control of the Issuer by any person; (h) Causing a class of securities of the Issuer to be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Securities Exchange Act of 1934; or (j) Any action similar to any of those enumerated above.</w:t>
      </w:r>
    </w:p>
    <w:p>
      <w:pPr>
        <w:spacing w:after="0" w:line="1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0"/>
        <w:spacing w:after="0" w:line="243" w:lineRule="auto"/>
        <w:rPr>
          <w:sz w:val="20"/>
          <w:szCs w:val="20"/>
          <w:color w:val="auto"/>
        </w:rPr>
      </w:pPr>
      <w:r>
        <w:rPr>
          <w:rFonts w:ascii="Times New Roman" w:cs="Times New Roman" w:eastAsia="Times New Roman" w:hAnsi="Times New Roman"/>
          <w:sz w:val="21"/>
          <w:szCs w:val="21"/>
          <w:color w:val="auto"/>
        </w:rPr>
        <w:t>As of May 5, 2026, NEA 16 is the record owner of 12,273,280 shares of Common Stock and may be deemed to beneficially hold 1,851,852 shares of Common Stock underlying the NEA 16 Warrants (collectively, the "NEA 16 Shares"). As the general partner of NEA 16, NEA Partners 16 may be deemed to own beneficially the NEA 16 Shares. As the sole general partner of NEA Partners 16, NEA 16 LLC may be deemed to own beneficially the NEA 16 Shares. NEA 18 VGE is the record owner of 948,948 shares of Common Stock (the "NEA 18 VGE Shares"). As the general partner of NEA 18 VGE, NEA Partners 18 VGE may be deemed to own beneficially the NEA 18 VGE Shares. As the general partner of NEA Partners 18 VGE, NEA 18 VGE LLC may be deemed to own beneficially the NEA 18 VGE Shares. The NEA 16 Shares and the NEA 18 VGE Shares are referred to herein as the "Firm Shares." By virtue of their relationship as affiliated entities, whose Control Entities have overlapping individual controlling persons, each of the Funds may be deemed to share the power to direct the disposition and vote of the Firm Shares.</w:t>
      </w:r>
    </w:p>
    <w:p>
      <w:pPr>
        <w:spacing w:after="0" w:line="9" w:lineRule="exact"/>
        <w:rPr>
          <w:sz w:val="20"/>
          <w:szCs w:val="20"/>
          <w:color w:val="auto"/>
        </w:rPr>
      </w:pPr>
    </w:p>
    <w:p>
      <w:pPr>
        <w:ind w:left="920" w:hanging="912"/>
        <w:spacing w:after="0" w:line="214" w:lineRule="auto"/>
        <w:tabs>
          <w:tab w:leader="none" w:pos="920" w:val="left"/>
        </w:tabs>
        <w:numPr>
          <w:ilvl w:val="0"/>
          <w:numId w:val="1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As general partners of the Funds, each of the GPLPs may also be deemed to own beneficially the Firm Shares. As the sole general partner of NEA Partners 16, NEA 16 LLC may also be deemed to own beneficially the Firm Shares. As the sole general partner of NEA Partners 18 VGE, NEA 18 VGE LLC may also be deemed to own beneficially the Firm Shares. As individual managers of NEA 16 LLC and NEA 18 VGE LLC, each of the Plural Managers may be deemed to own beneficially all of the Firm Shares. As an individual manager of NEA 16 LLC, Baskett may be deemed to own beneficially the NEA 16 Shares. Each Reporting Person disclaims beneficial ownership of the Firm Shares other than those shares which such person owns of record. The percentage of outstanding Common Stock of the Issuer which may be deemed to be beneficially owned by each Reporting Person is set forth on Line 13 of such Reporting Person's cover sheet. Such percentage was calculated for each Reporting Person based on 143,831,560 shares of Common Stock, which include (i) the 141,979,708 shares of Common Stock reported by the Issuer to be outstanding as of April 30, 2026 on the Issuer's Form 10-Q filed with the Securities and Exchange Commission on May 5, 2026 and (ii) the NEA 16 Warrants.</w:t>
      </w:r>
    </w:p>
    <w:p>
      <w:pPr>
        <w:spacing w:after="0" w:line="23"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Regarding the number of shares as to which such person has: (i) sole power to vote or to direct the vote: See line 7 of</w:t>
      </w:r>
    </w:p>
    <w:p>
      <w:pPr>
        <w:spacing w:after="0" w:line="25" w:lineRule="exact"/>
        <w:rPr>
          <w:rFonts w:ascii="Times New Roman" w:cs="Times New Roman" w:eastAsia="Times New Roman" w:hAnsi="Times New Roman"/>
          <w:sz w:val="43"/>
          <w:szCs w:val="43"/>
          <w:color w:val="auto"/>
          <w:vertAlign w:val="subscript"/>
        </w:rPr>
      </w:pPr>
    </w:p>
    <w:p>
      <w:pPr>
        <w:ind w:left="920" w:hanging="912"/>
        <w:spacing w:after="0" w:line="181" w:lineRule="auto"/>
        <w:tabs>
          <w:tab w:leader="none" w:pos="920" w:val="left"/>
        </w:tabs>
        <w:numPr>
          <w:ilvl w:val="0"/>
          <w:numId w:val="13"/>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cover sheets (ii) shared power to vote or to direct the vote: See line 8 of cover sheets (iii) sole power to dispose or to</w:t>
      </w:r>
    </w:p>
    <w:p>
      <w:pPr>
        <w:ind w:left="920" w:right="120"/>
        <w:spacing w:after="0" w:line="237"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direct the disposition: See line 9 of cover sheets (iv) shared power to dispose or to direct the disposition: See line 10 of cover sheets.</w:t>
      </w:r>
    </w:p>
    <w:p>
      <w:pPr>
        <w:spacing w:after="0" w:line="16" w:lineRule="exact"/>
        <w:rPr>
          <w:rFonts w:ascii="Times New Roman" w:cs="Times New Roman" w:eastAsia="Times New Roman" w:hAnsi="Times New Roman"/>
          <w:sz w:val="28"/>
          <w:szCs w:val="28"/>
          <w:color w:val="auto"/>
          <w:vertAlign w:val="subscript"/>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Reporting Persons have effected any transaction in the last 60 days.</w:t>
      </w:r>
    </w:p>
    <w:p>
      <w:pPr>
        <w:spacing w:after="0" w:line="44" w:lineRule="exact"/>
        <w:rPr>
          <w:rFonts w:ascii="Times New Roman" w:cs="Times New Roman" w:eastAsia="Times New Roman" w:hAnsi="Times New Roman"/>
          <w:sz w:val="22"/>
          <w:szCs w:val="22"/>
          <w:color w:val="auto"/>
        </w:rPr>
      </w:pPr>
    </w:p>
    <w:p>
      <w:pPr>
        <w:ind w:left="920" w:right="420" w:hanging="912"/>
        <w:spacing w:after="0" w:line="185" w:lineRule="auto"/>
        <w:tabs>
          <w:tab w:leader="none" w:pos="920" w:val="left"/>
        </w:tabs>
        <w:numPr>
          <w:ilvl w:val="0"/>
          <w:numId w:val="1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other person is known to have the right to receive or the power to direct the receipt of dividends from, or any proceeds from the sale of, Common Stock beneficially owned by any of the Reporting Persons.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920" w:right="1600" w:hanging="917"/>
        <w:spacing w:after="0" w:line="281" w:lineRule="auto"/>
        <w:tabs>
          <w:tab w:leader="none" w:pos="900"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Not applicable.</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120"/>
        <w:spacing w:after="0" w:line="258" w:lineRule="auto"/>
        <w:rPr>
          <w:sz w:val="20"/>
          <w:szCs w:val="20"/>
          <w:color w:val="auto"/>
        </w:rPr>
      </w:pPr>
      <w:r>
        <w:rPr>
          <w:rFonts w:ascii="Times New Roman" w:cs="Times New Roman" w:eastAsia="Times New Roman" w:hAnsi="Times New Roman"/>
          <w:sz w:val="22"/>
          <w:szCs w:val="22"/>
          <w:color w:val="auto"/>
        </w:rPr>
        <w:t>Exhibit 1 - Agreement regarding filing of joint Schedule 13D. Exhibit 2 - Power of Attorney regarding filings under the Securities Exchange Act of 1934 as amended.</w:t>
      </w:r>
    </w:p>
    <w:p>
      <w:pPr>
        <w:sectPr>
          <w:pgSz w:w="11900" w:h="16838" w:orient="portrait"/>
          <w:cols w:equalWidth="0" w:num="1">
            <w:col w:w="11080"/>
          </w:cols>
          <w:pgMar w:left="360" w:top="112" w:right="459" w:bottom="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New Enterprise Associates 16,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Nicole Hatcher</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1"/>
          <w:szCs w:val="21"/>
          <w:color w:val="auto"/>
        </w:rPr>
        <w:t>Nicole Hatcher as attorney-in-fact for Anthony A.</w:t>
      </w:r>
    </w:p>
    <w:p>
      <w:pPr>
        <w:spacing w:after="0" w:line="1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Name/Title: Florence Jr., Managing Partner and Co-Chief</w:t>
      </w:r>
    </w:p>
    <w:p>
      <w:pPr>
        <w:ind w:left="6520"/>
        <w:spacing w:after="0"/>
        <w:rPr>
          <w:sz w:val="20"/>
          <w:szCs w:val="20"/>
          <w:color w:val="auto"/>
        </w:rPr>
      </w:pPr>
      <w:r>
        <w:rPr>
          <w:rFonts w:ascii="Times New Roman" w:cs="Times New Roman" w:eastAsia="Times New Roman" w:hAnsi="Times New Roman"/>
          <w:sz w:val="22"/>
          <w:szCs w:val="22"/>
          <w:color w:val="auto"/>
        </w:rPr>
        <w:t>Executive Officer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Nicole Hatcher</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Nicole Hatcher as attorney-in-fact for Mohamad</w:t>
      </w:r>
    </w:p>
    <w:p>
      <w:pPr>
        <w:spacing w:after="0" w:line="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Name/Title: H. Makhzoumi, Managing Partner and Co-Chief</w:t>
      </w:r>
    </w:p>
    <w:p>
      <w:pPr>
        <w:ind w:left="6520"/>
        <w:spacing w:after="0"/>
        <w:rPr>
          <w:sz w:val="20"/>
          <w:szCs w:val="20"/>
          <w:color w:val="auto"/>
        </w:rPr>
      </w:pPr>
      <w:r>
        <w:rPr>
          <w:rFonts w:ascii="Times New Roman" w:cs="Times New Roman" w:eastAsia="Times New Roman" w:hAnsi="Times New Roman"/>
          <w:sz w:val="22"/>
          <w:szCs w:val="22"/>
          <w:color w:val="auto"/>
        </w:rPr>
        <w:t>Executive Officer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NEA Partners 16,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Nicole Hatcher</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1"/>
          <w:szCs w:val="21"/>
          <w:color w:val="auto"/>
        </w:rPr>
        <w:t>Nicole Hatcher as attorney-in-fact for Anthony A.</w:t>
      </w:r>
    </w:p>
    <w:p>
      <w:pPr>
        <w:spacing w:after="0" w:line="1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Name/Title: Florence Jr., Managing Partner and Co-Chief</w:t>
      </w:r>
    </w:p>
    <w:p>
      <w:pPr>
        <w:ind w:left="6520"/>
        <w:spacing w:after="0"/>
        <w:rPr>
          <w:sz w:val="20"/>
          <w:szCs w:val="20"/>
          <w:color w:val="auto"/>
        </w:rPr>
      </w:pPr>
      <w:r>
        <w:rPr>
          <w:rFonts w:ascii="Times New Roman" w:cs="Times New Roman" w:eastAsia="Times New Roman" w:hAnsi="Times New Roman"/>
          <w:sz w:val="22"/>
          <w:szCs w:val="22"/>
          <w:color w:val="auto"/>
        </w:rPr>
        <w:t>Executive Officer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Nicole Hatcher</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Nicole Hatcher as attorney-in-fact for Mohamad</w:t>
      </w:r>
    </w:p>
    <w:p>
      <w:pPr>
        <w:spacing w:after="0" w:line="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Name/Title: H. Makhzoumi, Managing Partner and Co-Chief</w:t>
      </w:r>
    </w:p>
    <w:p>
      <w:pPr>
        <w:ind w:left="6520"/>
        <w:spacing w:after="0"/>
        <w:rPr>
          <w:sz w:val="20"/>
          <w:szCs w:val="20"/>
          <w:color w:val="auto"/>
        </w:rPr>
      </w:pPr>
      <w:r>
        <w:rPr>
          <w:rFonts w:ascii="Times New Roman" w:cs="Times New Roman" w:eastAsia="Times New Roman" w:hAnsi="Times New Roman"/>
          <w:sz w:val="22"/>
          <w:szCs w:val="22"/>
          <w:color w:val="auto"/>
        </w:rPr>
        <w:t>Executive Officer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NEA 16 GP, LLC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Nicole Hatcher</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1"/>
          <w:szCs w:val="21"/>
          <w:color w:val="auto"/>
        </w:rPr>
        <w:t>Nicole Hatcher as attorney-in-fact for Anthony A.</w:t>
      </w:r>
    </w:p>
    <w:p>
      <w:pPr>
        <w:spacing w:after="0" w:line="1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Name/Title: Florence Jr., Managing Partner and Co-Chief</w:t>
      </w:r>
    </w:p>
    <w:p>
      <w:pPr>
        <w:ind w:left="6520"/>
        <w:spacing w:after="0"/>
        <w:rPr>
          <w:sz w:val="20"/>
          <w:szCs w:val="20"/>
          <w:color w:val="auto"/>
        </w:rPr>
      </w:pPr>
      <w:r>
        <w:rPr>
          <w:rFonts w:ascii="Times New Roman" w:cs="Times New Roman" w:eastAsia="Times New Roman" w:hAnsi="Times New Roman"/>
          <w:sz w:val="22"/>
          <w:szCs w:val="22"/>
          <w:color w:val="auto"/>
        </w:rPr>
        <w:t>Executive Officer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Nicole Hatcher</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Nicole Hatcher as attorney-in-fact for Mohamad</w:t>
      </w:r>
    </w:p>
    <w:p>
      <w:pPr>
        <w:spacing w:after="0" w:line="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Name/Title: H. Makhzoumi, Managing Partner and Co-Chief</w:t>
      </w:r>
    </w:p>
    <w:p>
      <w:pPr>
        <w:ind w:left="6520"/>
        <w:spacing w:after="0"/>
        <w:rPr>
          <w:sz w:val="20"/>
          <w:szCs w:val="20"/>
          <w:color w:val="auto"/>
        </w:rPr>
      </w:pPr>
      <w:r>
        <w:rPr>
          <w:rFonts w:ascii="Times New Roman" w:cs="Times New Roman" w:eastAsia="Times New Roman" w:hAnsi="Times New Roman"/>
          <w:sz w:val="22"/>
          <w:szCs w:val="22"/>
          <w:color w:val="auto"/>
        </w:rPr>
        <w:t>Executive Officer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NEA 18 Venture Growth Equity,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Nicole Hatcher</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1"/>
          <w:szCs w:val="21"/>
          <w:color w:val="auto"/>
        </w:rPr>
        <w:t>Nicole Hatcher as attorney-in-fact for Anthony A.</w:t>
      </w:r>
    </w:p>
    <w:p>
      <w:pPr>
        <w:spacing w:after="0" w:line="1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Name/Title: Florence Jr., Managing Partner and Co-Chief</w:t>
      </w:r>
    </w:p>
    <w:p>
      <w:pPr>
        <w:ind w:left="6520"/>
        <w:spacing w:after="0"/>
        <w:rPr>
          <w:sz w:val="20"/>
          <w:szCs w:val="20"/>
          <w:color w:val="auto"/>
        </w:rPr>
      </w:pPr>
      <w:r>
        <w:rPr>
          <w:rFonts w:ascii="Times New Roman" w:cs="Times New Roman" w:eastAsia="Times New Roman" w:hAnsi="Times New Roman"/>
          <w:sz w:val="22"/>
          <w:szCs w:val="22"/>
          <w:color w:val="auto"/>
        </w:rPr>
        <w:t>Executive Officer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Nicole Hatcher</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Nicole Hatcher as attorney-in-fact for Mohamad</w:t>
      </w:r>
    </w:p>
    <w:p>
      <w:pPr>
        <w:spacing w:after="0" w:line="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Name/Title: H. Makhzoumi, Managing Partner and Co-Chief</w:t>
      </w:r>
    </w:p>
    <w:p>
      <w:pPr>
        <w:ind w:left="6520"/>
        <w:spacing w:after="0"/>
        <w:rPr>
          <w:sz w:val="20"/>
          <w:szCs w:val="20"/>
          <w:color w:val="auto"/>
        </w:rPr>
      </w:pPr>
      <w:r>
        <w:rPr>
          <w:rFonts w:ascii="Times New Roman" w:cs="Times New Roman" w:eastAsia="Times New Roman" w:hAnsi="Times New Roman"/>
          <w:sz w:val="22"/>
          <w:szCs w:val="22"/>
          <w:color w:val="auto"/>
        </w:rPr>
        <w:t>Executive Officer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NEA Partners 18 VGE,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Nicole Hatcher</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1"/>
          <w:szCs w:val="21"/>
          <w:color w:val="auto"/>
        </w:rPr>
        <w:t>Nicole Hatcher as attorney-in-fact for Anthony A.</w:t>
      </w:r>
    </w:p>
    <w:p>
      <w:pPr>
        <w:spacing w:after="0" w:line="1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Name/Title: Florence Jr., Managing Partner and Co-Chief</w:t>
      </w:r>
    </w:p>
    <w:p>
      <w:pPr>
        <w:ind w:left="6520"/>
        <w:spacing w:after="0"/>
        <w:rPr>
          <w:sz w:val="20"/>
          <w:szCs w:val="20"/>
          <w:color w:val="auto"/>
        </w:rPr>
      </w:pPr>
      <w:r>
        <w:rPr>
          <w:rFonts w:ascii="Times New Roman" w:cs="Times New Roman" w:eastAsia="Times New Roman" w:hAnsi="Times New Roman"/>
          <w:sz w:val="22"/>
          <w:szCs w:val="22"/>
          <w:color w:val="auto"/>
        </w:rPr>
        <w:t>Executive Officer</w:t>
      </w:r>
    </w:p>
    <w:p>
      <w:pPr>
        <w:sectPr>
          <w:pgSz w:w="11900" w:h="16838" w:orient="portrait"/>
          <w:cols w:equalWidth="0" w:num="1">
            <w:col w:w="10920"/>
          </w:cols>
          <w:pgMar w:left="580" w:top="396" w:right="399" w:bottom="0" w:gutter="0" w:footer="0" w:header="0"/>
        </w:sectPr>
      </w:pPr>
    </w:p>
    <w:bookmarkStart w:id="14" w:name="page15"/>
    <w:bookmarkEnd w:id="14"/>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3"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Nicole Hatcher</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Nicole Hatcher as attorney-in-fact for Mohamad</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H. Makhzoumi, Managing Partner and Co-Chief</w:t>
      </w:r>
    </w:p>
    <w:p>
      <w:pPr>
        <w:ind w:left="5660"/>
        <w:spacing w:after="0"/>
        <w:rPr>
          <w:sz w:val="20"/>
          <w:szCs w:val="20"/>
          <w:color w:val="auto"/>
        </w:rPr>
      </w:pPr>
      <w:r>
        <w:rPr>
          <w:rFonts w:ascii="Times New Roman" w:cs="Times New Roman" w:eastAsia="Times New Roman" w:hAnsi="Times New Roman"/>
          <w:sz w:val="22"/>
          <w:szCs w:val="22"/>
          <w:color w:val="auto"/>
        </w:rPr>
        <w:t>Executive Officer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NEA 18 VGE GP,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Nicole Hatcher</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Nicole Hatcher as attorney-in-fact for Anthony A.</w:t>
      </w:r>
    </w:p>
    <w:p>
      <w:pPr>
        <w:spacing w:after="0" w:line="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Florence Jr., Managing Partner and Co-Chief</w:t>
      </w:r>
    </w:p>
    <w:p>
      <w:pPr>
        <w:ind w:left="5660"/>
        <w:spacing w:after="0"/>
        <w:rPr>
          <w:sz w:val="20"/>
          <w:szCs w:val="20"/>
          <w:color w:val="auto"/>
        </w:rPr>
      </w:pPr>
      <w:r>
        <w:rPr>
          <w:rFonts w:ascii="Times New Roman" w:cs="Times New Roman" w:eastAsia="Times New Roman" w:hAnsi="Times New Roman"/>
          <w:sz w:val="22"/>
          <w:szCs w:val="22"/>
          <w:color w:val="auto"/>
        </w:rPr>
        <w:t>Executive Officer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Nicole Hatcher</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Nicole Hatcher as attorney-in-fact for Mohamad</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H. Makhzoumi, Managing Partner and Co-Chief</w:t>
      </w:r>
    </w:p>
    <w:p>
      <w:pPr>
        <w:ind w:left="5660"/>
        <w:spacing w:after="0"/>
        <w:rPr>
          <w:sz w:val="20"/>
          <w:szCs w:val="20"/>
          <w:color w:val="auto"/>
        </w:rPr>
      </w:pPr>
      <w:r>
        <w:rPr>
          <w:rFonts w:ascii="Times New Roman" w:cs="Times New Roman" w:eastAsia="Times New Roman" w:hAnsi="Times New Roman"/>
          <w:sz w:val="22"/>
          <w:szCs w:val="22"/>
          <w:color w:val="auto"/>
        </w:rPr>
        <w:t>Executive Officer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Forest Baskett</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Nicole Hatcher</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Nicole Hatcher as attorney-in-fact for Forest</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Baskett</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Ali Behbahani</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Nicole Hatcher</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Nicole Hatcher as attorney-in-fact for Ali</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Behbahani</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Carmen Chang</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Nicole Hatcher</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Nicole</w:t>
      </w:r>
      <w:r>
        <w:rPr>
          <w:rFonts w:ascii="Times New Roman" w:cs="Times New Roman" w:eastAsia="Times New Roman" w:hAnsi="Times New Roman"/>
          <w:sz w:val="37"/>
          <w:szCs w:val="37"/>
          <w:color w:val="auto"/>
          <w:vertAlign w:val="subscript"/>
        </w:rPr>
        <w:t>Chang</w:t>
      </w:r>
      <w:r>
        <w:rPr>
          <w:rFonts w:ascii="Times New Roman" w:cs="Times New Roman" w:eastAsia="Times New Roman" w:hAnsi="Times New Roman"/>
          <w:sz w:val="19"/>
          <w:szCs w:val="19"/>
          <w:color w:val="auto"/>
        </w:rPr>
        <w:t xml:space="preserve"> Hatcher as attorney-in-fact for Carmen</w:t>
      </w:r>
    </w:p>
    <w:p>
      <w:pPr>
        <w:spacing w:after="0" w:line="129"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Anthony A. Florence, Jr.</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Nicole Hatcher</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Nicole Hatcher as attorney-in-fact for Anthony A.</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Florence Jr.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Mohamad H. Makhzoumi</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Nicole Hatcher</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Nicole Hatcher as attorney-in-fact for Mohamad</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H. Makhzoumi</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Scott D. Sandell</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Nicole Hatcher</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Nicole Hatcher as attorney-in-fact for Scott D.</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Sandell</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Paul Walker</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Nicole Hatcher</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 Nicole Hatcher as attorney-in-fact for Paul Walker</w:t>
      </w:r>
    </w:p>
    <w:p>
      <w:pPr>
        <w:spacing w:after="0" w:line="56"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ectPr>
          <w:pgSz w:w="11900" w:h="16838" w:orient="portrait"/>
          <w:cols w:equalWidth="0" w:num="1">
            <w:col w:w="10020"/>
          </w:cols>
          <w:pgMar w:left="1440" w:top="112" w:right="439" w:bottom="0" w:gutter="0" w:footer="0" w:header="0"/>
        </w:sectPr>
      </w:pPr>
    </w:p>
    <w:bookmarkStart w:id="15" w:name="page16"/>
    <w:bookmarkEnd w:id="15"/>
    <w:p>
      <w:pPr>
        <w:spacing w:after="0" w:line="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Comments accompanying signature:</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Times New Roman" w:cs="Times New Roman" w:eastAsia="Times New Roman" w:hAnsi="Times New Roman"/>
          <w:sz w:val="22"/>
          <w:szCs w:val="22"/>
          <w:color w:val="auto"/>
        </w:rPr>
        <w:t>This Amendment No. 9 to Schedule 13D was executed by Nicole Hatcher on behalf of the individuals listed above pursuant to a Power of Attorney, a copy of which is attached as Exhibit 2.</w:t>
      </w:r>
    </w:p>
    <w:p>
      <w:pPr>
        <w:sectPr>
          <w:pgSz w:w="11900" w:h="16838" w:orient="portrait"/>
          <w:cols w:equalWidth="0" w:num="2">
            <w:col w:w="1200" w:space="620"/>
            <w:col w:w="9340"/>
          </w:cols>
          <w:pgMar w:left="360" w:top="112" w:right="379" w:bottom="1440" w:gutter="0" w:footer="0" w:header="0"/>
        </w:sectPr>
      </w:pPr>
    </w:p>
    <w:bookmarkStart w:id="16" w:name="page17"/>
    <w:bookmarkEnd w:id="16"/>
    <w:p>
      <w:pPr>
        <w:spacing w:after="0" w:line="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0300"/>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Rule 13d-1(k)(1) under the Securities Exchange Act of 1934, the undersigned hereby agree that only one statement containing the information required by Schedule 13D need be filed with respect to the ownership by each of the undersigned of shares of stock of Trevi Therapeutics, Inc.</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EXECUTED this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May, 2026.</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ENTERPRISE ASSOCIATES 16,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NEA PARTNERS 16, L.P.</w:t>
            </w:r>
          </w:p>
        </w:tc>
      </w:tr>
      <w:tr>
        <w:trPr>
          <w:trHeight w:val="234"/>
        </w:trPr>
        <w:tc>
          <w:tcPr>
            <w:tcW w:w="500" w:type="dxa"/>
            <w:vAlign w:val="bottom"/>
          </w:tcPr>
          <w:p>
            <w:pPr>
              <w:spacing w:after="0"/>
              <w:rPr>
                <w:sz w:val="20"/>
                <w:szCs w:val="20"/>
                <w:color w:val="auto"/>
              </w:rPr>
            </w:pPr>
          </w:p>
        </w:tc>
        <w:tc>
          <w:tcPr>
            <w:tcW w:w="50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14"/>
        </w:trPr>
        <w:tc>
          <w:tcPr>
            <w:tcW w:w="50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NEA 16 GP, LLC</w:t>
            </w:r>
          </w:p>
        </w:tc>
      </w:tr>
      <w:tr>
        <w:trPr>
          <w:trHeight w:val="234"/>
        </w:trPr>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3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99"/>
        </w:trPr>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By:  </w:t>
            </w:r>
          </w:p>
        </w:tc>
        <w:tc>
          <w:tcPr>
            <w:tcW w:w="2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Anthony A. Florence, Jr.</w:t>
            </w:r>
          </w:p>
        </w:tc>
      </w:tr>
      <w:tr>
        <w:trPr>
          <w:trHeight w:val="234"/>
        </w:trPr>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Managing Partner and Co-Chief Executive Officer</w:t>
            </w:r>
          </w:p>
        </w:tc>
      </w:tr>
      <w:tr>
        <w:trPr>
          <w:trHeight w:val="405"/>
        </w:trPr>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By:  </w:t>
            </w:r>
          </w:p>
        </w:tc>
        <w:tc>
          <w:tcPr>
            <w:tcW w:w="2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Mohamad Makhzoumi</w:t>
            </w:r>
          </w:p>
        </w:tc>
      </w:tr>
      <w:tr>
        <w:trPr>
          <w:trHeight w:val="234"/>
        </w:trPr>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Managing Partner and Co-Chief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PARTNERS 16,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NEA 16 GP, LLC</w:t>
            </w:r>
          </w:p>
        </w:tc>
      </w:tr>
      <w:tr>
        <w:trPr>
          <w:trHeight w:val="234"/>
        </w:trPr>
        <w:tc>
          <w:tcPr>
            <w:tcW w:w="400" w:type="dxa"/>
            <w:vAlign w:val="bottom"/>
          </w:tcPr>
          <w:p>
            <w:pPr>
              <w:spacing w:after="0"/>
              <w:rPr>
                <w:sz w:val="20"/>
                <w:szCs w:val="20"/>
                <w:color w:val="auto"/>
              </w:rPr>
            </w:pPr>
          </w:p>
        </w:tc>
        <w:tc>
          <w:tcPr>
            <w:tcW w:w="4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05"/>
        </w:trPr>
        <w:tc>
          <w:tcPr>
            <w:tcW w:w="40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3"/>
              </w:rPr>
              <w:t>  By:  </w:t>
            </w:r>
          </w:p>
        </w:tc>
        <w:tc>
          <w:tcPr>
            <w:tcW w:w="2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24"/>
                <w:szCs w:val="24"/>
                <w:color w:val="auto"/>
              </w:rPr>
            </w:pPr>
          </w:p>
        </w:tc>
      </w:tr>
      <w:tr>
        <w:trPr>
          <w:trHeight w:val="214"/>
        </w:trPr>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Anthony A. Florence, Jr.</w:t>
            </w:r>
          </w:p>
        </w:tc>
      </w:tr>
      <w:tr>
        <w:trPr>
          <w:trHeight w:val="258"/>
        </w:trPr>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w:t>
            </w:r>
            <w:r>
              <w:rPr>
                <w:rFonts w:ascii="Times New Roman" w:cs="Times New Roman" w:eastAsia="Times New Roman" w:hAnsi="Times New Roman"/>
                <w:sz w:val="17"/>
                <w:szCs w:val="17"/>
                <w:color w:val="auto"/>
              </w:rPr>
              <w:t>Managing Partner and Co-Chief Executive Officer</w:t>
            </w:r>
          </w:p>
        </w:tc>
      </w:tr>
      <w:tr>
        <w:trPr>
          <w:trHeight w:val="399"/>
        </w:trPr>
        <w:tc>
          <w:tcPr>
            <w:tcW w:w="40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3"/>
              </w:rPr>
              <w:t>  By:  </w:t>
            </w:r>
          </w:p>
        </w:tc>
        <w:tc>
          <w:tcPr>
            <w:tcW w:w="2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24"/>
                <w:szCs w:val="24"/>
                <w:color w:val="auto"/>
              </w:rPr>
            </w:pPr>
          </w:p>
        </w:tc>
      </w:tr>
      <w:tr>
        <w:trPr>
          <w:trHeight w:val="218"/>
        </w:trPr>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Mohamad Makhzoumi</w:t>
            </w:r>
          </w:p>
        </w:tc>
      </w:tr>
      <w:tr>
        <w:trPr>
          <w:trHeight w:val="234"/>
        </w:trPr>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 Managing Partner and Co-Chief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16 GP, LLC</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  </w:t>
            </w:r>
          </w:p>
        </w:tc>
        <w:tc>
          <w:tcPr>
            <w:tcW w:w="2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spacing w:after="0"/>
              <w:rPr>
                <w:sz w:val="18"/>
                <w:szCs w:val="18"/>
                <w:color w:val="auto"/>
              </w:rPr>
            </w:pPr>
          </w:p>
        </w:tc>
      </w:tr>
      <w:tr>
        <w:trPr>
          <w:trHeight w:val="218"/>
        </w:trPr>
        <w:tc>
          <w:tcPr>
            <w:tcW w:w="36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A. Florence, Jr.</w:t>
            </w:r>
          </w:p>
        </w:tc>
      </w:tr>
      <w:tr>
        <w:trPr>
          <w:trHeight w:val="234"/>
        </w:trPr>
        <w:tc>
          <w:tcPr>
            <w:tcW w:w="36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Managing Partner and Co-Chief Executive Officer</w:t>
            </w:r>
          </w:p>
        </w:tc>
      </w:tr>
      <w:tr>
        <w:trPr>
          <w:trHeight w:val="405"/>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  </w:t>
            </w:r>
          </w:p>
        </w:tc>
        <w:tc>
          <w:tcPr>
            <w:tcW w:w="2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spacing w:after="0"/>
              <w:rPr>
                <w:sz w:val="24"/>
                <w:szCs w:val="24"/>
                <w:color w:val="auto"/>
              </w:rPr>
            </w:pPr>
          </w:p>
        </w:tc>
      </w:tr>
      <w:tr>
        <w:trPr>
          <w:trHeight w:val="218"/>
        </w:trPr>
        <w:tc>
          <w:tcPr>
            <w:tcW w:w="36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Mohamad Makhzoumi</w:t>
            </w:r>
          </w:p>
        </w:tc>
      </w:tr>
      <w:tr>
        <w:trPr>
          <w:trHeight w:val="234"/>
        </w:trPr>
        <w:tc>
          <w:tcPr>
            <w:tcW w:w="36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Managing Partner and Co-Chief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Forest Baskett</w:t>
      </w:r>
    </w:p>
    <w:p>
      <w:pPr>
        <w:spacing w:after="0" w:line="200" w:lineRule="exact"/>
        <w:rPr>
          <w:sz w:val="20"/>
          <w:szCs w:val="20"/>
          <w:color w:val="auto"/>
        </w:rPr>
      </w:pPr>
    </w:p>
    <w:p>
      <w:pPr>
        <w:spacing w:after="0" w:line="2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Ali Behbahani</w:t>
      </w:r>
    </w:p>
    <w:p>
      <w:pPr>
        <w:spacing w:after="0" w:line="200" w:lineRule="exact"/>
        <w:rPr>
          <w:sz w:val="20"/>
          <w:szCs w:val="20"/>
          <w:color w:val="auto"/>
        </w:rPr>
      </w:pPr>
    </w:p>
    <w:p>
      <w:pPr>
        <w:spacing w:after="0" w:line="2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Carmen Chang</w:t>
      </w:r>
    </w:p>
    <w:p>
      <w:pPr>
        <w:spacing w:after="0" w:line="200" w:lineRule="exact"/>
        <w:rPr>
          <w:sz w:val="20"/>
          <w:szCs w:val="20"/>
          <w:color w:val="auto"/>
        </w:rPr>
      </w:pPr>
    </w:p>
    <w:p>
      <w:pPr>
        <w:spacing w:after="0" w:line="2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Anthony A. Florence, Jr.</w:t>
      </w:r>
    </w:p>
    <w:p>
      <w:pPr>
        <w:sectPr>
          <w:pgSz w:w="11900" w:h="16868" w:orient="portrait"/>
          <w:cols w:equalWidth="0" w:num="1">
            <w:col w:w="11220"/>
          </w:cols>
          <w:pgMar w:left="320" w:top="428" w:right="359" w:bottom="0" w:gutter="0" w:footer="0" w:header="0"/>
        </w:sectPr>
      </w:pPr>
    </w:p>
    <w:bookmarkStart w:id="17" w:name="page18"/>
    <w:bookmarkEnd w:id="17"/>
    <w:p>
      <w:pPr>
        <w:ind w:left="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Mohamad H. Makhzoumi</w:t>
      </w:r>
    </w:p>
    <w:p>
      <w:pPr>
        <w:spacing w:after="0" w:line="200" w:lineRule="exact"/>
        <w:rPr>
          <w:sz w:val="20"/>
          <w:szCs w:val="20"/>
          <w:color w:val="auto"/>
        </w:rPr>
      </w:pPr>
    </w:p>
    <w:p>
      <w:pPr>
        <w:spacing w:after="0" w:line="2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D. Sandell</w:t>
      </w:r>
    </w:p>
    <w:p>
      <w:pPr>
        <w:spacing w:after="0" w:line="200" w:lineRule="exact"/>
        <w:rPr>
          <w:sz w:val="20"/>
          <w:szCs w:val="20"/>
          <w:color w:val="auto"/>
        </w:rPr>
      </w:pPr>
    </w:p>
    <w:p>
      <w:pPr>
        <w:spacing w:after="0" w:line="223" w:lineRule="exact"/>
        <w:rPr>
          <w:sz w:val="20"/>
          <w:szCs w:val="20"/>
          <w:color w:val="auto"/>
        </w:rPr>
      </w:pPr>
    </w:p>
    <w:p>
      <w:pPr>
        <w:jc w:val="right"/>
        <w:ind w:right="927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jc w:val="right"/>
        <w:ind w:right="9259"/>
        <w:spacing w:after="0"/>
        <w:rPr>
          <w:sz w:val="20"/>
          <w:szCs w:val="20"/>
          <w:color w:val="auto"/>
        </w:rPr>
      </w:pPr>
      <w:r>
        <w:rPr>
          <w:rFonts w:ascii="Times New Roman" w:cs="Times New Roman" w:eastAsia="Times New Roman" w:hAnsi="Times New Roman"/>
          <w:sz w:val="17"/>
          <w:szCs w:val="17"/>
          <w:color w:val="auto"/>
        </w:rPr>
        <w:t>Paul Walker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18 VENTURE GROWTH EQUITY,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NEA PARTNERS 18 VGE, L.P.</w:t>
            </w:r>
          </w:p>
        </w:tc>
      </w:tr>
      <w:tr>
        <w:trPr>
          <w:trHeight w:val="234"/>
        </w:trPr>
        <w:tc>
          <w:tcPr>
            <w:tcW w:w="500" w:type="dxa"/>
            <w:vAlign w:val="bottom"/>
          </w:tcPr>
          <w:p>
            <w:pPr>
              <w:spacing w:after="0"/>
              <w:rPr>
                <w:sz w:val="20"/>
                <w:szCs w:val="20"/>
                <w:color w:val="auto"/>
              </w:rPr>
            </w:pPr>
          </w:p>
        </w:tc>
        <w:tc>
          <w:tcPr>
            <w:tcW w:w="50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14"/>
        </w:trPr>
        <w:tc>
          <w:tcPr>
            <w:tcW w:w="50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NEA 18 VGE GP, LLC</w:t>
            </w:r>
          </w:p>
        </w:tc>
      </w:tr>
      <w:tr>
        <w:trPr>
          <w:trHeight w:val="234"/>
        </w:trPr>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3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99"/>
        </w:trPr>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By:  </w:t>
            </w:r>
          </w:p>
        </w:tc>
        <w:tc>
          <w:tcPr>
            <w:tcW w:w="2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Anthony A. Florence, Jr.</w:t>
            </w:r>
          </w:p>
        </w:tc>
      </w:tr>
      <w:tr>
        <w:trPr>
          <w:trHeight w:val="234"/>
        </w:trPr>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Managing Partner and Co-Chief Executive Officer</w:t>
            </w:r>
          </w:p>
        </w:tc>
      </w:tr>
      <w:tr>
        <w:trPr>
          <w:trHeight w:val="405"/>
        </w:trPr>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By:  </w:t>
            </w:r>
          </w:p>
        </w:tc>
        <w:tc>
          <w:tcPr>
            <w:tcW w:w="2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Mohamad Makhzoumi</w:t>
            </w:r>
          </w:p>
        </w:tc>
      </w:tr>
      <w:tr>
        <w:trPr>
          <w:trHeight w:val="234"/>
        </w:trPr>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Managing Partner and Co-Chief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PARTNERS 18 VGE,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NEA 18 VGE GP, LLC</w:t>
            </w:r>
          </w:p>
        </w:tc>
      </w:tr>
      <w:tr>
        <w:trPr>
          <w:trHeight w:val="234"/>
        </w:trPr>
        <w:tc>
          <w:tcPr>
            <w:tcW w:w="360" w:type="dxa"/>
            <w:vAlign w:val="bottom"/>
          </w:tcPr>
          <w:p>
            <w:pPr>
              <w:spacing w:after="0"/>
              <w:rPr>
                <w:sz w:val="20"/>
                <w:szCs w:val="20"/>
                <w:color w:val="auto"/>
              </w:rPr>
            </w:pPr>
          </w:p>
        </w:tc>
        <w:tc>
          <w:tcPr>
            <w:tcW w:w="42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05"/>
        </w:trPr>
        <w:tc>
          <w:tcPr>
            <w:tcW w:w="36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3"/>
              </w:rPr>
              <w:t>  By:  </w:t>
            </w:r>
          </w:p>
        </w:tc>
        <w:tc>
          <w:tcPr>
            <w:tcW w:w="23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24"/>
                <w:szCs w:val="24"/>
                <w:color w:val="auto"/>
              </w:rPr>
            </w:pPr>
          </w:p>
        </w:tc>
      </w:tr>
      <w:tr>
        <w:trPr>
          <w:trHeight w:val="214"/>
        </w:trPr>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Anthony A. Florence, Jr.</w:t>
            </w:r>
          </w:p>
        </w:tc>
      </w:tr>
      <w:tr>
        <w:trPr>
          <w:trHeight w:val="258"/>
        </w:trPr>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 </w:t>
            </w:r>
            <w:r>
              <w:rPr>
                <w:rFonts w:ascii="Times New Roman" w:cs="Times New Roman" w:eastAsia="Times New Roman" w:hAnsi="Times New Roman"/>
                <w:sz w:val="17"/>
                <w:szCs w:val="17"/>
                <w:color w:val="auto"/>
              </w:rPr>
              <w:t>Managing Partner and Co-Chief Executive Officer</w:t>
            </w:r>
          </w:p>
        </w:tc>
      </w:tr>
      <w:tr>
        <w:trPr>
          <w:trHeight w:val="399"/>
        </w:trPr>
        <w:tc>
          <w:tcPr>
            <w:tcW w:w="36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3"/>
              </w:rPr>
              <w:t>  By:  </w:t>
            </w:r>
          </w:p>
        </w:tc>
        <w:tc>
          <w:tcPr>
            <w:tcW w:w="23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24"/>
                <w:szCs w:val="24"/>
                <w:color w:val="auto"/>
              </w:rPr>
            </w:pPr>
          </w:p>
        </w:tc>
      </w:tr>
      <w:tr>
        <w:trPr>
          <w:trHeight w:val="218"/>
        </w:trPr>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Mohamad Makhzoumi</w:t>
            </w:r>
          </w:p>
        </w:tc>
      </w:tr>
      <w:tr>
        <w:trPr>
          <w:trHeight w:val="234"/>
        </w:trPr>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 Managing Partner and Co-Chief Executive Officer</w:t>
            </w:r>
          </w:p>
        </w:tc>
      </w:tr>
      <w:tr>
        <w:trPr>
          <w:trHeight w:val="756"/>
        </w:trPr>
        <w:tc>
          <w:tcPr>
            <w:tcW w:w="4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NEA 18 VGE GP, LLC</w:t>
            </w:r>
          </w:p>
        </w:tc>
      </w:tr>
      <w:tr>
        <w:trPr>
          <w:trHeight w:val="391"/>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  </w:t>
            </w:r>
          </w:p>
        </w:tc>
        <w:tc>
          <w:tcPr>
            <w:tcW w:w="23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gridSpan w:val="2"/>
          </w:tcPr>
          <w:p>
            <w:pPr>
              <w:spacing w:after="0"/>
              <w:rPr>
                <w:sz w:val="24"/>
                <w:szCs w:val="24"/>
                <w:color w:val="auto"/>
              </w:rPr>
            </w:pPr>
          </w:p>
        </w:tc>
      </w:tr>
      <w:tr>
        <w:trPr>
          <w:trHeight w:val="218"/>
        </w:trPr>
        <w:tc>
          <w:tcPr>
            <w:tcW w:w="360" w:type="dxa"/>
            <w:vAlign w:val="bottom"/>
          </w:tcPr>
          <w:p>
            <w:pPr>
              <w:spacing w:after="0"/>
              <w:rPr>
                <w:sz w:val="18"/>
                <w:szCs w:val="18"/>
                <w:color w:val="auto"/>
              </w:rPr>
            </w:pPr>
          </w:p>
        </w:tc>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Anthony A. Florence, Jr.</w:t>
            </w:r>
          </w:p>
        </w:tc>
      </w:tr>
      <w:tr>
        <w:trPr>
          <w:trHeight w:val="234"/>
        </w:trPr>
        <w:tc>
          <w:tcPr>
            <w:tcW w:w="360" w:type="dxa"/>
            <w:vAlign w:val="bottom"/>
          </w:tcPr>
          <w:p>
            <w:pPr>
              <w:spacing w:after="0"/>
              <w:rPr>
                <w:sz w:val="20"/>
                <w:szCs w:val="20"/>
                <w:color w:val="auto"/>
              </w:rPr>
            </w:pPr>
          </w:p>
        </w:tc>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tc>
      </w:tr>
      <w:tr>
        <w:trPr>
          <w:trHeight w:val="405"/>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  </w:t>
            </w:r>
          </w:p>
        </w:tc>
        <w:tc>
          <w:tcPr>
            <w:tcW w:w="23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gridSpan w:val="2"/>
          </w:tcPr>
          <w:p>
            <w:pPr>
              <w:spacing w:after="0"/>
              <w:rPr>
                <w:sz w:val="24"/>
                <w:szCs w:val="24"/>
                <w:color w:val="auto"/>
              </w:rPr>
            </w:pPr>
          </w:p>
        </w:tc>
      </w:tr>
      <w:tr>
        <w:trPr>
          <w:trHeight w:val="218"/>
        </w:trPr>
        <w:tc>
          <w:tcPr>
            <w:tcW w:w="360" w:type="dxa"/>
            <w:vAlign w:val="bottom"/>
          </w:tcPr>
          <w:p>
            <w:pPr>
              <w:spacing w:after="0"/>
              <w:rPr>
                <w:sz w:val="18"/>
                <w:szCs w:val="18"/>
                <w:color w:val="auto"/>
              </w:rPr>
            </w:pPr>
          </w:p>
        </w:tc>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Mohamad Makhzoumi</w:t>
            </w:r>
          </w:p>
        </w:tc>
      </w:tr>
      <w:tr>
        <w:trPr>
          <w:trHeight w:val="234"/>
        </w:trPr>
        <w:tc>
          <w:tcPr>
            <w:tcW w:w="360" w:type="dxa"/>
            <w:vAlign w:val="bottom"/>
          </w:tcPr>
          <w:p>
            <w:pPr>
              <w:spacing w:after="0"/>
              <w:rPr>
                <w:sz w:val="20"/>
                <w:szCs w:val="20"/>
                <w:color w:val="auto"/>
              </w:rPr>
            </w:pPr>
          </w:p>
        </w:tc>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Ali Behbahani</w:t>
      </w:r>
    </w:p>
    <w:p>
      <w:pPr>
        <w:spacing w:after="0" w:line="200" w:lineRule="exact"/>
        <w:rPr>
          <w:sz w:val="20"/>
          <w:szCs w:val="20"/>
          <w:color w:val="auto"/>
        </w:rPr>
      </w:pPr>
    </w:p>
    <w:p>
      <w:pPr>
        <w:spacing w:after="0" w:line="2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Carmen Chang</w:t>
      </w:r>
    </w:p>
    <w:p>
      <w:pPr>
        <w:spacing w:after="0" w:line="200" w:lineRule="exact"/>
        <w:rPr>
          <w:sz w:val="20"/>
          <w:szCs w:val="20"/>
          <w:color w:val="auto"/>
        </w:rPr>
      </w:pPr>
    </w:p>
    <w:p>
      <w:pPr>
        <w:spacing w:after="0" w:line="2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Anthony A. Florence, Jr.</w:t>
      </w:r>
    </w:p>
    <w:p>
      <w:pPr>
        <w:sectPr>
          <w:pgSz w:w="11900" w:h="16838" w:orient="portrait"/>
          <w:cols w:equalWidth="0" w:num="1">
            <w:col w:w="10139"/>
          </w:cols>
          <w:pgMar w:left="320" w:top="553" w:right="1440" w:bottom="0" w:gutter="0" w:footer="0" w:header="0"/>
        </w:sectPr>
      </w:pPr>
    </w:p>
    <w:bookmarkStart w:id="18" w:name="page19"/>
    <w:bookmarkEnd w:id="18"/>
    <w:p>
      <w:pPr>
        <w:ind w:left="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Mohamad H. Makhzoumi</w:t>
      </w:r>
    </w:p>
    <w:p>
      <w:pPr>
        <w:spacing w:after="0" w:line="200" w:lineRule="exact"/>
        <w:rPr>
          <w:sz w:val="20"/>
          <w:szCs w:val="20"/>
          <w:color w:val="auto"/>
        </w:rPr>
      </w:pPr>
    </w:p>
    <w:p>
      <w:pPr>
        <w:spacing w:after="0" w:line="23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D. Sandell</w:t>
      </w:r>
    </w:p>
    <w:p>
      <w:pPr>
        <w:spacing w:after="0" w:line="200" w:lineRule="exact"/>
        <w:rPr>
          <w:sz w:val="20"/>
          <w:szCs w:val="20"/>
          <w:color w:val="auto"/>
        </w:rPr>
      </w:pPr>
    </w:p>
    <w:p>
      <w:pPr>
        <w:spacing w:after="0" w:line="223" w:lineRule="exact"/>
        <w:rPr>
          <w:sz w:val="20"/>
          <w:szCs w:val="20"/>
          <w:color w:val="auto"/>
        </w:rPr>
      </w:pPr>
    </w:p>
    <w:p>
      <w:pPr>
        <w:jc w:val="right"/>
        <w:ind w:right="103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80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jc w:val="right"/>
        <w:ind w:right="10340"/>
        <w:spacing w:after="0"/>
        <w:rPr>
          <w:sz w:val="20"/>
          <w:szCs w:val="20"/>
          <w:color w:val="auto"/>
        </w:rPr>
      </w:pPr>
      <w:r>
        <w:rPr>
          <w:rFonts w:ascii="Times New Roman" w:cs="Times New Roman" w:eastAsia="Times New Roman" w:hAnsi="Times New Roman"/>
          <w:sz w:val="17"/>
          <w:szCs w:val="17"/>
          <w:color w:val="auto"/>
        </w:rPr>
        <w:t>Paul Walker</w:t>
      </w:r>
    </w:p>
    <w:p>
      <w:pPr>
        <w:spacing w:after="0" w:line="200" w:lineRule="exact"/>
        <w:rPr>
          <w:sz w:val="20"/>
          <w:szCs w:val="20"/>
          <w:color w:val="auto"/>
        </w:rPr>
      </w:pPr>
    </w:p>
    <w:p>
      <w:pPr>
        <w:spacing w:after="0" w:line="23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*/s/ Nicole 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2836545</wp:posOffset>
            </wp:positionH>
            <wp:positionV relativeFrom="paragraph">
              <wp:posOffset>-7620</wp:posOffset>
            </wp:positionV>
            <wp:extent cx="12026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02690" cy="8255"/>
                    </a:xfrm>
                    <a:prstGeom prst="rect">
                      <a:avLst/>
                    </a:prstGeom>
                    <a:noFill/>
                  </pic:spPr>
                </pic:pic>
              </a:graphicData>
            </a:graphic>
          </wp:anchor>
        </w:drawing>
      </w:r>
    </w:p>
    <w:p>
      <w:pPr>
        <w:spacing w:after="0" w:line="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Nicole Hatcher</w:t>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As attorney-in-fact</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Agreement relating to Schedule 13D was executed by Nicole Hatcher on behalf of the individuals listed above pursuant to a Power of Attorney, a copy of which is attached hereto as 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9" w:name="page20"/>
    <w:bookmarkEnd w:id="19"/>
    <w:p>
      <w:pPr>
        <w:ind w:left="10340"/>
        <w:spacing w:after="0"/>
        <w:rPr>
          <w:sz w:val="20"/>
          <w:szCs w:val="20"/>
          <w:color w:val="auto"/>
        </w:rPr>
      </w:pPr>
      <w:r>
        <w:rPr>
          <w:rFonts w:ascii="Times New Roman" w:cs="Times New Roman" w:eastAsia="Times New Roman" w:hAnsi="Times New Roman"/>
          <w:sz w:val="17"/>
          <w:szCs w:val="17"/>
          <w:b w:val="1"/>
          <w:bCs w:val="1"/>
          <w:u w:val="single" w:color="auto"/>
          <w:color w:val="auto"/>
        </w:rPr>
        <w:t>EXHIBIT 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KNOW ALL MEN BY THESE PRESENTS, that the undersigned hereby constitutes and appoints Zachary Bambach, Nicole Hatcher and Stephanie Brecher, and each of them, with full power to act without the others, his or her true and lawful attorney-in-fact, with full power of substitution, to sign any and all instruments, certificates and documents that may be necessary, desirable or appropriate to be executed on behalf of himself as an individual or in his or her capacity as a direct or indirect general partner, director, officer or manager of any partnership, corporation or limited liability company, pursuant to section 13 or 16 of the Securities Exchange Act of 1934, as amended (the “Exchange Act”), and any and all regulations promulgated thereunder, including, without limitation, Forms 3, 4 and 5 and Schedules 13D and 13G (and any amendments thereto), and to file the same, with all exhibits thereto, and any other documents in connection therewith, with the Securities and Exchange Commission (the “SEC”), including, but not limited to, signing a Form ID for and on behalf of the undersigned and filing such Form ID with the SEC,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he or she might or could do in person, thereby ratifying and confirming all that said attorney-in-fact, or his or her substitutes, may lawfully do or cause to be done by virtue hereof. This power of attorney is perpetual, unless revoked by the undersigned in a signed writing delivered to each of the foregoing attorneys-in-fact.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as of the 29th day of February, 2024.</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Peter J. Barris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21431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Peter J. Barris</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Forest Baskett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21431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Forest Baskett</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Ali Behbahani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21431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Ali Behbahani</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Ronald D. Bernal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21431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Ronald D. Bernal</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Ann Bordetsky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21431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Ann Bordetsky</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Carmen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21431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Carmen Chang</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Philip Chopin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21431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Philip Chopin</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Anthony A. Florence,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21431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Anthony A. Florence, Jr.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Jonathan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21431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Jonathan Golden</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Scott Gottlieb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21431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Scott Gottlieb</w:t>
      </w:r>
    </w:p>
    <w:p>
      <w:pPr>
        <w:spacing w:after="0" w:line="2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Mark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21431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Mark Hawkins</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Jeffrey R. Immelt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21431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R. Immelt</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Aaron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21431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Aaron Jacobson</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Patrick J. Kerins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21431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Patrick J. Kerins</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Hilarie Koplow-McAdams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21431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Hilarie Koplow-McAdams</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Vanessa Larco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21431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Vanessa Larco</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Julio C.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21431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Julio C. Lopez</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Tiffany 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21431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Tiffany Le</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Mohamad H. Makhzoumi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21431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ectPr>
          <w:pgSz w:w="11900" w:h="16838" w:orient="portrait"/>
          <w:cols w:equalWidth="0" w:num="1">
            <w:col w:w="11240"/>
          </w:cols>
          <w:pgMar w:left="320" w:top="117" w:right="339" w:bottom="0" w:gutter="0" w:footer="0" w:header="0"/>
        </w:sectPr>
      </w:pPr>
    </w:p>
    <w:bookmarkStart w:id="20" w:name="page21"/>
    <w:bookmarkEnd w:id="20"/>
    <w:p>
      <w:pPr>
        <w:ind w:left="4500"/>
        <w:spacing w:after="0"/>
        <w:rPr>
          <w:sz w:val="20"/>
          <w:szCs w:val="20"/>
          <w:color w:val="auto"/>
        </w:rPr>
      </w:pPr>
      <w:r>
        <w:rPr>
          <w:rFonts w:ascii="Times New Roman" w:cs="Times New Roman" w:eastAsia="Times New Roman" w:hAnsi="Times New Roman"/>
          <w:sz w:val="18"/>
          <w:szCs w:val="18"/>
          <w:color w:val="auto"/>
        </w:rPr>
        <w:t>Mohamad H. Makhzoumi</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Edward T. 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1431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Edward T. Mathers</w:t>
      </w:r>
    </w:p>
    <w:p>
      <w:pPr>
        <w:spacing w:after="0" w:line="2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Gregory Papadopoulos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1431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Gregory Papadopoulos</w:t>
      </w:r>
    </w:p>
    <w:p>
      <w:pPr>
        <w:spacing w:after="0" w:line="2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Kavita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1431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Kavita Patel</w:t>
      </w:r>
    </w:p>
    <w:p>
      <w:pPr>
        <w:spacing w:after="0" w:line="2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Scott D. Sandell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1431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Scott D. Sandell</w:t>
      </w:r>
    </w:p>
    <w:p>
      <w:pPr>
        <w:spacing w:after="0" w:line="2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A. Brooke Seawell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1431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 Brooke Seawell</w:t>
      </w:r>
    </w:p>
    <w:p>
      <w:pPr>
        <w:spacing w:after="0" w:line="2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Peter Sonsini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1431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Peter Sonsini</w:t>
      </w:r>
    </w:p>
    <w:p>
      <w:pPr>
        <w:spacing w:after="0" w:line="2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Melissa Taunton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1431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Melissa Taunton</w:t>
      </w:r>
    </w:p>
    <w:p>
      <w:pPr>
        <w:spacing w:after="0" w:line="2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Paul E.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1431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Paul E. Walker</w:t>
      </w:r>
    </w:p>
    <w:p>
      <w:pPr>
        <w:spacing w:after="0" w:line="2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Rick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1431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Rick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2"/>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2"/>
      <w:numFmt w:val="bullet"/>
      <w:start w:val="1"/>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4"/>
      <w:numFmt w:val="bullet"/>
      <w:start w:val="1"/>
    </w:lvl>
  </w:abstractNum>
  <w:abstractNum w:abstractNumId="7">
    <w:nsid w:val="216231B"/>
    <w:multiLevelType w:val="hybridMultilevel"/>
    <w:lvl w:ilvl="0">
      <w:lvlJc w:val="left"/>
      <w:lvlText w:val="2"/>
      <w:numFmt w:val="bullet"/>
      <w:start w:val="1"/>
    </w:lvl>
  </w:abstractNum>
  <w:abstractNum w:abstractNumId="8">
    <w:nsid w:val="1F16E9E8"/>
    <w:multiLevelType w:val="hybridMultilevel"/>
    <w:lvl w:ilvl="0">
      <w:lvlJc w:val="left"/>
      <w:lvlText w:val="3"/>
      <w:numFmt w:val="bullet"/>
      <w:start w:val="1"/>
    </w:lvl>
  </w:abstractNum>
  <w:abstractNum w:abstractNumId="9">
    <w:nsid w:val="1190CDE7"/>
    <w:multiLevelType w:val="hybridMultilevel"/>
    <w:lvl w:ilvl="0">
      <w:lvlJc w:val="left"/>
      <w:lvlText w:val="%1"/>
      <w:numFmt w:val="decimal"/>
      <w:start w:val="13"/>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5"/>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2026-05-07T17:25:19Z</dcterms:created>
  <dcterms:modified xsi:type="dcterms:W3CDTF">2026-05-07T17:25:19Z</dcterms:modified>
</cp:coreProperties>
</file>