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680" w:hanging="3812"/>
        <w:spacing w:after="0" w:line="391" w:lineRule="auto"/>
        <w:tabs>
          <w:tab w:leader="none" w:pos="42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80"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-5080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TREVI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45-0834299</w:t>
            </w:r>
          </w:p>
        </w:tc>
        <w:tc>
          <w:tcPr>
            <w:tcW w:w="0" w:type="dxa"/>
            <w:vAlign w:val="bottom"/>
          </w:tcPr>
          <w:p>
            <w:pPr>
              <w:spacing w:after="0"/>
              <w:rPr>
                <w:sz w:val="1"/>
                <w:szCs w:val="1"/>
                <w:color w:val="auto"/>
              </w:rPr>
            </w:pPr>
          </w:p>
        </w:tc>
      </w:tr>
      <w:tr>
        <w:trPr>
          <w:trHeight w:val="162"/>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 State or other jurisdiction of</w:t>
            </w: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80" w:type="dxa"/>
            <w:vAlign w:val="bottom"/>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3"/>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7"/>
              </w:rPr>
              <w:t>195 Church Street, 16</w:t>
            </w:r>
            <w:r>
              <w:rPr>
                <w:rFonts w:ascii="Times New Roman" w:cs="Times New Roman" w:eastAsia="Times New Roman" w:hAnsi="Times New Roman"/>
                <w:sz w:val="24"/>
                <w:szCs w:val="24"/>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gridSpan w:val="3"/>
          </w:tcPr>
          <w:p>
            <w:pPr>
              <w:jc w:val="center"/>
              <w:ind w:left="998"/>
              <w:spacing w:after="0"/>
              <w:rPr>
                <w:sz w:val="20"/>
                <w:szCs w:val="20"/>
                <w:color w:val="auto"/>
              </w:rPr>
            </w:pPr>
            <w:r>
              <w:rPr>
                <w:rFonts w:ascii="Times New Roman" w:cs="Times New Roman" w:eastAsia="Times New Roman" w:hAnsi="Times New Roman"/>
                <w:sz w:val="18"/>
                <w:szCs w:val="18"/>
                <w:b w:val="1"/>
                <w:bCs w:val="1"/>
                <w:color w:val="auto"/>
                <w:w w:val="99"/>
              </w:rPr>
              <w:t>New Haven, Connecticut</w:t>
            </w: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06510</w:t>
            </w:r>
          </w:p>
        </w:tc>
        <w:tc>
          <w:tcPr>
            <w:tcW w:w="0" w:type="dxa"/>
            <w:vAlign w:val="bottom"/>
          </w:tcPr>
          <w:p>
            <w:pPr>
              <w:spacing w:after="0"/>
              <w:rPr>
                <w:sz w:val="1"/>
                <w:szCs w:val="1"/>
                <w:color w:val="auto"/>
              </w:rPr>
            </w:pPr>
          </w:p>
        </w:tc>
      </w:tr>
      <w:tr>
        <w:trPr>
          <w:trHeight w:val="193"/>
        </w:trPr>
        <w:tc>
          <w:tcPr>
            <w:tcW w:w="4500" w:type="dxa"/>
            <w:vAlign w:val="bottom"/>
            <w:gridSpan w:val="3"/>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12"/>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60" w:type="dxa"/>
            <w:vAlign w:val="bottom"/>
            <w:gridSpan w:val="7"/>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50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gridSpan w:val="3"/>
            <w:vMerge w:val="continue"/>
          </w:tcPr>
          <w:p>
            <w:pPr>
              <w:spacing w:after="0"/>
              <w:rPr>
                <w:sz w:val="16"/>
                <w:szCs w:val="16"/>
                <w:color w:val="auto"/>
              </w:rPr>
            </w:pPr>
          </w:p>
        </w:tc>
        <w:tc>
          <w:tcPr>
            <w:tcW w:w="326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TRVI</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jc w:val="both"/>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6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7, 2024, the registrant had 70,435,093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900" w:right="2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our Phase 2b CORAL clinical trial of Haduvio for the treatment of chronic cough in idiopathic pulmonary fibrosis, or IPF, our Phase 2a RIVER clinical trial of Haduvio for the treatment of refractory chronic cough, or RCC, and our Phase 1b clinical trial to evaluate the effect of Haduvio on respiratory physiology in patients with IPF of varying disease severity as well as our human abuse potential, or HAP, study to compare the abuse potential of oral nalbuphine to intravenous, or IV, butorphanol;</w:t>
      </w:r>
    </w:p>
    <w:p>
      <w:pPr>
        <w:spacing w:after="0" w:line="71"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Haduvio for the treatment of chronic cough in IPF and RCC and for the treatment of prurigo nodularis;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for the initiation of clinical trials and the reporting of data from such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to obtain and maintain regulatory approvals for Haduvio;</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including our ongoing and planned clinical trials,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81" w:lineRule="exact"/>
        <w:rPr>
          <w:sz w:val="20"/>
          <w:szCs w:val="20"/>
          <w:color w:val="auto"/>
        </w:rPr>
      </w:pPr>
    </w:p>
    <w:p>
      <w:pPr>
        <w:ind w:right="140" w:firstLine="509"/>
        <w:spacing w:after="0" w:line="233"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Trevi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 symbols, but we will assert, to the fullest extent under applicable law, our rights to our trademarks, service marks and trade names. We intend to propose Haduvio as the trade name for our oral nalbuphine ER investigational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company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81" w:lineRule="exact"/>
        <w:rPr>
          <w:sz w:val="20"/>
          <w:szCs w:val="20"/>
          <w:color w:val="auto"/>
        </w:rPr>
      </w:pPr>
    </w:p>
    <w:p>
      <w:pPr>
        <w:ind w:left="760" w:right="2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continue to incur significant and increasing losses for the foreseeable future. We may never achieve or maintain profitability.</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6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delays may affect the timing and costs of our planned or ongoing clinical trials and may affect our ability to complete planned or ongoing trials with our existing cash resources.</w:t>
      </w:r>
    </w:p>
    <w:p>
      <w:pPr>
        <w:spacing w:after="0" w:line="53"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clinical trial of Haduvio for the treatment of chronic cough in IPF, which we refer to as the Phase 2 CANAL trial, may not be predictive of the results of future trials of Haduvio for the treatment of chronic cough in IPF or other chronic cough indications such as RCC.</w:t>
      </w:r>
    </w:p>
    <w:p>
      <w:pPr>
        <w:spacing w:after="0" w:line="71" w:lineRule="exact"/>
        <w:rPr>
          <w:rFonts w:ascii="Times New Roman" w:cs="Times New Roman" w:eastAsia="Times New Roman" w:hAnsi="Times New Roman"/>
          <w:sz w:val="18"/>
          <w:szCs w:val="18"/>
          <w:color w:val="auto"/>
        </w:rPr>
      </w:pPr>
    </w:p>
    <w:p>
      <w:pPr>
        <w:ind w:left="760" w:right="60" w:hanging="378"/>
        <w:spacing w:after="0" w:line="25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difficulties in the enrollment of patients in our clinical trials in the past, including in our Phase 2 CANAL trial. If we experience delays or difficulties in the enrollment of patients in current or future clinical trials, our receipt of necessary regulatory approvals could be delayed or prevented. Other companies are conducting clinical trials or have announced plans for future clinical trials that are seeking or are likely to seek to enroll patients with chronic cough with IPF, IPF, and RCC, and patients are generally only able to enroll in a single trial at a time. In addition, many patients use various treatments off-label to treat chronic cough associated with IPF and RCC, and these patients and their physicians may be reluctant to forgo, discontinue or otherwise alter their use of such off-label therapeutic approaches to participate in our clinical trials.</w:t>
      </w:r>
    </w:p>
    <w:p>
      <w:pPr>
        <w:spacing w:after="0" w:line="80"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Even if we complete the necessary preclinical studies and clinical trials, the regulatory approval process is expensive, time-consuming and uncertain, which may prevent us from obtaining approvals for the commercialization of Haduvio or any future product candidate.</w:t>
      </w:r>
    </w:p>
    <w:p>
      <w:pPr>
        <w:spacing w:after="0" w:line="67"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w:t>
      </w:r>
    </w:p>
    <w:p>
      <w:pPr>
        <w:spacing w:after="0" w:line="75" w:lineRule="exact"/>
        <w:rPr>
          <w:rFonts w:ascii="Times New Roman" w:cs="Times New Roman" w:eastAsia="Times New Roman" w:hAnsi="Times New Roman"/>
          <w:sz w:val="18"/>
          <w:szCs w:val="18"/>
          <w:color w:val="auto"/>
        </w:rPr>
      </w:pPr>
    </w:p>
    <w:p>
      <w:pPr>
        <w:ind w:left="760" w:right="40" w:hanging="378"/>
        <w:spacing w:after="0" w:line="25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of Haduvio to evaluate the effect of Haduvio on respiratory physiology in patients with IPF of varying disease severity. We cannot be certain that respiratory depression will not be observed or that the U.S. Food and Drug Administration, or FDA, will not require additional trials or impose more severe labeling restrictions related to respiratory depression. If there is a safety signal in the Phase 1b study, it could affect our ability to conduct a trial in this patient population.</w:t>
      </w:r>
    </w:p>
    <w:p>
      <w:pPr>
        <w:spacing w:after="0" w:line="79"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currently approved μ-opioid products are subject to restrictive marketing and distribution regulations which, if applied to Haduvio, could potentially restrict its use and harm our ability to generate profits. We are conducting a HAP study to compare the abuse potential of oral nalbuphine to IV butorphanol. If the results of the HAP study suggest that Haduvio may carry risks of misuse, abuse or addiction or even if the trial indicates that Haduvio does not carry such risks, the FDA may require us to implement a Risk Evaluation and Mitigation Strategy in connection with any commercialization of Haduvio and the U.S. Drug Enforcement Agency could determine that Haduvio should be classified as a controlled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378" w:right="100" w:hanging="378"/>
        <w:spacing w:after="0" w:line="282"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117" w:lineRule="exact"/>
        <w:rPr>
          <w:rFonts w:ascii="Times New Roman" w:cs="Times New Roman" w:eastAsia="Times New Roman" w:hAnsi="Times New Roman"/>
          <w:sz w:val="18"/>
          <w:szCs w:val="18"/>
          <w:color w:val="auto"/>
        </w:rPr>
      </w:pPr>
    </w:p>
    <w:p>
      <w:pPr>
        <w:ind w:left="378" w:right="160" w:hanging="378"/>
        <w:spacing w:after="0" w:line="261"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spacing w:after="0" w:line="71" w:lineRule="exact"/>
        <w:rPr>
          <w:rFonts w:ascii="Times New Roman" w:cs="Times New Roman" w:eastAsia="Times New Roman" w:hAnsi="Times New Roman"/>
          <w:sz w:val="18"/>
          <w:szCs w:val="18"/>
          <w:color w:val="auto"/>
        </w:rPr>
      </w:pPr>
    </w:p>
    <w:p>
      <w:pPr>
        <w:jc w:val="both"/>
        <w:ind w:left="378" w:right="120" w:hanging="378"/>
        <w:spacing w:after="0" w:line="26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spacing w:after="0" w:line="67" w:lineRule="exact"/>
        <w:rPr>
          <w:rFonts w:ascii="Times New Roman" w:cs="Times New Roman" w:eastAsia="Times New Roman" w:hAnsi="Times New Roman"/>
          <w:sz w:val="18"/>
          <w:szCs w:val="18"/>
          <w:color w:val="auto"/>
        </w:rPr>
      </w:pPr>
    </w:p>
    <w:p>
      <w:pPr>
        <w:ind w:left="378" w:right="220" w:hanging="378"/>
        <w:spacing w:after="0" w:line="261"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1" w:lineRule="exact"/>
        <w:rPr>
          <w:rFonts w:ascii="Times New Roman" w:cs="Times New Roman" w:eastAsia="Times New Roman" w:hAnsi="Times New Roman"/>
          <w:sz w:val="18"/>
          <w:szCs w:val="18"/>
          <w:color w:val="auto"/>
        </w:rPr>
      </w:pPr>
    </w:p>
    <w:p>
      <w:pPr>
        <w:ind w:left="378" w:hanging="378"/>
        <w:spacing w:after="0" w:line="26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864870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1093"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900" w:type="dxa"/>
            <w:vAlign w:val="bottom"/>
            <w:gridSpan w:val="2"/>
            <w:vMerge w:val="continue"/>
          </w:tcPr>
          <w:p>
            <w:pPr>
              <w:spacing w:after="0"/>
              <w:rPr>
                <w:sz w:val="14"/>
                <w:szCs w:val="14"/>
                <w:color w:val="auto"/>
              </w:rPr>
            </w:pPr>
          </w:p>
        </w:tc>
        <w:tc>
          <w:tcPr>
            <w:tcW w:w="9660" w:type="dxa"/>
            <w:vAlign w:val="bottom"/>
            <w:gridSpan w:val="20"/>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1300" w:type="dxa"/>
            <w:vAlign w:val="bottom"/>
            <w:tcBorders>
              <w:top w:val="single" w:sz="8" w:color="0000FF"/>
            </w:tcBorders>
            <w:gridSpan w:val="3"/>
          </w:tcPr>
          <w:p>
            <w:pPr>
              <w:spacing w:after="0"/>
              <w:rPr>
                <w:sz w:val="18"/>
                <w:szCs w:val="18"/>
                <w:color w:val="auto"/>
              </w:rPr>
            </w:pPr>
          </w:p>
        </w:tc>
        <w:tc>
          <w:tcPr>
            <w:tcW w:w="54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526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92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8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80" w:type="dxa"/>
            <w:vAlign w:val="bottom"/>
            <w:tcBorders>
              <w:top w:val="single" w:sz="8" w:color="0000FF"/>
            </w:tcBorders>
            <w:gridSpan w:val="8"/>
          </w:tcPr>
          <w:p>
            <w:pPr>
              <w:spacing w:after="0"/>
              <w:rPr>
                <w:sz w:val="18"/>
                <w:szCs w:val="18"/>
                <w:color w:val="auto"/>
              </w:rPr>
            </w:pPr>
          </w:p>
        </w:tc>
        <w:tc>
          <w:tcPr>
            <w:tcW w:w="52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6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20" w:type="dxa"/>
            <w:vAlign w:val="bottom"/>
            <w:gridSpan w:val="1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72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5" w:name="page6"/>
    <w:bookmarkEnd w:id="5"/>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13,811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Marketable securities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76,766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equipment and leasehold improvements, net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78,559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6,225</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Preferred stock: $0.001 par value; 5,000,000 shares authorized at March 31, 2024 and December 31,</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2023; no shares issued or outstanding at March 31, 2024 and December 31, 2023.</w:t>
            </w: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768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Common stock: $0.001 par value; 200,000,000 shares authorized at March 31, 2024 and December 31,</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2023; and 68,960,167 and 68,283,699 shares issued and outstanding at March 31, 2024 and December 31,</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2023, respectively.</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322,368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321,642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(67 )</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(250,036 )</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(239,134 )</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72,334</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82,547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78,559</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89,403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-3402330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-1902460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4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(11,906 )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(7,563 )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r>
      <w:tr>
        <w:trPr>
          <w:trHeight w:val="237"/>
        </w:trPr>
        <w:tc>
          <w:tcPr>
            <w:tcW w:w="77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(10,910 )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(6,408 )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(10,902 )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(6,401 )</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99,517,212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98,610,671</w:t>
            </w:r>
          </w:p>
        </w:tc>
        <w:tc>
          <w:tcPr>
            <w:tcW w:w="100" w:type="dxa"/>
            <w:vAlign w:val="bottom"/>
          </w:tcPr>
          <w:p>
            <w:pPr>
              <w:spacing w:after="0"/>
              <w:rPr>
                <w:sz w:val="20"/>
                <w:szCs w:val="20"/>
                <w:color w:val="auto"/>
              </w:rPr>
            </w:pPr>
          </w:p>
        </w:tc>
      </w:tr>
      <w:tr>
        <w:trPr>
          <w:trHeight w:val="256"/>
        </w:trPr>
        <w:tc>
          <w:tcPr>
            <w:tcW w:w="7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(10,902 )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(6,401 )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unrealized (losses) gains on available-for-sale marketable securities</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(6,367 )</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-2699385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-1932305</wp:posOffset>
            </wp:positionV>
            <wp:extent cx="939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-1932305</wp:posOffset>
            </wp:positionV>
            <wp:extent cx="9398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-1439545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2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w:t>
            </w: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4480" w:type="dxa"/>
            <w:vAlign w:val="bottom"/>
          </w:tcPr>
          <w:p>
            <w:pPr>
              <w:spacing w:after="0"/>
              <w:rPr>
                <w:sz w:val="19"/>
                <w:szCs w:val="19"/>
                <w:color w:val="auto"/>
              </w:rPr>
            </w:pPr>
          </w:p>
        </w:tc>
        <w:tc>
          <w:tcPr>
            <w:tcW w:w="15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w:t>
            </w:r>
          </w:p>
        </w:tc>
        <w:tc>
          <w:tcPr>
            <w:tcW w:w="16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0"/>
        </w:trPr>
        <w:tc>
          <w:tcPr>
            <w:tcW w:w="4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80" w:type="dxa"/>
            <w:vAlign w:val="bottom"/>
          </w:tcPr>
          <w:p>
            <w:pPr>
              <w:spacing w:after="0"/>
              <w:rPr>
                <w:sz w:val="19"/>
                <w:szCs w:val="19"/>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9"/>
                <w:szCs w:val="19"/>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68,283,699</w:t>
            </w:r>
          </w:p>
        </w:tc>
        <w:tc>
          <w:tcPr>
            <w:tcW w:w="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$ 321,642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(239,134 )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pre-funded warrant exercise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673,837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losses on available-for-sale marketable securities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(10,902 )</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(10,902 )</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68,960,167</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$ 322,368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(250,036 )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72,334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48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59,943,430</w:t>
            </w:r>
          </w:p>
        </w:tc>
        <w:tc>
          <w:tcPr>
            <w:tcW w:w="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$ 317,590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(210,069 )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121,978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on available-for-sale marketable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(6,401 )</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(6,401 )</w:t>
            </w:r>
          </w:p>
        </w:tc>
        <w:tc>
          <w:tcPr>
            <w:tcW w:w="0" w:type="dxa"/>
            <w:vAlign w:val="bottom"/>
          </w:tcPr>
          <w:p>
            <w:pPr>
              <w:spacing w:after="0"/>
              <w:rPr>
                <w:sz w:val="1"/>
                <w:szCs w:val="1"/>
                <w:color w:val="auto"/>
              </w:rPr>
            </w:pPr>
          </w:p>
        </w:tc>
      </w:tr>
      <w:tr>
        <w:trPr>
          <w:trHeight w:val="23"/>
        </w:trPr>
        <w:tc>
          <w:tcPr>
            <w:tcW w:w="448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60,065,408</w:t>
            </w:r>
          </w:p>
        </w:tc>
        <w:tc>
          <w:tcPr>
            <w:tcW w:w="28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$ 318,230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(216,470 )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-1079500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-1062355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-1079500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-1062355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-1079500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-1062355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-1079500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-1062355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-1079500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-1062355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-179070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-179070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-179070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-179070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4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(10,902 )</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(6,401 )</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Accretion of available-for-sale marketable securities, net</w:t>
            </w:r>
          </w:p>
        </w:tc>
        <w:tc>
          <w:tcPr>
            <w:tcW w:w="1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(381 )</w:t>
            </w: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(671 )</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Accretion/accrual of term loan discounts and debt issuance costs</w:t>
            </w:r>
          </w:p>
        </w:tc>
        <w:tc>
          <w:tcPr>
            <w:tcW w:w="1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on disposal of property, equipment and leasehold improvements</w:t>
            </w:r>
          </w:p>
        </w:tc>
        <w:tc>
          <w:tcPr>
            <w:tcW w:w="1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(836 )</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(914 )</w:t>
            </w:r>
          </w:p>
        </w:tc>
        <w:tc>
          <w:tcPr>
            <w:tcW w:w="0" w:type="dxa"/>
            <w:vAlign w:val="bottom"/>
          </w:tcPr>
          <w:p>
            <w:pPr>
              <w:spacing w:after="0"/>
              <w:rPr>
                <w:sz w:val="1"/>
                <w:szCs w:val="1"/>
                <w:color w:val="auto"/>
              </w:rPr>
            </w:pPr>
          </w:p>
        </w:tc>
      </w:tr>
      <w:tr>
        <w:trPr>
          <w:trHeight w:val="226"/>
        </w:trPr>
        <w:tc>
          <w:tcPr>
            <w:tcW w:w="74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(940 )</w:t>
            </w: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(10,467 )</w:t>
            </w: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(8,197 )</w:t>
            </w:r>
          </w:p>
        </w:tc>
        <w:tc>
          <w:tcPr>
            <w:tcW w:w="0" w:type="dxa"/>
            <w:vAlign w:val="bottom"/>
          </w:tcPr>
          <w:p>
            <w:pPr>
              <w:spacing w:after="0"/>
              <w:rPr>
                <w:sz w:val="1"/>
                <w:szCs w:val="1"/>
                <w:color w:val="auto"/>
              </w:rPr>
            </w:pPr>
          </w:p>
        </w:tc>
      </w:tr>
      <w:tr>
        <w:trPr>
          <w:trHeight w:val="225"/>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maturities of available-for-sale marketable securities</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22,173</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available-for-sale marketable securities</w:t>
            </w:r>
          </w:p>
        </w:tc>
        <w:tc>
          <w:tcPr>
            <w:tcW w:w="1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(30,264 )</w:t>
            </w: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(8,981 )</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 of property, equipment and leasehold improvements</w:t>
            </w: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(8,091 )</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of finance lease</w:t>
            </w:r>
          </w:p>
        </w:tc>
        <w:tc>
          <w:tcPr>
            <w:tcW w:w="1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(32 )</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Repayments of term loan</w:t>
            </w:r>
          </w:p>
        </w:tc>
        <w:tc>
          <w:tcPr>
            <w:tcW w:w="1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(1,750 )</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1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19"/>
        </w:trPr>
        <w:tc>
          <w:tcPr>
            <w:tcW w:w="74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(18,586 )</w:t>
            </w: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(938 )</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3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100" w:type="dxa"/>
            <w:vAlign w:val="bottom"/>
            <w:tcBorders>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13,811</w:t>
            </w:r>
          </w:p>
        </w:tc>
        <w:tc>
          <w:tcPr>
            <w:tcW w:w="3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11,651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-2117090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-1525270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-646430</wp:posOffset>
            </wp:positionV>
            <wp:extent cx="102235" cy="187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-646430</wp:posOffset>
            </wp:positionV>
            <wp:extent cx="93980" cy="187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Trevi Therapeutics, Inc. (“Trevi” or the “Company”) is a clinical-stage biopharmaceutical company focused on the development and commercialization of the investigational therapy Haduvio (oral nalbuphine ER) for the treatment of chronic cough in idiopathic pulmonary fibrosis (“IPF”) and refractory chronic cough.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cough and itch. Nalbuphine’s mechanism of action also mitigates the risk of abuse associated with μ-opioid agonists because it antagonizes, or blocks, the μ-opioid receptor. Parenteral nalbuphine is not scheduled as a controlled substance in the U.S. and most of Europe.</w:t>
      </w:r>
    </w:p>
    <w:p>
      <w:pPr>
        <w:spacing w:after="0" w:line="71" w:lineRule="exact"/>
        <w:rPr>
          <w:sz w:val="20"/>
          <w:szCs w:val="20"/>
          <w:color w:val="auto"/>
        </w:rPr>
      </w:pPr>
    </w:p>
    <w:p>
      <w:pPr>
        <w:ind w:left="520" w:right="7280" w:hanging="512"/>
        <w:spacing w:after="0" w:line="378" w:lineRule="auto"/>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for the three months ended March 31, 2024 and 2023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2023.</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5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All amounts presented are in thousands of dollars, except share and per share amounts, unless noted otherwise. The Company has evaluated events occurring subsequent to March 31, 2024 for potential recognition or disclosure in the Condensed Consolidated Financial Statements and concluded there were no subsequent events that required recognition or disclosure other than those provided in Note 8.</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 as of March 31, 2024 and the Condensed Consolidated Statements of Comprehensive Loss, the Condensed Consolidated Statements of Stockholders’ Equity and the Condensed Consolidated Statements of Cash Flows for the three months ended March 31, 2024 and 2023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March 31, 2024 and the results of its operations and its cash flows for the three months ended March 31, 2024 and 2023. The results for the three months ended March 31, 2024 and 2023 are not necessarily indicative of results to be expected for the year ending December 31, 2024 or any other interim period or any future year or period.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short-term, highly liquid investments with an original term of three months or less at the date of purchase as cash equivalents.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0" w:name="page11"/>
    <w:bookmarkEnd w:id="10"/>
    <w:p>
      <w:pPr>
        <w:ind w:right="40"/>
        <w:spacing w:after="0" w:line="254" w:lineRule="auto"/>
        <w:rPr>
          <w:sz w:val="20"/>
          <w:szCs w:val="20"/>
          <w:color w:val="auto"/>
        </w:rPr>
      </w:pPr>
      <w:r>
        <w:rPr>
          <w:rFonts w:ascii="Times New Roman" w:cs="Times New Roman" w:eastAsia="Times New Roman" w:hAnsi="Times New Roman"/>
          <w:sz w:val="18"/>
          <w:szCs w:val="18"/>
          <w:color w:val="auto"/>
        </w:rPr>
        <w:t>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Condensed Consolidated Statements of Comprehensive Loss. The amortized cost of debt securities is adjusted for amortization of premiums and accretion of discounts to maturity, which is included in interest income, net on the Condensed Consolidated Statements of Comprehensive Loss. Realized gains and losses, if any, on marketable securities are included in interest income, net on the Condensed Consolidated Statements of Comprehensive Loss. The cost of securities sold is determined using specific identification.</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evaluates whether declines in the fair values of its marketable securities below their amortized cost are credit losses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Current accounting guidance defines fair value, establishes a framework for measuring fair value in accordance with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6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Level 3—Unobservable inputs—includes amounts derived from valuation models where one or more significant inputs are unobservable and require the company to develop relevant assumptions.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Techniques - Level 2 Inputs</w:t>
      </w:r>
    </w:p>
    <w:p>
      <w:pPr>
        <w:spacing w:after="0" w:line="119" w:lineRule="exact"/>
        <w:rPr>
          <w:sz w:val="20"/>
          <w:szCs w:val="20"/>
          <w:color w:val="auto"/>
        </w:rPr>
      </w:pPr>
    </w:p>
    <w:p>
      <w:pPr>
        <w:ind w:right="260" w:firstLine="509"/>
        <w:spacing w:after="0" w:line="274" w:lineRule="auto"/>
        <w:rPr>
          <w:sz w:val="20"/>
          <w:szCs w:val="20"/>
          <w:color w:val="auto"/>
        </w:rPr>
      </w:pPr>
      <w:r>
        <w:rPr>
          <w:rFonts w:ascii="Times New Roman" w:cs="Times New Roman" w:eastAsia="Times New Roman" w:hAnsi="Times New Roman"/>
          <w:sz w:val="17"/>
          <w:szCs w:val="17"/>
          <w:color w:val="auto"/>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payment date is recorded as currency gains or losses in other income, net in the Condensed Consolidated Statements of Comprehensive Loss.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current and non-current assets on the Condensed Consolidated Balance Sheets.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R&amp;D Expenses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then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arrangements with employees and non-employees for consultancy services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spacing w:after="0" w:line="7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Changes in the variables can materially affect the fair value and ultimately how much stock-based compensation expense is recognized. These inputs are subjective and generally require analysis and judgment to develop.</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yield available on U.S. Treasury zero-coupon issues similar in duration to the expected term of the stock-based award.</w:t>
      </w:r>
    </w:p>
    <w:p>
      <w:pPr>
        <w:spacing w:after="0" w:line="5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0"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March 31, 2024 and December 31, 2023. The Company does not have any interest or penalties accrued related to tax positions as it does not have any unrecognized tax benefits.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lease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spacing w:after="0" w:line="7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68"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reporting segment which is also the Company’s only operating segment. Management uses one measurement of profitability and does not segregate its business for internal reporting. All long-lived assets are maintained in the U.S.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new pronouncements adopted during the three months ended March 31, 2024.</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on an interim and annual basis. ASU 2023-07 is effective for fiscal years beginning after December 15, 2023, and for interim periods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beginning after December 15, 2024, with early adoption permitted. The Company is currently evaluating the impact of adopting ASU 2023-07.</w:t>
      </w:r>
    </w:p>
    <w:p>
      <w:pPr>
        <w:spacing w:after="0" w:line="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of adopting ASU 2023-09.</w:t>
      </w:r>
    </w:p>
    <w:p>
      <w:pPr>
        <w:spacing w:after="0" w:line="7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available-for-sale marketable securities by major security type are presented in the following tables as of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60" w:type="dxa"/>
            <w:vAlign w:val="bottom"/>
          </w:tcPr>
          <w:p>
            <w:pPr>
              <w:spacing w:after="0"/>
              <w:rPr>
                <w:sz w:val="21"/>
                <w:szCs w:val="21"/>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Estimated Fair Value</w:t>
            </w:r>
          </w:p>
        </w:tc>
        <w:tc>
          <w:tcPr>
            <w:tcW w:w="100" w:type="dxa"/>
            <w:vAlign w:val="bottom"/>
          </w:tcPr>
          <w:p>
            <w:pPr>
              <w:spacing w:after="0"/>
              <w:rPr>
                <w:sz w:val="21"/>
                <w:szCs w:val="21"/>
                <w:color w:val="auto"/>
              </w:rPr>
            </w:pPr>
          </w:p>
        </w:tc>
      </w:tr>
      <w:tr>
        <w:trPr>
          <w:trHeight w:val="243"/>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37,888</w:t>
            </w:r>
          </w:p>
        </w:tc>
        <w:tc>
          <w:tcPr>
            <w:tcW w:w="13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(36 )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37,865</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(18 )</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tcPr>
          <w:p>
            <w:pPr>
              <w:spacing w:after="0"/>
              <w:rPr>
                <w:sz w:val="20"/>
                <w:szCs w:val="20"/>
                <w:color w:val="auto"/>
              </w:rPr>
            </w:pPr>
          </w:p>
        </w:tc>
      </w:tr>
      <w:tr>
        <w:trPr>
          <w:trHeight w:val="247"/>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(17 )</w:t>
            </w: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(10 )</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20"/>
                <w:szCs w:val="20"/>
                <w:color w:val="auto"/>
              </w:rPr>
            </w:pPr>
          </w:p>
        </w:tc>
      </w:tr>
      <w:tr>
        <w:trPr>
          <w:trHeight w:val="276"/>
        </w:trPr>
        <w:tc>
          <w:tcPr>
            <w:tcW w:w="450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59,076</w:t>
            </w:r>
          </w:p>
        </w:tc>
        <w:tc>
          <w:tcPr>
            <w:tcW w:w="360" w:type="dxa"/>
            <w:vAlign w:val="bottom"/>
            <w:tcBorders>
              <w:top w:val="single" w:sz="8" w:color="CFF0FC"/>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Borders>
              <w:top w:val="single" w:sz="8" w:color="CFF0FC"/>
              <w:bottom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437"/>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60" w:type="dxa"/>
            <w:vAlign w:val="bottom"/>
          </w:tcPr>
          <w:p>
            <w:pPr>
              <w:spacing w:after="0"/>
              <w:rPr>
                <w:sz w:val="21"/>
                <w:szCs w:val="21"/>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Estimated Fair Value</w:t>
            </w:r>
          </w:p>
        </w:tc>
        <w:tc>
          <w:tcPr>
            <w:tcW w:w="100" w:type="dxa"/>
            <w:vAlign w:val="bottom"/>
          </w:tcPr>
          <w:p>
            <w:pPr>
              <w:spacing w:after="0"/>
              <w:rPr>
                <w:sz w:val="21"/>
                <w:szCs w:val="21"/>
                <w:color w:val="auto"/>
              </w:rPr>
            </w:pPr>
          </w:p>
        </w:tc>
      </w:tr>
      <w:tr>
        <w:trPr>
          <w:trHeight w:val="243"/>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13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(53 )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0"/>
                <w:szCs w:val="20"/>
                <w:color w:val="auto"/>
              </w:rPr>
            </w:pPr>
          </w:p>
        </w:tc>
      </w:tr>
      <w:tr>
        <w:trPr>
          <w:trHeight w:val="277"/>
        </w:trPr>
        <w:tc>
          <w:tcPr>
            <w:tcW w:w="450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360" w:type="dxa"/>
            <w:vAlign w:val="bottom"/>
            <w:tcBorders>
              <w:top w:val="single" w:sz="8" w:color="CFF0FC"/>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29</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top w:val="single" w:sz="8" w:color="CFF0FC"/>
              <w:bottom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-1259840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-1242060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-1422400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-1259840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-1242060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-1422400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-1259840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-1242060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-1422400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-187960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00" w:type="dxa"/>
            <w:vAlign w:val="bottom"/>
          </w:tcPr>
          <w:p>
            <w:pPr>
              <w:spacing w:after="0"/>
              <w:rPr>
                <w:sz w:val="20"/>
                <w:szCs w:val="20"/>
                <w:color w:val="auto"/>
              </w:rPr>
            </w:pP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mature:</w:t>
            </w:r>
          </w:p>
        </w:tc>
        <w:tc>
          <w:tcPr>
            <w:tcW w:w="2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than one year</w:t>
            </w:r>
          </w:p>
        </w:tc>
        <w:tc>
          <w:tcPr>
            <w:tcW w:w="2040" w:type="dxa"/>
            <w:vAlign w:val="bottom"/>
            <w:shd w:val="clear" w:color="auto" w:fill="CFF0FC"/>
          </w:tcPr>
          <w:p>
            <w:pPr>
              <w:jc w:val="right"/>
              <w:ind w:right="1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52,313</w:t>
            </w:r>
          </w:p>
        </w:tc>
        <w:tc>
          <w:tcPr>
            <w:tcW w:w="10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2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4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Pr>
          <w:p>
            <w:pPr>
              <w:spacing w:after="0"/>
              <w:rPr>
                <w:sz w:val="20"/>
                <w:szCs w:val="20"/>
                <w:color w:val="auto"/>
              </w:rPr>
            </w:pPr>
          </w:p>
        </w:tc>
      </w:tr>
      <w:tr>
        <w:trPr>
          <w:trHeight w:val="277"/>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shd w:val="clear" w:color="auto" w:fill="CFF0FC"/>
          </w:tcPr>
          <w:p>
            <w:pPr>
              <w:jc w:val="right"/>
              <w:ind w:right="1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59,076</w:t>
            </w:r>
          </w:p>
        </w:tc>
        <w:tc>
          <w:tcPr>
            <w:tcW w:w="4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0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mature:</w:t>
            </w:r>
          </w:p>
        </w:tc>
        <w:tc>
          <w:tcPr>
            <w:tcW w:w="2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than one year</w:t>
            </w:r>
          </w:p>
        </w:tc>
        <w:tc>
          <w:tcPr>
            <w:tcW w:w="2020" w:type="dxa"/>
            <w:vAlign w:val="bottom"/>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11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49,618</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2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0"/>
                <w:szCs w:val="20"/>
                <w:color w:val="auto"/>
              </w:rPr>
            </w:pPr>
          </w:p>
        </w:tc>
      </w:tr>
      <w:tr>
        <w:trPr>
          <w:trHeight w:val="27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4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there were no realized gains or losses on available-for-sale marketable securities.</w:t>
      </w:r>
    </w:p>
    <w:p>
      <w:pPr>
        <w:spacing w:after="0" w:line="11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no marketable securities had been in a continuous unrealized loss position for more than 12 months and the Company considered all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 w:name="page15"/>
    <w:bookmarkEnd w:id="14"/>
    <w:p>
      <w:pPr>
        <w:ind w:right="260"/>
        <w:spacing w:after="0" w:line="282" w:lineRule="auto"/>
        <w:rPr>
          <w:sz w:val="20"/>
          <w:szCs w:val="20"/>
          <w:color w:val="auto"/>
        </w:rPr>
      </w:pPr>
      <w:r>
        <w:rPr>
          <w:rFonts w:ascii="Times New Roman" w:cs="Times New Roman" w:eastAsia="Times New Roman" w:hAnsi="Times New Roman"/>
          <w:sz w:val="18"/>
          <w:szCs w:val="18"/>
          <w:color w:val="auto"/>
        </w:rPr>
        <w:t>Accordingly, the Company did not recognize any credit losses related to its marketable securities in an unrealized loss position during any of the periods noted in the table above.</w:t>
      </w:r>
    </w:p>
    <w:p>
      <w:pPr>
        <w:spacing w:after="0" w:line="50"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financial liabilities measured at fair value on a recurring basis and the basis for that measurement, by level within the fair value hierarchy,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00" w:type="dxa"/>
            <w:vAlign w:val="bottom"/>
          </w:tcPr>
          <w:p>
            <w:pPr>
              <w:spacing w:after="0"/>
              <w:rPr>
                <w:sz w:val="20"/>
                <w:szCs w:val="20"/>
                <w:color w:val="auto"/>
              </w:rPr>
            </w:pPr>
          </w:p>
        </w:tc>
        <w:tc>
          <w:tcPr>
            <w:tcW w:w="37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4"/>
        </w:trPr>
        <w:tc>
          <w:tcPr>
            <w:tcW w:w="2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37,865</w:t>
            </w:r>
          </w:p>
        </w:tc>
        <w:tc>
          <w:tcPr>
            <w:tcW w:w="100" w:type="dxa"/>
            <w:vAlign w:val="bottom"/>
          </w:tcPr>
          <w:p>
            <w:pPr>
              <w:spacing w:after="0"/>
              <w:rPr>
                <w:sz w:val="20"/>
                <w:szCs w:val="20"/>
                <w:color w:val="auto"/>
              </w:rPr>
            </w:pPr>
          </w:p>
        </w:tc>
      </w:tr>
      <w:tr>
        <w:trPr>
          <w:trHeight w:val="247"/>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Pr>
          <w:p>
            <w:pPr>
              <w:spacing w:after="0"/>
              <w:rPr>
                <w:sz w:val="20"/>
                <w:szCs w:val="20"/>
                <w:color w:val="auto"/>
              </w:rPr>
            </w:pPr>
          </w:p>
        </w:tc>
      </w:tr>
      <w:tr>
        <w:trPr>
          <w:trHeight w:val="247"/>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3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shd w:val="clear" w:color="auto" w:fill="CFF0FC"/>
          </w:tcPr>
          <w:p>
            <w:pPr>
              <w:spacing w:after="0"/>
              <w:rPr>
                <w:sz w:val="21"/>
                <w:szCs w:val="21"/>
                <w:color w:val="auto"/>
              </w:rPr>
            </w:pPr>
          </w:p>
        </w:tc>
      </w:tr>
      <w:tr>
        <w:trPr>
          <w:trHeight w:val="232"/>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59,009</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72,045</w:t>
            </w:r>
          </w:p>
        </w:tc>
        <w:tc>
          <w:tcPr>
            <w:tcW w:w="10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00" w:type="dxa"/>
            <w:vAlign w:val="bottom"/>
          </w:tcPr>
          <w:p>
            <w:pPr>
              <w:spacing w:after="0"/>
              <w:rPr>
                <w:sz w:val="20"/>
                <w:szCs w:val="20"/>
                <w:color w:val="auto"/>
              </w:rPr>
            </w:pPr>
          </w:p>
        </w:tc>
        <w:tc>
          <w:tcPr>
            <w:tcW w:w="37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4"/>
        </w:trPr>
        <w:tc>
          <w:tcPr>
            <w:tcW w:w="2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tcPr>
          <w:p>
            <w:pPr>
              <w:spacing w:after="0"/>
              <w:rPr>
                <w:sz w:val="20"/>
                <w:szCs w:val="20"/>
                <w:color w:val="auto"/>
              </w:rPr>
            </w:pPr>
          </w:p>
        </w:tc>
      </w:tr>
      <w:tr>
        <w:trPr>
          <w:trHeight w:val="243"/>
        </w:trPr>
        <w:tc>
          <w:tcPr>
            <w:tcW w:w="2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80,978</w:t>
            </w:r>
          </w:p>
        </w:tc>
        <w:tc>
          <w:tcPr>
            <w:tcW w:w="10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-187960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spacing w:after="0" w:line="8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December 2022, the Company entered into a 24 month lease for the financing of the furniture installed in the Company’s new office space. The furniture lease requires monthly payments of approximately $11 starting in March 2023. The Company also entered into an immaterial office equipment lease during 2022 that has a term of 36 months.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lease-related assets and liabilities as presented on its Condensed Consolidated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Condensed Consolidated Balance Sheet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assets</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assets</w:t>
            </w:r>
          </w:p>
        </w:tc>
        <w:tc>
          <w:tcPr>
            <w:tcW w:w="5540" w:type="dxa"/>
            <w:vAlign w:val="bottom"/>
            <w:shd w:val="clear" w:color="auto" w:fill="CFF0FC"/>
          </w:tcPr>
          <w:p>
            <w:pPr>
              <w:spacing w:after="0"/>
              <w:rPr>
                <w:sz w:val="23"/>
                <w:szCs w:val="23"/>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5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 portion</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5540" w:type="dxa"/>
            <w:vAlign w:val="bottom"/>
            <w:shd w:val="clear" w:color="auto" w:fill="CFF0FC"/>
          </w:tcPr>
          <w:p>
            <w:pPr>
              <w:spacing w:after="0"/>
              <w:rPr>
                <w:sz w:val="23"/>
                <w:szCs w:val="23"/>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2700" w:type="dxa"/>
            <w:vAlign w:val="bottom"/>
            <w:tcBorders>
              <w:top w:val="single" w:sz="8" w:color="CFF0FC"/>
            </w:tcBorders>
          </w:tcPr>
          <w:p>
            <w:pPr>
              <w:spacing w:after="0"/>
              <w:rPr>
                <w:sz w:val="24"/>
                <w:szCs w:val="24"/>
                <w:color w:val="auto"/>
              </w:rPr>
            </w:pPr>
          </w:p>
        </w:tc>
        <w:tc>
          <w:tcPr>
            <w:tcW w:w="5540" w:type="dxa"/>
            <w:vAlign w:val="bottom"/>
            <w:tcBorders>
              <w:top w:val="single" w:sz="8" w:color="CFF0FC"/>
            </w:tcBorders>
          </w:tcPr>
          <w:p>
            <w:pPr>
              <w:ind w:left="28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700" w:type="dxa"/>
            <w:vAlign w:val="bottom"/>
            <w:tcBorders>
              <w:bottom w:val="single" w:sz="8" w:color="9A9A9A"/>
            </w:tcBorders>
          </w:tcPr>
          <w:p>
            <w:pPr>
              <w:spacing w:after="0"/>
              <w:rPr>
                <w:sz w:val="7"/>
                <w:szCs w:val="7"/>
                <w:color w:val="auto"/>
              </w:rPr>
            </w:pPr>
          </w:p>
        </w:tc>
        <w:tc>
          <w:tcPr>
            <w:tcW w:w="5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-1910715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-1893570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-641985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-624840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622"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related to the Company's lease expense for the periods shown:</w:t>
      </w:r>
    </w:p>
    <w:p>
      <w:pPr>
        <w:spacing w:after="0" w:line="23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720" w:type="dxa"/>
            <w:vAlign w:val="bottom"/>
            <w:gridSpan w:val="3"/>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88"/>
              </w:rPr>
              <w:t>85</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0"/>
                <w:szCs w:val="20"/>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1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8"/>
                <w:szCs w:val="18"/>
                <w:color w:val="auto"/>
                <w:w w:val="88"/>
              </w:rPr>
              <w:t>12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expense</w:t>
            </w:r>
          </w:p>
        </w:tc>
        <w:tc>
          <w:tcPr>
            <w:tcW w:w="11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4"/>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88"/>
              </w:rPr>
              <w:t>97</w:t>
            </w:r>
          </w:p>
        </w:tc>
        <w:tc>
          <w:tcPr>
            <w:tcW w:w="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80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from March 31, 2024 until the expiration of the leases are as follows: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6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24"/>
                <w:szCs w:val="24"/>
                <w:color w:val="auto"/>
              </w:rPr>
            </w:pPr>
          </w:p>
        </w:tc>
      </w:tr>
      <w:tr>
        <w:trPr>
          <w:trHeight w:val="23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720" w:type="dxa"/>
            <w:vAlign w:val="bottom"/>
            <w:gridSpan w:val="3"/>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0"/>
                <w:szCs w:val="20"/>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18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FF0FC"/>
            </w:tcBorders>
          </w:tcPr>
          <w:p>
            <w:pPr>
              <w:spacing w:after="0"/>
              <w:rPr>
                <w:sz w:val="20"/>
                <w:szCs w:val="20"/>
                <w:color w:val="auto"/>
              </w:rPr>
            </w:pPr>
          </w:p>
        </w:tc>
      </w:tr>
      <w:tr>
        <w:trPr>
          <w:trHeight w:val="243"/>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6"/>
        </w:trPr>
        <w:tc>
          <w:tcPr>
            <w:tcW w:w="6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240" w:type="dxa"/>
            <w:vAlign w:val="bottom"/>
            <w:tcBorders>
              <w:top w:val="single" w:sz="8" w:color="CFF0FC"/>
            </w:tcBorders>
            <w:gridSpan w:val="2"/>
          </w:tcPr>
          <w:p>
            <w:pPr>
              <w:spacing w:after="0"/>
              <w:rPr>
                <w:sz w:val="20"/>
                <w:szCs w:val="20"/>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1,147</w:t>
            </w:r>
          </w:p>
        </w:tc>
        <w:tc>
          <w:tcPr>
            <w:tcW w:w="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FF0FC"/>
            </w:tcBorders>
          </w:tcPr>
          <w:p>
            <w:pPr>
              <w:spacing w:after="0"/>
              <w:rPr>
                <w:sz w:val="20"/>
                <w:szCs w:val="20"/>
                <w:color w:val="auto"/>
              </w:rPr>
            </w:pPr>
          </w:p>
        </w:tc>
      </w:tr>
      <w:tr>
        <w:trPr>
          <w:trHeight w:val="20"/>
        </w:trPr>
        <w:tc>
          <w:tcPr>
            <w:tcW w:w="7560" w:type="dxa"/>
            <w:vAlign w:val="bottom"/>
            <w:gridSpan w:val="3"/>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924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certain information related to the lease terms and discount rates for the Company's leases: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320" w:type="dxa"/>
            <w:vAlign w:val="bottom"/>
          </w:tcPr>
          <w:p>
            <w:pPr>
              <w:spacing w:after="0"/>
              <w:rPr>
                <w:sz w:val="24"/>
                <w:szCs w:val="24"/>
                <w:color w:val="auto"/>
              </w:rPr>
            </w:pPr>
          </w:p>
        </w:tc>
        <w:tc>
          <w:tcPr>
            <w:tcW w:w="1720" w:type="dxa"/>
            <w:vAlign w:val="bottom"/>
            <w:tcBorders>
              <w:bottom w:val="single" w:sz="8" w:color="auto"/>
            </w:tcBorders>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720" w:type="dxa"/>
            <w:vAlign w:val="bottom"/>
            <w:gridSpan w:val="3"/>
            <w:shd w:val="clear" w:color="auto" w:fill="CFF0FC"/>
          </w:tcPr>
          <w:p>
            <w:pPr>
              <w:jc w:val="center"/>
              <w:ind w:left="413"/>
              <w:spacing w:after="0"/>
              <w:rPr>
                <w:sz w:val="20"/>
                <w:szCs w:val="20"/>
                <w:color w:val="auto"/>
              </w:rPr>
            </w:pPr>
            <w:r>
              <w:rPr>
                <w:rFonts w:ascii="Times New Roman" w:cs="Times New Roman" w:eastAsia="Times New Roman" w:hAnsi="Times New Roman"/>
                <w:sz w:val="18"/>
                <w:szCs w:val="18"/>
                <w:color w:val="auto"/>
              </w:rPr>
              <w:t>3.6 years</w:t>
            </w: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4.3 years</w:t>
            </w: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gridSpan w:val="3"/>
          </w:tcPr>
          <w:p>
            <w:pPr>
              <w:jc w:val="center"/>
              <w:ind w:left="413"/>
              <w:spacing w:after="0"/>
              <w:rPr>
                <w:sz w:val="20"/>
                <w:szCs w:val="20"/>
                <w:color w:val="auto"/>
              </w:rPr>
            </w:pPr>
            <w:r>
              <w:rPr>
                <w:rFonts w:ascii="Times New Roman" w:cs="Times New Roman" w:eastAsia="Times New Roman" w:hAnsi="Times New Roman"/>
                <w:sz w:val="18"/>
                <w:szCs w:val="18"/>
                <w:color w:val="auto"/>
              </w:rPr>
              <w:t>1.0 years</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1.3 years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720" w:type="dxa"/>
            <w:vAlign w:val="bottom"/>
            <w:gridSpan w:val="3"/>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rPr>
              <w:t>11.00%</w:t>
            </w: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60" w:type="dxa"/>
            <w:vAlign w:val="bottom"/>
            <w:gridSpan w:val="6"/>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gridSpan w:val="3"/>
          </w:tcPr>
          <w:p>
            <w:pPr>
              <w:jc w:val="right"/>
              <w:ind w:right="299"/>
              <w:spacing w:after="0"/>
              <w:rPr>
                <w:sz w:val="20"/>
                <w:szCs w:val="20"/>
                <w:color w:val="auto"/>
              </w:rPr>
            </w:pPr>
            <w:r>
              <w:rPr>
                <w:rFonts w:ascii="Times New Roman" w:cs="Times New Roman" w:eastAsia="Times New Roman" w:hAnsi="Times New Roman"/>
                <w:sz w:val="18"/>
                <w:szCs w:val="18"/>
                <w:color w:val="auto"/>
              </w:rPr>
              <w:t>4.37%</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4.37%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924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leases for the periods shown:</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6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6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outflows relating to operating leases</w:t>
            </w: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88"/>
              </w:rPr>
              <w:t>69</w:t>
            </w:r>
          </w:p>
        </w:tc>
        <w:tc>
          <w:tcPr>
            <w:tcW w:w="6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payments</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88"/>
              </w:rPr>
              <w:t>32</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-5168265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-5151120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-5168265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-5151120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-3788410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-3470910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R&amp;D projects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Silicon Valley Bank Term Loan</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On May 9, 2023, the Company paid the remaining amount due under the SVB Loan Agreement, resulting in the full extinguishment of the SVB Term Loan (as described below). As a result, after May 9, 2023, the Company had no outstanding debt. The total payoff amount was $6.5 million, consisting of the remaining principal amount due of $5.2 million, the final payment fee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839" w:gutter="0" w:footer="0" w:header="0"/>
        </w:sectPr>
      </w:pPr>
    </w:p>
    <w:bookmarkStart w:id="16" w:name="page17"/>
    <w:bookmarkEnd w:id="16"/>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$1.2 million, and $0.1 million of accrued interest and prepayment premium. During the year ended December 31, 2023, an immaterial effect from early extinguishment of debt was recorded in connection with the Company paying the remaining amounts due under the SVB Loan Agreement, which was included in other income, net on the Company’s Condensed Consolidated Statement of Comprehensive Loss.</w:t>
      </w:r>
    </w:p>
    <w:p>
      <w:pPr>
        <w:spacing w:after="0" w:line="6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August 13, 2020 (the “Effective Date”), the Company entered into a loan and security agreement (the “SVB Loan Agreement”) with Silicon Valley Bank (“SVB”), as lender, pursuant to which SVB provided a term loan to the Company in the original principal amount of $14.0 million (the “SVB Term Loan”). The SVB Term Loan bore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w:t>
      </w:r>
    </w:p>
    <w:p>
      <w:pPr>
        <w:spacing w:after="0" w:line="5" w:lineRule="exact"/>
        <w:rPr>
          <w:sz w:val="20"/>
          <w:szCs w:val="20"/>
          <w:color w:val="auto"/>
        </w:rPr>
      </w:pPr>
    </w:p>
    <w:p>
      <w:pPr>
        <w:ind w:right="40" w:firstLine="8"/>
        <w:spacing w:after="0" w:line="251"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3.00% and (B) 6.25% (see term loan derivative liability discussion below). Commencing on March 1, 2022 and on the first business day of each month thereafter, the Company was required to make monthly interest payments and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have been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was required to pay a final payment fee equal to $1.2 million. The SVB Term Loan and related obligations under the SVB Loan Agreement were secured by substantially all of the Company’s properties, rights and assets, except for its intellectual property (which was subject to a negative pledge under the SVB Loan Agreement).</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have been required to deposit unrestricted and unencumbered cash equal to 100% of all outstanding amounts owed to SVB in a cash collateral account with SVB, which could have been used by SVB to prepay the SVB Term Loan at any time. In addition, the Loan Amendment provided that if the Company failed to maintain at least $20.0 million in unrestricted and unencumbered cash in its accounts with SVB at any time prior to the satisfaction of all the Milestone Conditions (the “Minimum Required Cash”), the Company would have been required to cash collateralize all outstanding amounts owed to SVB under the SVB Loan 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at-the-market sales agreement entered into with SVB Securities LLC (formerly SVB Leerink LLC) (“SVB Securities”) in June 2020 (the “ATM Sales Agreement”) and two private placements, which took place in October 2021 (see Note 8).</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April 6, 2022, the Company and SVB entered into a Third Amendment (the “Third Amendment”) to the SVB Loan Agreement. The Third Amendment principally modified the conditions under which the Company would have been required to cash collateralize all outstanding amounts owed to SVB under the SVB Loan Agreement. Under the terms of the Third Amendment, if the Company raised $45.0 million in net proceeds from the sale of equity securities (the “2022 Equity Event”), the Company’s obligations to achieve the Milestone Conditions and maintain the Minimum Required Cash would have terminated and the sole remaining trigger for cash collateralization would have been if the Company did not receive positive final data by December 31, 2022 from either its Phase 2b/3 PRISM trial of Haduvio for prurigo nodularis or its Phase 2 CANAL trial of Haduvio for the treatment of chronic cough in IPF. In addition, the Third Amendment modified the interest rate on the principal amount outstanding under the SVB Loan Agreement. As a result of the Third Amendment, amounts outstanding under the SVB Loan Agreement accrued interest at a floating per annum rate equal to (i) prior to the occurrence of the 2022 Equity Event, the greater of (A) the prime rate plus 1.00% and (B) 4.25%, and (ii) upon and after the occurrence of the 2022 Equity Event, the greater of (A) 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SVB Loan Agreement contained customary representations, warranties, events of default and covenants. The occurrence and continuation of an event of default could have caused interest to be charged at the rate that was otherwise applicable plus 5.00% (unless SVB elected to impose a smaller increase) and would have provided SVB with the right to accelerate all obligations under the SVB Loan Agreement and exercise remedies against the Company and the collateral securing the SVB Term Loan and other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right="180"/>
        <w:spacing w:after="0" w:line="282" w:lineRule="auto"/>
        <w:rPr>
          <w:sz w:val="20"/>
          <w:szCs w:val="20"/>
          <w:color w:val="auto"/>
        </w:rPr>
      </w:pPr>
      <w:r>
        <w:rPr>
          <w:rFonts w:ascii="Times New Roman" w:cs="Times New Roman" w:eastAsia="Times New Roman" w:hAnsi="Times New Roman"/>
          <w:sz w:val="18"/>
          <w:szCs w:val="18"/>
          <w:color w:val="auto"/>
        </w:rPr>
        <w:t>obligations under the SVB Loan Agreement, including foreclosure against assets securing the SVB Term Loan and other obligations under the SVB Loan Agreement, including the Company’s cash. The SVB Loan Agreement also restricted the payment of dividends on the Company’s common stock.</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Interest expense on the SVB Term Loan, which was comprised of interest payments, accretion and amortization of term loan discounts and the accrual of the final payment fee, is shown below for the three months ended March 31, 2023. For the three months ended March 31, 2023, the weighted average interest rate applicable to borrowings under the SVB Term Loan was 10.68%.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7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8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802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620" w:type="dxa"/>
            <w:vAlign w:val="bottom"/>
            <w:tcBorders>
              <w:top w:val="single" w:sz="8" w:color="auto"/>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0"/>
                <w:szCs w:val="20"/>
                <w:color w:val="auto"/>
              </w:rPr>
            </w:pP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of the final payment fee</w:t>
            </w:r>
          </w:p>
        </w:tc>
        <w:tc>
          <w:tcPr>
            <w:tcW w:w="50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r>
      <w:tr>
        <w:trPr>
          <w:trHeight w:val="243"/>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and amortization of term loan discounts</w:t>
            </w:r>
          </w:p>
        </w:tc>
        <w:tc>
          <w:tcPr>
            <w:tcW w:w="500" w:type="dxa"/>
            <w:vAlign w:val="bottom"/>
            <w:tcBorders>
              <w:bottom w:val="single" w:sz="8" w:color="auto"/>
            </w:tcBorders>
            <w:shd w:val="clear" w:color="auto" w:fill="CFF0FC"/>
          </w:tcPr>
          <w:p>
            <w:pPr>
              <w:spacing w:after="0"/>
              <w:rPr>
                <w:sz w:val="21"/>
                <w:szCs w:val="21"/>
                <w:color w:val="auto"/>
              </w:rPr>
            </w:pP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02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r>
        <w:trPr>
          <w:trHeight w:val="20"/>
        </w:trPr>
        <w:tc>
          <w:tcPr>
            <w:tcW w:w="8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4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reserved shares of common stock for future issuance as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5"/>
        </w:trPr>
        <w:tc>
          <w:tcPr>
            <w:tcW w:w="832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Shares of common stock reserved for future issuance upon exercise of outstanding warrants and pre-funded</w:t>
            </w:r>
          </w:p>
        </w:tc>
        <w:tc>
          <w:tcPr>
            <w:tcW w:w="12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40,257,447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40,931,506</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8,683,520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6,549,183</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1,177,456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1,177,456</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2012</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534,447</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565,792</w:t>
            </w:r>
          </w:p>
        </w:tc>
        <w:tc>
          <w:tcPr>
            <w:tcW w:w="100" w:type="dxa"/>
            <w:vAlign w:val="bottom"/>
          </w:tcPr>
          <w:p>
            <w:pPr>
              <w:spacing w:after="0"/>
              <w:rPr>
                <w:sz w:val="20"/>
                <w:szCs w:val="20"/>
                <w:color w:val="auto"/>
              </w:rPr>
            </w:pPr>
          </w:p>
        </w:tc>
      </w:tr>
      <w:tr>
        <w:trPr>
          <w:trHeight w:val="277"/>
        </w:trPr>
        <w:tc>
          <w:tcPr>
            <w:tcW w:w="4980" w:type="dxa"/>
            <w:vAlign w:val="bottom"/>
            <w:tcBorders>
              <w:bottom w:val="single" w:sz="8" w:color="CFF0FC"/>
            </w:tcBorders>
            <w:shd w:val="clear" w:color="auto" w:fill="CFF0FC"/>
          </w:tcPr>
          <w:p>
            <w:pPr>
              <w:spacing w:after="0"/>
              <w:rPr>
                <w:sz w:val="24"/>
                <w:szCs w:val="24"/>
                <w:color w:val="auto"/>
              </w:rPr>
            </w:pPr>
          </w:p>
        </w:tc>
        <w:tc>
          <w:tcPr>
            <w:tcW w:w="33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50,652,870</w:t>
            </w:r>
          </w:p>
        </w:tc>
        <w:tc>
          <w:tcPr>
            <w:tcW w:w="2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49,223,937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the ATM Sales Agreement with SVB Securities under which the Company was able to issue and sell shares of its common stock, from time to time, having an aggregate offering price of up to $12.0 million. In May 2022, the Company and SVB Securities amended the ATM Sales Agreement to increase the maximum aggregate offering price of common stock that it was able to issue and sell from time to time under the ATM Sales Agreement by $50.0 million, from $12.0 million to up to $62.0 million.</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Sales of common stock under the ATM Sales Agreement were able to be made by any method that was deemed an “at-the-market” offering as defined in Rule 415(a)(4) under the Securities Act of 1933, as amended. The Company was not obligated to make any sales of its common stock under the ATM Sales Agreement. The Company began making sales pursuant to the ATM Sales Agreement in July 2020. As of August 15, 2023, the date of termination of the ATM Sales Agreement, the Company had issued and sold an aggregate of 4,333,394 shares of common stock for gross proceeds of $12.7 million pursuant to the ATM Sales Agreement, before deducting estimated commissions and allocated fees of $1.0 million.</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June 2023, the Company filed with the SEC a universal shelf registration statement on Form S-3 (the “Shelf Registration Statement”), which allows the Company to offer and sell up to $200.0 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and was declared effective on August 15, 2023. Further, in June 2023, the Company entered into a new at-the-market sales agreement with Leerink Partners, LLC (formerly SVB Securities) (the “2023 ATM Sales Agreement”), under which the Company may issue and sell shares of common stock, from time to time by any method that is deemed an “at-the-market” offering as defined in Rule 415(a)(4) under the Securities Act of 1933, as amended. The Company is not obligated to make any sales of its common stock under the 2023 ATM Sales Agreement. The Company filed a prospectus under the Shelf Registration Statement for the offer and sale of shares of the Company’s common stock having an aggregate offering price of up to $75.0 million pursuant to the 2023 ATM Sales Agreement. In accordance with the terms of the 2023 ATM Sales Agreement, the ATM Sales Agreement terminated upon effectiveness of the Shelf Registration Statement, at which point the Company was no longer able to issue and sell shares of its common stock under the ATM Sales Agreement. As of March 31, 2024, the Company had not made any sales pursuant to the 2023 ATM Sales Agreement.</w:t>
      </w:r>
    </w:p>
    <w:p>
      <w:pPr>
        <w:spacing w:after="0" w:line="8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Subsequent to March 31, 2024, and through May 7, 2024, the Company issued and sold 1,474,926 shares of common stock for gross proceeds of $5.0 million, before deducting estimated commissions and allocated fees of $0.2 million under the 2023 ATM Sales Agreement.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The accompanying common stock warrants have an exercise price of $1.37 per share and became exercisable immediately upon issuance. Of the accompanying common stock warrants, warrants to purchase an aggregate of 7,299,270 shares had an expiration date of April 5, 2025, and warrants to purchase an aggregate of 7,299,270 shares had an expiration date of October 5, 2028. All of the accompanying common stock warrants expiring on April 5, 2025 have been exercised and accompanying common stock warrants to purchase 1,299,270 shares expiring on October 5, 2028 have been exercised.</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will expire on April 18, 2025, and warrants to purchase an aggregate of 1,851,852 shares of the Company’s common stock will expire on October 18, 2028. None of the accompanying common stock warrants expiring on April 18, 2025 and October 18, 2028, have been exercised.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net proceeds from the two October 2021 private placements were $13.7 million, after deducting issuance costs of $1.1 million</w:t>
      </w:r>
      <w:r>
        <w:rPr>
          <w:rFonts w:ascii="Arial" w:cs="Arial" w:eastAsia="Arial" w:hAnsi="Arial"/>
          <w:sz w:val="16"/>
          <w:szCs w:val="16"/>
          <w:color w:val="auto"/>
        </w:rPr>
        <w:t>.</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Warrant activity, including activity related to pre-funded warrants, is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24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31,227,802</w:t>
            </w: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40,931,506</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(674,059 )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(674,059 )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30,553,743</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40,257,447</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-25400</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Plan and the 2012 Plan was 9,217,967 as of March 31, 2024, of which 1,395,262 shares remained available for grant under the 2019 Plan. Awards may be made under the 2019 Plan for up to such number of shares of the Company’s common stock as is equal to the sum of: i) 1,578,947 shares; plus ii) the number of shares (up to 1,157,894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2024 and January 1, 2023, the number of shares reserved for issuance under the 2019 Plan increased, pursuant to the terms of the 2019 Plan, by an additional 2,105,623 shares in each case, equal to the 2019 Plan determined maximum for each year.</w:t>
      </w:r>
    </w:p>
    <w:p>
      <w:pPr>
        <w:spacing w:after="0" w:line="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shares of common stock. As of March 31, 2024 and December 31, 2023, respectively, options to purchase 7,288,258 shares and 4,746,508 shares of common stock were granted and outstanding, net of cancellations, under the 2019 Plan. As of March 31, 2024 and December 31, 2023, respectively, options to purchase 534,447 and 565,792 shares of common stock were granted and outstanding, net of cancellations, under the 2012 Plan.</w:t>
      </w:r>
    </w:p>
    <w:p>
      <w:pPr>
        <w:spacing w:after="0" w:line="8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832,250 stock options subject to performance-based vesting (“PSOs”) to employees of the Company. The PSOs granted in February 2024 vest based on the timing and results of the Company’s clinical trials.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combined stock option activity for the 2019 Plan and the 2012 Plan is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5,312,300</w:t>
            </w:r>
          </w:p>
        </w:tc>
        <w:tc>
          <w:tcPr>
            <w:tcW w:w="3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2,541,750</w:t>
            </w:r>
          </w:p>
        </w:tc>
        <w:tc>
          <w:tcPr>
            <w:tcW w:w="3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2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(28,714 )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(2,631 )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7,822,705</w:t>
            </w:r>
          </w:p>
        </w:tc>
        <w:tc>
          <w:tcPr>
            <w:tcW w:w="3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3,264,598</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unvested as of March 31,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4,558,107</w:t>
            </w:r>
          </w:p>
        </w:tc>
        <w:tc>
          <w:tcPr>
            <w:tcW w:w="3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-490855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ESPP was 1,177,456 as of March 31, 2024, all of which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2023, the aggregate number of shares of the Company’s common stock that may be issued under the 2019 ESPP increased, pursuant to the terms of the 2019 ESPP, by an additional 526,315 shares, equal to the 2019 ESPP determined maximum for the year. No increase was made on January 1,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classifications of stock-based compensation expenses for the 2012 Plan, the 2019 Plan and the 2019 ESPP recognized in the Condensed Consolidated Statements of Comprehensive Loss:</w:t>
      </w:r>
    </w:p>
    <w:p>
      <w:pPr>
        <w:spacing w:after="0" w:line="7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60" w:type="dxa"/>
            <w:vAlign w:val="bottom"/>
          </w:tcPr>
          <w:p>
            <w:pPr>
              <w:spacing w:after="0"/>
              <w:rPr>
                <w:sz w:val="14"/>
                <w:szCs w:val="14"/>
                <w:color w:val="auto"/>
              </w:rPr>
            </w:pPr>
          </w:p>
        </w:tc>
        <w:tc>
          <w:tcPr>
            <w:tcW w:w="17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740" w:type="dxa"/>
            <w:vAlign w:val="bottom"/>
            <w:shd w:val="clear" w:color="auto" w:fill="CFF0FC"/>
          </w:tcPr>
          <w:p>
            <w:pPr>
              <w:jc w:val="right"/>
              <w:ind w:right="15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9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20"/>
                <w:szCs w:val="20"/>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r>
      <w:tr>
        <w:trPr>
          <w:trHeight w:val="277"/>
        </w:trPr>
        <w:tc>
          <w:tcPr>
            <w:tcW w:w="5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1740" w:type="dxa"/>
            <w:vAlign w:val="bottom"/>
            <w:tcBorders>
              <w:bottom w:val="single" w:sz="8" w:color="auto"/>
            </w:tcBorders>
            <w:shd w:val="clear" w:color="auto" w:fill="CFF0FC"/>
          </w:tcPr>
          <w:p>
            <w:pPr>
              <w:jc w:val="right"/>
              <w:ind w:right="15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Company maintained a full valuation allowance on deferred tax assets. The income tax benefit recorded during the three months ended March 31, 2024 and 2023 was for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estimates for its state research and development tax credits in each given year.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2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(10,902 )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(6,401 )</w:t>
            </w:r>
          </w:p>
        </w:tc>
        <w:tc>
          <w:tcPr>
            <w:tcW w:w="0" w:type="dxa"/>
            <w:vAlign w:val="bottom"/>
          </w:tcPr>
          <w:p>
            <w:pPr>
              <w:spacing w:after="0"/>
              <w:rPr>
                <w:sz w:val="1"/>
                <w:szCs w:val="1"/>
                <w:color w:val="auto"/>
              </w:rPr>
            </w:pPr>
          </w:p>
        </w:tc>
      </w:tr>
      <w:tr>
        <w:trPr>
          <w:trHeight w:val="211"/>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 common</w:t>
            </w:r>
          </w:p>
        </w:tc>
        <w:tc>
          <w:tcPr>
            <w:tcW w:w="11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99,517,212</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98,610,671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(0.11 )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Basic shares outstanding includes the weighted average effect of the Company’s pre-funded warrants from the date of issuance, the exercise of which requires little or no consideration for the delivery of shares of common stock. As of March 31, 2024 and December 31, 2023, the Company had pre-funded warrants to purchase 30,553,743 and 31,227,802 shares of common stock outstanding, respectively, which were issued in the April 2022 Private Placement and the September 2022 Offering, which warrants are included in the weighted average common shares used in calculating the net loss per share attributable to common stockholders, basic and diluted, for the three months ended March 31, 2024 and 2023.</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March 31, 2024 and 2023, respectively, were excluded from the calculation of diluted net loss per share attributable to common stockholders for the periods indicated because including them would have had an anti-dilutive effect:</w:t>
      </w:r>
    </w:p>
    <w:p>
      <w:pPr>
        <w:spacing w:after="0" w:line="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Shares as of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100" w:type="dxa"/>
            <w:vAlign w:val="bottom"/>
            <w:shd w:val="clear" w:color="auto" w:fill="CFF0FC"/>
          </w:tcPr>
          <w:p>
            <w:pPr>
              <w:spacing w:after="0"/>
              <w:rPr>
                <w:sz w:val="20"/>
                <w:szCs w:val="20"/>
                <w:color w:val="auto"/>
              </w:rPr>
            </w:pPr>
          </w:p>
        </w:tc>
      </w:tr>
      <w:tr>
        <w:trPr>
          <w:trHeight w:val="23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7,822,705</w:t>
            </w:r>
          </w:p>
        </w:tc>
        <w:tc>
          <w:tcPr>
            <w:tcW w:w="340" w:type="dxa"/>
            <w:vAlign w:val="bottom"/>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5,361,019</w:t>
            </w:r>
          </w:p>
        </w:tc>
        <w:tc>
          <w:tcPr>
            <w:tcW w:w="100" w:type="dxa"/>
            <w:vAlign w:val="bottom"/>
          </w:tcPr>
          <w:p>
            <w:pPr>
              <w:spacing w:after="0"/>
              <w:rPr>
                <w:sz w:val="20"/>
                <w:szCs w:val="20"/>
                <w:color w:val="auto"/>
              </w:rPr>
            </w:pPr>
          </w:p>
        </w:tc>
      </w:tr>
      <w:tr>
        <w:trPr>
          <w:trHeight w:val="277"/>
        </w:trPr>
        <w:tc>
          <w:tcPr>
            <w:tcW w:w="5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potential common shares</w:t>
            </w:r>
          </w:p>
        </w:tc>
        <w:tc>
          <w:tcPr>
            <w:tcW w:w="14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17,526,409</w:t>
            </w:r>
          </w:p>
        </w:tc>
        <w:tc>
          <w:tcPr>
            <w:tcW w:w="340" w:type="dxa"/>
            <w:vAlign w:val="bottom"/>
            <w:tcBorders>
              <w:bottom w:val="single" w:sz="8" w:color="CFF0FC"/>
            </w:tcBorders>
            <w:shd w:val="clear" w:color="auto" w:fill="CFF0FC"/>
          </w:tcPr>
          <w:p>
            <w:pPr>
              <w:spacing w:after="0"/>
              <w:rPr>
                <w:sz w:val="24"/>
                <w:szCs w:val="24"/>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15,064,723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Collaborative and Licensing Agreements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enters into collaborative and licensing agreements with pharmaceutical companies to in-license, develop, manufacture and/or market products that fit within its business strategy.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Endo Pharmaceuticals Inc.</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6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right="240"/>
        <w:spacing w:after="0" w:line="282" w:lineRule="auto"/>
        <w:rPr>
          <w:sz w:val="20"/>
          <w:szCs w:val="20"/>
          <w:color w:val="auto"/>
        </w:rPr>
      </w:pPr>
      <w:r>
        <w:rPr>
          <w:rFonts w:ascii="Times New Roman" w:cs="Times New Roman" w:eastAsia="Times New Roman" w:hAnsi="Times New Roman"/>
          <w:sz w:val="18"/>
          <w:szCs w:val="18"/>
          <w:color w:val="auto"/>
        </w:rPr>
        <w:t>enforceability of any licensed patent rights covering a licensed product and that challenge is not terminated within a specified period, the agreement will immediately terminate and all licenses granted under the agreement shall be revoked.</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71"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has commitments under lease and licensing agreements (Note 5 and Note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2023 included in our Annual Report on Form 10-K, filed with the Securities and Exchange Commission, or SEC, on March 20, 2024.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80" w:lineRule="exact"/>
        <w:rPr>
          <w:sz w:val="20"/>
          <w:szCs w:val="20"/>
          <w:color w:val="auto"/>
        </w:rPr>
      </w:pPr>
    </w:p>
    <w:p>
      <w:pPr>
        <w:ind w:right="460" w:firstLine="509"/>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We caution readers not to place undue reliance on any forward-looking statements made by us, which speak only as of the date they are made.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the investigational therapy Haduvio (oral nalbuphine ER) for the treatment of chronic cough in idiopathic pulmonary fibrosis, or IPF, and refractory chronic cough, or RCC. These conditions share a common pathophysiology that is mediated through opioid receptors in the central and peripheral nervous systems. Due to nalbuphine’s mechanism of action as a modulator of opioid receptors, we believe Haduvio has the potential to be effective in treating each of these conditions.</w:t>
      </w:r>
    </w:p>
    <w:p>
      <w:pPr>
        <w:spacing w:after="0" w:line="72"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or the U.S., and Europe. The κ- and μ-opioid receptors are known to be critical mediators of cough and itch. Nalbuphine’s mechanism of action also mitigates the risk of abuse associated with μ-opioid agonists because it antagonizes, or blocks, the μ-opioid receptor. Parenteral nalbuphine is not scheduled as a controlled substance in the U.S. and most of Europe.</w:t>
      </w:r>
    </w:p>
    <w:p>
      <w:pPr>
        <w:spacing w:after="0" w:line="73"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IPF Program. </w:t>
      </w:r>
      <w:r>
        <w:rPr>
          <w:rFonts w:ascii="Times New Roman" w:cs="Times New Roman" w:eastAsia="Times New Roman" w:hAnsi="Times New Roman"/>
          <w:sz w:val="18"/>
          <w:szCs w:val="18"/>
          <w:color w:val="auto"/>
        </w:rPr>
        <w:t>In September 2022, we announced positive data from the full set of patients in our Phase 2 clinical trial of Haduvio for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chronic cough in IPF, which we refer to as the Phase 2 CANAL trial. The Phase 2 CANAL trial was a randomized, double-blind, placebo controlled, two-treatment, two-period, crossover study that was designed to evaluate the efficacy,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3" w:name="page24"/>
    <w:bookmarkEnd w:id="23"/>
    <w:p>
      <w:pPr>
        <w:ind w:right="260"/>
        <w:spacing w:after="0" w:line="261" w:lineRule="auto"/>
        <w:rPr>
          <w:sz w:val="20"/>
          <w:szCs w:val="20"/>
          <w:color w:val="auto"/>
        </w:rPr>
      </w:pPr>
      <w:r>
        <w:rPr>
          <w:rFonts w:ascii="Times New Roman" w:cs="Times New Roman" w:eastAsia="Times New Roman" w:hAnsi="Times New Roman"/>
          <w:sz w:val="18"/>
          <w:szCs w:val="18"/>
          <w:color w:val="auto"/>
        </w:rPr>
        <w:t>safety, tolerability and dosing of Haduvio for chronic cough in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we initiated our Phase 2b CORAL clinical trial, which is a dose-ranging study evaluating the efficacy, safety and tolerability of Haduvio for chronic cough in IPF. This trial is expected to be conducted at multiple sites in up to 11 countries and uses a randomized, double-blind, placebo-controlled, parallel-arm design, which evaluates three doses of Haduvio over six weeks as compared to placebo. The primary efficacy endpoint for the trial is the relative change in 24-hour cough frequency at the end of week six versus baseline for Haduvio compared to placebo, as measured via an objective cough monitor. We expect the trial to enroll approximately 160 patients. The protocol for the Phase 2b CORAL clinical trial provides for a sample size re-estimation, or SSRE, analysis once approximately 50% of the patients in the trial are evaluable for the primary endpoint. The SSRE is expected to occur in the second half of 2024, and topline data from the full trial are expected to be available in the first half of 2025 assuming there are no adjustments made to the sample size.</w:t>
      </w:r>
    </w:p>
    <w:p>
      <w:pPr>
        <w:spacing w:after="0" w:line="84"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U.S. Food and Drug Administration, or FDA, has cleared our investigational new drug application for our planned Phase 1b clinical trial to evaluate the effect of Haduvio on respiratory physiology in patients with IPF of varying disease severity. The objective for this clinical trial will be to further characterize the safety of Haduvio in this specific patient population, specifically as it relates to respiratory depression. We expect to initiate this trial in the third quarter of 2024.</w:t>
      </w:r>
    </w:p>
    <w:p>
      <w:pPr>
        <w:spacing w:after="0" w:line="7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RCC Program. </w:t>
      </w:r>
      <w:r>
        <w:rPr>
          <w:rFonts w:ascii="Times New Roman" w:cs="Times New Roman" w:eastAsia="Times New Roman" w:hAnsi="Times New Roman"/>
          <w:sz w:val="18"/>
          <w:szCs w:val="18"/>
          <w:color w:val="auto"/>
        </w:rPr>
        <w:t>We are also developing Haduvio for the treatment of RCC. In November 2023, we initiated our Phase 2a clinical trial of Haduvio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RCC, which we refer to as the Phase 2a RIVER trial. The Phase 2a RIVER trial is a randomized, double-blind, placebo-controlled, two-treatment, two-period, crossover study that is designed to evaluate the efficacy, safety, tolerability and dosing of Haduvio for the treatment of RCC. We are conducting this trial at multiple sites in the United Kingdom and Canada. The trial was designed to enroll approximately 60 adult patients. The primary endpoint of the study is a mean change in 24-hour cough frequency using an objective cough monitor in the overall population. Patients are randomized with a 1:1 stratification between those with 10-19 coughs/hour (moderate 24-hour cough frequency) and those with at least 20 coughs/hour (high 24-hour cough frequency). The study will also explore secondary endpoints, including patient reported outcome measures for cough frequency and severity. We expect to report topline efficacy and safety data in the second half of 2024.</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Human Abuse Potential. </w:t>
      </w:r>
      <w:r>
        <w:rPr>
          <w:rFonts w:ascii="Times New Roman" w:cs="Times New Roman" w:eastAsia="Times New Roman" w:hAnsi="Times New Roman"/>
          <w:sz w:val="18"/>
          <w:szCs w:val="18"/>
          <w:color w:val="auto"/>
        </w:rPr>
        <w:t>We initiated a human abuse potential, or HAP, study in the fourth quarter of 2022 to compare the abuse potential of oral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nalbuphine to intravenous, or IV, butorphanol. The parenteral version of nalbuphine is currently unscheduled in the U.S. by the Drug Enforcement Agency. The study follows a randomized, double-blind, active and placebo-controlled five-way crossover design. The study is being conducted in two parts. The first part of the study characterized various IV butorphanol doses in order to select a dose to be studied and has been completed. The FDA requested that we submit the data from the first part of the study in support of our IV butorphanol dose selection for review and comment prior to commencing the second part of the study. We submitted the data to the FDA and the FDA agreed to the selected dose of IV butorphanol for the second part of the study. In the second part of the study, we are comparing oral nalbuphine with the selected dose of IV butorphanol using a drug-liking visual analog scale. We initiated dosing in the second part of the study in January 2024 and the study is now 75% enrolled. We expect to report topline data from the study in the second half of 2024.</w:t>
      </w:r>
    </w:p>
    <w:p>
      <w:pPr>
        <w:spacing w:after="0" w:line="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Prurigo Nodularis Program</w:t>
      </w:r>
      <w:r>
        <w:rPr>
          <w:rFonts w:ascii="Times New Roman" w:cs="Times New Roman" w:eastAsia="Times New Roman" w:hAnsi="Times New Roman"/>
          <w:sz w:val="18"/>
          <w:szCs w:val="18"/>
          <w:color w:val="auto"/>
        </w:rPr>
        <w:t>. We also have a development program for the use of Haduvio for the treatment of prurigo nodularis. In June 2022,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positive results in our Phase 2b/3 clinical trial of Haduvio in patients with prurigo nodularis, which we refer to as the Phase 2b/3 PRISM trial. The Phase 2b/3 PRISM trial was a randomized, double-blind, placebo controlled, two-arm treatment study that was designed to evaluate the safety and efficacy of Haduvio in patients with prurigo nodularis in the United States and Europe. In total we enrolled 353 patients in the study. In the Phase 2b/3 PRISM trial, Haduvio demonstrated statistically significant results on the primary and all three key secondary endpoints. The safety results of the trial were generally consistent with the known safety profile of Haduvio from previous trials in other patient populations.</w:t>
      </w:r>
    </w:p>
    <w:p>
      <w:pPr>
        <w:spacing w:after="0" w:line="76" w:lineRule="exact"/>
        <w:rPr>
          <w:sz w:val="20"/>
          <w:szCs w:val="20"/>
          <w:color w:val="auto"/>
        </w:rPr>
      </w:pPr>
    </w:p>
    <w:p>
      <w:pPr>
        <w:ind w:right="40" w:firstLine="515"/>
        <w:spacing w:after="0" w:line="254" w:lineRule="auto"/>
        <w:rPr>
          <w:sz w:val="20"/>
          <w:szCs w:val="20"/>
          <w:color w:val="auto"/>
        </w:rPr>
      </w:pPr>
      <w:r>
        <w:rPr>
          <w:rFonts w:ascii="Times New Roman" w:cs="Times New Roman" w:eastAsia="Times New Roman" w:hAnsi="Times New Roman"/>
          <w:sz w:val="18"/>
          <w:szCs w:val="18"/>
          <w:color w:val="auto"/>
        </w:rPr>
        <w:t>In October 2023, we reported the preliminary analysis of the 52-week data from the open-label extension portion of the Phase 2b/3 PRISM trial. Following the completion of the initial 14-week portion of the trial, patients were eligible to enroll into an additional 38-week open-label extension period during which all participants received Haduvio 162mg twice a day (BID). Post hoc analyses demonstrated continued reduction in mean Worst Itch Numerical Rating Scale for those participants who remained on Haduvio through 52 weeks. 151 patients completed the open-label extension portion of the trial, adding to the safety database for Haduvio. The safety data were generally consistent with the safety profile of Haduvio observed in the 14-week portion of the Phase 2b/3 PRISM trial and previous trials of Haduvio. Adverse events reported with a frequency greater than five percent in the 38-week open-label period included nausea, dizziness, vomiting, fatigue, and somnolence. Study discontinuation due to treatment-related adverse events occurred in 13% of patients during the 38-week open-label period, and serious adverse events were reported for 13 patients, although only two of these events were considered potentially treatment related.</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that we will need to conduct an additional Phase 3 clinical trial to support the submission of a new drug application, or NDA, to the FDA, a marketing authorization application, or MAA, to the European Medicines Agency and an MAA to the Medicines and Healthcare Products Regulatory Agency in the United Kingdom for Haduvio for the treatment of prurigo nodularis, and we plan to request an end of Phase 2 meeting with the FDA. Following discussions with the FDA and other regulatory authorities, we plan to determine next steps with respect to our prurigo nodularis program, including with respect to the conduct of any future Phase 3 clinical trial. We may seek to enter into a strategic collaboration for the continued development of this program.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March 31, 2024, we had an accumulated deficit of $250.0 million, primarily as a result of research and development and general and administrative expenses. We do not expect to generate product revenue unless and until we obtain marketing approval for and commercialize Haduvio for the treatment of chronic cough in IPF and RCC or for the treatment of prurigo nodularis and we can provide no assurance that we will ever generate significant revenue or profits.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2020, we entered into a sales agreement with SVB Securities LLC (formerly SVB Leerink LLC), or SVB Securities, which we refer to as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of 1933, as amended. We were not obligated to make any sales of our common stock under the ATM Sales Agreement. We began making sales pursuant to the ATM Sales Agreement in July 2020, and as of August 15, 2023, the date of termination of the ATM Sales Agreement, we had issued and sold an aggregate of 4,333,394 shares of common stock for gross proceeds of $12.7 million pursuant to the ATM Sales Agreement, before deducting estimated commissions and allocated fees of $1.0 million.</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a new sales agreement with Leerink Partners, LLC (formerly SVB Securities), or Leerink Partners, which we refer to as the 2023 ATM Sales Agreement, under which we may issue and sell shares of common stock, from time to time by any method that is deemed an “at-the-market” offering as defined in Rule 415(a)(4) under the Securities Act of 1933, as amended.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March 31, 2024, we had not made any sales pursuant to the 2023 ATM Sales Agreement. Subsequent to March 31, 2024, and through May 7, 2024, we issued and sold 1,474,926 shares of common stock for gross proceeds of $5.0 million, before deducting estimated commissions and allocated fees of $0.2 million under the 2023 ATM Sales Agreement.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5, 2021 and October 18, 2021, we issued and sold in two private placements, or the October 2021 Private Placements, in the aggregate</w:t>
      </w:r>
    </w:p>
    <w:p>
      <w:pPr>
        <w:spacing w:after="0" w:line="27" w:lineRule="exact"/>
        <w:rPr>
          <w:sz w:val="20"/>
          <w:szCs w:val="20"/>
          <w:color w:val="auto"/>
        </w:rPr>
      </w:pPr>
    </w:p>
    <w:p>
      <w:pPr>
        <w:ind w:right="20" w:firstLine="8"/>
        <w:spacing w:after="0" w:line="251"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The accompanying common stock warrants have an exercise price of $1.37 per share and became exercisable immediately upon issuance. Of the accompanying common stock warrants, warrants to purchase an aggregate of 7,299,270 shares had an expiration date of April 5, 2025, warrants to purchase an aggregate of 1,851,852 shares had an expiration date of April 18, 2025, warrants to purchase an aggregate of 7,299,270 shares had an expiration date of October 5, 2028, and warrants to purchase an aggregate of 1,851,852 shares had an expiration date of October 18, 2028. As of May 7, 2024, all of the pre-funded warrants have been exercised, all of the accompanying common stock warrants expiring on April 5, 2025 have been exercised, and accompanying common stock warrants to purchase 1,299,270 shares expiring on October 5, 2028 have been exercised. Warrants to purchase 1,851,852 shares of common stock that are to expire on April 18, 2025, warrants to purchase 6,000,000 shares of common stock that are to expire on October 5, 2028 and warrants to purchase 1,851,852 shares of common stock that are to expire on October 18, 2028 remained outstanding.</w:t>
      </w:r>
    </w:p>
    <w:p>
      <w:pPr>
        <w:spacing w:after="0" w:line="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became exercisable immediately upon issuance and will be exercisable until the pre-funded warrant is exercised in full. As of May 7,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pre-funded warrants to purchase 17,282,760 shares of common stock that we issued and sold in the April 2022 Private Placement remained outstanding.</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Stifel, Nicolaus &amp; Company, Incorporated and Oppenheimer &amp; Co. Inc., as representatives of the several underwriters, or the Underwriters. Each pre-funded warrant has an exercise price of $0.001 per share, became exercisable immediately upon issuance and will be exercisable until the pre-funded warrant is exercised in full. Under the terms of the Underwriting Agreement, we granted the Underwriters an option, or the Option, exercisable for 30 days, to purchase up to an additional 4,275,000 shares of common stock, or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 As of May 7, 2024, pre-funded warrants to purchase 13,270,983 shares of common stock that we issued and sold in the September 2022 Offering remained outstanding.</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May 9, 2023, we paid the remaining amount due under the loan and security agreement, or the SVB Loan Agreement, that we originally entered into with Silicon Valley Bank, or SVB, in August 2020, resulting in the full extinguishment of the term loan thereunder, or the SVB Term Loan. The total payoff amount was $6.5 million, consisting of the remaining principal amount due of $5.2 million, the final payment fee of $1.2 million, and $0.1 million of accrued interest and prepayment premium. In August 2020, we entered into the SVB Loan Agreement with SVB, pursuant to which SVB provided the SVB Term Loan to us in the original principal amount of $14.0 million. On the first business day of each month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For further discussion of the SVB Term Loan, see “—Liquidity and Capital Resources.”</w:t>
      </w:r>
    </w:p>
    <w:p>
      <w:pPr>
        <w:spacing w:after="0" w:line="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we had cash, cash equivalents and marketable securities of $72.8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Phase 2b CORAL clinical trial for the treatment of chronic cough in IPF, our Phase 2a RIVER clinical trial of Haduvio for the treatment of RCC, our planned Phase 1b respiratory physiology clinical trial in patients with IPF of varying disease severity and the second part of our HAP study to compare the abuse potential of oral nalbuphine to IV butorphanol.</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contract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right="360"/>
        <w:spacing w:after="0" w:line="282" w:lineRule="auto"/>
        <w:rPr>
          <w:sz w:val="20"/>
          <w:szCs w:val="20"/>
          <w:color w:val="auto"/>
        </w:rPr>
      </w:pPr>
      <w:r>
        <w:rPr>
          <w:rFonts w:ascii="Times New Roman" w:cs="Times New Roman" w:eastAsia="Times New Roman" w:hAnsi="Times New Roman"/>
          <w:sz w:val="18"/>
          <w:szCs w:val="18"/>
          <w:color w:val="auto"/>
        </w:rPr>
        <w:t>significant additional financial resources and time on our development program. Furthermore, we are unable to predict when or if Haduvio will receive regulatory approval in the U.S. or elsewhere with any certainty.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68"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and expanded infrastructure.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earned primarily on our cash, cash equivalents and marketable securities as well as accretion of discounts/amortization of premiums on purchases of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of income consists of foreign currency transaction gains and losses as well as employee retention tax credit under the Coronavirus Aid, Relief, and Economic Security Act, or the CARES Act.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Interest expense consists of the interest expense associated with our finance lease along with the SVB Loan Agreement pursuant to which we borrowed $14.0 million under the SVB Term Loan. In connection with the SVB Term Loan, we recognized interest expense which included amortization of deferred financing charges, accretion of loan discount-financing costs, accrual of the final payment fee, amortization of the term loan discount-interest and the stated interest on the SVB Term Loan.</w:t>
      </w:r>
    </w:p>
    <w:p>
      <w:pPr>
        <w:spacing w:after="0" w:line="72"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SVB Term Loan required interest-only payments until March 2022. Commencing on March 1, 2022, we were required to repay the SVB Term Loan in 24 consecutive installments of principal plus monthly payments of accrued interest. 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(11,906 )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(7,563 )</w:t>
            </w: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(4,343 )</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39"/>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(231 )</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8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(10,910 )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(6,408 )</w:t>
            </w: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(4,502 )</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8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(10,902 )</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(6,401 )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(4,501 )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-2082165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-2082165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-1139190</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-1139190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-822325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-822325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7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shd w:val="clear" w:color="auto" w:fill="CFF0FC"/>
          </w:tcPr>
          <w:p>
            <w:pPr>
              <w:spacing w:after="0"/>
              <w:rPr>
                <w:sz w:val="20"/>
                <w:szCs w:val="20"/>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77"/>
        </w:trPr>
        <w:tc>
          <w:tcPr>
            <w:tcW w:w="5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3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increased to $8.8 million from $5.0 million for the corresponding period in 2023, primarily due to increased clinical development expenses for our Phase 2b CORAL trial, our Phase 2a RIVER trial, and our HAP study. These increases were partially offset by decreased clinical development expenses for our Phase 2b/3 PRISM trial because dosing in the open-label extension portion of the PRISM trial completed in the first quarter of 2023.</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2024 increased to $3.1 million from $2.6 million for the corresponding period in 2023, primarily due to increases in information technology and finance staffing and activities as well as professional fees.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Other income, net for the three months ended March 31, 2024 was $1.0 million compared to other income, net of $1.2 million for the corresponding period in 2023. The change was primarily due to a decrease in interest income of $0.2 million due to lower cash equivalent and marketable securities balances. In addition, during the three months ended March 31, 2023, we recorded $0.2 million in other income, net, related to a tax credit against employment taxes for certain previous periods provided under the CARES Act. No income was recorded related to tax credits under the CARES Act in 2024. These decreases were partially offset by lower interest expense of $0.2 million due to the early payoff of the SVB Term Loan in May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a prior term loan.</w:t>
      </w:r>
    </w:p>
    <w:p>
      <w:pPr>
        <w:spacing w:after="0" w:line="7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June 2020, we entered into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of 1933, as amended. We were not obligated to make any sales of our common stock under the ATM Sales Agreement. We began making sales pursuant to the ATM Sales Agreement in July 2020 and through August 15, 2023, the date of termination of the ATM Sales Agreement, we had issued and sold an aggregate of 4,333,394 shares of common stock for gross proceeds of $12.7 million, before deducting estimated commissions and allocated fees of $1.0 million.</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the 2023 ATM Sales Agreement with Leerink Partners, under which we may issue and sell shares of common stock, from time to time by any method that is deemed an “at-the-market” offering as defined in Rule 415(a)(4) under the Securities Act of 1933, as amended.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March 31, 2024, we had not made any sales pursuant to the 2023 ATM Sales Agreement. Subsequent to March 31, 2024, and through May 7, 2024, we issued and sold 1,474,926 shares of common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stock for gross proceeds of $5.0 million, before deducting estimated commissions and allocated fees of $0.2 million under the 2023 ATM Sales Agreement.</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9"/>
                <w:szCs w:val="19"/>
                <w:color w:val="auto"/>
              </w:rPr>
            </w:pPr>
          </w:p>
        </w:tc>
      </w:tr>
      <w:tr>
        <w:trPr>
          <w:trHeight w:val="23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(10,467 )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(8,197 )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(2,270 )</w:t>
            </w: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60" w:type="dxa"/>
            <w:vAlign w:val="bottom"/>
          </w:tcPr>
          <w:p>
            <w:pPr>
              <w:spacing w:after="0"/>
              <w:rPr>
                <w:sz w:val="20"/>
                <w:szCs w:val="20"/>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(8,091 )</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(17,053 )</w:t>
            </w: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(28 )</w:t>
            </w:r>
          </w:p>
        </w:tc>
        <w:tc>
          <w:tcPr>
            <w:tcW w:w="3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(1,703 )</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FF0FC"/>
          </w:tcPr>
          <w:p>
            <w:pPr>
              <w:spacing w:after="0"/>
              <w:rPr>
                <w:sz w:val="21"/>
                <w:szCs w:val="2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(18,586 )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(17,648 )</w:t>
            </w:r>
          </w:p>
        </w:tc>
      </w:tr>
      <w:tr>
        <w:trPr>
          <w:trHeight w:val="20"/>
        </w:trPr>
        <w:tc>
          <w:tcPr>
            <w:tcW w:w="5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-187960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$10.5 million of net cash, resulting from our net loss of $10.9 million and net changes in our operating assets and liabilities of $0.1 million, partially offset by net non-cash charges of $0.5 million. Changes in our operating assets and liabilities consisted of a $0.9 million decrease in accrued expenses and other liabilities partially offset by a $0.6 million decrease in prepaid expenses and other current assets and a $0.3 million increase in accounts payable. The decrease in accrued expenses and other liabilities was primarily due to a decrease in accrued compensation and benefits. The decrease in prepaid expenses and other current assets was primarily due to a decrease in prepayments related to our corporate insurance as well as our clinical trial work performed by our CROs. The decrease in accounts payable was primarily due to the timing of vendor invoices. The non-cash charges consisted primarily of stock-based compensation expense of $0.7 million and $0.1 million change in value of our operating lease right-of-use assets and liabilities, partially offset by $0.4 million of accretion of our available-for-sale marketable securities.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2023, operating activities used $8.2 million of net cash, resulting from our net loss of $6.4 million and net changes in our operating assets and liabilities of $1.8 million. Changes in our operating assets and liabilities consisted of a $0.9 million decrease in accounts payable, a $0.8 million increase in prepaid expenses and other current assets, and a $0.1 million decrease in accrued expenses and other liabilities. The decrease in accounts payable was primarily due to the timing of vendor invoices. The increase in prepaid expenses and other current assets was primarily due to an increase in prepayments related to our clinical trial work performed by our CROs as well as an increase in interest income receivable related to our marketable securities. The decrease in accrued expenses and other liabilities was primarily due to a decrease in accrued compensation and benefits. The non-cash charges consisted primarily of stock-based compensation expense of $0.6 million and $0.1 million of accretion/accrual of term loan discounts and debt issuance costs, offset by $0.7 million of accretion of our available-for-sale marketable securities.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investing activities was $8.1 million, primarily related to $30.3 million of purchases of available-for-sale marketable securities, partially offset by $22.2 million of proceeds from maturities of available-for-sale marketable securities.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net cash provided by investing activities was $9.0 million, primarily related to $18.0 million of proceeds from maturities of available-for-sale marketable securities, partially offset by $9.0 million of purchases of available-for-sale marketable securities and $0.1 million of purchases of property, equipment and leasehold improvements.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financing activities was less than $0.1 million, primarily consisting of payments on our finance lease, partially offset by cash proceeds from the exercise of stock options.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net cash used in financing activities was $1.7 million, primarily consisting of repayments of $1.8 million on the SVB Term Loan, partially offset by cash proceeds from the exercise of stock options of $0.1 million.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spacing w:after="0" w:line="54"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2b CORAL clinical trial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2a RIVER clinical trial of Haduvio for the treatment of RCC;</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Phase 1b clinical trial to evaluate the effect of Haduvio on respiratory physiology in patients with IPF of varying disease severity;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part of our HAP study to compare the abuse potential of oral nalbuphine to IV butorphanol.</w:t>
      </w:r>
    </w:p>
    <w:p>
      <w:pPr>
        <w:spacing w:after="0" w:line="11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costs associated with operating as a public company, including significant legal, accounting, investor relations and other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72" w:lineRule="exact"/>
        <w:rPr>
          <w:sz w:val="20"/>
          <w:szCs w:val="20"/>
          <w:color w:val="auto"/>
        </w:rPr>
      </w:pPr>
    </w:p>
    <w:p>
      <w:pPr>
        <w:ind w:left="900" w:hanging="383"/>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our Phase 2b CORAL clinical trial of Haduvio for the treatment of chronic cough in IPF, our Phase 2a RIVER clinical trial in RCC, the second part of our HAP study, and our planned Phase 1b clinical trial to evaluate the effect of Haduvio on respiratory physiology in patients with IPF of varying disease severity, as well as trials for any future product candidates;</w:t>
      </w:r>
    </w:p>
    <w:p>
      <w:pPr>
        <w:spacing w:after="0" w:line="71"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a potential Thorough QT study;</w:t>
      </w:r>
    </w:p>
    <w:p>
      <w:pPr>
        <w:spacing w:after="0" w:line="5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IPF and RCC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chronic cough in IPF or RCC or for the treatment of prurigo nodularis, or from any future product candidates;</w:t>
      </w:r>
    </w:p>
    <w:p>
      <w:pPr>
        <w:spacing w:after="0" w:line="53" w:lineRule="exact"/>
        <w:rPr>
          <w:rFonts w:ascii="Times New Roman" w:cs="Times New Roman" w:eastAsia="Times New Roman" w:hAnsi="Times New Roman"/>
          <w:sz w:val="18"/>
          <w:szCs w:val="18"/>
          <w:color w:val="auto"/>
        </w:rPr>
      </w:pPr>
    </w:p>
    <w:p>
      <w:pPr>
        <w:jc w:val="both"/>
        <w:ind w:left="900" w:right="10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for the treatment of chronic cough in IPF or RCC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jc w:val="both"/>
        <w:ind w:left="900" w:right="34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Pharmaceuticals Inc., or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medical affairs activities and establish a commercial infrastructure;</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spacing w:after="0" w:line="3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IPF or RCC or for the treatment of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ind w:right="300"/>
        <w:spacing w:after="0" w:line="282" w:lineRule="auto"/>
        <w:rPr>
          <w:sz w:val="20"/>
          <w:szCs w:val="20"/>
          <w:color w:val="auto"/>
        </w:rPr>
      </w:pPr>
      <w:r>
        <w:rPr>
          <w:rFonts w:ascii="Times New Roman" w:cs="Times New Roman" w:eastAsia="Times New Roman" w:hAnsi="Times New Roman"/>
          <w:sz w:val="18"/>
          <w:szCs w:val="18"/>
          <w:color w:val="auto"/>
        </w:rPr>
        <w:t>our management’s ability to oversee the development of our product candidates. Any debt financing that we seek or additional equity that we raise may contain terms that could adversely affect our common stockholders.</w:t>
      </w:r>
    </w:p>
    <w:p>
      <w:pPr>
        <w:spacing w:after="0" w:line="5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60 days' prior written notice to the CRO, and therefore we believe that our non-cancelable obligations under these agreements are not material. For information related to our future commitments relating to our lease and licensing agreements, see Note 5, “Leases” and Note 11, “Collaborative and Licensing Agreements” of our Condensed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we believe that the critical accounting policy related to research and development expenses that is described under the heading “Management’s Discussion and Analysis of Financial Condition and Results of Operations—Critical Accounting Policies and Use of Estimates” in our Annual Report on Form 10-K for the year ended December 31, 2023, is the most important to understanding and evaluating our reported financial results. During the three months ended March 31, 2024, there were no material changes to our critical accounting policies.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2024.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March 31, 2024, our Chief Executive Officer and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March 31, 2024 that has materially affected, or is reasonably likely to materially affect, our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1" w:name="page32"/>
    <w:bookmarkEnd w:id="31"/>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annual net losses every year since our inception. We expect to continue to incur significant and increasing net losses for at least the next several years. Our net losses were $10.9 million and $29.1 million for the three months ended March 31, 2024 and for the year ended December 31, 2023, respectively. As of March 31, 2024, we had an accumulated deficit of $250.0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900" w:right="140" w:hanging="383"/>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of Haduvio, including our Phase 2b CORAL clinical trial of Haduvio for the treatment of chronic cough in idiopathic pulmonary fibrosis, or IPF, our Phase 2a RIVER clinical trial of Haduvio for the treatment of refractory chronic cough, or RCC, and the second part of our human abuse potential, or HAP, study, and our planned Phase 1b clinical trial to evaluate the effect of Haduvio on respiratory physiology in patients with IPF of varying disease severity;</w:t>
      </w:r>
    </w:p>
    <w:p>
      <w:pPr>
        <w:spacing w:after="0" w:line="71"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spacing w:after="0" w:line="6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Haduvio for the treatment of chronic cough in IPF, or RCC and/or for the treatment of prurigo nodularis or for any future product candidate that successfully completes clinical trials, if 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and execute pediatric development plans and complete any post-approval commitments;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106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Haduvio or any future product candidate for clinical development and, potentially, commercialization;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rights to other potential product candidates or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research, preclinical and clinical development efforts for any future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regulatory and scientific personnel;</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development program for Haduvio and for any future product candidates.</w:t>
      </w:r>
    </w:p>
    <w:p>
      <w:pPr>
        <w:spacing w:after="0" w:line="11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chronic cough in IPF, we may be required, at a minimum, to successfully complete two additional Phase 3 clinical trials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ability to raise capital, expand our business, maintain our development efforts, develop a pipeline of product candidates or continue our operations.</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8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6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three months ended March 31, 2024 and the year ended December 31, 2023, we used net cash of $10.5 million and $31.7 million, respectively, in our operating activities, substantially all of which related to development activities for Haduvio. As of March 31, 2024, our cash, cash equivalents and marketable securities were $72.8 million. We expect our expenses to increase substantially in connection with our ongoing activities, particularly as we continue to develop Haduvio, including as we:</w:t>
      </w:r>
    </w:p>
    <w:p>
      <w:pPr>
        <w:spacing w:after="0" w:line="79"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2b CORAL clinical trial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2a RIVER clinical trial of Haduvio for the treatment of RCC;</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Phase 1b clinical trial to evaluate the effect of Haduvio on respiratory physiology in patients with IPF of varying disease severity;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second part of our HAP study to compare the abuse potential of oral nalbuphine to intravenous, or IV, butorphanol.</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may incur additional expenses:</w:t>
      </w:r>
    </w:p>
    <w:p>
      <w:pPr>
        <w:spacing w:after="0" w:line="117"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determine to conduct an additional clinical trial of Haduvio for the treatment of prurigo nodularis; and</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or in-license rights to other potential product candidates or technologies and seek regulatory and marketing approvals for Haduvio or any future product candidate that successfully completes clinical trials.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IPF, for RCC or for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spacing w:after="0" w:line="32"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68" w:lineRule="exact"/>
        <w:rPr>
          <w:sz w:val="20"/>
          <w:szCs w:val="20"/>
          <w:color w:val="auto"/>
        </w:rPr>
      </w:pPr>
    </w:p>
    <w:p>
      <w:pPr>
        <w:ind w:left="900" w:hanging="383"/>
        <w:spacing w:after="0" w:line="26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our Phase 2b CORAL clinical trial of Haduvio for the treatment of chronic cough in IPF, our Phase 2a RIVER clinical trial in RCC, the second part of our HAP study, and our planned Phase 1b clinical trial to evaluate the effect of Haduvio on respiratory physiology in patients with IPF of varying disease severity, as well as trials for any future product candidates;</w:t>
      </w:r>
    </w:p>
    <w:p>
      <w:pPr>
        <w:spacing w:after="0" w:line="71"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a potential Thorough QT, or TQT, study;</w:t>
      </w:r>
    </w:p>
    <w:p>
      <w:pPr>
        <w:spacing w:after="0" w:line="5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IPF and RCC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chronic cough in IPF or RCC or for the treatment of prurigo nodularis, or from any future product candidates;</w:t>
      </w:r>
    </w:p>
    <w:p>
      <w:pPr>
        <w:spacing w:after="0" w:line="53" w:lineRule="exact"/>
        <w:rPr>
          <w:rFonts w:ascii="Times New Roman" w:cs="Times New Roman" w:eastAsia="Times New Roman" w:hAnsi="Times New Roman"/>
          <w:sz w:val="18"/>
          <w:szCs w:val="18"/>
          <w:color w:val="auto"/>
        </w:rPr>
      </w:pPr>
    </w:p>
    <w:p>
      <w:pPr>
        <w:jc w:val="both"/>
        <w:ind w:left="900" w:right="10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for the treatment of chronic cough in IPF or RCC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jc w:val="both"/>
        <w:ind w:left="900" w:right="34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Pharmaceuticals Inc., or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medical affairs activities and establish a commercial infrastructure;</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in connection with our planned operations, particularly as we:</w:t>
      </w:r>
    </w:p>
    <w:p>
      <w:pPr>
        <w:spacing w:after="0" w:line="117"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2b CORAL clinical trial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2a RIVER clinical trial of Haduvio for the treatment of RCC;</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Phase 1b clinical trial to evaluate the effect of Haduvio on respiratory physiology in patients with IPF of varying disease severity;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second part of our HAP study to compare the abuse potential of oral nalbuphine to IV butorphanol.</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Haduvio and Any Future Product Candidates</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sale and are investing substantially all our efforts and financial resources to fund the development and commercialization of Haduvio for the treatment of chronic cough in IPF and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most advanced programs are the development of Haduvio for the treatment of chronic cough in IPF and RCC. As a result, if our efforts to develop and commercialize Haduvio for the treatment of chronic cough in IPF or RCC are unsuccessful or we experience significant delays in doing so, our business could also be substantially harmed.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Haduvio for the treatment of chronic cough in IPF and RCC will depend on several factors, including the following:</w:t>
      </w:r>
    </w:p>
    <w:p>
      <w:pPr>
        <w:spacing w:after="0" w:line="117" w:lineRule="exact"/>
        <w:rPr>
          <w:sz w:val="20"/>
          <w:szCs w:val="20"/>
          <w:color w:val="auto"/>
        </w:rPr>
      </w:pPr>
    </w:p>
    <w:p>
      <w:pPr>
        <w:ind w:left="900" w:right="24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successfully recruiting, enrolling and retaining patients in and completing additional clinical and nonclinical trials of Haduvio, including the additional clinical trials we are conducting and plan to conduct for the treatment of chronic cough in IPF and RCC;</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second part of our HAP study;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other supportive clinical studies such as potential studies of physical dependence and TQT;</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MHRA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our third-party supplier of drug substance for Haduvio;</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focused, specialty sales organization in the U.S. and successfully launching commercial sales following any marketing approval;</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development and commercialization of Haduvio to treat chronic cough is unproven.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Haduvio for the treatment of chronic cough in IPF and RCC.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Additionally, Haduvio has not been approved in any indication. No therapies have been approved in the U.S. or Europe for the treatment of chronic cough in IPF and no therapies have been approved in the U.S. or outside the U.S. (with the exception of Japan and Switzerland) for the treatment of RCC. We can provide no assurance that Haduvio or any other future product candidate that we may seek to develop for chronic cough indications will be effective or safe, obtain regulatory approval or be commercially successful.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2"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unfavorable or inconclusive results;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restructure clinical trials, conduct additional clinical and nonclinical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obtaining authorization to commence a clinical trial from regulators, clinical sites and institutional review boards;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as we experienced with the increase of the target number of enrolled patients for our Phase 2b/3 PRISM trial from 240 to 360 patients as a result of the sample size re-estimation analysis;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enrollment in clinical trials may be slower than we anticipate or participants may discontinue their participation in these clinical trials at a higher rate than we anticipate, as we experienced in our Phase 2b/3 PRISM trial of Haduvio for the treatment of prurigo nodularis;</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may be greater than we anticipate, such as if we are required to add additional sites, increase the target number of enrolled patients or use additional incentive strategies to address site activation and enrollment;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sites may not have adequate staff and resources to support our trials on a timely basis;</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6" w:name="page37"/>
    <w:bookmarkEnd w:id="36"/>
    <w:p>
      <w:pPr>
        <w:ind w:left="900" w:hanging="383"/>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designs or our interpretation of data from preclinical studies and clinical trials;</w:t>
      </w:r>
    </w:p>
    <w:p>
      <w:pPr>
        <w:spacing w:after="0" w:line="53"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 such as the difficulties we had in obtaining supply of IV butorphanol, the comparator drug in our HAP study;</w:t>
      </w:r>
    </w:p>
    <w:p>
      <w:pPr>
        <w:spacing w:after="0" w:line="71"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refuse to accept for review any NDA, MAA or other comparable foreign regulatory application that we submit for a product candidate or may conclude after review of our data that our application is insufficient to obtain marketing approval of a product candidate.</w:t>
      </w:r>
    </w:p>
    <w:p>
      <w:pPr>
        <w:spacing w:after="0" w:line="176"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2"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 which may exceed the resources that we have available or are able to obtain on reasonable terms;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marketing approval at all;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we originally intended or desired;</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Similarly,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ind w:right="200"/>
        <w:spacing w:after="0" w:line="258" w:lineRule="auto"/>
        <w:rPr>
          <w:sz w:val="20"/>
          <w:szCs w:val="20"/>
          <w:color w:val="auto"/>
        </w:rPr>
      </w:pPr>
      <w:r>
        <w:rPr>
          <w:rFonts w:ascii="Times New Roman" w:cs="Times New Roman" w:eastAsia="Times New Roman" w:hAnsi="Times New Roman"/>
          <w:sz w:val="18"/>
          <w:szCs w:val="18"/>
          <w:color w:val="auto"/>
        </w:rPr>
        <w:t>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failure to successfully and timely complete clinical trials of Haduvio for the treatment of chronic cough in IPF or RCC or for the treatment of prurigo nodularis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8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Although the primary endpoint in our future clinical trials of Haduvio for the treatment of chronic cough in IPF and RCC will be measured using an objective cough monitor, we have PRO instruments as secondary endpoints. There is not currently a validated PRO instrument that has been accepted for chronic cough indications.</w:t>
      </w:r>
    </w:p>
    <w:p>
      <w:pPr>
        <w:spacing w:after="0" w:line="68"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In addition, due to the difficulty of objectively measuring pruritus, the assessment of pruritus in clinical trials typically involves the use of PROs. Our clinical trials evaluating the efficacy of Haduvio in pruritus indications, including our Phase 2b/3 PRISM trial, have used PROs as primary endpoints. For example, the primary endpoint of our Phase 2b/3 PRISM trial was the proportion of patients achieving at least a 4-point improvement from baseline with respect to their worst itch at week 14 as measured by the Worst Itch Numerical Rating Scale, or WI-NRS, scores, which is a patient-reported assessment on an 11-point scale from 0 to 10 of the severity of the worst itch experienced in the last 24 hours.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64"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spacing w:after="0" w:line="6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68"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eligible patient population;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eligible patients to clinical sites;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54" w:lineRule="exact"/>
        <w:rPr>
          <w:sz w:val="20"/>
          <w:szCs w:val="20"/>
          <w:color w:val="auto"/>
        </w:rPr>
      </w:pPr>
    </w:p>
    <w:p>
      <w:pPr>
        <w:ind w:right="20" w:firstLine="515"/>
        <w:spacing w:after="0" w:line="261" w:lineRule="auto"/>
        <w:rPr>
          <w:sz w:val="20"/>
          <w:szCs w:val="20"/>
          <w:color w:val="auto"/>
        </w:rPr>
      </w:pPr>
      <w:r>
        <w:rPr>
          <w:rFonts w:ascii="Times New Roman" w:cs="Times New Roman" w:eastAsia="Times New Roman" w:hAnsi="Times New Roman"/>
          <w:sz w:val="18"/>
          <w:szCs w:val="18"/>
          <w:color w:val="auto"/>
        </w:rPr>
        <w:t>In particular, the successful completion of our clinical development program for Haduvio for the treatment of chronic cough in IPF and RCC and for the treatment of prurigo nodularis is dependent upon our ability to enroll a sufficient number of patients with these severe conditions. We experienced delays and difficulties in the enrollment of patients in our clinical trials, including our Phase 2 CANAL trial and our Phase 2b/3 PRISM trial, which delayed the completion of our trials.</w:t>
      </w:r>
    </w:p>
    <w:p>
      <w:pPr>
        <w:spacing w:after="0" w:line="72" w:lineRule="exact"/>
        <w:rPr>
          <w:sz w:val="20"/>
          <w:szCs w:val="20"/>
          <w:color w:val="auto"/>
        </w:rPr>
      </w:pPr>
    </w:p>
    <w:p>
      <w:pPr>
        <w:ind w:right="60" w:firstLine="515"/>
        <w:spacing w:after="0" w:line="258" w:lineRule="auto"/>
        <w:rPr>
          <w:sz w:val="20"/>
          <w:szCs w:val="20"/>
          <w:color w:val="auto"/>
        </w:rPr>
      </w:pPr>
      <w:r>
        <w:rPr>
          <w:rFonts w:ascii="Times New Roman" w:cs="Times New Roman" w:eastAsia="Times New Roman" w:hAnsi="Times New Roman"/>
          <w:sz w:val="18"/>
          <w:szCs w:val="18"/>
          <w:color w:val="auto"/>
        </w:rPr>
        <w:t>Other companies are conducting clinical trials or have announced plans for future clinical trials that are seeking or are likely to seek to enroll patients with IPF, RCC or prurigo nodularis, and patients are generally only able to enroll in a single trial at a time. No therapies have been approved in the U.S. or Europe for the treatment of chronic cough in IPF and no therapies have been approved in the U.S. or outside the U.S. (with the exception of Japan and Switzerland) for the treatment of RCC. However, patients with these conditions, as well as their physicians, may be reluctant to forgo, discontinue or otherwise alter their use of the therapeutic approaches they currently use in order to participate in our clinical trials.</w:t>
      </w:r>
    </w:p>
    <w:p>
      <w:pPr>
        <w:spacing w:after="0" w:line="75"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our clinical trials of Haduvio for the treatment of prurigo nodularis, the most frequently reported treatment emergent adverse events associated with Haduvio were nausea, fatigue, dizziness, vomiting, headache, anxiety, depression, constipation and somnolence. In our Phase 2 CANAL trial of Haduvio for the treatment of chronic cough in IPF, the most frequently reported treatment emergent adverse events associated with Haduvio were nausea, fatigue, dizziness, vomiting, headache, constipation and somnolence.</w:t>
      </w:r>
    </w:p>
    <w:p>
      <w:pPr>
        <w:spacing w:after="0" w:line="72" w:lineRule="exact"/>
        <w:rPr>
          <w:sz w:val="20"/>
          <w:szCs w:val="20"/>
          <w:color w:val="auto"/>
        </w:rPr>
      </w:pPr>
    </w:p>
    <w:p>
      <w:pPr>
        <w:ind w:right="60" w:firstLine="515"/>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drug label for nalbuphine, the active ingredient in Haduvio, carries an opioid class label warning for serious, life-threatening or fatal respiratory depression.</w:t>
      </w:r>
    </w:p>
    <w:p>
      <w:pPr>
        <w:spacing w:after="0" w:line="51" w:lineRule="exact"/>
        <w:rPr>
          <w:sz w:val="20"/>
          <w:szCs w:val="20"/>
          <w:color w:val="auto"/>
        </w:rPr>
      </w:pPr>
    </w:p>
    <w:p>
      <w:pPr>
        <w:ind w:firstLine="515"/>
        <w:spacing w:after="0" w:line="256" w:lineRule="auto"/>
        <w:rPr>
          <w:sz w:val="20"/>
          <w:szCs w:val="20"/>
          <w:color w:val="auto"/>
        </w:rPr>
      </w:pPr>
      <w:r>
        <w:rPr>
          <w:rFonts w:ascii="Times New Roman" w:cs="Times New Roman" w:eastAsia="Times New Roman" w:hAnsi="Times New Roman"/>
          <w:sz w:val="18"/>
          <w:szCs w:val="18"/>
          <w:color w:val="auto"/>
        </w:rPr>
        <w:t>Opioids as a class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to evaluate the effect of Haduvio on respiratory physiology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are conducting a HAP study to compare the abuse potential of oral nalbuphine to IV butorphanol. If the results of the HAP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HAP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clinical trials may not be predictive of results of later clinical trials.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IPF may not be predictive of the results of future trials of Haduvio for the treatment of chronic cough in IPF or RCC, and the results of our Phase 2b/3 PRISM trial of Haduvio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0" w:name="page41"/>
    <w:bookmarkEnd w:id="40"/>
    <w:p>
      <w:pPr>
        <w:ind w:right="160"/>
        <w:spacing w:after="0" w:line="261" w:lineRule="auto"/>
        <w:rPr>
          <w:sz w:val="20"/>
          <w:szCs w:val="20"/>
          <w:color w:val="auto"/>
        </w:rPr>
      </w:pPr>
      <w:r>
        <w:rPr>
          <w:rFonts w:ascii="Times New Roman" w:cs="Times New Roman" w:eastAsia="Times New Roman" w:hAnsi="Times New Roman"/>
          <w:sz w:val="18"/>
          <w:szCs w:val="18"/>
          <w:color w:val="auto"/>
        </w:rPr>
        <w:t>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7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7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addition, some of our data for Haduvio for the treatment of cough and prurigo nodularis is drawn from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of data subsets from the Phase 2 CANAL trial and a Phase 2 trial in prurigo nodularis. While we believe these data may be useful in informing the design of future Phase 3 clinical trials for Haduvio,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performed after unmasking trial results can result in the introduction of bias and may not be predictive of success in Phase 3 clinical trials.</w:t>
      </w:r>
    </w:p>
    <w:p>
      <w:pPr>
        <w:spacing w:after="0" w:line="7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7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72"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change the way the product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1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1" w:name="page42"/>
    <w:bookmarkEnd w:id="41"/>
    <w:p>
      <w:pPr>
        <w:ind w:right="580"/>
        <w:spacing w:after="0" w:line="282" w:lineRule="auto"/>
        <w:rPr>
          <w:sz w:val="20"/>
          <w:szCs w:val="20"/>
          <w:color w:val="auto"/>
        </w:rPr>
      </w:pPr>
      <w:r>
        <w:rPr>
          <w:rFonts w:ascii="Times New Roman" w:cs="Times New Roman" w:eastAsia="Times New Roman" w:hAnsi="Times New Roman"/>
          <w:sz w:val="18"/>
          <w:szCs w:val="18"/>
          <w:color w:val="auto"/>
        </w:rPr>
        <w:t>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54"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compared to other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DEA could determine that Haduvio should be classified as a controlled substance;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 for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1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medical specialists are sufficiently concentrated to allow us to effectively promote products with a specialty sales team.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ind w:right="140"/>
        <w:spacing w:after="0" w:line="254" w:lineRule="auto"/>
        <w:rPr>
          <w:sz w:val="20"/>
          <w:szCs w:val="20"/>
          <w:color w:val="auto"/>
        </w:rPr>
      </w:pPr>
      <w:r>
        <w:rPr>
          <w:rFonts w:ascii="Times New Roman" w:cs="Times New Roman" w:eastAsia="Times New Roman" w:hAnsi="Times New Roman"/>
          <w:sz w:val="18"/>
          <w:szCs w:val="18"/>
          <w:color w:val="auto"/>
        </w:rPr>
        <w:t>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8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products before or more successfully than we do.</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8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Haduvio is approved for the treatment of chronic cough in IPF, we expect that it may compete with product candidates currently in clinical development for the treatment of chronic cough in IPF, such as orvepitant, a NK1 receptor antagonist, which is being developed by Nerre Therapeutics, ME-015, a reactive oxygen species scavenger, which is being developed by Melius Pharma, BI 1839100, which is being developed by Boehringer Ingelheim, and ifenprodil, a NMDA receptor antagonist, which is being developed by Algernon Pharmaceuticals. In addition, it is possible that product candidates currently in development for the treatment of IPF could, if approved, reduce the need for therapies to treat chronic cough in IPF. We expect that Haduvio might also compete with other product candidates currently in development, or submitted for approval to the FDA, for the treatment of RCC and unexplained chronic cough that might be used off-label to treat chronic cough in IPF.</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Haduvio is approved for the treatment of RCC, we expect that it may compete with product candidates currently in clinical development for the treatment of RCC such as gefapixant, a P2X3 antagonist, which is being developed by Merck, however, in December of 2023 the FDA issued a complete response letter to Merck which concluded that Merck’s application did not meet substantial evidence of effectiveness for treating RCC and unexplained chronic cough. On December 20, 2023, Merck announced that it is reviewing the FDA’s feedback to determine next steps. Other product candidates that are currently in development for the treatment of RCC include camlipixant, a P2X3 antagonist, which is being developed by GSK plc, NTX-1175, a charged sodium channel blocker, which is being developed by Nocion, GDC-6599, a TRPA1 antagonist, which is being developed by Genentech, ifenprodil, a NMDA receptor antagonist, which is being developed by Algernon Pharmaceuticals, AX-8, a TRPM8 antagonist, which is being developed by Axalbion, and GABAB PAM, a GABA agonist, which is being developed by Addex Therapeutics.</w:t>
      </w:r>
    </w:p>
    <w:p>
      <w:pPr>
        <w:spacing w:after="0" w:line="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also expect that Haduvio would compete with a number of therapeutics that are used off-label to treat chronic cough, including opioids, proton-pump inhibitors, and neuromodulators.</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Haduvio is approved for the treatment of prurigo nodularis, we expect that it would compete with Dupixent (dupilumab), an injectable prescription medicine which was jointly developed by Sanofi and Regeneron, which is approved in the U.S., E.U., Japan, and China for the treatment of adults with moderate-to-severe prurigo nodularis. We also expect that Haduvio would compete with a number of therapeutics that are used off-label to treat prurigo nodularis, including anti-itch creams and emollients, oral janus kinase, or JAK, receptor inhibitors, and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povorcitinib, an oral small molecule targeting the JAK 1, receptor being developed by Incyte; ruxolitinib cream, a topical therapy targeting the JAK 1/JAK 2 receptor being developed by Incyte; and barzolvolimab (CDX-0159), a humanized monoclonal antibody targeting the KIT receptor being developed by Celldex Therapeutics. In addition, a number of other product candidates are currently in clinical development to treat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ind w:right="200"/>
        <w:spacing w:after="0" w:line="266" w:lineRule="auto"/>
        <w:rPr>
          <w:sz w:val="20"/>
          <w:szCs w:val="20"/>
          <w:color w:val="auto"/>
        </w:rPr>
      </w:pPr>
      <w:r>
        <w:rPr>
          <w:rFonts w:ascii="Times New Roman" w:cs="Times New Roman" w:eastAsia="Times New Roman" w:hAnsi="Times New Roman"/>
          <w:sz w:val="18"/>
          <w:szCs w:val="18"/>
          <w:color w:val="auto"/>
        </w:rPr>
        <w:t>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spacing w:after="0" w:line="6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75"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ind w:right="220"/>
        <w:spacing w:after="0" w:line="282" w:lineRule="auto"/>
        <w:rPr>
          <w:sz w:val="20"/>
          <w:szCs w:val="20"/>
          <w:color w:val="auto"/>
        </w:rPr>
      </w:pPr>
      <w:r>
        <w:rPr>
          <w:rFonts w:ascii="Times New Roman" w:cs="Times New Roman" w:eastAsia="Times New Roman" w:hAnsi="Times New Roman"/>
          <w:sz w:val="18"/>
          <w:szCs w:val="18"/>
          <w:color w:val="auto"/>
        </w:rPr>
        <w:t>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5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 or in-license;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product and clinical trial liability insurance of at least $7.0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clinical trials is conducted in accordance with the approved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spacing w:after="0" w:line="7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our contractors, we cannot control whether they devote sufficient time, skill and resources to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line="254" w:lineRule="auto"/>
        <w:rPr>
          <w:sz w:val="20"/>
          <w:szCs w:val="20"/>
          <w:color w:val="auto"/>
        </w:rPr>
      </w:pPr>
      <w:r>
        <w:rPr>
          <w:rFonts w:ascii="Times New Roman" w:cs="Times New Roman" w:eastAsia="Times New Roman" w:hAnsi="Times New Roman"/>
          <w:sz w:val="18"/>
          <w:szCs w:val="18"/>
          <w:color w:val="auto"/>
        </w:rPr>
        <w:t>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79" w:lineRule="exact"/>
        <w:rPr>
          <w:sz w:val="20"/>
          <w:szCs w:val="20"/>
          <w:color w:val="auto"/>
        </w:rPr>
      </w:pPr>
    </w:p>
    <w:p>
      <w:pPr>
        <w:ind w:left="900" w:right="160" w:hanging="383"/>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experience supply chain-related delays, prioritize the supply of other companies’ products over Haduvio or any other drug product needed for our clinical trials or any future product candidates, such as IV butorphanol for our HAP study, or otherwise fail to satisfactorily perform according to the terms of the agreements between us and them or if unforeseen events in the manufacturing process arise;</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7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 Mallinckrodt announced that it had completed its reorganization process, emerged from chapter 11 bankruptcy proceedings and completed the Irish examinership proceedings. In August 2023, Mallinckrodt again filed for bankruptcy protection in the Bankruptcy Court and sought that court’s approval of a second chapter 11 reorganization plan. On October 10, 2023, the Bankruptcy Court confirmed Mallinckrodt’s plan of reorganization. On November 14, 2023, Mallinckrodt emerged from bankruptcy. It is currently uncertain what impact, if any, Mallinckrodt’s bankruptcy filings and the associated reorganization plans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ind w:right="120"/>
        <w:spacing w:after="0" w:line="282" w:lineRule="auto"/>
        <w:rPr>
          <w:sz w:val="20"/>
          <w:szCs w:val="20"/>
          <w:color w:val="auto"/>
        </w:rPr>
      </w:pPr>
      <w:r>
        <w:rPr>
          <w:rFonts w:ascii="Times New Roman" w:cs="Times New Roman" w:eastAsia="Times New Roman" w:hAnsi="Times New Roman"/>
          <w:sz w:val="18"/>
          <w:szCs w:val="18"/>
          <w:color w:val="auto"/>
        </w:rPr>
        <w:t>that are able to manufacture any such product. Consequently, we may not be able to reach agreement with third-party manufacturers on satisfactory terms, in a timely manner or at all, which could delay our commercialization efforts.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spacing w:after="0" w:line="6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the risks relating to product development, regulatory approval and commercialization described in this Quarterly Report on Form 10-Q would also apply to the activities of any such future collaborators.</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7" w:name="page48"/>
    <w:bookmarkEnd w:id="47"/>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a product candidate would pose a number of risks, including the following:</w:t>
      </w:r>
    </w:p>
    <w:p>
      <w:pPr>
        <w:spacing w:after="0" w:line="117"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30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and could decide to delay, diminish or terminate the development or commercialization of any product candidate licensed by us;</w:t>
      </w:r>
    </w:p>
    <w:p>
      <w:pPr>
        <w:spacing w:after="0" w:line="53"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the product candidates under the collaboration;</w:t>
      </w:r>
    </w:p>
    <w:p>
      <w:pPr>
        <w:spacing w:after="0" w:line="53"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380" w:hanging="383"/>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engage in misconduct or other improper activities, including non-compliance with regulatory standards and requirements;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900" w:right="112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4" w:lineRule="exact"/>
        <w:rPr>
          <w:sz w:val="20"/>
          <w:szCs w:val="20"/>
          <w:color w:val="auto"/>
        </w:rPr>
      </w:pPr>
    </w:p>
    <w:p>
      <w:pPr>
        <w:ind w:right="860" w:firstLine="509"/>
        <w:spacing w:after="0" w:line="373" w:lineRule="auto"/>
        <w:rPr>
          <w:sz w:val="20"/>
          <w:szCs w:val="20"/>
          <w:color w:val="auto"/>
        </w:rPr>
      </w:pPr>
      <w:r>
        <w:rPr>
          <w:rFonts w:ascii="Times New Roman" w:cs="Times New Roman" w:eastAsia="Times New Roman" w:hAnsi="Times New Roman"/>
          <w:sz w:val="18"/>
          <w:szCs w:val="18"/>
          <w:color w:val="auto"/>
        </w:rPr>
        <w:t xml:space="preserve">Collaboration agreements may not lead to development or commercialization of product candidates in the most efficient manner or at all. </w:t>
      </w:r>
      <w:r>
        <w:rPr>
          <w:rFonts w:ascii="Times New Roman" w:cs="Times New Roman" w:eastAsia="Times New Roman" w:hAnsi="Times New Roman"/>
          <w:sz w:val="18"/>
          <w:szCs w:val="18"/>
          <w:b w:val="1"/>
          <w:bCs w:val="1"/>
          <w:color w:val="auto"/>
        </w:rPr>
        <w:t>Risks Related to Our Intellectual Property</w:t>
      </w:r>
    </w:p>
    <w:p>
      <w:pPr>
        <w:spacing w:after="0" w:line="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are party to an exclusive license agreement with Endo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ind w:right="60"/>
        <w:spacing w:after="0" w:line="266" w:lineRule="auto"/>
        <w:rPr>
          <w:sz w:val="20"/>
          <w:szCs w:val="20"/>
          <w:color w:val="auto"/>
        </w:rPr>
      </w:pPr>
      <w:r>
        <w:rPr>
          <w:rFonts w:ascii="Times New Roman" w:cs="Times New Roman" w:eastAsia="Times New Roman" w:hAnsi="Times New Roman"/>
          <w:sz w:val="18"/>
          <w:szCs w:val="18"/>
          <w:color w:val="auto"/>
        </w:rPr>
        <w:t>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regarding intellectual property subject to a license agreement, including:</w:t>
      </w:r>
    </w:p>
    <w:p>
      <w:pPr>
        <w:spacing w:after="0" w:line="117"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activities or product candidates may infringe the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joint creation or use of intellectual property by licensors and us;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81"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9" w:name="page50"/>
    <w:bookmarkEnd w:id="49"/>
    <w:p>
      <w:pPr>
        <w:ind w:right="120"/>
        <w:spacing w:after="0" w:line="261" w:lineRule="auto"/>
        <w:rPr>
          <w:sz w:val="20"/>
          <w:szCs w:val="20"/>
          <w:color w:val="auto"/>
        </w:rPr>
      </w:pPr>
      <w:r>
        <w:rPr>
          <w:rFonts w:ascii="Times New Roman" w:cs="Times New Roman" w:eastAsia="Times New Roman" w:hAnsi="Times New Roman"/>
          <w:sz w:val="18"/>
          <w:szCs w:val="18"/>
          <w:color w:val="auto"/>
        </w:rPr>
        <w:t>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8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spacing w:after="0" w:line="5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79" w:lineRule="exact"/>
        <w:rPr>
          <w:sz w:val="20"/>
          <w:szCs w:val="20"/>
          <w:color w:val="auto"/>
        </w:rPr>
      </w:pPr>
    </w:p>
    <w:p>
      <w:pPr>
        <w:ind w:right="120" w:firstLine="515"/>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89" w:lineRule="exact"/>
        <w:rPr>
          <w:sz w:val="20"/>
          <w:szCs w:val="20"/>
          <w:color w:val="auto"/>
        </w:rPr>
      </w:pPr>
    </w:p>
    <w:p>
      <w:pPr>
        <w:ind w:right="80" w:firstLine="515"/>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and the maintenance, enforcement or defense of our issued patents.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7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our business could be harmed.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3" w:name="page54"/>
    <w:bookmarkEnd w:id="53"/>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Haduvio for the treatment of chronic cough in IPF or RCC or for the treatment of prurigo nodularis,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2"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We intend to pursue FDA approval of Haduvio for the treatment of chronic cough in IPF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84" w:lineRule="exact"/>
        <w:rPr>
          <w:sz w:val="20"/>
          <w:szCs w:val="20"/>
          <w:color w:val="auto"/>
        </w:rPr>
      </w:pPr>
    </w:p>
    <w:p>
      <w:pPr>
        <w:ind w:firstLine="515"/>
        <w:spacing w:after="0" w:line="255" w:lineRule="auto"/>
        <w:rPr>
          <w:sz w:val="20"/>
          <w:szCs w:val="20"/>
          <w:color w:val="auto"/>
        </w:rPr>
      </w:pPr>
      <w:r>
        <w:rPr>
          <w:rFonts w:ascii="Times New Roman" w:cs="Times New Roman" w:eastAsia="Times New Roman" w:hAnsi="Times New Roman"/>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chronic cough in IPF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81" w:lineRule="exact"/>
        <w:rPr>
          <w:sz w:val="20"/>
          <w:szCs w:val="20"/>
          <w:color w:val="auto"/>
        </w:rPr>
      </w:pPr>
    </w:p>
    <w:p>
      <w:pPr>
        <w:ind w:right="80" w:firstLine="515"/>
        <w:spacing w:after="0" w:line="253"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67"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6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ind w:right="80"/>
        <w:spacing w:after="0" w:line="261" w:lineRule="auto"/>
        <w:rPr>
          <w:sz w:val="20"/>
          <w:szCs w:val="20"/>
          <w:color w:val="auto"/>
        </w:rPr>
      </w:pPr>
      <w:r>
        <w:rPr>
          <w:rFonts w:ascii="Times New Roman" w:cs="Times New Roman" w:eastAsia="Times New Roman" w:hAnsi="Times New Roman"/>
          <w:sz w:val="18"/>
          <w:szCs w:val="18"/>
          <w:color w:val="auto"/>
        </w:rPr>
        <w:t>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may also require that NDA submissions for our product candidates include pediatric data. Under the Pediatric Research Equity Act, an NDA,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8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6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U.S. could have a significant adverse impact on us. Risks inherent in conducting international clinical trials include:</w:t>
      </w:r>
    </w:p>
    <w:p>
      <w:pPr>
        <w:spacing w:after="0" w:line="54"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1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5" w:name="page56"/>
    <w:bookmarkEnd w:id="55"/>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Further, we could face heightened risks with respect to obtaining marketing authorization in the U.K. as a result of the withdrawal of the U.K. from the E.U., commonly referred to as Brexit. The U.K. is no longer part of the European Single Market and E.U. Customs Union. As of January 1, 2021, the MHRA became responsible for supervising medicines and medical devices in Great Britain, comprising England, Scotland and Wales under domestic law, whereas under the terms of the Northern Ireland Protocol, Northern Ireland is currently subject to E.U. rules. The U.K. and E.U. have however agreed to the Windsor Framework which fundamentally changes the existing system under the Northern Ireland Protocol, including with respect to the regulation of medicinal products in the U.K. Once implemented, the changes introduced by the Windsor Framework will see the MHRA be responsible for approving all medicinal products destined for the U.K. market (i.e., Great Britain and Northern Ireland), and the EMA will no longer have any role in approving medicinal products destined for Northern Ireland.</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7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clinical trials are successful, we intend to seek approval to market Haduvio for the treatment of chronic cough in IPF or RCC or for the treatment of prurigo nodularis. If we obtain regulatory approval to market Haduvio with an indication statement for the treatment of chronic cough in IPF or RCC,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indicated uses for which the product may be marketed or to the conditions of approval, including the requirement to implement a REMS.</w:t>
      </w:r>
    </w:p>
    <w:p>
      <w:pPr>
        <w:spacing w:after="0" w:line="11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4"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Finally, our ability to develop and market new drug products may be impacted by ongoing litigation challenging the FDA’s approval of mifepristone. Specifically, on April 7, 2023, the U.S. District Court for the Northern District of Texas stayed the approval by the FDA of mifepristone, a drug product which was originally approved in 2000 and whose distribution is governed by various conditions adopted under a REMS. In reaching that decision, the district court made a number of findings that may negatively impact the development, approval and distribution of drug products in the U.S. Among other determinations, the district court held that plaintiffs were likely to prevail in their claim that the FDA had acted arbitrarily and capriciously in approving mifepristone without sufficiently considering evidence bearing on whether the drug was safe to use under the conditions identified in its labeling. Further, the district court read the standing requirements governing litigation in federal court as permitting a plaintiff to bring a lawsuit against the FDA in connection with its decision to approve an NDA or establish requirements under a REMS based on a showing that the plaintiff or its members would be harmed to the extent that the FDA’s drug approval decision effectively compelled the plaintiffs to provide care for patients suffering adverse events caused by a given drug.</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April 12, 2023, the district court decision was stayed, in part, by the U.S. Court of Appeals for the Fifth Circuit. Thereafter, on April 21, 2023, the U.S. Supreme Court entered a stay of the district court’s decision, in its entirety, pending disposition of the appeal of the district court decision in the Court of Appeals for the Fifth Circuit and the disposition of any petition for a writ of certiorari to the Supreme Court. The Court of Appeals for the Fifth Circuit held oral argument in the case on May 17, 2023 and, on August 16, 2023, issued its decision. The court declined to order the removal of mifepristone from the market, finding that a challenge to the FDA’s initial approval in 2000 is barred by the statute of limitations. But the Court of Appeals did hold that plaintiffs were likely to prevail in their claim that changes allowing for expanded access of mifepristone that FDA authorized in 2016 and 2021 were arbitrary and capricious. On September 8, 2023, the Justice Department and a manufacturer of mifepristone filed petitions for a writ of certiorari, requesting that asked the U.S. Supreme Court to review the Court of Appeals’ decision. On December 13, 2023, the Supreme Court granted these petitions for writ of certiorari for the Court of Appeals’ decision and on March 26, 2024, the Supreme Court heard oral arguments for the case.</w:t>
      </w:r>
    </w:p>
    <w:p>
      <w:pPr>
        <w:spacing w:after="0" w:line="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right="160"/>
        <w:spacing w:after="0" w:line="261" w:lineRule="auto"/>
        <w:rPr>
          <w:sz w:val="20"/>
          <w:szCs w:val="20"/>
          <w:color w:val="auto"/>
        </w:rPr>
      </w:pPr>
      <w:r>
        <w:rPr>
          <w:rFonts w:ascii="Times New Roman" w:cs="Times New Roman" w:eastAsia="Times New Roman" w:hAnsi="Times New Roman"/>
          <w:sz w:val="18"/>
          <w:szCs w:val="18"/>
          <w:color w:val="auto"/>
        </w:rPr>
        <w:t>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6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national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Disruptions at the FDA, EMA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disruptions may result that are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ind w:right="600"/>
        <w:spacing w:after="0" w:line="282" w:lineRule="auto"/>
        <w:rPr>
          <w:sz w:val="20"/>
          <w:szCs w:val="20"/>
          <w:color w:val="auto"/>
        </w:rPr>
      </w:pPr>
      <w:r>
        <w:rPr>
          <w:rFonts w:ascii="Times New Roman" w:cs="Times New Roman" w:eastAsia="Times New Roman" w:hAnsi="Times New Roman"/>
          <w:sz w:val="18"/>
          <w:szCs w:val="18"/>
          <w:color w:val="auto"/>
        </w:rPr>
        <w:t>ACA after finding that the plaintiffs do not have standing to bring the litigation. Litigation and legislation over the ACA are likely to continue, with unpredictable and uncertain results.</w:t>
      </w:r>
    </w:p>
    <w:p>
      <w:pPr>
        <w:spacing w:after="0" w:line="54" w:lineRule="exact"/>
        <w:rPr>
          <w:sz w:val="20"/>
          <w:szCs w:val="20"/>
          <w:color w:val="auto"/>
        </w:rPr>
      </w:pPr>
    </w:p>
    <w:p>
      <w:pPr>
        <w:jc w:val="both"/>
        <w:ind w:right="60" w:firstLine="509"/>
        <w:spacing w:after="0" w:line="272" w:lineRule="auto"/>
        <w:rPr>
          <w:sz w:val="20"/>
          <w:szCs w:val="20"/>
          <w:color w:val="auto"/>
        </w:rPr>
      </w:pPr>
      <w:r>
        <w:rPr>
          <w:rFonts w:ascii="Times New Roman" w:cs="Times New Roman" w:eastAsia="Times New Roman" w:hAnsi="Times New Roman"/>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Nine states (Colorado, Florida, Maine, New Hampshire, New Mexico, North Dakota, Texas, Vermont and Wisconsin) have passed laws allowing for the importation of drugs from Canada. Certain of these states have submitted Section 804 Importation Program proposals and are awaiting FDA approval. On January 5, 2023, the FDA approved Florida’s plan for Canadian drug importation.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9, 2021, President Biden signed Executive Order 14063, which focuses on, among other things, the price of pharmaceuticals. To address these costs, the Order directs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the legislation patients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the HHS and CMS. We expect that litigation involving these and other provisions of the IRA will continue, with unpredictable and uncertain results. 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7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7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75"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7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spacing w:after="0" w:line="72"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spacing w:after="0" w:line="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prospects and despite our efforts, there is a risk that we may be subject to fines, litigation and reputational harm in connection with our European activities.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would serve as a replacement to the E.U.-U.S. Privacy Shield. The European Union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82"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6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 the CPRA. While clinical trial data is currently exempt from the current version of the CCPA, other personal information may be applicable and possible changes to the CCPA may broaden its scope.</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will regulate the collection and sharing of health information, and the law also has a private right of action, which further increases the relevant compliance risk. Connecticut and Nevada have also passed similar laws regulating consumer health data and additional states (including Vermont) are considering such legislation for 2024. These laws may impact our business activities, including our identification of research patients, relationships with business partners and ultimately the marketing and distribution of our products.</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ind w:right="280"/>
        <w:spacing w:after="0" w:line="282" w:lineRule="auto"/>
        <w:rPr>
          <w:sz w:val="20"/>
          <w:szCs w:val="20"/>
          <w:color w:val="auto"/>
        </w:rPr>
      </w:pPr>
      <w:r>
        <w:rPr>
          <w:rFonts w:ascii="Times New Roman" w:cs="Times New Roman" w:eastAsia="Times New Roman" w:hAnsi="Times New Roman"/>
          <w:sz w:val="18"/>
          <w:szCs w:val="18"/>
          <w:color w:val="auto"/>
        </w:rPr>
        <w:t>any future product candidate could be significantly delayed. In addition, we may not have adequate insurance coverage to provide compensation for any losses associated with such events.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80"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For the purposes of this provision, an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spacing w:after="0" w:line="8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spacing w:after="0" w:line="6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highly dependent on Jennifer Good, our President and Chief Executive Officer; Thomas Sciascia, M.D., our Chief Scientific Officer; and David Clark, M.D., MRCP, our Chief Medical Officer; as well as the other principal members of our management and scientific teams. Although we have a formal employment agreement with Ms. Good and offer letter agreements with Dr. Sciascia and Dr. Clark,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expand our organization, we may encounter difficulties in managing our growth, which could disrupt our operations.</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we had 25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spacing w:after="0" w:line="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purchasers of our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68"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Haduvio or any future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Haduvio or any future product candidates or competitors’ products and product candidates;</w:t>
      </w:r>
    </w:p>
    <w:p>
      <w:pPr>
        <w:spacing w:after="0" w:line="117" w:lineRule="exact"/>
        <w:rPr>
          <w:rFonts w:ascii="Times New Roman" w:cs="Times New Roman" w:eastAsia="Times New Roman" w:hAnsi="Times New Roman"/>
          <w:sz w:val="18"/>
          <w:szCs w:val="18"/>
          <w:color w:val="auto"/>
        </w:rPr>
      </w:pPr>
    </w:p>
    <w:p>
      <w:pPr>
        <w:ind w:left="900" w:right="96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any of our development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estimated financial results or development timelines;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 the U.S.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recent adverse changes in the domestic and international financial markets and the impacts of inflation and government action in response thereto;</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considerations described in this “Risk Factors” section.</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6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5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reports on us, we could lose visibility in the financial markets, which could cause the trading price and volume of our shares to decline.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including by us, employees and significant stockholders, could negatively affect our stock price.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68"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or the Prior Shelf Registration Statement. The Shelf Registration Statement was declared effective on August 15, 2023. In June 2023, we entered into a new sales agreement, or the 2023 ATM Sales Agreement, with Leerink Partners and filed a prospectus under our Shelf Registration Statement for the offer and sale of shares of our common stock having an aggregate offering price of up to $75.0 million pursuant to the 2023 ATM Sales Agreement. In accordance with the terms of the 2023 ATM Sales Agreement, our prior ATM sales agreement terminated upon effectiveness of the Shelf Registration Statement, at which point we were no longer able to issue and sell shares of our common stock under our prior ATM sales agreement. From time to time, we may offer and sell under the 2023 ATM Sales Agreement common stock registered under the Shelf Registration Statement pursuant to one or more “at-the-market” offerings. The extent to which we utilize the 2023 ATM Sales Agreement as a source of funding will depend on a number of factors, including the prevailing market price of our common stock, general market conditions and the extent to which we are able to secure funds from other sources.</w:t>
      </w:r>
    </w:p>
    <w:p>
      <w:pPr>
        <w:spacing w:after="0" w:line="8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May 7, 2024, warrants issued to the Initial Private Placement Investor to purchase 6,000,000 shares of common stock remained outstanding.</w:t>
      </w:r>
    </w:p>
    <w:p>
      <w:pPr>
        <w:spacing w:after="0" w:line="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May 7, 2024, all of the warrants issued to NEA remained outstanding.</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right="20"/>
        <w:spacing w:after="0" w:line="252" w:lineRule="auto"/>
        <w:rPr>
          <w:sz w:val="20"/>
          <w:szCs w:val="20"/>
          <w:color w:val="auto"/>
        </w:rPr>
      </w:pPr>
      <w:r>
        <w:rPr>
          <w:rFonts w:ascii="Times New Roman" w:cs="Times New Roman" w:eastAsia="Times New Roman" w:hAnsi="Times New Roman"/>
          <w:sz w:val="18"/>
          <w:szCs w:val="18"/>
          <w:color w:val="auto"/>
        </w:rPr>
        <w:t>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May 7, 2024, pre-funded warrants that we issued and sold in the April 2022 Private Placement to purchase 17,282,760 shares of common stock remained outstanding.</w:t>
      </w:r>
    </w:p>
    <w:p>
      <w:pPr>
        <w:spacing w:after="0" w:line="88"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Finally, on September 27, 2022, we issued and sold an aggregate of 14,252,670 shares of our common stock, and, in lieu of common stock to certain investors, pre-funded warrants to purchase 14,247,330 shares of common stock, in a public offering, or the September 2022 Offering.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and the pre-funded warrants were issued pursuant to a prospectus supplement dated September 22, 2022 to the Prior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Prior Shelf Registration Statement at any time or in their discretion, subject to the September 2022 Offering Beneficial Ownership Limitations. As of May 7, 2024, pre-funded warrants that we issued and sold in the September 2022 Offering to purchase 13,270,983 shares of common stock remained outstanding.</w:t>
      </w:r>
    </w:p>
    <w:p>
      <w:pPr>
        <w:spacing w:after="0" w:line="9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or other securities by our stockholders, by us under the Shelf Registration Statement, whether pursuant to the 2023 ATM Sales Agreement or otherwise,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had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of which pre-funded warrants to purchase 17,282,760 shares of common stock remained outstanding of as May 7, 2024. Finally, we issued pre-funded warrants to purchase up to an aggregate of 14,247,330 shares of our common stock at an exercise price of $0.001 per share to certain purchasers in the September 2022 Offering, of which pre-funded warrants to purchase 13,270,983 shares of common stock remained outstanding as of May 7, 2024.</w:t>
      </w:r>
    </w:p>
    <w:p>
      <w:pPr>
        <w:spacing w:after="0" w:line="8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ind w:right="20"/>
        <w:spacing w:after="0" w:line="253" w:lineRule="auto"/>
        <w:rPr>
          <w:sz w:val="20"/>
          <w:szCs w:val="20"/>
          <w:color w:val="auto"/>
        </w:rPr>
      </w:pPr>
      <w:r>
        <w:rPr>
          <w:rFonts w:ascii="Times New Roman" w:cs="Times New Roman" w:eastAsia="Times New Roman" w:hAnsi="Times New Roman"/>
          <w:sz w:val="18"/>
          <w:szCs w:val="18"/>
          <w:color w:val="auto"/>
        </w:rPr>
        <w:t>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8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Given the amount and terms of these warrants, we may find it more difficult to raise additional equity capital on favorable terms or at all while these warrants are outstanding.</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our executive officers and directors and their affiliates, who have significant influence over our business, which may prevent new investors from influencing significant corporate decisions.</w:t>
      </w:r>
    </w:p>
    <w:p>
      <w:pPr>
        <w:spacing w:after="0" w:line="5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executive officers and directors and their respective affiliates, beneficially own, in the aggregate, shares representing approximately 24.6% of our common stock as of May 7, 2024.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spacing w:after="0" w:line="68"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sale, other business combination or other significant corporate transaction involving us that other stockholders may desire.</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5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for up to five years, or until December 31, 2024.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$186.9 million and federal research and development tax credit carryforwards of $6.2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1" w:name="page72"/>
    <w:bookmarkEnd w:id="71"/>
    <w:p>
      <w:pPr>
        <w:ind w:right="40"/>
        <w:spacing w:after="0" w:line="255" w:lineRule="auto"/>
        <w:rPr>
          <w:sz w:val="20"/>
          <w:szCs w:val="20"/>
          <w:color w:val="auto"/>
        </w:rPr>
      </w:pPr>
      <w:r>
        <w:rPr>
          <w:rFonts w:ascii="Times New Roman" w:cs="Times New Roman" w:eastAsia="Times New Roman" w:hAnsi="Times New Roman"/>
          <w:sz w:val="18"/>
          <w:szCs w:val="18"/>
          <w:color w:val="auto"/>
        </w:rPr>
        <w:t>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Recent changes in tax law may adversely affect our business or financial condition. On December 22, 2017, the U.S. government enacted the Tax Act, which significantly reformed the IRC. The Tax Act, as amended by the CARES Act, contained significant changes to corporate taxation, including a reduction of the corporate tax rate from a top marginal rate of 35% to a flat rate of 21% and the limitation of the deduction for net operating losses arising in taxable years beginning after December 31, 2017 to 80% of current year taxable income and elimination of net operating loss carrybacks for such losses (though any such NOLs may be carried forward indefinitely). In addition, beginning in 2022, the Tax Act eliminated the option to deduct research and development expenditures currently and generally requires corporations to capitalize and amortize them over five years or 15 years in the case of expenditures attributable to foreign research.</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CARES Act, as part of Congress’s response to the COVID-19 pandemic, economic relief legislation was enacted in 2020 and 2021 containing tax provisions. The IRA was also signed into law in August 2022. The IRA introduced new tax provisions, including a 1% excise tax imposed on certain stock repurchases by publicly traded companies. The 1% excise tax generally applies to any acquisition of stock by a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w:t>
      </w:r>
    </w:p>
    <w:p>
      <w:pPr>
        <w:spacing w:after="0" w:line="7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Regulatory guidance under the Tax Act, the IRA, and such additional legislation is and continues to be forthcoming and such guidance could ultimately increase or lessen impact of these laws on our business and financial condition. In addition, it is uncertain if and to what extent various states will conform to the Tax Act, the IRA, and such additional legislation.</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ind w:left="900" w:right="34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3" w:lineRule="exact"/>
        <w:rPr>
          <w:sz w:val="20"/>
          <w:szCs w:val="20"/>
          <w:color w:val="auto"/>
        </w:rPr>
      </w:pPr>
    </w:p>
    <w:p>
      <w:pPr>
        <w:ind w:right="140" w:firstLine="8"/>
        <w:spacing w:after="0" w:line="252"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8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We must satisfy Nasdaq’s continued listing requirements, including, among other things, a minimum closing bid price of $1.00 per share, Bid Price Requirement,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Director and Officer Trading Arrangements</w:t>
      </w:r>
    </w:p>
    <w:p>
      <w:pPr>
        <w:spacing w:after="0" w:line="227" w:lineRule="exact"/>
        <w:rPr>
          <w:sz w:val="20"/>
          <w:szCs w:val="20"/>
          <w:color w:val="auto"/>
        </w:rPr>
      </w:pPr>
    </w:p>
    <w:p>
      <w:pPr>
        <w:ind w:right="1820" w:firstLine="749"/>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three months ended March 31, 2024.</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gridSpan w:val="7"/>
            <w:vMerge w:val="restart"/>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or 15d-14(a) under the Securities Exchange Act of 1934, as</w:t>
            </w:r>
          </w:p>
        </w:tc>
        <w:tc>
          <w:tcPr>
            <w:tcW w:w="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49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or 15d-14(a) under the Securities Exchange Act of 1934, as</w:t>
            </w:r>
          </w:p>
        </w:tc>
        <w:tc>
          <w:tcPr>
            <w:tcW w:w="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49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3500" w:firstLine="21"/>
        <w:spacing w:after="0" w:line="391" w:lineRule="auto"/>
        <w:tabs>
          <w:tab w:leader="none" w:pos="114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ind w:left="240" w:hanging="232"/>
        <w:spacing w:after="0"/>
        <w:tabs>
          <w:tab w:leader="none" w:pos="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9512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4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TREVI THERAPEUTICS, INC.</w:t>
            </w:r>
          </w:p>
        </w:tc>
      </w:tr>
      <w:tr>
        <w:trPr>
          <w:trHeight w:val="47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8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L. Good</w:t>
            </w:r>
          </w:p>
        </w:tc>
      </w:tr>
      <w:tr>
        <w:trPr>
          <w:trHeight w:val="187"/>
        </w:trPr>
        <w:tc>
          <w:tcPr>
            <w:tcW w:w="37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Jennifer L. Good</w:t>
            </w:r>
          </w:p>
        </w:tc>
      </w:tr>
      <w:tr>
        <w:trPr>
          <w:trHeight w:val="216"/>
        </w:trPr>
        <w:tc>
          <w:tcPr>
            <w:tcW w:w="3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7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66"/>
        </w:trPr>
        <w:tc>
          <w:tcPr>
            <w:tcW w:w="3740" w:type="dxa"/>
            <w:vAlign w:val="bottom"/>
          </w:tcPr>
          <w:p>
            <w:pPr>
              <w:spacing w:after="0"/>
              <w:rPr>
                <w:sz w:val="24"/>
                <w:szCs w:val="24"/>
                <w:color w:val="auto"/>
              </w:rPr>
            </w:pPr>
          </w:p>
        </w:tc>
        <w:tc>
          <w:tcPr>
            <w:tcW w:w="28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Lisa Delfini</w:t>
            </w:r>
          </w:p>
        </w:tc>
      </w:tr>
      <w:tr>
        <w:trPr>
          <w:trHeight w:val="194"/>
        </w:trPr>
        <w:tc>
          <w:tcPr>
            <w:tcW w:w="37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Lisa Delfini</w:t>
            </w:r>
          </w:p>
        </w:tc>
      </w:tr>
      <w:tr>
        <w:trPr>
          <w:trHeight w:val="216"/>
        </w:trPr>
        <w:tc>
          <w:tcPr>
            <w:tcW w:w="3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7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OR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 Good, certify that:</w:t>
      </w:r>
    </w:p>
    <w:p>
      <w:pPr>
        <w:spacing w:after="0" w:line="225" w:lineRule="exact"/>
        <w:rPr>
          <w:sz w:val="20"/>
          <w:szCs w:val="20"/>
          <w:color w:val="auto"/>
        </w:rPr>
      </w:pPr>
    </w:p>
    <w:p>
      <w:pPr>
        <w:ind w:left="700" w:hanging="183"/>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firstLine="506"/>
        <w:spacing w:after="0" w:line="266" w:lineRule="auto"/>
        <w:tabs>
          <w:tab w:leader="none" w:pos="12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66" w:lineRule="auto"/>
        <w:tabs>
          <w:tab w:leader="none" w:pos="122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31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Jennifer L. Good</w:t>
      </w:r>
    </w:p>
    <w:p>
      <w:pPr>
        <w:spacing w:after="0" w:line="3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OR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Lisa Delfini, certify that:</w:t>
      </w:r>
    </w:p>
    <w:p>
      <w:pPr>
        <w:spacing w:after="0" w:line="225" w:lineRule="exact"/>
        <w:rPr>
          <w:sz w:val="20"/>
          <w:szCs w:val="20"/>
          <w:color w:val="auto"/>
        </w:rPr>
      </w:pPr>
    </w:p>
    <w:p>
      <w:pPr>
        <w:ind w:left="700" w:hanging="183"/>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firstLine="506"/>
        <w:spacing w:after="0" w:line="266" w:lineRule="auto"/>
        <w:tabs>
          <w:tab w:leader="none" w:pos="121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66" w:lineRule="auto"/>
        <w:tabs>
          <w:tab w:leader="none" w:pos="12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31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Lisa Delfini</w:t>
      </w:r>
    </w:p>
    <w:p>
      <w:pPr>
        <w:spacing w:after="0" w:line="3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Trevi Therapeutics, Inc. (the “Company”) for the period ended March 31, 2024,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343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Jennifer L. Good</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20" w:firstLine="509"/>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Trevi Therapeutics, Inc. (the “Company”) for the period ended March 31, 2024,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58"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343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Lisa Delfini</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1."/>
      <w:numFmt w:val="decimal"/>
      <w:start w:val="3"/>
    </w:lvl>
  </w:abstractNum>
  <w:abstractNum w:abstractNumId="8">
    <w:nsid w:val="1E7FF521"/>
    <w:multiLevelType w:val="hybridMultilevel"/>
    <w:lvl w:ilvl="0">
      <w:lvlJc w:val="left"/>
      <w:lvlText w:val="%1."/>
      <w:numFmt w:val="decimal"/>
      <w:start w:val="4"/>
    </w:lvl>
  </w:abstractNum>
  <w:abstractNum w:abstractNumId="9">
    <w:nsid w:val="7C3DBD3D"/>
    <w:multiLevelType w:val="hybridMultilevel"/>
    <w:lvl w:ilvl="0">
      <w:lvlJc w:val="left"/>
      <w:lvlText w:val="%1."/>
      <w:numFmt w:val="decimal"/>
      <w:start w:val="5"/>
    </w:lvl>
  </w:abstractNum>
  <w:abstractNum w:abstractNumId="10">
    <w:nsid w:val="737B8DDC"/>
    <w:multiLevelType w:val="hybridMultilevel"/>
    <w:lvl w:ilvl="0">
      <w:lvlJc w:val="left"/>
      <w:lvlText w:val="%1."/>
      <w:numFmt w:val="decimal"/>
      <w:start w:val="6"/>
    </w:lvl>
  </w:abstractNum>
  <w:abstractNum w:abstractNumId="11">
    <w:nsid w:val="6CEAF087"/>
    <w:multiLevelType w:val="hybridMultilevel"/>
    <w:lvl w:ilvl="0">
      <w:lvlJc w:val="left"/>
      <w:lvlText w:val="%1."/>
      <w:numFmt w:val="decimal"/>
      <w:start w:val="7"/>
    </w:lvl>
  </w:abstractNum>
  <w:abstractNum w:abstractNumId="12">
    <w:nsid w:val="22221A70"/>
    <w:multiLevelType w:val="hybridMultilevel"/>
    <w:lvl w:ilvl="0">
      <w:lvlJc w:val="left"/>
      <w:lvlText w:val="(%1)"/>
      <w:numFmt w:val="upperLetter"/>
      <w:start w:val="1"/>
    </w:lvl>
  </w:abstractNum>
  <w:abstractNum w:abstractNumId="13">
    <w:nsid w:val="4516DDE9"/>
    <w:multiLevelType w:val="hybridMultilevel"/>
    <w:lvl w:ilvl="0">
      <w:lvlJc w:val="left"/>
      <w:lvlText w:val="%1."/>
      <w:numFmt w:val="decimal"/>
      <w:start w:val="8"/>
    </w:lvl>
  </w:abstractNum>
  <w:abstractNum w:abstractNumId="14">
    <w:nsid w:val="3006C83E"/>
    <w:multiLevelType w:val="hybridMultilevel"/>
    <w:lvl w:ilvl="0">
      <w:lvlJc w:val="left"/>
      <w:lvlText w:val="%1."/>
      <w:numFmt w:val="decimal"/>
      <w:start w:val="9"/>
    </w:lvl>
  </w:abstractNum>
  <w:abstractNum w:abstractNumId="15">
    <w:nsid w:val="614FD4A1"/>
    <w:multiLevelType w:val="hybridMultilevel"/>
    <w:lvl w:ilvl="0">
      <w:lvlJc w:val="left"/>
      <w:lvlText w:val="%1."/>
      <w:numFmt w:val="decimal"/>
      <w:start w:val="10"/>
    </w:lvl>
  </w:abstractNum>
  <w:abstractNum w:abstractNumId="16">
    <w:nsid w:val="419AC241"/>
    <w:multiLevelType w:val="hybridMultilevel"/>
    <w:lvl w:ilvl="0">
      <w:lvlJc w:val="left"/>
      <w:lvlText w:val="%1."/>
      <w:numFmt w:val="decimal"/>
      <w:start w:val="11"/>
    </w:lvl>
  </w:abstractNum>
  <w:abstractNum w:abstractNumId="17">
    <w:nsid w:val="5577F8E1"/>
    <w:multiLevelType w:val="hybridMultilevel"/>
    <w:lvl w:ilvl="0">
      <w:lvlJc w:val="left"/>
      <w:lvlText w:val="%1."/>
      <w:numFmt w:val="decimal"/>
      <w:start w:val="12"/>
    </w:lvl>
  </w:abstractNum>
  <w:abstractNum w:abstractNumId="18">
    <w:nsid w:val="440BADFC"/>
    <w:multiLevelType w:val="hybridMultilevel"/>
    <w:lvl w:ilvl="0">
      <w:lvlJc w:val="left"/>
      <w:lvlText w:val="(%1)"/>
      <w:numFmt w:val="lowerRoman"/>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decimal"/>
      <w:start w:val="4"/>
    </w:lvl>
  </w:abstractNum>
  <w:abstractNum w:abstractNumId="46">
    <w:nsid w:val="579478FE"/>
    <w:multiLevelType w:val="hybridMultilevel"/>
    <w:lvl w:ilvl="0">
      <w:lvlJc w:val="left"/>
      <w:lvlText w:val="*"/>
      <w:numFmt w:val="bullet"/>
      <w:start w:val="1"/>
    </w:lvl>
    <w:lvl w:ilvl="1">
      <w:lvlJc w:val="left"/>
      <w:lvlText w:val="%2"/>
      <w:numFmt w:val="decimal"/>
      <w:start w:val="104"/>
    </w:lvl>
  </w:abstractNum>
  <w:abstractNum w:abstractNumId="47">
    <w:nsid w:val="749ABB43"/>
    <w:multiLevelType w:val="hybridMultilevel"/>
    <w:lvl w:ilvl="0">
      <w:lvlJc w:val="left"/>
      <w:lvlText w:val="**"/>
      <w:numFmt w:val="bullet"/>
      <w:start w:val="1"/>
    </w:lvl>
    <w:lvl w:ilvl="1">
      <w:lvlJc w:val="left"/>
      <w:lvlText w:val="%2"/>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2024-05-07T15:42:31Z</dcterms:created>
  <dcterms:modified xsi:type="dcterms:W3CDTF">2024-05-07T15:42:31Z</dcterms:modified>
</cp:coreProperties>
</file>