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580" w:hanging="3872"/>
        <w:spacing w:after="0" w:line="391"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951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0"/>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7"/>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13, 2020, the registrant had 18,240,133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33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trials, business and operations;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including our Phase 2b/3 PRISM trial of Haduvio (nalbuphine ER) for the treatment of pruritus associated with prurigo nodularis;</w:t>
      </w:r>
    </w:p>
    <w:p>
      <w:pPr>
        <w:spacing w:after="0" w:line="62"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Haduvio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fund our operating expenses and capital expenditure requirements with our cash and cash equivalents;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18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nalbuphine ER investigational product and therefore plan to use that name when we refer to nalbuphine ER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74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vMerge w:val="restart"/>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vMerge w:val="continue"/>
          </w:tcPr>
          <w:p>
            <w:pPr>
              <w:spacing w:after="0"/>
              <w:rPr>
                <w:sz w:val="19"/>
                <w:szCs w:val="19"/>
                <w:color w:val="auto"/>
              </w:rPr>
            </w:pPr>
          </w:p>
        </w:tc>
        <w:tc>
          <w:tcPr>
            <w:tcW w:w="97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Redeemable Convertible Preferred Stock and Stockholders’ Equity (Deficit)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INFORMATION</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74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79">
              <w:r>
                <w:rPr>
                  <w:rFonts w:ascii="Arial" w:cs="Arial" w:eastAsia="Arial" w:hAnsi="Arial"/>
                  <w:sz w:val="18"/>
                  <w:szCs w:val="18"/>
                  <w:u w:val="single" w:color="auto"/>
                  <w:color w:val="0000EE"/>
                  <w:w w:val="95"/>
                </w:rPr>
                <w:t>Signatures</w:t>
              </w:r>
            </w:hyperlink>
          </w:p>
        </w:tc>
        <w:tc>
          <w:tcPr>
            <w:tcW w:w="9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7"/>
                <w:szCs w:val="17"/>
                <w:color w:val="auto"/>
              </w:rPr>
              <w:t>Current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340" w:type="dxa"/>
            <w:vAlign w:val="bottom"/>
            <w:gridSpan w:val="2"/>
            <w:shd w:val="clear" w:color="auto" w:fill="CFF0FC"/>
          </w:tcPr>
          <w:p>
            <w:pPr>
              <w:jc w:val="right"/>
              <w:ind w:right="16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7"/>
                <w:szCs w:val="17"/>
                <w:color w:val="auto"/>
              </w:rPr>
              <w:t>Tax credit and other receivables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w:t>
            </w:r>
          </w:p>
        </w:tc>
        <w:tc>
          <w:tcPr>
            <w:tcW w:w="10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2,061</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46,343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7"/>
                <w:szCs w:val="17"/>
                <w:color w:val="auto"/>
              </w:rPr>
              <w:t>Operating lease right-of-use asset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Security deposit</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Property, equipment and leasehold improvements, net</w:t>
            </w:r>
          </w:p>
        </w:tc>
        <w:tc>
          <w:tcPr>
            <w:tcW w:w="10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10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47,009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60,001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34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3,160</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10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7"/>
                <w:szCs w:val="17"/>
                <w:color w:val="auto"/>
              </w:rPr>
              <w:t>Operating lease liability - long term portion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12)</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Common stock: $0.001 par value; 200,000,000 shares authorized at June 30, 2020</w:t>
            </w: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December 31, 2019, respectively; and 17,851,152 and 17,834,570 shares</w:t>
            </w: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June 30, 2020 and December 31, 2019, respectively.</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640" w:type="dxa"/>
            <w:vAlign w:val="bottom"/>
          </w:tcPr>
          <w:p>
            <w:pPr>
              <w:spacing w:after="0"/>
              <w:rPr>
                <w:sz w:val="20"/>
                <w:szCs w:val="20"/>
                <w:color w:val="auto"/>
              </w:rPr>
            </w:pPr>
            <w:r>
              <w:rPr>
                <w:rFonts w:ascii="Arial" w:cs="Arial" w:eastAsia="Arial" w:hAnsi="Arial"/>
                <w:sz w:val="17"/>
                <w:szCs w:val="17"/>
                <w:color w:val="auto"/>
              </w:rPr>
              <w:t>Preferred stock: $0.001 par value; 5,000,000 shares authorized at June 30, 2020</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rPr>
                <w:sz w:val="20"/>
                <w:szCs w:val="20"/>
                <w:color w:val="auto"/>
              </w:rPr>
            </w:pPr>
            <w:r>
              <w:rPr>
                <w:rFonts w:ascii="Arial" w:cs="Arial" w:eastAsia="Arial" w:hAnsi="Arial"/>
                <w:sz w:val="17"/>
                <w:szCs w:val="17"/>
                <w:color w:val="auto"/>
              </w:rPr>
              <w:t>and December 31, 2019, respectively; no shares issued or outstanding at</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140"/>
              <w:spacing w:after="0"/>
              <w:rPr>
                <w:sz w:val="20"/>
                <w:szCs w:val="20"/>
                <w:color w:val="auto"/>
              </w:rPr>
            </w:pPr>
            <w:r>
              <w:rPr>
                <w:rFonts w:ascii="Arial" w:cs="Arial" w:eastAsia="Arial" w:hAnsi="Arial"/>
                <w:sz w:val="17"/>
                <w:szCs w:val="17"/>
                <w:color w:val="auto"/>
              </w:rPr>
              <w:t>June 30, 2020 or December 31, 2019.</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6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170,095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(130,076)</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(114,219)</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stockholders’ equity</w:t>
            </w:r>
          </w:p>
        </w:tc>
        <w:tc>
          <w:tcPr>
            <w:tcW w:w="10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40,037</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54,545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60"/>
              <w:spacing w:after="0"/>
              <w:rPr>
                <w:sz w:val="20"/>
                <w:szCs w:val="20"/>
                <w:color w:val="auto"/>
              </w:rPr>
            </w:pPr>
            <w:r>
              <w:rPr>
                <w:rFonts w:ascii="Arial" w:cs="Arial" w:eastAsia="Arial" w:hAnsi="Arial"/>
                <w:sz w:val="17"/>
                <w:szCs w:val="17"/>
                <w:color w:val="auto"/>
              </w:rPr>
              <w:t>Total liabilities and stockholders’ equity</w:t>
            </w:r>
          </w:p>
        </w:tc>
        <w:tc>
          <w:tcPr>
            <w:tcW w:w="10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47,009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4,921</w:t>
            </w:r>
          </w:p>
        </w:tc>
        <w:tc>
          <w:tcPr>
            <w:tcW w:w="16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5,528</w:t>
            </w:r>
          </w:p>
        </w:tc>
        <w:tc>
          <w:tcPr>
            <w:tcW w:w="260" w:type="dxa"/>
            <w:vAlign w:val="bottom"/>
          </w:tcPr>
          <w:p>
            <w:pPr>
              <w:spacing w:after="0"/>
              <w:rPr>
                <w:sz w:val="19"/>
                <w:szCs w:val="19"/>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10,940</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(15,857)</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17,835,952</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10,571,736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17,835,261</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5,535,907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b w:val="1"/>
                <w:bCs w:val="1"/>
                <w:color w:val="auto"/>
                <w:w w:val="92"/>
              </w:rPr>
              <w:t>Series A</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88"/>
              </w:rPr>
              <w:t>Series B</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center"/>
              <w:ind w:left="293"/>
              <w:spacing w:after="0"/>
              <w:rPr>
                <w:sz w:val="20"/>
                <w:szCs w:val="20"/>
                <w:color w:val="auto"/>
              </w:rPr>
            </w:pPr>
            <w:r>
              <w:rPr>
                <w:rFonts w:ascii="Arial" w:cs="Arial" w:eastAsia="Arial" w:hAnsi="Arial"/>
                <w:sz w:val="13"/>
                <w:szCs w:val="13"/>
                <w:b w:val="1"/>
                <w:bCs w:val="1"/>
                <w:color w:val="auto"/>
                <w:w w:val="92"/>
              </w:rPr>
              <w:t>Series C</w:t>
            </w:r>
          </w:p>
        </w:tc>
        <w:tc>
          <w:tcPr>
            <w:tcW w:w="3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100" w:type="dxa"/>
            <w:vAlign w:val="bottom"/>
            <w:gridSpan w:val="4"/>
          </w:tcPr>
          <w:p>
            <w:pPr>
              <w:jc w:val="center"/>
              <w:ind w:left="293"/>
              <w:spacing w:after="0"/>
              <w:rPr>
                <w:sz w:val="20"/>
                <w:szCs w:val="20"/>
                <w:color w:val="auto"/>
              </w:rPr>
            </w:pPr>
            <w:r>
              <w:rPr>
                <w:rFonts w:ascii="Arial" w:cs="Arial" w:eastAsia="Arial" w:hAnsi="Arial"/>
                <w:sz w:val="13"/>
                <w:szCs w:val="13"/>
                <w:b w:val="1"/>
                <w:bCs w:val="1"/>
                <w:color w:val="auto"/>
                <w:w w:val="91"/>
              </w:rPr>
              <w:t>Redeemable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1"/>
              </w:rPr>
              <w:t>Redeemable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center"/>
              <w:ind w:left="313"/>
              <w:spacing w:after="0"/>
              <w:rPr>
                <w:sz w:val="20"/>
                <w:szCs w:val="20"/>
                <w:color w:val="auto"/>
              </w:rPr>
            </w:pPr>
            <w:r>
              <w:rPr>
                <w:rFonts w:ascii="Arial" w:cs="Arial" w:eastAsia="Arial" w:hAnsi="Arial"/>
                <w:sz w:val="13"/>
                <w:szCs w:val="13"/>
                <w:b w:val="1"/>
                <w:bCs w:val="1"/>
                <w:color w:val="auto"/>
                <w:w w:val="91"/>
              </w:rPr>
              <w:t>Redeemable</w:t>
            </w:r>
          </w:p>
        </w:tc>
        <w:tc>
          <w:tcPr>
            <w:tcW w:w="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100" w:type="dxa"/>
            <w:vAlign w:val="bottom"/>
            <w:gridSpan w:val="4"/>
          </w:tcPr>
          <w:p>
            <w:pPr>
              <w:jc w:val="center"/>
              <w:ind w:left="313"/>
              <w:spacing w:after="0"/>
              <w:rPr>
                <w:sz w:val="20"/>
                <w:szCs w:val="20"/>
                <w:color w:val="auto"/>
              </w:rPr>
            </w:pPr>
            <w:r>
              <w:rPr>
                <w:rFonts w:ascii="Arial" w:cs="Arial" w:eastAsia="Arial" w:hAnsi="Arial"/>
                <w:sz w:val="13"/>
                <w:szCs w:val="13"/>
                <w:b w:val="1"/>
                <w:bCs w:val="1"/>
                <w:color w:val="auto"/>
                <w:w w:val="95"/>
              </w:rPr>
              <w:t>Convertible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7"/>
              </w:rPr>
              <w:t>Convertible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center"/>
              <w:ind w:left="293"/>
              <w:spacing w:after="0"/>
              <w:rPr>
                <w:sz w:val="20"/>
                <w:szCs w:val="20"/>
                <w:color w:val="auto"/>
              </w:rPr>
            </w:pPr>
            <w:r>
              <w:rPr>
                <w:rFonts w:ascii="Arial" w:cs="Arial" w:eastAsia="Arial" w:hAnsi="Arial"/>
                <w:sz w:val="13"/>
                <w:szCs w:val="13"/>
                <w:b w:val="1"/>
                <w:bCs w:val="1"/>
                <w:color w:val="auto"/>
                <w:w w:val="95"/>
              </w:rPr>
              <w:t>Convertible</w:t>
            </w:r>
          </w:p>
        </w:tc>
        <w:tc>
          <w:tcPr>
            <w:tcW w:w="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60" w:type="dxa"/>
            <w:vAlign w:val="bottom"/>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60" w:type="dxa"/>
            <w:vAlign w:val="bottom"/>
          </w:tcPr>
          <w:p>
            <w:pPr>
              <w:spacing w:after="0"/>
              <w:rPr>
                <w:sz w:val="14"/>
                <w:szCs w:val="1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3"/>
                <w:szCs w:val="13"/>
                <w:b w:val="1"/>
                <w:bCs w:val="1"/>
                <w:color w:val="auto"/>
              </w:rPr>
              <w:t>Paid-</w:t>
            </w:r>
          </w:p>
        </w:tc>
        <w:tc>
          <w:tcPr>
            <w:tcW w:w="1080" w:type="dxa"/>
            <w:vAlign w:val="bottom"/>
            <w:gridSpan w:val="4"/>
          </w:tcPr>
          <w:p>
            <w:pPr>
              <w:ind w:left="1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21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FF0FC"/>
              <w:right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in Capital</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March 31, 2020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24"/>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17,834,570</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169,476</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(122,692)</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from</w:t>
            </w: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15,185</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3"/>
                <w:szCs w:val="13"/>
                <w:color w:val="auto"/>
              </w:rPr>
              <w:t>Issuance of common stock from</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(7,384)</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(7,384)</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June 30, 2020</w:t>
            </w: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6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17,851,152</w:t>
            </w:r>
          </w:p>
        </w:tc>
        <w:tc>
          <w:tcPr>
            <w:tcW w:w="160" w:type="dxa"/>
            <w:vAlign w:val="bottom"/>
          </w:tcPr>
          <w:p>
            <w:pPr>
              <w:spacing w:after="0"/>
              <w:rPr>
                <w:sz w:val="17"/>
                <w:szCs w:val="17"/>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170,095</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(130,076)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40,037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3"/>
                <w:szCs w:val="13"/>
                <w:b w:val="1"/>
                <w:bCs w:val="1"/>
                <w:color w:val="auto"/>
              </w:rPr>
              <w:t>Balance at March 31, 2019</w:t>
            </w:r>
          </w:p>
        </w:tc>
        <w:tc>
          <w:tcPr>
            <w:tcW w:w="780" w:type="dxa"/>
            <w:vAlign w:val="bottom"/>
          </w:tcPr>
          <w:p>
            <w:pPr>
              <w:jc w:val="right"/>
              <w:spacing w:after="0"/>
              <w:rPr>
                <w:sz w:val="20"/>
                <w:szCs w:val="20"/>
                <w:color w:val="auto"/>
              </w:rPr>
            </w:pPr>
            <w:r>
              <w:rPr>
                <w:rFonts w:ascii="Arial" w:cs="Arial" w:eastAsia="Arial" w:hAnsi="Arial"/>
                <w:sz w:val="13"/>
                <w:szCs w:val="13"/>
                <w:color w:val="auto"/>
              </w:rPr>
              <w:t>15,387,923</w:t>
            </w:r>
          </w:p>
        </w:tc>
        <w:tc>
          <w:tcPr>
            <w:tcW w:w="100" w:type="dxa"/>
            <w:vAlign w:val="bottom"/>
          </w:tcPr>
          <w:p>
            <w:pPr>
              <w:spacing w:after="0"/>
              <w:rPr>
                <w:sz w:val="14"/>
                <w:szCs w:val="14"/>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21,169</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22,608,695</w:t>
            </w:r>
          </w:p>
        </w:tc>
        <w:tc>
          <w:tcPr>
            <w:tcW w:w="16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0"/>
              </w:rPr>
              <w:t>33,943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44,946,987</w:t>
            </w:r>
          </w:p>
        </w:tc>
        <w:tc>
          <w:tcPr>
            <w:tcW w:w="100" w:type="dxa"/>
            <w:vAlign w:val="bottom"/>
          </w:tcPr>
          <w:p>
            <w:pPr>
              <w:spacing w:after="0"/>
              <w:rPr>
                <w:sz w:val="14"/>
                <w:szCs w:val="14"/>
                <w:color w:val="auto"/>
              </w:rPr>
            </w:pPr>
          </w:p>
        </w:tc>
        <w:tc>
          <w:tcPr>
            <w:tcW w:w="2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73,039</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446,494</w:t>
            </w:r>
          </w:p>
        </w:tc>
        <w:tc>
          <w:tcPr>
            <w:tcW w:w="16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(115,480)</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(115,476)</w:t>
            </w: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3"/>
                <w:szCs w:val="13"/>
                <w:color w:val="auto"/>
              </w:rPr>
              <w:t>Issuance of common stock from</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6,842</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Dividends accrued on redeemable</w:t>
            </w: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convertible preferred stock</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5,406,844</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6,478,999</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3,792,386</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(686)</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3"/>
                <w:szCs w:val="13"/>
                <w:color w:val="auto"/>
              </w:rPr>
              <w:t>Accretion (amortization) of premium</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Arial" w:cs="Arial" w:eastAsia="Arial" w:hAnsi="Arial"/>
                <w:sz w:val="13"/>
                <w:szCs w:val="13"/>
                <w:color w:val="auto"/>
              </w:rPr>
              <w:t>(discount) 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100"/>
              <w:spacing w:after="0"/>
              <w:rPr>
                <w:sz w:val="20"/>
                <w:szCs w:val="20"/>
                <w:color w:val="auto"/>
              </w:rPr>
            </w:pPr>
            <w:r>
              <w:rPr>
                <w:rFonts w:ascii="Arial" w:cs="Arial" w:eastAsia="Arial" w:hAnsi="Arial"/>
                <w:sz w:val="13"/>
                <w:szCs w:val="13"/>
                <w:color w:val="auto"/>
                <w:w w:val="99"/>
              </w:rPr>
              <w:t>issuance of redeemable convertible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20"/>
                <w:szCs w:val="20"/>
                <w:color w:val="auto"/>
              </w:rPr>
            </w:pPr>
            <w:r>
              <w:rPr>
                <w:rFonts w:ascii="Arial" w:cs="Arial" w:eastAsia="Arial" w:hAnsi="Arial"/>
                <w:sz w:val="13"/>
                <w:szCs w:val="13"/>
                <w:color w:val="auto"/>
              </w:rPr>
              <w:t>preferred stock</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1"/>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Accretion of discount on investor</w:t>
            </w: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rights/obligation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w:t>
            </w: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3"/>
                <w:szCs w:val="13"/>
                <w:color w:val="auto"/>
              </w:rPr>
              <w:t>Adjustment for excess (shortfall) of</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Arial" w:cs="Arial" w:eastAsia="Arial" w:hAnsi="Arial"/>
                <w:sz w:val="13"/>
                <w:szCs w:val="13"/>
                <w:color w:val="auto"/>
              </w:rPr>
              <w:t>fair value over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100"/>
              <w:spacing w:after="0"/>
              <w:rPr>
                <w:sz w:val="20"/>
                <w:szCs w:val="20"/>
                <w:color w:val="auto"/>
              </w:rPr>
            </w:pPr>
            <w:r>
              <w:rPr>
                <w:rFonts w:ascii="Arial" w:cs="Arial" w:eastAsia="Arial" w:hAnsi="Arial"/>
                <w:sz w:val="13"/>
                <w:szCs w:val="13"/>
                <w:color w:val="auto"/>
              </w:rPr>
              <w:t>liquidation value of redeemable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Arial" w:cs="Arial" w:eastAsia="Arial" w:hAnsi="Arial"/>
                <w:sz w:val="13"/>
                <w:szCs w:val="13"/>
                <w:color w:val="auto"/>
              </w:rPr>
              <w:t>convertible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100"/>
              <w:spacing w:after="0"/>
              <w:rPr>
                <w:sz w:val="20"/>
                <w:szCs w:val="20"/>
                <w:color w:val="auto"/>
              </w:rPr>
            </w:pPr>
            <w:r>
              <w:rPr>
                <w:rFonts w:ascii="Arial" w:cs="Arial" w:eastAsia="Arial" w:hAnsi="Arial"/>
                <w:sz w:val="13"/>
                <w:szCs w:val="13"/>
                <w:color w:val="auto"/>
              </w:rPr>
              <w:t>preferred stock</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(545)</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(787)</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(384)</w:t>
            </w:r>
          </w:p>
        </w:tc>
        <w:tc>
          <w:tcPr>
            <w:tcW w:w="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Accretion of issuance costs on</w:t>
            </w: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redeemable</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convertible preferred stock</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3"/>
                <w:szCs w:val="13"/>
                <w:color w:val="auto"/>
                <w:w w:val="97"/>
              </w:rPr>
              <w:t>Conversion of redeemable convertible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Arial" w:cs="Arial" w:eastAsia="Arial" w:hAnsi="Arial"/>
                <w:sz w:val="13"/>
                <w:szCs w:val="13"/>
                <w:color w:val="auto"/>
              </w:rPr>
              <w:t>preferred stock</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100"/>
              <w:spacing w:after="0"/>
              <w:rPr>
                <w:sz w:val="20"/>
                <w:szCs w:val="20"/>
                <w:color w:val="auto"/>
              </w:rPr>
            </w:pPr>
            <w:r>
              <w:rPr>
                <w:rFonts w:ascii="Arial" w:cs="Arial" w:eastAsia="Arial" w:hAnsi="Arial"/>
                <w:sz w:val="13"/>
                <w:szCs w:val="13"/>
                <w:color w:val="auto"/>
                <w:w w:val="99"/>
              </w:rPr>
              <w:t>to common stock in connection with</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20"/>
                <w:szCs w:val="20"/>
                <w:color w:val="auto"/>
              </w:rPr>
            </w:pPr>
            <w:r>
              <w:rPr>
                <w:rFonts w:ascii="Arial" w:cs="Arial" w:eastAsia="Arial" w:hAnsi="Arial"/>
                <w:sz w:val="13"/>
                <w:szCs w:val="13"/>
                <w:color w:val="auto"/>
              </w:rPr>
              <w:t>initial public offering</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(20,794,767)</w:t>
            </w:r>
          </w:p>
        </w:tc>
        <w:tc>
          <w:tcPr>
            <w:tcW w:w="760" w:type="dxa"/>
            <w:vAlign w:val="bottom"/>
            <w:gridSpan w:val="4"/>
          </w:tcPr>
          <w:p>
            <w:pPr>
              <w:jc w:val="right"/>
              <w:ind w:right="120"/>
              <w:spacing w:after="0"/>
              <w:rPr>
                <w:sz w:val="20"/>
                <w:szCs w:val="20"/>
                <w:color w:val="auto"/>
              </w:rPr>
            </w:pPr>
            <w:r>
              <w:rPr>
                <w:rFonts w:ascii="Arial" w:cs="Arial" w:eastAsia="Arial" w:hAnsi="Arial"/>
                <w:sz w:val="13"/>
                <w:szCs w:val="13"/>
                <w:color w:val="auto"/>
              </w:rPr>
              <w:t>(20,792)</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(29,087,694)</w:t>
            </w:r>
          </w:p>
        </w:tc>
        <w:tc>
          <w:tcPr>
            <w:tcW w:w="700" w:type="dxa"/>
            <w:vAlign w:val="bottom"/>
            <w:gridSpan w:val="3"/>
          </w:tcPr>
          <w:p>
            <w:pPr>
              <w:jc w:val="right"/>
              <w:ind w:right="120"/>
              <w:spacing w:after="0"/>
              <w:rPr>
                <w:sz w:val="20"/>
                <w:szCs w:val="20"/>
                <w:color w:val="auto"/>
              </w:rPr>
            </w:pPr>
            <w:r>
              <w:rPr>
                <w:rFonts w:ascii="Arial" w:cs="Arial" w:eastAsia="Arial" w:hAnsi="Arial"/>
                <w:sz w:val="13"/>
                <w:szCs w:val="13"/>
                <w:color w:val="auto"/>
              </w:rPr>
              <w:t>(33,449)</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(48,739,373)</w:t>
            </w:r>
          </w:p>
        </w:tc>
        <w:tc>
          <w:tcPr>
            <w:tcW w:w="720" w:type="dxa"/>
            <w:vAlign w:val="bottom"/>
            <w:tcBorders>
              <w:right w:val="single" w:sz="8" w:color="auto"/>
            </w:tcBorders>
            <w:gridSpan w:val="4"/>
          </w:tcPr>
          <w:p>
            <w:pPr>
              <w:jc w:val="right"/>
              <w:ind w:right="60"/>
              <w:spacing w:after="0"/>
              <w:rPr>
                <w:sz w:val="20"/>
                <w:szCs w:val="20"/>
                <w:color w:val="auto"/>
              </w:rPr>
            </w:pPr>
            <w:r>
              <w:rPr>
                <w:rFonts w:ascii="Arial" w:cs="Arial" w:eastAsia="Arial" w:hAnsi="Arial"/>
                <w:sz w:val="13"/>
                <w:szCs w:val="13"/>
                <w:color w:val="auto"/>
              </w:rPr>
              <w:t>(73,264)</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10,381,234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105,634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21,863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127,504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upon</w:t>
            </w: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completion of initial public</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offering, net of underwriting</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discounts and commissions</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and issuance costs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48,169</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3"/>
                <w:szCs w:val="13"/>
                <w:color w:val="auto"/>
              </w:rPr>
              <w:t>Issuance of common stock upon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Arial" w:cs="Arial" w:eastAsia="Arial" w:hAnsi="Arial"/>
                <w:sz w:val="13"/>
                <w:szCs w:val="13"/>
                <w:color w:val="auto"/>
              </w:rPr>
              <w:t>completion of private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100"/>
              <w:spacing w:after="0"/>
              <w:rPr>
                <w:sz w:val="20"/>
                <w:szCs w:val="20"/>
                <w:color w:val="auto"/>
              </w:rPr>
            </w:pPr>
            <w:r>
              <w:rPr>
                <w:rFonts w:ascii="Arial" w:cs="Arial" w:eastAsia="Arial" w:hAnsi="Arial"/>
                <w:sz w:val="13"/>
                <w:szCs w:val="13"/>
                <w:color w:val="auto"/>
                <w:w w:val="99"/>
              </w:rPr>
              <w:t>placement, net of private placement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20"/>
                <w:szCs w:val="20"/>
                <w:color w:val="auto"/>
              </w:rPr>
            </w:pPr>
            <w:r>
              <w:rPr>
                <w:rFonts w:ascii="Arial" w:cs="Arial" w:eastAsia="Arial" w:hAnsi="Arial"/>
                <w:sz w:val="13"/>
                <w:szCs w:val="13"/>
                <w:color w:val="auto"/>
              </w:rPr>
              <w:t>agent fees</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13,948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(7,346)</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(7,346)</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June 30, 2019</w:t>
            </w: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6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17,834,570</w:t>
            </w:r>
          </w:p>
        </w:tc>
        <w:tc>
          <w:tcPr>
            <w:tcW w:w="160" w:type="dxa"/>
            <w:vAlign w:val="bottom"/>
          </w:tcPr>
          <w:p>
            <w:pPr>
              <w:spacing w:after="0"/>
              <w:rPr>
                <w:sz w:val="13"/>
                <w:szCs w:val="13"/>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168,002</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(100,317)</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67,703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Series A</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Series B</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Series C</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Redeemable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Redeemable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Redeemable</w:t>
            </w:r>
          </w:p>
        </w:tc>
        <w:tc>
          <w:tcPr>
            <w:tcW w:w="4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Convertible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Convertible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Convertible</w:t>
            </w:r>
          </w:p>
        </w:tc>
        <w:tc>
          <w:tcPr>
            <w:tcW w:w="4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ind w:left="16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3"/>
                <w:szCs w:val="13"/>
                <w:b w:val="1"/>
                <w:bCs w:val="1"/>
                <w:color w:val="auto"/>
              </w:rPr>
              <w:t>Preferred Stock</w:t>
            </w:r>
          </w:p>
        </w:tc>
        <w:tc>
          <w:tcPr>
            <w:tcW w:w="32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3"/>
                <w:szCs w:val="13"/>
                <w:b w:val="1"/>
                <w:bCs w:val="1"/>
                <w:color w:val="auto"/>
              </w:rPr>
              <w:t>Preferred Stock</w:t>
            </w:r>
          </w:p>
        </w:tc>
        <w:tc>
          <w:tcPr>
            <w:tcW w:w="32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3"/>
                <w:szCs w:val="13"/>
                <w:b w:val="1"/>
                <w:bCs w:val="1"/>
                <w:color w:val="auto"/>
              </w:rPr>
              <w:t>Preferred Stock</w:t>
            </w:r>
          </w:p>
        </w:tc>
        <w:tc>
          <w:tcPr>
            <w:tcW w:w="160" w:type="dxa"/>
            <w:vAlign w:val="bottom"/>
            <w:tcBorders>
              <w:right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6"/>
              </w:rPr>
              <w:t>Common Stock</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3"/>
              </w:rPr>
              <w:t>Amount</w:t>
            </w: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7"/>
              </w:rPr>
              <w:t>Amount</w:t>
            </w: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93"/>
              </w:rPr>
              <w:t>Amount</w:t>
            </w: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in Capital</w:t>
            </w:r>
          </w:p>
        </w:tc>
        <w:tc>
          <w:tcPr>
            <w:tcW w:w="14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3"/>
        </w:trPr>
        <w:tc>
          <w:tcPr>
            <w:tcW w:w="15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December 31,</w:t>
            </w:r>
          </w:p>
        </w:tc>
        <w:tc>
          <w:tcPr>
            <w:tcW w:w="74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2019</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17,834,570</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168,746</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(114,219)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3"/>
                <w:szCs w:val="13"/>
                <w:color w:val="auto"/>
                <w:w w:val="99"/>
              </w:rPr>
              <w:t>Stock-based compensation</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w:t>
            </w: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from exercise of stock</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options</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15,185</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from Employee Stock</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20"/>
                <w:szCs w:val="20"/>
                <w:color w:val="auto"/>
              </w:rPr>
            </w:pPr>
            <w:r>
              <w:rPr>
                <w:rFonts w:ascii="Arial" w:cs="Arial" w:eastAsia="Arial" w:hAnsi="Arial"/>
                <w:sz w:val="13"/>
                <w:szCs w:val="13"/>
                <w:color w:val="auto"/>
              </w:rPr>
              <w:t>Purchase Plan</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1,397</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(15,857)</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(15,857)</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June 30, 2020</w:t>
            </w: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17,851,152</w:t>
            </w:r>
          </w:p>
        </w:tc>
        <w:tc>
          <w:tcPr>
            <w:tcW w:w="1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170,095</w:t>
            </w:r>
          </w:p>
        </w:tc>
        <w:tc>
          <w:tcPr>
            <w:tcW w:w="1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(130,076) $</w:t>
            </w:r>
          </w:p>
        </w:tc>
        <w:tc>
          <w:tcPr>
            <w:tcW w:w="700" w:type="dxa"/>
            <w:vAlign w:val="bottom"/>
          </w:tcPr>
          <w:p>
            <w:pPr>
              <w:jc w:val="right"/>
              <w:spacing w:after="0"/>
              <w:rPr>
                <w:sz w:val="20"/>
                <w:szCs w:val="20"/>
                <w:color w:val="auto"/>
              </w:rPr>
            </w:pPr>
            <w:r>
              <w:rPr>
                <w:rFonts w:ascii="Arial" w:cs="Arial" w:eastAsia="Arial" w:hAnsi="Arial"/>
                <w:sz w:val="13"/>
                <w:szCs w:val="13"/>
                <w:color w:val="auto"/>
              </w:rPr>
              <w:t>40,037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3"/>
                <w:szCs w:val="13"/>
                <w:b w:val="1"/>
                <w:bCs w:val="1"/>
                <w:color w:val="auto"/>
              </w:rPr>
              <w:t>Balance at December 31,</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20"/>
                <w:szCs w:val="20"/>
                <w:color w:val="auto"/>
              </w:rPr>
            </w:pPr>
            <w:r>
              <w:rPr>
                <w:rFonts w:ascii="Arial" w:cs="Arial" w:eastAsia="Arial" w:hAnsi="Arial"/>
                <w:sz w:val="13"/>
                <w:szCs w:val="13"/>
                <w:b w:val="1"/>
                <w:bCs w:val="1"/>
                <w:color w:val="auto"/>
              </w:rPr>
              <w:t>2018</w:t>
            </w:r>
          </w:p>
        </w:tc>
        <w:tc>
          <w:tcPr>
            <w:tcW w:w="740" w:type="dxa"/>
            <w:vAlign w:val="bottom"/>
          </w:tcPr>
          <w:p>
            <w:pPr>
              <w:jc w:val="right"/>
              <w:spacing w:after="0"/>
              <w:rPr>
                <w:sz w:val="20"/>
                <w:szCs w:val="20"/>
                <w:color w:val="auto"/>
              </w:rPr>
            </w:pPr>
            <w:r>
              <w:rPr>
                <w:rFonts w:ascii="Arial" w:cs="Arial" w:eastAsia="Arial" w:hAnsi="Arial"/>
                <w:sz w:val="13"/>
                <w:szCs w:val="13"/>
                <w:color w:val="auto"/>
              </w:rPr>
              <w:t>15,387,923</w:t>
            </w: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21,033</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22,608,695</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33,686</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38,097,672</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61,023</w:t>
            </w:r>
          </w:p>
        </w:tc>
        <w:tc>
          <w:tcPr>
            <w:tcW w:w="16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438,600</w:t>
            </w:r>
          </w:p>
        </w:tc>
        <w:tc>
          <w:tcPr>
            <w:tcW w:w="1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(109,498)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(109,494)</w:t>
            </w: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w w:val="99"/>
              </w:rPr>
              <w:t>Stock-based compensation</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from exercise of stock</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20"/>
                <w:szCs w:val="20"/>
                <w:color w:val="auto"/>
              </w:rPr>
            </w:pPr>
            <w:r>
              <w:rPr>
                <w:rFonts w:ascii="Arial" w:cs="Arial" w:eastAsia="Arial" w:hAnsi="Arial"/>
                <w:sz w:val="13"/>
                <w:szCs w:val="13"/>
                <w:color w:val="auto"/>
              </w:rPr>
              <w:t>options</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14,736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Issuance of Series C</w:t>
            </w: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redeemable convertible</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preferred stock, net of</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issuance costs</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6,849,315</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11,059</w:t>
            </w:r>
          </w:p>
        </w:tc>
        <w:tc>
          <w:tcPr>
            <w:tcW w:w="160" w:type="dxa"/>
            <w:vAlign w:val="bottom"/>
            <w:tcBorders>
              <w:right w:val="single" w:sz="8" w:color="auto"/>
            </w:tcBorders>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3"/>
                <w:szCs w:val="13"/>
                <w:color w:val="auto"/>
              </w:rPr>
              <w:t>Dividends accrued on</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redeemable convertible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20"/>
                <w:szCs w:val="20"/>
                <w:color w:val="auto"/>
              </w:rPr>
            </w:pPr>
            <w:r>
              <w:rPr>
                <w:rFonts w:ascii="Arial" w:cs="Arial" w:eastAsia="Arial" w:hAnsi="Arial"/>
                <w:sz w:val="13"/>
                <w:szCs w:val="13"/>
                <w:color w:val="auto"/>
              </w:rPr>
              <w:t>preferred stock</w:t>
            </w:r>
          </w:p>
        </w:tc>
        <w:tc>
          <w:tcPr>
            <w:tcW w:w="740" w:type="dxa"/>
            <w:vAlign w:val="bottom"/>
          </w:tcPr>
          <w:p>
            <w:pPr>
              <w:jc w:val="right"/>
              <w:spacing w:after="0"/>
              <w:rPr>
                <w:sz w:val="20"/>
                <w:szCs w:val="20"/>
                <w:color w:val="auto"/>
              </w:rPr>
            </w:pPr>
            <w:r>
              <w:rPr>
                <w:rFonts w:ascii="Arial" w:cs="Arial" w:eastAsia="Arial" w:hAnsi="Arial"/>
                <w:sz w:val="13"/>
                <w:szCs w:val="13"/>
                <w:color w:val="auto"/>
              </w:rPr>
              <w:t>5,406,844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326</w:t>
            </w: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6,478,999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551</w:t>
            </w: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3,792,386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1,362</w:t>
            </w:r>
          </w:p>
        </w:tc>
        <w:tc>
          <w:tcPr>
            <w:tcW w:w="160" w:type="dxa"/>
            <w:vAlign w:val="bottom"/>
            <w:tcBorders>
              <w:right w:val="single" w:sz="8" w:color="auto"/>
            </w:tcBorders>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(2,239)</w:t>
            </w:r>
          </w:p>
        </w:tc>
        <w:tc>
          <w:tcPr>
            <w:tcW w:w="10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(2,239)</w:t>
            </w:r>
          </w:p>
        </w:tc>
        <w:tc>
          <w:tcPr>
            <w:tcW w:w="0" w:type="dxa"/>
            <w:vAlign w:val="bottom"/>
          </w:tcPr>
          <w:p>
            <w:pPr>
              <w:spacing w:after="0"/>
              <w:rPr>
                <w:sz w:val="1"/>
                <w:szCs w:val="1"/>
                <w:color w:val="auto"/>
              </w:rPr>
            </w:pPr>
          </w:p>
        </w:tc>
      </w:tr>
      <w:tr>
        <w:trPr>
          <w:trHeight w:val="151"/>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Accretion (amortization) of</w:t>
            </w: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premium (discount) on</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issuance of redeemable</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convertible preferred stock</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(7)</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3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3"/>
                <w:szCs w:val="13"/>
                <w:color w:val="auto"/>
              </w:rPr>
              <w:t>Accretion of discount on</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20"/>
                <w:szCs w:val="20"/>
                <w:color w:val="auto"/>
              </w:rPr>
            </w:pPr>
            <w:r>
              <w:rPr>
                <w:rFonts w:ascii="Arial" w:cs="Arial" w:eastAsia="Arial" w:hAnsi="Arial"/>
                <w:sz w:val="13"/>
                <w:szCs w:val="13"/>
                <w:color w:val="auto"/>
              </w:rPr>
              <w:t>investor rights/obligation</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84</w:t>
            </w:r>
          </w:p>
        </w:tc>
        <w:tc>
          <w:tcPr>
            <w:tcW w:w="3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117</w:t>
            </w:r>
          </w:p>
        </w:tc>
        <w:tc>
          <w:tcPr>
            <w:tcW w:w="3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1"/>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Adjustment for excess</w:t>
            </w: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(shortfall) of fair value</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over</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liquidation value of</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redeemable convertible</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(651)</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(940)</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(403)</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3"/>
                <w:szCs w:val="13"/>
                <w:color w:val="auto"/>
                <w:w w:val="99"/>
              </w:rPr>
              <w:t>Accretion of issuance costs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on redeemable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00"/>
              <w:spacing w:after="0"/>
              <w:rPr>
                <w:sz w:val="20"/>
                <w:szCs w:val="20"/>
                <w:color w:val="auto"/>
              </w:rPr>
            </w:pPr>
            <w:r>
              <w:rPr>
                <w:rFonts w:ascii="Arial" w:cs="Arial" w:eastAsia="Arial" w:hAnsi="Arial"/>
                <w:sz w:val="13"/>
                <w:szCs w:val="13"/>
                <w:color w:val="auto"/>
              </w:rPr>
              <w:t>convertible preferred</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20"/>
                <w:szCs w:val="20"/>
                <w:color w:val="auto"/>
              </w:rPr>
            </w:pPr>
            <w:r>
              <w:rPr>
                <w:rFonts w:ascii="Arial" w:cs="Arial" w:eastAsia="Arial" w:hAnsi="Arial"/>
                <w:sz w:val="13"/>
                <w:szCs w:val="13"/>
                <w:color w:val="auto"/>
              </w:rPr>
              <w:t>stock</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3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3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223</w:t>
            </w:r>
          </w:p>
        </w:tc>
        <w:tc>
          <w:tcPr>
            <w:tcW w:w="160" w:type="dxa"/>
            <w:vAlign w:val="bottom"/>
            <w:tcBorders>
              <w:right w:val="single" w:sz="8" w:color="auto"/>
            </w:tcBorders>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51"/>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Conversion of redeemable</w:t>
            </w: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convertible preferred stock</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to common stock in</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connection with initial</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public offering</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(20,794,767)</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4"/>
              </w:rPr>
              <w:t>(20,792)</w:t>
            </w:r>
          </w:p>
        </w:tc>
        <w:tc>
          <w:tcPr>
            <w:tcW w:w="10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(29,087,694)</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w w:val="99"/>
              </w:rPr>
              <w:t>(33,449)</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(48,739,373)</w:t>
            </w:r>
          </w:p>
        </w:tc>
        <w:tc>
          <w:tcPr>
            <w:tcW w:w="80" w:type="dxa"/>
            <w:vAlign w:val="bottom"/>
            <w:shd w:val="clear" w:color="auto" w:fill="CFF0FC"/>
          </w:tcPr>
          <w:p>
            <w:pPr>
              <w:spacing w:after="0"/>
              <w:rPr>
                <w:sz w:val="13"/>
                <w:szCs w:val="13"/>
                <w:color w:val="auto"/>
              </w:rPr>
            </w:pPr>
          </w:p>
        </w:tc>
        <w:tc>
          <w:tcPr>
            <w:tcW w:w="6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4"/>
              </w:rPr>
              <w:t>(73,264)</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10,381,234</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105,464</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22,033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127,504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upon completion of initial</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3"/>
                <w:szCs w:val="13"/>
                <w:color w:val="auto"/>
              </w:rPr>
              <w:t>public</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00"/>
              <w:spacing w:after="0"/>
              <w:rPr>
                <w:sz w:val="20"/>
                <w:szCs w:val="20"/>
                <w:color w:val="auto"/>
              </w:rPr>
            </w:pPr>
            <w:r>
              <w:rPr>
                <w:rFonts w:ascii="Arial" w:cs="Arial" w:eastAsia="Arial" w:hAnsi="Arial"/>
                <w:sz w:val="13"/>
                <w:szCs w:val="13"/>
                <w:color w:val="auto"/>
              </w:rPr>
              <w:t>offering, net of</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Arial" w:cs="Arial" w:eastAsia="Arial" w:hAnsi="Arial"/>
                <w:sz w:val="13"/>
                <w:szCs w:val="13"/>
                <w:color w:val="auto"/>
              </w:rPr>
              <w:t>underwriting discounts and</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20"/>
                <w:szCs w:val="20"/>
                <w:color w:val="auto"/>
              </w:rPr>
            </w:pPr>
            <w:r>
              <w:rPr>
                <w:rFonts w:ascii="Arial" w:cs="Arial" w:eastAsia="Arial" w:hAnsi="Arial"/>
                <w:sz w:val="13"/>
                <w:szCs w:val="13"/>
                <w:color w:val="auto"/>
              </w:rPr>
              <w:t>commissions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100"/>
              <w:spacing w:after="0"/>
              <w:rPr>
                <w:sz w:val="20"/>
                <w:szCs w:val="20"/>
                <w:color w:val="auto"/>
              </w:rPr>
            </w:pPr>
            <w:r>
              <w:rPr>
                <w:rFonts w:ascii="Arial" w:cs="Arial" w:eastAsia="Arial" w:hAnsi="Arial"/>
                <w:sz w:val="13"/>
                <w:szCs w:val="13"/>
                <w:color w:val="auto"/>
              </w:rPr>
              <w:t>and issuance costs</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5,500,000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48,169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48,174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w:t>
            </w: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upon completion of private</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placement, net of private</w:t>
            </w: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placement agent fees</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13,948</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13,950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(12,148)</w:t>
            </w: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(12,148)</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June 30, 2019</w:t>
            </w: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80" w:type="dxa"/>
            <w:vAlign w:val="bottom"/>
            <w:vMerge w:val="continue"/>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17,834,570</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168,002</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(100,317) $</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67,703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97"/>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(15,857)</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(12,148)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fair value of obligation for loan success fee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Receivables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(380)</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(1,532)</w:t>
            </w: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 and other expenses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(229)</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74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(13,109)</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Acquisitions of property, equipment and leasehold improvements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8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Payment of loan success fee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Proceeds from exercises of stock options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the Employee Stock Purchase Plan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7720" w:type="dxa"/>
            <w:vAlign w:val="bottom"/>
          </w:tcPr>
          <w:p>
            <w:pPr>
              <w:spacing w:after="0"/>
              <w:rPr>
                <w:sz w:val="20"/>
                <w:szCs w:val="20"/>
                <w:color w:val="auto"/>
              </w:rPr>
            </w:pPr>
            <w:r>
              <w:rPr>
                <w:rFonts w:ascii="Arial" w:cs="Arial" w:eastAsia="Arial" w:hAnsi="Arial"/>
                <w:sz w:val="17"/>
                <w:szCs w:val="17"/>
                <w:color w:val="auto"/>
              </w:rPr>
              <w:t>Proceeds from sale of Series C redeemable convertible preferred stock, net of</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140"/>
              <w:spacing w:after="0"/>
              <w:rPr>
                <w:sz w:val="20"/>
                <w:szCs w:val="20"/>
                <w:color w:val="auto"/>
              </w:rPr>
            </w:pPr>
            <w:r>
              <w:rPr>
                <w:rFonts w:ascii="Arial" w:cs="Arial" w:eastAsia="Arial" w:hAnsi="Arial"/>
                <w:sz w:val="17"/>
                <w:szCs w:val="17"/>
                <w:color w:val="auto"/>
              </w:rPr>
              <w:t>issuance costs</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common stock upon completion of initial public offering, net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underwriting commissions and discounts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Payments of offering costs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private placement, net of private placement agent fees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73,351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cash increase (decrease)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(13,133)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64,185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44,180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71,387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Offering costs included in accounts payable and accrued expenses</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Accretion on redeemable convertible preferred stock</w:t>
            </w:r>
          </w:p>
        </w:tc>
        <w:tc>
          <w:tcPr>
            <w:tcW w:w="9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vMerge w:val="continue"/>
          </w:tcPr>
          <w:p>
            <w:pPr>
              <w:spacing w:after="0"/>
              <w:rPr>
                <w:sz w:val="20"/>
                <w:szCs w:val="20"/>
                <w:color w:val="auto"/>
              </w:rPr>
            </w:pP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Dividends accrued on redeemable convertible preferred stock</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3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Haduvio (nalbuphine ER) to treat serious neurologically mediated conditions. The Company is currently developing Haduvio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192"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Haduvio is an oral extended 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2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April 22, 2019, the Company filed an amendment to the Company’s amended and restated certificate of incorporation to effect a one-for 9.5 reverse stock split of the Company’s common stock, which resulted in a proportional adjustment to the existing conversion ratios for each series of the Company’s redeemable convertible preferred stock. Accordingly, all share and per share amounts in the Condensed Consolidated Financial Statements have been retrospectively adjusted, where applicable, to reflect the effect of the reverse stock split and adjustments of the redeemable convertible preferred stock conversion for all periods presented.</w:t>
      </w:r>
    </w:p>
    <w:p>
      <w:pPr>
        <w:spacing w:after="0" w:line="188" w:lineRule="exact"/>
        <w:rPr>
          <w:sz w:val="20"/>
          <w:szCs w:val="20"/>
          <w:color w:val="auto"/>
        </w:rPr>
      </w:pPr>
    </w:p>
    <w:p>
      <w:pPr>
        <w:ind w:right="380" w:firstLine="510"/>
        <w:spacing w:after="0" w:line="279" w:lineRule="auto"/>
        <w:rPr>
          <w:sz w:val="20"/>
          <w:szCs w:val="20"/>
          <w:color w:val="auto"/>
        </w:rPr>
      </w:pPr>
      <w:r>
        <w:rPr>
          <w:rFonts w:ascii="Arial" w:cs="Arial" w:eastAsia="Arial" w:hAnsi="Arial"/>
          <w:sz w:val="17"/>
          <w:szCs w:val="17"/>
          <w:color w:val="auto"/>
        </w:rPr>
        <w:t>On May 9, 2019, the Company completed its initial public offering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spacing w:after="0" w:line="17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Upon the closing of the IPO, the Company’s outstanding redeemable convertible preferred stock, including the accrued dividends thereon, automatically converted into shares of the Company’s common stock. Upon such conversion of the redeemable convertible preferred stock, the Company reclassified the carrying values of the redeemable convertible preferred stock to common stock and additional paid-in capital.</w:t>
      </w:r>
    </w:p>
    <w:p>
      <w:pPr>
        <w:spacing w:after="0" w:line="16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June 2020, the Company entered into a sales agreement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 the market” offering as defined in Rule 415(a)(4) under the Securities Act of 1933, as amended. The Company is not obligated to make any sales of its common stock under the ATM Sales Agreement. The Company had not sold any common stock pursuant to the ATM Sales Agreement as of June 30, 2020 (See Note 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00" w:firstLine="510"/>
        <w:spacing w:after="0" w:line="285" w:lineRule="auto"/>
        <w:rPr>
          <w:sz w:val="20"/>
          <w:szCs w:val="20"/>
          <w:color w:val="auto"/>
        </w:rPr>
      </w:pPr>
      <w:r>
        <w:rPr>
          <w:rFonts w:ascii="Arial" w:cs="Arial" w:eastAsia="Arial" w:hAnsi="Arial"/>
          <w:sz w:val="16"/>
          <w:szCs w:val="16"/>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a term loan facility, and most recently, with proceeds from the IPO and concurrent private placement completed in May 2019. The Company has incurred recurring losses since inception, including net losses attributable to the Company of $15.9 million for the six months ended June 30, 2020 and $26.1 million for the year ended December 31,</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2019. In addition, as of June 30, 2020, the Company had an accumulated deficit of $130.1 million. The Company expects to continue to generate operating losses for the foreseeable future. As of August 13, 2020, the issuance date of these Condensed Consolidated Financial Statements, the Company expects that its cash and cash equivalents of $44.2 million as of June 30, 2020, will be sufficient to fund its operating expenses and capital expenditure requirements through at least 12 months from the date of issuance of these Condensed Consolidated Financial Statements.</w:t>
      </w:r>
    </w:p>
    <w:p>
      <w:pPr>
        <w:spacing w:after="0" w:line="280" w:lineRule="exact"/>
        <w:rPr>
          <w:sz w:val="20"/>
          <w:szCs w:val="20"/>
          <w:color w:val="auto"/>
        </w:rPr>
      </w:pPr>
    </w:p>
    <w:p>
      <w:pPr>
        <w:ind w:left="520" w:right="7340" w:hanging="512"/>
        <w:spacing w:after="0" w:line="378" w:lineRule="auto"/>
        <w:tabs>
          <w:tab w:leader="none" w:pos="51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80" w:firstLine="510"/>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for the three and six months ended June 30, 2020 and 2019 included herein, have been prepared in accordance with accounting principles generally accepted in the United States of America (“GAAP”) for interim financial information and to the rules and regulations of the Securities and Exchange Commission (“SEC”) for interim information. Certain information and footnote disclosure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for the year ended December 31, 2019 included in the Company’s Annual Report on Form 10-K for the year ended December 31, 2019 (the “Annual Report on Form 10-K”). In the opinion of management, the unaudited Condensed Consolidated Financial Statements reflect all adjustments, which include normal recurring adjustments necessary for the fair presentation of the Company’s interim financial statements presented. The results of operations for the interim periods are not necessarily indicative of the results expected for the full year or any subsequent period.</w:t>
      </w:r>
    </w:p>
    <w:p>
      <w:pPr>
        <w:spacing w:after="0" w:line="16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1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June 30, 2020 for potential recognition or disclosure in the Condensed Consolidated Financial Statements and concluded there were no subsequent events that required recognition or disclosure other than those provided.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accompanying interim Condensed Consolidated Balance Sheet as of June 30, 2020, the Condensed Consolidated Statements of Operations and the Condensed Consolidated Statements of Redeemable Convertible Preferred Stock and Stockholders’ Equity (Deficit) for the three and six months ended June 30, 2020 and 2019, and the Condensed Consolidated Statements of Cash Flows for the six months ended June 30, 2020 and 2019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2020, the results of its operations for the three and six months ended June 30, 2020 and 2019, and its cash flows for the six months ended June 30, 2020 and 2019. The results for the three and six months ended June 30, 2020 and 2019 are not necessarily indicative of results to be expected for the year ending December 31, 2020, any other interim period, or any future year or period.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460" w:firstLine="510"/>
        <w:spacing w:after="0" w:line="301" w:lineRule="auto"/>
        <w:rPr>
          <w:sz w:val="20"/>
          <w:szCs w:val="20"/>
          <w:color w:val="auto"/>
        </w:rPr>
      </w:pPr>
      <w:r>
        <w:rPr>
          <w:rFonts w:ascii="Arial" w:cs="Arial" w:eastAsia="Arial" w:hAnsi="Arial"/>
          <w:sz w:val="16"/>
          <w:szCs w:val="16"/>
          <w:color w:val="auto"/>
        </w:rPr>
        <w:t>The Company’s financial instruments have consisted of cash and cash equivalents, tax credit and other receivables, accounts payable, accrued expenses and obligation for loan success fee (Note 6).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short-term nature of those instruments.</w:t>
      </w:r>
    </w:p>
    <w:p>
      <w:pPr>
        <w:spacing w:after="0" w:line="15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ectPr>
          <w:pgSz w:w="11900" w:h="16838" w:orient="portrait"/>
          <w:cols w:equalWidth="0" w:num="1">
            <w:col w:w="11240"/>
          </w:cols>
          <w:pgMar w:left="320" w:top="665" w:right="3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fair value financial assets or liabilities as of June 30, 2020.</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represents a roll-forward of the fair value of Level 3 instruments (significant unobservable inputs):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at January 1, 2019</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Unrealized loss on Series C redeemable convertible preferred stock liability</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Unrealized loss on obligation for loan success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settlements</w:t>
      </w:r>
      <w:r>
        <w:rPr>
          <w:rFonts w:ascii="Arial" w:cs="Arial" w:eastAsia="Arial" w:hAnsi="Arial"/>
          <w:sz w:val="15"/>
          <w:szCs w:val="15"/>
          <w:color w:val="auto"/>
        </w:rPr>
        <w:t>(2)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51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(1,771)</w:t>
            </w:r>
          </w:p>
        </w:tc>
      </w:tr>
      <w:tr>
        <w:trPr>
          <w:trHeight w:val="223"/>
        </w:trPr>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9080" w:space="180"/>
            <w:col w:w="1980"/>
          </w:cols>
          <w:pgMar w:left="320" w:top="665" w:right="339" w:bottom="1440" w:gutter="0" w:footer="0" w:header="0"/>
          <w:type w:val="continuous"/>
        </w:sectPr>
      </w:pPr>
    </w:p>
    <w:p>
      <w:pPr>
        <w:ind w:left="500" w:right="800" w:hanging="492"/>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balance at January 1, 2019 relates to the $460 obligation for the loan success fee and the $1,096 fair value of the Series C redeemable convertible preferred stock liability at the time of the third tranche of the Series C Preferred Stock financing in January 2019.</w:t>
      </w:r>
    </w:p>
    <w:p>
      <w:pPr>
        <w:spacing w:after="0" w:line="123" w:lineRule="exact"/>
        <w:rPr>
          <w:rFonts w:ascii="Arial" w:cs="Arial" w:eastAsia="Arial" w:hAnsi="Arial"/>
          <w:sz w:val="16"/>
          <w:szCs w:val="16"/>
          <w:color w:val="auto"/>
        </w:rPr>
      </w:pPr>
    </w:p>
    <w:p>
      <w:pPr>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settlements for the year ended December 31, 2019 relate to the $1,096 fair value of the Series C redeemable convertible preferred stock liability at the time of the third tranche of the Series C Preferred Stock financing in January 2019 and the payment of the $675 obligation for the loan success fee in May 2019.</w:t>
      </w:r>
    </w:p>
    <w:p>
      <w:pPr>
        <w:spacing w:after="0" w:line="33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40" w:firstLine="510"/>
        <w:spacing w:after="0" w:line="260"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(deficit)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relating to the Company’s entry into the ATM Sales Agreement were $267 as of June 30, 2020. The Company’s IPO was completed in May 2019 and IPO costs incurred in 2019 were recorded as a reduction to stockholders’ equity (deficit). As a result, deferred offering costs were $0 as of December 31, 2019.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(“Series A Preferred Stock”), shares of Series B redeemable convertible preferred stock (“Series B Preferred Stock”), shares of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new accounting pronouncements adopted during the six months ended June 30, 2020.</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There have been no new accounting pronouncements during the six months ended June 30, 2020, as compared to the recent accounting pronouncements described in Note 2 to the Company’s audited consolidated financial statements for the year ended December 31, 2019 included in the Annual Report on Form 10-K, which could be expected to materially impact the Company’s unaudited Condensed Consolidated Financial Statements.</w:t>
      </w:r>
    </w:p>
    <w:p>
      <w:pPr>
        <w:spacing w:after="0" w:line="25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80" w:type="dxa"/>
            <w:vAlign w:val="bottom"/>
          </w:tcPr>
          <w:p>
            <w:pPr>
              <w:jc w:val="center"/>
              <w:ind w:left="401"/>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720" w:type="dxa"/>
            <w:vAlign w:val="bottom"/>
          </w:tcPr>
          <w:p>
            <w:pPr>
              <w:spacing w:after="0"/>
              <w:rPr>
                <w:sz w:val="12"/>
                <w:szCs w:val="12"/>
                <w:color w:val="auto"/>
              </w:rPr>
            </w:pPr>
          </w:p>
        </w:tc>
        <w:tc>
          <w:tcPr>
            <w:tcW w:w="108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R&amp;D payments</w:t>
            </w:r>
          </w:p>
        </w:tc>
        <w:tc>
          <w:tcPr>
            <w:tcW w:w="1080" w:type="dxa"/>
            <w:vAlign w:val="bottom"/>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corporate insurance</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2,061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 The Company has the option to terminate the lease after 36 months by providing six months notice along with a payment to the landlord in an amount representing the unamortized cost of tenant improvements plus the unamortized broker’s commission, both of which had been paid by the landlord, and as defined in the agreement.</w:t>
      </w:r>
    </w:p>
    <w:p>
      <w:pPr>
        <w:spacing w:after="0" w:line="23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8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The incremental borrowing rate used on existing leases as of June 30, 2020 was 13.0%. The right-of-use asset also includes any lease payments related to initial direct costs and prepayments, and excludes lease incentives. Lease expense is recognized on a straight-line basis over the lease term. The Company had no new leases during the six months ended June 30,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right="240" w:firstLine="510"/>
        <w:spacing w:after="0" w:line="263" w:lineRule="auto"/>
        <w:rPr>
          <w:sz w:val="20"/>
          <w:szCs w:val="20"/>
          <w:color w:val="auto"/>
        </w:rPr>
      </w:pPr>
      <w:r>
        <w:rPr>
          <w:rFonts w:ascii="Arial" w:cs="Arial" w:eastAsia="Arial" w:hAnsi="Arial"/>
          <w:sz w:val="18"/>
          <w:szCs w:val="18"/>
          <w:color w:val="auto"/>
        </w:rPr>
        <w:t>The Company’s operating leases consist of real estate and equipment, and have remaining terms ranging from approximately 6 months to 3 years. The Company has no financing leases. The following table summarizes the Company’s operating leases as presented on its Condensed 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60" w:type="dxa"/>
            <w:vAlign w:val="bottom"/>
          </w:tcPr>
          <w:p>
            <w:pPr>
              <w:jc w:val="center"/>
              <w:ind w:left="321"/>
              <w:spacing w:after="0"/>
              <w:rPr>
                <w:sz w:val="20"/>
                <w:szCs w:val="20"/>
                <w:color w:val="auto"/>
              </w:rPr>
            </w:pPr>
            <w:r>
              <w:rPr>
                <w:rFonts w:ascii="Arial" w:cs="Arial" w:eastAsia="Arial" w:hAnsi="Arial"/>
                <w:sz w:val="14"/>
                <w:szCs w:val="14"/>
                <w:b w:val="1"/>
                <w:bCs w:val="1"/>
                <w:color w:val="auto"/>
                <w:w w:val="91"/>
              </w:rPr>
              <w:t>As of</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16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1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long term portion</w:t>
            </w:r>
          </w:p>
        </w:tc>
        <w:tc>
          <w:tcPr>
            <w:tcW w:w="11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operating lease liabilities</w:t>
            </w:r>
          </w:p>
        </w:tc>
        <w:tc>
          <w:tcPr>
            <w:tcW w:w="1160" w:type="dxa"/>
            <w:vAlign w:val="bottom"/>
            <w:tcBorders>
              <w:bottom w:val="single" w:sz="8" w:color="auto"/>
            </w:tcBorders>
          </w:tcPr>
          <w:p>
            <w:pPr>
              <w:jc w:val="right"/>
              <w:ind w:right="9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8"/>
                <w:szCs w:val="18"/>
                <w:color w:val="auto"/>
                <w:w w:val="94"/>
              </w:rPr>
              <w:t>Future minimum lease payments under the operating leases are as follows as of June 30, 2020:</w:t>
            </w: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436"/>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1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imputed discount rate</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operating lease liabilities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Lease expense under operating leases, including leases of office equipment, was $31 for each of the three-month periods ended June 30, 2020 and 2019, and $62 for each of the six-month periods ended June 30, 2020 and 2019. Lease payments made in the three months ended June 30, 2020 and 2019 were $35 and $23, respectively, and $80 and $57 for the six months ended June 30, 2020 and 2019, respectively, with such amounts reflected in the Condensed Consolidated Statement of Cash Flows in operating activities.</w:t>
      </w:r>
    </w:p>
    <w:p>
      <w:pPr>
        <w:spacing w:after="0" w:line="2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80" w:type="dxa"/>
            <w:vAlign w:val="bottom"/>
          </w:tcPr>
          <w:p>
            <w:pPr>
              <w:jc w:val="center"/>
              <w:ind w:left="401"/>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7720" w:type="dxa"/>
            <w:vAlign w:val="bottom"/>
          </w:tcPr>
          <w:p>
            <w:pPr>
              <w:spacing w:after="0"/>
              <w:rPr>
                <w:sz w:val="12"/>
                <w:szCs w:val="12"/>
                <w:color w:val="auto"/>
              </w:rPr>
            </w:pPr>
          </w:p>
        </w:tc>
        <w:tc>
          <w:tcPr>
            <w:tcW w:w="108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projects</w:t>
            </w:r>
          </w:p>
        </w:tc>
        <w:tc>
          <w:tcPr>
            <w:tcW w:w="1080" w:type="dxa"/>
            <w:vAlign w:val="bottom"/>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1,765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3,504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Term Loan</w:t>
      </w:r>
    </w:p>
    <w:p>
      <w:pPr>
        <w:spacing w:after="0" w:line="131"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On December 29, 2014, the Company entered into a loan and security agreement (the “Loan Agreement”) with Solar Capital, Ltd. (“Solar”) and Square 1 Bank (“Square 1”), together (the “Lenders”), which provided $15.0 million in debt financing (the “Term Loan”). On June 29, 2018, the maturity date of the Loan Agreement, the Company made its final payments of principal and interest due to the Lenders in connection with the Term Loan, as well as $450 in full payment of the final fee and $82 in full payment of the amendment fee. As a result, there were no outstanding borrowings under the Term Loan as of June 30, 2020 or December 31, 2019, and the Company’s obligations to the Lenders under the Loan Agreement were terminated.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20" w:firstLine="510"/>
        <w:spacing w:after="0" w:line="273" w:lineRule="auto"/>
        <w:rPr>
          <w:sz w:val="20"/>
          <w:szCs w:val="20"/>
          <w:color w:val="auto"/>
        </w:rPr>
      </w:pPr>
      <w:r>
        <w:rPr>
          <w:rFonts w:ascii="Arial" w:cs="Arial" w:eastAsia="Arial" w:hAnsi="Arial"/>
          <w:sz w:val="17"/>
          <w:szCs w:val="17"/>
          <w:color w:val="auto"/>
        </w:rPr>
        <w:t>Under the terms of the Loan Agreement, the Company was obligated to pay the Lenders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Term Loan funded. The Success Fee Agreement was scheduled to terminate on the earlier to occur of (a) payment in full of the Success Fee pursuant to its terms, or (b) December 29, 2021. The completion of the IPO on May 9, 2019 (see Note 1) triggered the Success Fee payment obligation and the Company made payments to its Lenders totaling $675 in May 2019. Upon such payments, the Success Fee Agreement terminated.</w:t>
      </w:r>
    </w:p>
    <w:p>
      <w:pPr>
        <w:spacing w:after="0" w:line="178"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Success Fee Agreement represented a free-standing financial instrument. Accordingly, the Company accounted for the Success Fee provision as a derivative under ASC 815, Derivatives and Hedging, and therefore recorded an obligation for the Success Fee at its fair value on the closing date of each advance under the Loan Agreement. Upon recording such obligations for the Success Fee, the Company also recorded an offsetting loan discount, which was accreted to interest expense in the Company’s Statements of Operations through the Term Loan’s maturity date. The Company adjusted these liabilities for the Success Fee to fair value at each reporting date they remained outstanding. As discussed above, the Success Fee was paid in May 2019; and therefore, the total fair value of the Success Fee liabilities was $0 at each of June 30, 2020 and December 31, 2019. The Company recorded non-cash charges in the amount of $0 and $163 for the three months ended June 30, 2020 and 2019, respectively, and $0 and $215 for the six months ended June 30, 2020 and 2019, respectively, representing the changes in the fair value of these liabilities since their last measurement date. The fair values of the obligation for the Success Fee were estimated utilizing a probability-weighted income approach, including variables for the timing of the Exit Event and other probability estimates. The non-cash charges are included in other income (expense) in the Company’s Condensed Consolidated Statements of Operations.</w:t>
      </w:r>
    </w:p>
    <w:p>
      <w:pPr>
        <w:spacing w:after="0" w:line="31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As of June 30, 2020 and December 31, 2019, the Company’s certificate of incorporation, as amended and restated, authorized the Company to issue 200,000,000 shares of common stock, respectively, with a par value of $0.001 per share.</w:t>
      </w:r>
    </w:p>
    <w:p>
      <w:pPr>
        <w:spacing w:after="0" w:line="170"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As of June 30, 2020 and December 31, 2019, the Company had reserved 3,665,800 shares and 2,778,812 shares of common stock, respectively, for the exercise of outstanding stock options and the number of shares of common stock remaining available for future stock-based awards under the Company’s 2012 Stock Incentive Plan, 2019 Stock Incentive Plan and 2019 Employee Stock Purchase Plan, as shown in the table below (Note 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1,028,807</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1,043,992</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2,304,939</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1,579,714</w:t>
            </w:r>
          </w:p>
        </w:tc>
        <w:tc>
          <w:tcPr>
            <w:tcW w:w="100" w:type="dxa"/>
            <w:vAlign w:val="bottom"/>
          </w:tcPr>
          <w:p>
            <w:pPr>
              <w:spacing w:after="0"/>
              <w:rPr>
                <w:sz w:val="19"/>
                <w:szCs w:val="19"/>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2980" w:type="dxa"/>
            <w:vAlign w:val="bottom"/>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332,054</w:t>
            </w:r>
          </w:p>
        </w:tc>
        <w:tc>
          <w:tcPr>
            <w:tcW w:w="260" w:type="dxa"/>
            <w:vAlign w:val="bottom"/>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155,106</w:t>
            </w:r>
          </w:p>
        </w:tc>
        <w:tc>
          <w:tcPr>
            <w:tcW w:w="100" w:type="dxa"/>
            <w:vAlign w:val="bottom"/>
            <w:shd w:val="clear" w:color="auto" w:fill="CFF0FC"/>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3,665,800</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2,778,812</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of June 30, 2020,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Company’s 2012 Stock Incentive Plan (the “2012 Plan”), as amended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The number of shares reserved for issuance under the 2019 Plan increased, pursuant to the terms of the 2019 Plan, by an additional 713,383 shares, equal to 4% of the Company’s then-outstanding Common Stock, effective as of January 1,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80" w:firstLine="510"/>
        <w:spacing w:after="0" w:line="279" w:lineRule="auto"/>
        <w:rPr>
          <w:sz w:val="20"/>
          <w:szCs w:val="20"/>
          <w:color w:val="auto"/>
        </w:rPr>
      </w:pPr>
      <w:r>
        <w:rPr>
          <w:rFonts w:ascii="Arial" w:cs="Arial" w:eastAsia="Arial" w:hAnsi="Arial"/>
          <w:sz w:val="18"/>
          <w:szCs w:val="18"/>
          <w:color w:val="auto"/>
        </w:rPr>
        <w:t>The 2012 Plan was adopted by the Company’s board of directors and stockholders. The Company’s board of directors administers the 2012 Plan. The 2012 Plan provides for the issuance of stock-based awards to the Company’s employees, officers and directors, as well as consultants and advisors to the Company.</w:t>
      </w:r>
    </w:p>
    <w:p>
      <w:pPr>
        <w:spacing w:after="0" w:line="210"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Options granted under the 2019 Plan and the 2012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June 30, 2020 and December 31, 2019, respectively, options to purchase 1,230,225 shares and 631,234 shares of common stock were granted and outstanding, net of cancelations, under the 2019 Plan. As of June 30, 2020 and December 31, 2019, respectively, options to purchase 1,028,807 and 1,043,992 shares of common stock were granted and outstanding, net of cancelations, under the 2012 Plan.</w:t>
      </w:r>
    </w:p>
    <w:p>
      <w:pPr>
        <w:spacing w:after="0" w:line="18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six months ended June 30, 2019, stock options to purchase 667,102 shares of the Company’s common stock were granted.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2019, stock options were exercised for 14,736 shares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2019, stock options to purchase 35,745 shares of the Company’s common stock were forfeited.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2019, stock options to purchase 5,592 shares of the Company’s common stock expired.</w:t>
      </w:r>
    </w:p>
    <w:p>
      <w:pPr>
        <w:spacing w:after="0" w:line="26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six months ended June 30, 2020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610,833</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(11,842)</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(15,185)</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Outstanding as of June 30,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2,259,032</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June 30,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959,796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Options unvested as of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1,299,236</w:t>
            </w:r>
          </w:p>
        </w:tc>
        <w:tc>
          <w:tcPr>
            <w:tcW w:w="2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classifications of stock-based compensation expenses for the 2012 Plan and the 2019 Plan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87"/>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19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During the six months ended June 30, 2020, 1,397 shares of common stock were issued and sold under the 2019 ESPP. The Company recognized $1 of stock-based compensation expense for the 2019 ESPP during the six months ended June 30,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40" w:firstLine="510"/>
        <w:spacing w:after="0" w:line="293" w:lineRule="auto"/>
        <w:rPr>
          <w:sz w:val="20"/>
          <w:szCs w:val="20"/>
          <w:color w:val="auto"/>
        </w:rPr>
      </w:pPr>
      <w:r>
        <w:rPr>
          <w:rFonts w:ascii="Arial" w:cs="Arial" w:eastAsia="Arial" w:hAnsi="Arial"/>
          <w:sz w:val="16"/>
          <w:szCs w:val="16"/>
          <w:color w:val="auto"/>
        </w:rPr>
        <w:t>As of June 30, 2020, the aggregate number of shares of the Company’s common stock that may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The aggregate number of shares of the Company’s common stock that may be issued under the 2019 ESPP increased, pursuant to the terms of the 2019 ESPP, by an additional 178,345 shares, equal to 1% of the Company’s then-outstanding common stock, effective as of January 1, 2020.</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880" w:hanging="373"/>
        <w:spacing w:after="0"/>
        <w:tabs>
          <w:tab w:leader="none" w:pos="8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369"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During the three and six months ended June 30, 2020 and 2019, the Company maintained a full valuation allowance on deferred tax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has not recorded a provision for income taxes.</w:t>
      </w:r>
    </w:p>
    <w:p>
      <w:pPr>
        <w:spacing w:after="0" w:line="35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Plus: Accretion of redeemable convertible preferred stock</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Plus: Dividends accrued on redeemable convertible preferred stock</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17,835,952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10,571,736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17,835,261</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5,535,907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Accretion and dividends included in the table above were calculated through the IPO date.</w:t>
      </w:r>
    </w:p>
    <w:p>
      <w:pPr>
        <w:spacing w:after="0" w:line="266"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shares of common stock, presented based on shares outstanding as of June 30, 2020 and 2019, were excluded from the calculation of diluted net loss per share attributable to common stockholders for the periods indicated because including them would have had an anti-dilutive effect:</w:t>
      </w:r>
    </w:p>
    <w:p>
      <w:pPr>
        <w:spacing w:after="0" w:line="278"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Shares as of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2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400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2,259,032</w:t>
            </w:r>
          </w:p>
        </w:tc>
        <w:tc>
          <w:tcPr>
            <w:tcW w:w="2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1,688,177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2,259,032</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00" w:type="dxa"/>
            <w:vAlign w:val="bottom"/>
            <w:vMerge w:val="restart"/>
          </w:tcPr>
          <w:p>
            <w:pPr>
              <w:jc w:val="right"/>
              <w:ind w:right="1910"/>
              <w:spacing w:after="0"/>
              <w:rPr>
                <w:sz w:val="20"/>
                <w:szCs w:val="20"/>
                <w:color w:val="auto"/>
              </w:rPr>
            </w:pPr>
            <w:r>
              <w:rPr>
                <w:rFonts w:ascii="Arial" w:cs="Arial" w:eastAsia="Arial" w:hAnsi="Arial"/>
                <w:sz w:val="18"/>
                <w:szCs w:val="18"/>
                <w:color w:val="auto"/>
              </w:rPr>
              <w:t>13</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6" w:name="page17"/>
    <w:bookmarkEnd w:id="16"/>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Haduvio, in all fields and for any use.</w:t>
      </w:r>
    </w:p>
    <w:p>
      <w:pPr>
        <w:spacing w:after="0" w:line="18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184"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right="40" w:firstLine="510"/>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November 6,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18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8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lease and licensing agreements (Note 4 and Note 11).</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8" w:name="page19"/>
    <w:bookmarkEnd w:id="18"/>
    <w:p>
      <w:pPr>
        <w:ind w:left="520" w:right="8360" w:hanging="512"/>
        <w:spacing w:after="0" w:line="393" w:lineRule="auto"/>
        <w:tabs>
          <w:tab w:leader="none" w:pos="51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At-the-Market Sales Agreement</w:t>
      </w:r>
    </w:p>
    <w:p>
      <w:pPr>
        <w:spacing w:after="0" w:line="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June 2020, the Company entered into the ATM Sales Agreement, under which the Company may issue and sell shares of its common stock. The Company began making sales pursuant to the ATM Sales Agreement in July 2020, and as of August 13, 2020, the Company had issued and sold an aggregate of 385,823 shares of common stock for gross proceeds of $2.2 million, before deducting estimated commissions and fees of $0.1 million. (See Note 1)</w:t>
      </w:r>
    </w:p>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31"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On August 13, 2020 (the “Effective Date”), the Company entered into a loan and security agreement (the “SVB Loan Agreement”) with Silicon Valley Bank, as lender (“SVB”), pursuant to which SVB has agreed to provide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the interest rate under the SVB Term Loan will be adjusted to a floating rate equal to the greater of (A) the prime rate plus 3.00% and (B) 6.25%.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 If the Company fails to meet certain equity raise requirements under the SVB Loan Agreement, it will 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2019 included in our Annual Report on Form 10-K for the year ended December 31, 2019, filed with the Securities and Exchange Commission, or SEC, on March 16, 2020.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172"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We caution readers not to place undue reliance on any forward-looking statements made by us, which speak only as of the date they are made.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Haduvio (nalbuphine ER) to treat serious neurologically mediated conditions. We are developing Haduvio for the treatment of chronic pruritus, chronic cough in patients with idiopathic pulmonary fibrosis, or IPF, and levodopa-induced dyskinesia, or LID, in patients with Parkinson’s disease.</w:t>
      </w:r>
    </w:p>
    <w:p>
      <w:pPr>
        <w:spacing w:after="0" w:line="22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are conducting a Phase 2b/3 clinical trial of Haduvio, which we refer to as the PRISM trial, in patients with severe pruritus associated with prurigo nodularis. The PRISM trial is a randomized, double-blind, placebo controlled, two-arm treatment study that is designed to evaluate the safety and anti-pruritic efficacy of Haduvio in patients in the United States and Europe. In accordance with the protocol for the PRISM trial, we conducted a sample size re-estimation, or SSRE, analysis in July 2020, following such time as approximately 45% of the patients in the trial were evaluable for the primary endpoint. Based on the analysis, the independent Data Monitoring Committee, or DMC, recommended that the PRISM trial should continue and that the trial size should increase from an initial enrollment target of 240 to 360 subjects, which maintains the statistical power for the primary endpoint. Based on the DMC’s recommendation, we plan to increase the size of the trial to 360 subjects. The pace of enrollment in the trial has been impacted by the COVID-19 pandemic as new patient screening and most patient enrollment was temporarily halted. Patient screening restrictions have been lifted in the United States and Europe. Many of our sites restarted patient screening and enrollment throughout May and June 2020. We now have approximately 80% of our sites screening patients. We have increased the number of active sites to more than 60 globally and approximately 155 subjects have enrolled in the trial. Based on the increased sample size, and considering the ongoing COVID-19 related restrictions, we expect to complete enrollment in the third quarter of 2021 and report top-line data in the fourth quarter of 2021.</w:t>
      </w:r>
    </w:p>
    <w:p>
      <w:pPr>
        <w:spacing w:after="0" w:line="17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are also conducting a Phase 2 clinical trial of Haduvio for chronic cough in patients with IPF. This Phase 2 clinical trial is a randomized, double-blind, placebo controlled, two-treatment, two-period, crossover study designed to evaluate the efficacy, safety, tolerability and dosing of Haduvio for chronic cough in up to 56 patients with IPF in the United Kingdom. Due to the COVID-19 pandemic and the specific at-risk nature of IPF patients our clinical sites halted their enrollment and treatment of patients in this trial. We are amending the study protocol to reduce the number of in-person visits to facilitate this study being completed in an at-risk patient population for COVID-19. We are planning to restart enrollment in the second half of 2020.</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ind w:right="20" w:firstLine="510"/>
        <w:spacing w:after="0" w:line="271" w:lineRule="auto"/>
        <w:rPr>
          <w:sz w:val="20"/>
          <w:szCs w:val="20"/>
          <w:color w:val="auto"/>
        </w:rPr>
      </w:pPr>
      <w:r>
        <w:rPr>
          <w:rFonts w:ascii="Arial" w:cs="Arial" w:eastAsia="Arial" w:hAnsi="Arial"/>
          <w:sz w:val="17"/>
          <w:szCs w:val="17"/>
          <w:color w:val="auto"/>
        </w:rPr>
        <w:t>In addition, we are conducting a Phase 1b clinical trial in patients with chronic liver disease to evaluate the safety and pharmacokinetics, or PK, of Haduvio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moderate and severe hepatic impairment and there were no serious adverse events reported in the trial. After reviewing the safety and PK data generated to date in the single ascending dose portion of the trial, we believe that these data are sufficient to support further investigation of Haduvio in potential future safety and efficacy studies in patients with relevant liver diseases. We intend to start planning for a Phase 2 trial of Haduvio in patients with pruritus associated with primary biliary cholangitis, or PBC. In addition, we intend to use the data from the hepatic impairment study to support a new drug application, or NDA, submission for Haduvio for pruritus in prurigo nodularis.</w:t>
      </w:r>
    </w:p>
    <w:p>
      <w:pPr>
        <w:spacing w:after="0" w:line="17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have written the protocol for a Phase 2 clinical trial for LID in patients with Parkinson’s disease and plan to submit an Investigational New Drug, or IND, application to the FDA in the upcoming months.</w:t>
      </w:r>
    </w:p>
    <w:p>
      <w:pPr>
        <w:spacing w:after="0" w:line="170"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are currently focusing our resources on completing the PRISM trial and Phase 2 trial for chronic cough in patients with IPF. We are continuing to prepare to conduct the Phase 2 trials for LID in patients with Parkinson’s disease and pruritus associated with PBC but plan to prioritize our cash and operational resources on our two lead clinical programs.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June 30, 2020, we had an accumulated deficit of $130.1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chronic cough in patients with IPF or LID in patients with Parkinson’s disease, and we can provide no assurance that we will ever generate significant revenue or profits.</w:t>
      </w:r>
    </w:p>
    <w:p>
      <w:pPr>
        <w:spacing w:after="0" w:line="17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On May 9, 2019, we issued and sold 5,500,000 shares of common stock in our initial public offering, or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19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On June 26,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August 13, 2020 we have issued and sold an aggregate of 385,823 shares of common stock for gross proceeds of $2.2 million, before deducting estimated commissions and fees of $0.1 million.</w:t>
      </w:r>
    </w:p>
    <w:p>
      <w:pPr>
        <w:spacing w:after="0" w:line="20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August 13, 2020, we entered into a loan and security agreement, or the SVB Loan Agreement, with Silicon Valley Bank pursuant to which Silicon Valley Bank has agreed to provide a term loan, or the SVB Term Loan, to us in the original principal amount of $14.0 million.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For further discussion of the SVB Term Loan, see “—Liquidity and Capital Resources”.</w:t>
      </w:r>
    </w:p>
    <w:p>
      <w:pPr>
        <w:spacing w:after="0" w:line="20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As of June 30, 2020, we had cash and cash equivalents of $44.2 million. We believe that our existing cash and cash equivalents, which includes the cash proceeds from the ATM Sales Agreement and anticipated proceeds of the SVB Term Loan described above, will enable us to fund our operating expenses and capital expenditure requirements into the first half of 2022.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40" w:firstLine="510"/>
        <w:spacing w:after="0" w:line="288" w:lineRule="auto"/>
        <w:rPr>
          <w:sz w:val="20"/>
          <w:szCs w:val="20"/>
          <w:color w:val="auto"/>
        </w:rPr>
      </w:pPr>
      <w:r>
        <w:rPr>
          <w:rFonts w:ascii="Arial" w:cs="Arial" w:eastAsia="Arial" w:hAnsi="Arial"/>
          <w:sz w:val="16"/>
          <w:szCs w:val="16"/>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including as a result of the increase in the target number of patients to be enrolled from 240 to 360 following the completion of the SSRE analysis, the additional Phase 3 clinical trial we will be required to conduct to support the submission of an NDA to the United States Food and Drug Administration, or FDA, for Haduvio for the treatment of pruritus associated with prurigo nodularis, our ongoing Phase 2 clinical trial in chronic cough in patients with IPF, the development and validation of our commercial manufacturing process for Haduvio and other development activities, including potentially commencing Phase 2 clinical trials for the treatment of LID in patients with Parkinson’s disease and for pruritus associated with PBC. In addition, we may continue to incur additional expenses as a result of COVID-19 and resulting clinical trial delays and interruptions. Furthermore, we expect to incur additional costs associated with operating as a public company, including significant legal, accounting, investor relations and other expenses that we did not incur as a private company.</w:t>
      </w:r>
    </w:p>
    <w:p>
      <w:pPr>
        <w:spacing w:after="0" w:line="16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 Pandemic</w:t>
      </w:r>
    </w:p>
    <w:p>
      <w:pPr>
        <w:spacing w:after="0" w:line="11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and delays in activating new clinical sites. For example, in our ongoing PRISM trial, new patient screening and most enrollment was temporarily halted due to the COVID-19 pandemic. Patient screening restrictions have been lifted in the United States and Europe. Many of our sites restarted patient screening and enrollment throughout May and June 2020. Furthermore, multiple sites in the PRISM trial have begun requiring remote monitoring of patient data and we could be required to amend the protocols in our clinical trials to have fewer patient visits over the course of a study. In addition, the clinical sites in our ongoing Phase 2 trial for chronic cough in patients with idiopathic pulmonary fibrosis, or IPF, have suspended enrollment and treatment of patients in the trial due to the vulnerability of IPF patients to COVID-19.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18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184"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We have taken temporary precautionary measures intended to help minimize the risk of the virus to our employees, including allowing employees to work remotely, suspending all non-essential travel worldwide for our employees and discouraging employee attendance at industry events.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All of our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16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Haduvio in the United States and Europe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whether as a result of the COVID-19 pandemic or otherwise, in any of our clinical trials, we could be required to expend significant additional financial resources and time on our development program. Furthermore, we are unable to predict when or if Haduvio will receive regulatory approval in the United States or elsewhere with any certainty.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84"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Obligation for Loan Success Fee</w:t>
      </w:r>
    </w:p>
    <w:p>
      <w:pPr>
        <w:spacing w:after="0" w:line="11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connection with the Term Loan, we entered into the Success Fee Agreement under which we agreed to pay the lenders a Success Fee upon the occurrence of an exit event, as defined in the Success Fee Agreement. We recognized changes in the fair value of this obligation for the Success Fee in our statements of operations as a component of other income (expense), net. We recognized changes in the fair value of the obligation for the Success Fee until the Success Fee payment was triggered and paid upon the closing of our IPO in May 2019.</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Three Months Ended June 30,</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4,921</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(7,413)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1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23"/>
        </w:trPr>
        <w:tc>
          <w:tcPr>
            <w:tcW w:w="5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(7,399)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(7,384)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Research and development expenses for the three months ended June 30, 2020 decreased to $4.9 million from $5.5 million for the corresponding period in 2019. The decrease was primarily due to a $0.8 million decrease in clinical development expenses primarily related to the decrease in activity in our Phase 2 trial in chronic cough in patients with IPF due to the halting of enrollment and treatment of patients as a result of the COVID-19 pandemic. The decrease in clinical development expenses was partially offset by an increase in personnel and related expenses by $0.1 million as a result of an increase in our employee headcount and employee compensation and by $0.1 million related to stock-based compensation. For the periods presented, all of our research and development expenses related to our development activity for Haduvio.</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General and administrative expenses for the three months ended June 30, 2020 increased to $2.5 million from $1.9 million for the corresponding period in 2019. The increase was primarily due to an increase in stock-based compensation expenses of $0.3 million, which we incurred from the issuance of new stock option grants in the second quarter of 2019 in connection with the IPO and in the first quarter of 2020 and an increase in expenses related primarily to being a public company of $0.3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Other income (expense), net for the three months ended June 30, 2020 decreased to other income, net of $14 thousand from other income, net of $66 thousand for the corresponding period in 2019. The decrease reflects the decrease in interest income of $0.2 million for the three months ended June 30, 2020 as compared to the prior year period due to lower market interest rates, which was largely offset by a $0.2 million reduction in expense due to a $0.2 million expense being recognized in the three months ended June 30, 2019 for the change in fair value of obligation for the Success Fee with no comparable expense recognized in the corresponding period in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10,940</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8,866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16,052</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23"/>
        </w:trPr>
        <w:tc>
          <w:tcPr>
            <w:tcW w:w="5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(15,881)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19"/>
                <w:szCs w:val="19"/>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10,940</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Research and development expenses for the six months ended June 30, 2020 increased to $10.9 million from $8.9 million for the corresponding period in 2019. The increase was primarily due to a $1.7 million increase in clinical development expenses primarily related to increased activity in our Phase 2b/3 PRISM trial as well as an increase in expenses related to the purchase of clinical trial supplies. In addition, personnel and related expenses increased by $0.2 million as a result of an increase in our employee headcount, stock-based compensation expenses increased by $0.1 million and consulting expenses and professional fees increased by $0.1 million. For the periods presented, all of our research and development expenses related to our development activity for Haduvio.</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General and administrative expenses for the six months ended June 30, 2020 increased to $5.1 million from $3.4 million for the corresponding period in 2019. The increase was primarily due to an increase in expenses related primarily to being a public company of $1.1 million and an increase in stock-based compensation expenses of $0.8 million, which we incurred from the issuance of new stock option grants in the second quarter of 2019 in connection with the IPO and in the first quarter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Other income (expense), net for the six months ended June 30, 2020 increased to other income, net of $0.2 million from other income, net of $72 thousand for the corresponding period in 2019. The increase reflects a $0.2 million reduction in expense due to a $0.2 million expense being recognized in the six months ended June 30, 2019 for the change in fair value of obligation for the Success Fee with no comparable expense recognized in the corresponding period in 2020, which was partially offset by a decrease in interest income of $0.1 million in the six months ended June 30, 2020 due primarily to lower market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25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term loan facility. From inception to our IPO, we raised an aggregate of $102.2 million in gross proceeds from sales of our preferred stock and convertible notes and borrowed $15.0 million under the term loan facility. As of June 30, 2018, all amounts owed under the term loan facility had been paid in full.</w:t>
      </w:r>
    </w:p>
    <w:p>
      <w:pPr>
        <w:spacing w:after="0" w:line="188"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165"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As of June 30, 2020, we had cash and cash equivalents of $44.2 million. Our cash and cash equivalents are primarily held in money market accounts.</w:t>
      </w:r>
    </w:p>
    <w:p>
      <w:pPr>
        <w:spacing w:after="0" w:line="19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On June 26, 2020, we entered into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August 13, 2020 we had issued and sold an aggregate of 385,823 shares of common stock for gross proceeds of $2.2 million, before deducting estimated commissions and fees of $0.1 million.</w:t>
      </w:r>
    </w:p>
    <w:p>
      <w:pPr>
        <w:spacing w:after="0" w:line="192" w:lineRule="exact"/>
        <w:rPr>
          <w:sz w:val="20"/>
          <w:szCs w:val="20"/>
          <w:color w:val="auto"/>
        </w:rPr>
      </w:pPr>
    </w:p>
    <w:p>
      <w:pPr>
        <w:ind w:right="240" w:firstLine="510"/>
        <w:spacing w:after="0" w:line="287" w:lineRule="auto"/>
        <w:rPr>
          <w:sz w:val="20"/>
          <w:szCs w:val="20"/>
          <w:color w:val="auto"/>
        </w:rPr>
      </w:pPr>
      <w:r>
        <w:rPr>
          <w:rFonts w:ascii="Arial" w:cs="Arial" w:eastAsia="Arial" w:hAnsi="Arial"/>
          <w:sz w:val="16"/>
          <w:szCs w:val="16"/>
          <w:color w:val="auto"/>
        </w:rPr>
        <w:t>On August 13, 2020, which we refer to as the Effective Date, we entered into the SVB Loan Agreement, with Silicon Valley Bank, as lender, or SVB, pursuant to which SVB has agreed to provide the SVB Term Loan. The proceeds from the SVB Term Loan may be used by us for working capital and general corporate purposes. The SVB Term Loan bears interest at a floating rate per annum equal to the greater of (A) the prime rate plus 1.00% and</w:t>
      </w:r>
    </w:p>
    <w:p>
      <w:pPr>
        <w:spacing w:after="0" w:line="2" w:lineRule="exact"/>
        <w:rPr>
          <w:sz w:val="20"/>
          <w:szCs w:val="20"/>
          <w:color w:val="auto"/>
        </w:rPr>
      </w:pPr>
    </w:p>
    <w:p>
      <w:pPr>
        <w:ind w:firstLine="8"/>
        <w:spacing w:after="0" w:line="266" w:lineRule="auto"/>
        <w:tabs>
          <w:tab w:leader="none" w:pos="2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4.25%. If SVB receives evidence satisfactory to it that we have (i) received positive data for the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25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513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(13,109)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cash increase (decrease)</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(13,133)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During the six months ended June 30, 2020, operating activities used $13.1 million of cash, resulting from our net loss of $15.9 million, partially offset by changes in our operating assets and liabilities of $1.4 million, net and non-cash charges of $1.3 million. Changes in our operating assets and liabilities for the six months ended June 30, 2020 consisted of a $1.6 million increase in accounts payable, a $0.4 million increase in prepaid expenses, a $0.2 million decrease in accrued expenses and a $0.5 million decrease in receivables. The increase in accounts payable was primarily due to timing of CRO and other vendor invoices. The increase in prepaid expenses was primarily due to prepayments of our corporate insurance policies, partially offset by a decrease in prepayments made with respect to research, development and clinical trial work performed by our CROs and other vendors. The decrease in accrued expenses was primarily due to decreased accruals for research, development and clinical trial work performed by our CROs partially offset by increased accruals for professional fees. The decrease in receivables was primarily due to a refund of prepayments made to one of our vendors, which we received in the first quarter of 2020. The non-cash charges for the six months ended June 30, 2020 consisted primarily of stock-based compensation expense of $1.3 million.</w:t>
      </w:r>
    </w:p>
    <w:p>
      <w:pPr>
        <w:spacing w:after="0" w:line="18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During the six months ended June 30, 2019, operating activities used $9.2 million of cash, resulting from our net loss of $12.1 million, partially offset by changes in our operating assets and liabilities of $2.4 million and non-cash charges of $0.6 million. Changes in our operating assets and liabilities for the six months ended June 30, 2019 consisted primarily of a $2.3 million increase in accrued expenses, a $1.7 million increase in accounts payable, and a $1.5 million increase in prepaid expenses. The increase in accrued expenses was primarily due to increases in accruals related to our Phase 2b/3 PRISM trial in prurigo nodularis and to our Phase 2 trial for chronic cough in IPF. The increase in accounts payable was primarily due to timing of vendor invoices from our CROs and clinical trial material suppliers. The increase in prepaid expenses was primarily due to prepayments of our insurance policies and prepayments with respect to research, development and clinical trial work performed by our CROs. The non-cash charges for the six months ended June 30, 2019 consisted primarily of stock-based compensation expense of $0.4 million and changes in fair value of the Success Fee of $0.2 million.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2020 and 2019, we used an insignificant amount of cash in investing activities.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During the six months ended June 30, 2020, cash provided by financing activities was insignificant, consisting of cash proceeds from stock option exercises and purchases under our 2019 Employee Stock Purchase Plan.</w:t>
      </w:r>
    </w:p>
    <w:p>
      <w:pPr>
        <w:spacing w:after="0" w:line="170"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During the six months ended June 30, 2019, net cash provided by financing activities was $73.4 million, primarily consisting of cash proceeds, net of underwriting discounts and commissions and placement agent fees, of $65.1 million from our IPO and concurrent private placement, and $10.0 million from our sales of shares of Series C preferred stock in the third tranche of our Series C preferred stock financing in January 2019, partially offset by costs relating to our IPO of $1.1 million and payment of the $0.7 million Success Fee.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including as a result of the increase in the target number of patients to be enrolled from 240 to 360 based on the SSRE analysis, the additional Phase 3 clinical trial we will need to conduct to support the submission of an NDA to the FDA and a marketing authorization application to the European Medicines Agency for Haduvio for the treatment of pruritus associated with prurigo nodularis, our ongoing Phase 2 clinical trial in chronic cough in patients with IPF, the costs of commercialization activities, including manufacturing capabilities, for Haduvio and other development activities including potentially commencing Phase 2 clinical trials for the treatment of LID in patients with Parkinson’s disease and for pruritus associated with PBC. In addition, we have incurred and may continue to incur additional expenses as a result of COVID-19 and resulting clinical trial delays and interruptions. Furthermore, we expect to continue to incur additional costs associated with operating as a public company, including significant legal, accounting, investor relations and other expenses that we did not incur as a private company.</w:t>
      </w:r>
    </w:p>
    <w:p>
      <w:pPr>
        <w:spacing w:after="0" w:line="18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ind w:left="880" w:right="140" w:hanging="373"/>
        <w:spacing w:after="0" w:line="30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Haduvio for the treatment of pruritus associated with prurigo nodularis, including the increase in the target number of enrolled patients for our ongoing Phase 2b/3 PRISM trial from 240 to 360 subjects based on the SSRE analysis as well as the scope, progress, timing, costs and results of clinical trials of Haduvio for other serious neurologically mediated conditions, including our ongoing Phase 2 trial for chronic cough in patients with IPF, as well as any future product candidates;</w:t>
      </w:r>
    </w:p>
    <w:p>
      <w:pPr>
        <w:spacing w:after="0" w:line="49" w:lineRule="exact"/>
        <w:rPr>
          <w:rFonts w:ascii="Arial" w:cs="Arial" w:eastAsia="Arial" w:hAnsi="Arial"/>
          <w:sz w:val="16"/>
          <w:szCs w:val="16"/>
          <w:color w:val="auto"/>
        </w:rPr>
      </w:pPr>
    </w:p>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140" w:lineRule="exact"/>
        <w:rPr>
          <w:rFonts w:ascii="Arial" w:cs="Arial" w:eastAsia="Arial" w:hAnsi="Arial"/>
          <w:sz w:val="16"/>
          <w:szCs w:val="16"/>
          <w:color w:val="auto"/>
        </w:rPr>
      </w:pPr>
    </w:p>
    <w:p>
      <w:pPr>
        <w:ind w:left="880" w:right="4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human abuse liability study and our planned Thorough QT studies;</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4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right="160" w:firstLine="510"/>
        <w:spacing w:after="0" w:line="263" w:lineRule="auto"/>
        <w:rPr>
          <w:sz w:val="20"/>
          <w:szCs w:val="20"/>
          <w:color w:val="auto"/>
        </w:rPr>
      </w:pPr>
      <w:r>
        <w:rPr>
          <w:rFonts w:ascii="Arial" w:cs="Arial" w:eastAsia="Arial" w:hAnsi="Arial"/>
          <w:sz w:val="18"/>
          <w:szCs w:val="18"/>
          <w:color w:val="auto"/>
        </w:rPr>
        <w:t>We believe that our existing cash and cash equivalents, which includes the cash proceeds from our sales to date under the ATM Sales Agreement and the anticipated proceeds of the SVB Term Loan, will enable us to fund our operating expenses and capital expenditure requirements into the first half of 2022.</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do not have any committed external source of funds other than the proceeds of the SVB Term Loan, which we expect to receive in the next week. Accordingly, we will be required to obtain further funding through public or private equity offerings, debt financings, collaborations and licensing arrangements or other sources to complete the clinical development and commercialization of Haduvio for pruritus associated with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spacing w:after="0" w:line="395"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During the six months ended June 30, 2020, there were no material changes to our critical accounting policies. Our critical accounting policies are described in the notes to the consolidated financial statements and under the heading “Management’s Discussion and Analysis of Financial Condition and Results of Operations—Critical Accounting Policies and Use of Estimates” in our 2019 Annual Report on Form 10-K for the year ended December 31, 2019, and in the notes to the Condensed Consolidated Financial Statements appearing elsewhere in this Quarterly Report on Form 10-Q.</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12 to our Condensed Consolidated Financial Statements included elsewhere in this Quarterly Report on Form 10-Q for discussion regarding our commitments and contingent commitments.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new accounting pronouncements adopted during the six months ended June 30,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There have been no new accounting pronouncements during the six months ended June 30, 2020, as compared to the recent accounting pronouncements described in Note 2 to our audited Consolidated financial statements for the year ended December 31, 2019 included in our Annual Report on Form 10-K for the year ended December 31, 2019, which could be expected to materially impact our unaudited Condensed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2020.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six months ended June 30, 2020 that has materially affected, or is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this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Significant outbreaks of contagious diseases, and other adverse public health developments, could have a material impact on our business operations and operating results. In December 2019, an outbreak of respiratory illness caused by a strain of novel coronavirus, COVID-19, began in China. That outbreak has led to millions of confirmed cases worldwide, including in the United States and other countries where we are conducting clinical trials or activities in support thereof. The World Health Organization declared the outbreak a global public health emergency on January 30, 2020 and declared it a pandemic on March 11, 2020. In addition to those who have been directly affected, billions more have been affected by governmental efforts around the world to slow the spread of the outbreak.</w:t>
      </w:r>
    </w:p>
    <w:p>
      <w:pPr>
        <w:spacing w:after="0" w:line="19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outbreak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and delays in activating new clinical sites. For example, in our ongoing Phase 2b/3 trial of Haduvio for the treatment of pruritus associated with prurigo nodularis, which we refer to as our PRISM trial, new patient screening and most enrollment was temporarily halted due to the COVID-19 pandemic. In addition, the clinical sites in our ongoing Phase 2 trial for chronic cough in patients with idiopathic pulmonary fibrosis, or IPF, have suspended enrollment and treatment of patients in the trial due to the vulnerability of IPF patients to COVID-19. Furthermore, multiple sites in the PRISM trial have begun requiring remote monitoring of patient data and we could be required to amend the protocols in our clinical trials to have fewer patient visits over the course of a study.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17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suspending all non-essential travel worldwide for our employees and discouraging employee attendance at industry events, which could negatively affect our business.</w:t>
      </w:r>
    </w:p>
    <w:p>
      <w:pPr>
        <w:spacing w:after="0" w:line="16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 losses for at least the next several years. Our net losses were $15.9 million, $26.1 million and $20.5 million for the six months ended June 30, 2020 and the years ended December 31, 2019 and 2018, respectively. As of June 30, 2020, we had an accumulated deficit of $130.1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borrowings under our prior term loan facility, our initial public offering and concurrent private placement completed in May 2019, sales of our common stock pursuant to the ATM Sales Agreement we entered into in June 2020, which we refer to as the ATM Sales Agreement, and the term loan facility with Silicon Valley Bank that we entered into in August 2020, which we refer to as the SVB Term Loan.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8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880" w:right="340" w:hanging="373"/>
        <w:spacing w:after="0" w:line="30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continue to develop and conduct clinical trials of Haduvio, including our ongoing Phase 2b/3 trial of Haduvio for the treatment of pruritus associated with prurigo nodularis, which we refer to as our PRISM trial, and our other ongoing clinical trials of Haduvio in other serious neurologically mediated conditions, including our Phase 2 trial for chronic cough in patients with IPF;</w:t>
      </w:r>
    </w:p>
    <w:p>
      <w:pPr>
        <w:spacing w:after="0" w:line="42" w:lineRule="exact"/>
        <w:rPr>
          <w:rFonts w:ascii="Arial" w:cs="Arial" w:eastAsia="Arial" w:hAnsi="Arial"/>
          <w:sz w:val="17"/>
          <w:szCs w:val="17"/>
          <w:color w:val="auto"/>
        </w:rPr>
      </w:pPr>
    </w:p>
    <w:p>
      <w:pPr>
        <w:ind w:left="880" w:right="34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increase the number of patients in the PRISM trial to a total of 360 patients based on the sample size re-estimation, or SSRE, analysis;</w:t>
      </w:r>
    </w:p>
    <w:p>
      <w:pPr>
        <w:spacing w:after="0" w:line="62" w:lineRule="exact"/>
        <w:rPr>
          <w:rFonts w:ascii="Arial" w:cs="Arial" w:eastAsia="Arial" w:hAnsi="Arial"/>
          <w:sz w:val="18"/>
          <w:szCs w:val="18"/>
          <w:color w:val="auto"/>
        </w:rPr>
      </w:pPr>
    </w:p>
    <w:p>
      <w:pPr>
        <w:ind w:left="880" w:right="100" w:hanging="373"/>
        <w:spacing w:after="0" w:line="25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Haduvio for the treatment of pruritus associated with prurigo nodularis, including completing our PRISM trial and at least one additional Phase 3 clinical trial in this indication;</w:t>
      </w:r>
    </w:p>
    <w:p>
      <w:pPr>
        <w:spacing w:after="0" w:line="78" w:lineRule="exact"/>
        <w:rPr>
          <w:rFonts w:ascii="Arial" w:cs="Arial" w:eastAsia="Arial" w:hAnsi="Arial"/>
          <w:sz w:val="18"/>
          <w:szCs w:val="18"/>
          <w:color w:val="auto"/>
        </w:rPr>
      </w:pPr>
    </w:p>
    <w:p>
      <w:pPr>
        <w:ind w:left="880" w:right="520" w:hanging="373"/>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regulatory and marketing approvals for Haduvio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any post-approval commitments, including a pediatric development plan;</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880" w:right="100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Haduvio and for any future product candidates.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32" w:name="page33"/>
    <w:bookmarkEnd w:id="32"/>
    <w:p>
      <w:pPr>
        <w:ind w:right="40" w:firstLine="510"/>
        <w:spacing w:after="0" w:line="286" w:lineRule="auto"/>
        <w:rPr>
          <w:sz w:val="20"/>
          <w:szCs w:val="20"/>
          <w:color w:val="auto"/>
        </w:rPr>
      </w:pPr>
      <w:r>
        <w:rPr>
          <w:rFonts w:ascii="Arial" w:cs="Arial" w:eastAsia="Arial" w:hAnsi="Arial"/>
          <w:sz w:val="16"/>
          <w:szCs w:val="16"/>
          <w:color w:val="auto"/>
        </w:rPr>
        <w:t>In addition, we may incur additional expenses as a result of the COVID-19 pandemic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95"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are able to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149"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six months ended June 30, 2020 and in the years ended December 31, 2019 and 2018, we used net cash of $13.1, $23.1 million and $18.3 million, respectively, in our operating activities, substantially all of which related to development activities for Haduvio. As of June 30, 2020, our cash and cash equivalents were $44.2 million. We expect our expenses to increase substantially in connection with our ongoing activities, particularly as we continue to develop and conduct clinical trials of Haduvio, including our ongoing PRISM trial and the additional Phase 3 clinical trial we will need to conduct for Haduvio for the treatment of pruritus associated with prurigo nodularis and our other ongoing clinical trials, acquire or in-license rights to other potential product candidates or technologies and seek regulatory and marketing approvals for Haduvio or any future product candidate that successfully completes clinical trials, if any. 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firstLine="510"/>
        <w:spacing w:after="0" w:line="269" w:lineRule="auto"/>
        <w:rPr>
          <w:sz w:val="20"/>
          <w:szCs w:val="20"/>
          <w:color w:val="auto"/>
        </w:rPr>
      </w:pPr>
      <w:r>
        <w:rPr>
          <w:rFonts w:ascii="Arial" w:cs="Arial" w:eastAsia="Arial" w:hAnsi="Arial"/>
          <w:sz w:val="17"/>
          <w:szCs w:val="17"/>
          <w:color w:val="auto"/>
        </w:rPr>
        <w:t>We plan to use our existing cash and cash equivalents to fund the development of Haduvio for the treatment of pruritus associated with prurigo nodularis and the treatment of chronic cough in patients with IPF, to fund the development of Haduvio for other serious neurologically mediated conditions and for working capital and other general corporate purposes. We will be required to expend significant funds in order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other than the proceeds of the SVB Term Loan, which we expect to receive in the next week.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believe that our existing cash and cash equivalents, which includes the cash proceeds from the ATM Sales Agreement and the anticipated proceeds of the SVB Term Loan, will enable us to fund our operating expenses and capital expenditure requirements into the first half of 2022.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0" w:lineRule="exact"/>
        <w:rPr>
          <w:sz w:val="20"/>
          <w:szCs w:val="20"/>
          <w:color w:val="auto"/>
        </w:rPr>
      </w:pPr>
    </w:p>
    <w:p>
      <w:pPr>
        <w:ind w:left="880" w:right="100" w:hanging="373"/>
        <w:spacing w:after="0" w:line="313"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Haduvio for the treatment of pruritus associated with prurigo nodularis, including the increase in the target number of enrolled patients for our ongoing Phase 2b/3 PRISM trial from 240 to 360 subjects based on the SSRE analysis, as well as the scope, progress, timing, costs and results of clinical trials of Haduvio for other serious neurologically mediated conditions, including our ongoing Phase 2 trial for chronic cough in patients with IPF, as well as any future product candidates;</w:t>
      </w:r>
    </w:p>
    <w:p>
      <w:pPr>
        <w:spacing w:after="0" w:line="39" w:lineRule="exact"/>
        <w:rPr>
          <w:rFonts w:ascii="Arial" w:cs="Arial" w:eastAsia="Arial" w:hAnsi="Arial"/>
          <w:sz w:val="16"/>
          <w:szCs w:val="16"/>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140" w:lineRule="exact"/>
        <w:rPr>
          <w:rFonts w:ascii="Arial" w:cs="Arial" w:eastAsia="Arial" w:hAnsi="Arial"/>
          <w:sz w:val="16"/>
          <w:szCs w:val="16"/>
          <w:color w:val="auto"/>
        </w:rPr>
      </w:pPr>
    </w:p>
    <w:p>
      <w:pPr>
        <w:ind w:left="880" w:right="4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0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38" w:lineRule="exact"/>
        <w:rPr>
          <w:rFonts w:ascii="Arial" w:cs="Arial" w:eastAsia="Arial" w:hAnsi="Arial"/>
          <w:sz w:val="17"/>
          <w:szCs w:val="17"/>
          <w:color w:val="auto"/>
        </w:rPr>
      </w:pPr>
    </w:p>
    <w:p>
      <w:pPr>
        <w:ind w:left="880" w:right="5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4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0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880" w:right="2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On August 13, 2020, we entered into a Loan and Security Agreement, or the SVB Loan Agreement, with Silicon Valley Bank, or SVB, pursuant to which SVB has agreed to provide a term loan to us in the original principal amount of $14.0 million. The SVB Term Loan bears interest at a floating rate per annum equal to the greater of (A) the prime rate plus 1.00% and (B) 4.25%. If SVB receives evidence satisfactory to it that the Company has (i) received positive data for the PRISM trial sufficient to advance Haduvio into a second Phase 3 clinical trial for prurigo nodularis, and (ii) raised sufficient financing to fund such Phase 3 clinical trial and the Company’s operations, the interest rate under the SVB Term Loan will be adjusted to a floating rate equal to the greater of (A) the prime rate plus 3.00% and (B) 6.25%.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 Additionally,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880" w:right="80" w:hanging="373"/>
        <w:spacing w:after="0" w:line="301"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p>
      <w:pPr>
        <w:spacing w:after="0" w:line="49" w:lineRule="exact"/>
        <w:rPr>
          <w:rFonts w:ascii="Arial" w:cs="Arial" w:eastAsia="Arial" w:hAnsi="Arial"/>
          <w:sz w:val="16"/>
          <w:szCs w:val="16"/>
          <w:color w:val="auto"/>
        </w:rPr>
      </w:pPr>
    </w:p>
    <w:p>
      <w:pPr>
        <w:ind w:left="880" w:right="3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 failure to comply with certain equity raise requirements in the SVB Loan Agreement could result in us having to deposit unrestricted and unencumbered cash equal to 100% of the principal amount of the SVB Term Loan then outstanding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of our assets, excluding our intellectual property (which is subject to a negative pledge under the SVB Loan Agreement), as collateral on the SVB Term Loan may limit our ability to obtain additional debt financing.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expect our expenses to increase substantially in connection with our planned operations, particularly as we conduct our ongoing PRISM trial and our other ongoing clinical trials as well as the additional Phase 3 clinical trial we will need to conduct for Haduvio for the treatment of pruritus associated with prurigo nodularis and develop Haduvio for the treatment of other serious neurologically mediated conditions.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16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Our ability to obtain further debt financing may be limited by the covenants under the SVB Loan Agreement, which include a covenant not to incur additional indebtedness as well as the pledge of substantially all of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17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7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We currently have no products approved for sale and are investing substantially all of our efforts and financial resources to fund the development of Haduvio for multiple serious neurologically mediated conditions.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15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most advanced program is the development of Haduvio for the treatment of pruritus associated with prurigo nodularis, as our efforts to develop Haduvio for other serious neurologically mediated conditions are only at an early stage. As a result, if our efforts to develop and commercialize Haduvio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success of Haduvio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8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PRISM trial, including the 120 additional subjects we plan to add to the trial as a result of the SSRE analysis;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initiating and successfully recruiting, enrolling and retaining patients in and completing additional clinical and nonclinical trials, including the additional Phase 3 clinical trial we will need to conduct for Haduvio for the treatment of pruritus associated with prurigo nodularis and other supportive clinical studies such as our planned HAL study and TQT studies;</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ind w:left="880" w:right="400" w:hanging="373"/>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maintaining and protecting our patents, trade secrets and regulatory exclusivity in the United States and other countries;</w:t>
      </w:r>
    </w:p>
    <w:p>
      <w:pPr>
        <w:spacing w:after="0" w:line="128" w:lineRule="exact"/>
        <w:rPr>
          <w:rFonts w:ascii="Arial" w:cs="Arial" w:eastAsia="Arial" w:hAnsi="Arial"/>
          <w:sz w:val="17"/>
          <w:szCs w:val="17"/>
          <w:color w:val="auto"/>
        </w:rPr>
      </w:pPr>
    </w:p>
    <w:p>
      <w:pPr>
        <w:ind w:left="880" w:right="1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Haduvio to treat serious neurologically mediated conditions is unproven.</w:t>
      </w:r>
    </w:p>
    <w:p>
      <w:pPr>
        <w:spacing w:after="0" w:line="12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are currently focused on the development and commercialization of Haduvio to treat serious neurologically mediated conditions. Haduvio is an oral extended release formulation of nalbuphine, the active drug ingredient in Haduvio,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and other serious neurologically mediated conditions, and that Haduvio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 such as with the increase of the target number of enrolled patients for our Phase 2b/3 PRISM trial from 240 to 360 subjects as a result of the SSRE analysis;</w:t>
      </w:r>
    </w:p>
    <w:p>
      <w:pPr>
        <w:spacing w:after="0" w:line="62" w:lineRule="exact"/>
        <w:rPr>
          <w:rFonts w:ascii="Arial" w:cs="Arial" w:eastAsia="Arial" w:hAnsi="Arial"/>
          <w:sz w:val="18"/>
          <w:szCs w:val="18"/>
          <w:color w:val="auto"/>
        </w:rPr>
      </w:pPr>
    </w:p>
    <w:p>
      <w:pPr>
        <w:ind w:left="880" w:right="34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880" w:right="280" w:hanging="373"/>
        <w:spacing w:after="0" w:line="311"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increased the target number of enrolled patients as a result of the SSRE analysis, enrollment has taken longer than expected and we have used and expect to continue to use additional incentive strategies to address site activation and enrollment;</w:t>
      </w:r>
    </w:p>
    <w:p>
      <w:pPr>
        <w:spacing w:after="0" w:line="40" w:lineRule="exact"/>
        <w:rPr>
          <w:rFonts w:ascii="Arial" w:cs="Arial" w:eastAsia="Arial" w:hAnsi="Arial"/>
          <w:sz w:val="16"/>
          <w:szCs w:val="16"/>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17" w:lineRule="exact"/>
        <w:rPr>
          <w:rFonts w:ascii="Arial" w:cs="Arial" w:eastAsia="Arial" w:hAnsi="Arial"/>
          <w:sz w:val="18"/>
          <w:szCs w:val="18"/>
          <w:color w:val="auto"/>
        </w:rPr>
      </w:pPr>
    </w:p>
    <w:p>
      <w:pPr>
        <w:ind w:left="880" w:right="8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880" w:right="340" w:hanging="373"/>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880" w:hanging="373"/>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880" w:right="480" w:hanging="373"/>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880" w:right="34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approvals; and</w:t>
      </w:r>
    </w:p>
    <w:p>
      <w:pPr>
        <w:spacing w:after="0" w:line="62"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and result in further 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100" w:firstLine="51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28" w:lineRule="exact"/>
        <w:rPr>
          <w:rFonts w:ascii="Arial" w:cs="Arial" w:eastAsia="Arial" w:hAnsi="Arial"/>
          <w:sz w:val="17"/>
          <w:szCs w:val="17"/>
          <w:color w:val="auto"/>
        </w:rPr>
      </w:pPr>
    </w:p>
    <w:p>
      <w:pPr>
        <w:ind w:left="880" w:right="40" w:hanging="373"/>
        <w:spacing w:after="0" w:line="26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17"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failure to successfully and timely complete clinical trials of Haduvio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74"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Haduvio for the treatment of pruritus associated with prurigo nodularis.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9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70"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 particular, the successful completion of our clinical development program for Haduvio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and our Phase 2 clinical trial for chronic cough in patients with IPF, which have delayed the completion of our trials. We have taken actions to increase enrollment, including increasing the number of clinical sites, providing sites with additional trial management staff and closing underperforming sites. However, these actions may not be successful. In addition, as a result of the COVID-19 pandemic, clinical sites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right="140"/>
        <w:spacing w:after="0" w:line="255" w:lineRule="auto"/>
        <w:rPr>
          <w:sz w:val="20"/>
          <w:szCs w:val="20"/>
          <w:color w:val="auto"/>
        </w:rPr>
      </w:pPr>
      <w:r>
        <w:rPr>
          <w:rFonts w:ascii="Arial" w:cs="Arial" w:eastAsia="Arial" w:hAnsi="Arial"/>
          <w:sz w:val="18"/>
          <w:szCs w:val="18"/>
          <w:color w:val="auto"/>
        </w:rPr>
        <w:t>for our PRISM trial temporarily halted new patient screening and most patient enrollment, and our clinical sites have suspended enrollment and the treatment of patients in our ongoing Phase 2 clinical trial for chronic cough in patients with IPF due to the vulnerability of IPF patients to COVID-19, and multiple sites in the PRISM trial have begun requiring remote monitoring of patient data. We cannot presently predict how long these disruptions to enrollment may continue or whether they will worsen. Furthermore, as a result of the SSRE analysis, we have increased the target number of enrolled patients for our PRISM trial from 240 to 360 subjects, which has also resulted in delays to our expected completion of enrollment for the trial and our anticipated timing for reporting top-line data for the trial.</w:t>
      </w:r>
    </w:p>
    <w:p>
      <w:pPr>
        <w:spacing w:after="0" w:line="19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Other companies are conducting clinical trials or have announced plans for future clinical trials that are seeking, or are likely to seek, to enroll patients with prurigo nodularis in the case of our PRISM trial and patients with IPF in the case of our Phase 2 clinical trial for chronic cough in patients with IPF, and patients are generally only able to enroll in a single trial at a time. In addition, 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9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will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7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patients reported SAEs, but none of these events was attributed to Haduvio.</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40" w:firstLine="510"/>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1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Haduvio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17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5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Haduvio for the treatment of pruritus associated with prurigo nodularis. If enrolled patients withdraw from our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17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Haduvio in patients with prurigo nodularis and uremic pruritus. While we believe these data may be useful in informing the design of our PRISM trial and other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26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3" w:name="page44"/>
    <w:bookmarkEnd w:id="43"/>
    <w:p>
      <w:pPr>
        <w:ind w:left="880" w:hanging="373"/>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3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9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9"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as our lead program. However, the development of Haduvio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United States directly through our own focused, specialty sales organization. If Haduvio receives marketing approval outside the United States,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Haduvio, if approved for the treatment of pruritus associated with prurigo nodularis could face competition from these product candidates, including tradipitant, an oral neurokinin-1 receptor antagonist being developed by Vanda Pharmaceuticals that is in Phase 3 clinical trials for chronic pruritus in patients with atopic dermatitis.</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Haduvio is approved for the treatment of pruritus associated with primary biliary cholangitis, or PBC, we expect that it would compete with a number of therapeutics that are used off-label to treat pruritus associated with chronic liver disease, including PBC, which may include bile acid sequestrants, such as cholestyramine, which are used off-label and generally as first-line therapy, although they typically provide only modest relief. Cholestyramine is marketed as Questran in the United States and as Colestyr, Efensol, Ipocol, Kolestran, Lipocol, Olestyr, Prevalite or Quantalan in various other countries. Treatment of pruritus associated with chronic liver disease, including PBC,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We also expect that Haduvio might compete with product candidates currently in clinical development in this indication, including Korsuva (difelikefalin), an orally administered κ-opioid receptor agonist being developed by Cara Therapeutics, and linerixibat, an ileal bile acid transporter inhibitor being developed by GlaxoSmithKline, both of which are in Phase 2 clinical trials for pruritus associated with PBC. In addition, it is possible that therapies to reduce chronic liver disease, such as ursodeoxycholic acid, which is approved for the treatment of PBC, could reduce the need for therapies to treat pruritus associated with chronic liver disease, including PBC.</w:t>
      </w:r>
    </w:p>
    <w:p>
      <w:pPr>
        <w:spacing w:after="0" w:line="172"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If Haduvio is approved for the treatment of chronic cough associated with idiopathic pulmonary fibrosis, or IPF, we expect that it would compete with product candidates currently in development for the treatment of chronic cough associated with IPF, such as RVT-1601, a formulation of cromolyn sodium being developed by Respivant Sciences, and expect that it might also compete with other product candidates currently in development for the treatment of chronic cough by companies including Merck, Shionogi, Bellus Therapeutics and Nerre Therapeutics. In addition, it is possible that product candidates currently in development for the treatment of IPF could, if approved, reduce the need for therapies to treat chronic cough associated with IPF.</w:t>
      </w:r>
    </w:p>
    <w:p>
      <w:pPr>
        <w:spacing w:after="0" w:line="16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If Haduvio is approved for the treatment of levodopa-induced dyskinesia, or LID, in patients with Parkinson’s disease, we expect that it would compete with Gocovri and Osmolex, which are extended release capsule formulations of amantadine marketed by Adamas Pharmaceuticals and Osmotica, respectively,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40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96"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t>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be also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880" w:right="140" w:hanging="373"/>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We do not have long-term supply agreements with any of our contract manufacturers. If any of our existing manufacturers should become unavailable to us for any reason, including as a result of the COVID-19 pandemic or government measures taken in response to the pandemic, we may incur delays in identifying or qualifying replacements.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also rely, and plan to continue to rely, on a single supplier, Mallinckrodt, for nalbuphine hydrochloride drug substance. We do not have agreements in place with Mallinckrodt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6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164"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80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2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right="180" w:hanging="373"/>
        <w:spacing w:after="0" w:line="311"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880" w:right="12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880" w:right="600" w:hanging="373"/>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left="880" w:right="7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right="380" w:hanging="373"/>
        <w:spacing w:after="0" w:line="259"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880" w:right="200" w:hanging="373"/>
        <w:spacing w:after="0" w:line="34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880" w:right="78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40"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880" w:right="1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Haduvio.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7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such event could have a material adverse impact on our business.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left="880" w:hanging="373"/>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2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nalbuphine ER, or any future product candidate, and the disease indications for which we are developing, or may in the future develop, nalbuphine ER,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195"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firstLine="510"/>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82"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71"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40"/>
        <w:spacing w:after="0" w:line="255" w:lineRule="auto"/>
        <w:rPr>
          <w:sz w:val="20"/>
          <w:szCs w:val="20"/>
          <w:color w:val="auto"/>
        </w:rPr>
      </w:pPr>
      <w:r>
        <w:rPr>
          <w:rFonts w:ascii="Arial" w:cs="Arial" w:eastAsia="Arial" w:hAnsi="Arial"/>
          <w:sz w:val="18"/>
          <w:szCs w:val="18"/>
          <w:color w:val="auto"/>
        </w:rPr>
        <w:t>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68" w:lineRule="exact"/>
        <w:rPr>
          <w:sz w:val="20"/>
          <w:szCs w:val="20"/>
          <w:color w:val="auto"/>
        </w:rPr>
      </w:pPr>
    </w:p>
    <w:p>
      <w:pPr>
        <w:ind w:right="220" w:firstLine="510"/>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6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120"/>
        <w:spacing w:after="0" w:line="279" w:lineRule="auto"/>
        <w:rPr>
          <w:sz w:val="20"/>
          <w:szCs w:val="20"/>
          <w:color w:val="auto"/>
        </w:rPr>
      </w:pPr>
      <w:r>
        <w:rPr>
          <w:rFonts w:ascii="Arial" w:cs="Arial" w:eastAsia="Arial" w:hAnsi="Arial"/>
          <w:sz w:val="17"/>
          <w:szCs w:val="17"/>
          <w:color w:val="auto"/>
        </w:rPr>
        <w:t>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7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3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the FDA does not conclude that Haduvio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3" w:lineRule="exact"/>
        <w:rPr>
          <w:sz w:val="20"/>
          <w:szCs w:val="20"/>
          <w:color w:val="auto"/>
        </w:rPr>
      </w:pPr>
    </w:p>
    <w:p>
      <w:pPr>
        <w:jc w:val="both"/>
        <w:ind w:right="340" w:firstLine="510"/>
        <w:spacing w:after="0" w:line="287" w:lineRule="auto"/>
        <w:rPr>
          <w:sz w:val="20"/>
          <w:szCs w:val="20"/>
          <w:color w:val="auto"/>
        </w:rPr>
      </w:pPr>
      <w:r>
        <w:rPr>
          <w:rFonts w:ascii="Arial" w:cs="Arial" w:eastAsia="Arial" w:hAnsi="Arial"/>
          <w:sz w:val="16"/>
          <w:szCs w:val="16"/>
          <w:color w:val="auto"/>
        </w:rPr>
        <w:t>We commenced our Phase 2b/3 PRISM trial of Haduvio for the treatment of pruritus associated with prurigo nodularis and expect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Haduvio for the treatment of pruritus associated with prurigo nodularis and any future product candidates by potentially decreasing the amount of preclinical and clinical data that we would need to generate in order to obtain FDA approval. However, while we believe that Haduvio is a reformulation of an existing drug or biologic and, therefore, will not be treated as a new chemical entity, or NCE, the submission of an NDA under the Section 505(b)(2) or similar regulatory pathway does not preclude the FDA from determining that Haduvio is an NCE and therefore not eligible for review under such regulatory pathway.</w:t>
      </w:r>
    </w:p>
    <w:p>
      <w:pPr>
        <w:spacing w:after="0" w:line="16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7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both"/>
        <w:ind w:right="24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9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3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conducted, are conducting and intend in the future to conduct clinical trials for Haduvio,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Haduvio or the applicable future product candidate.</w:t>
      </w:r>
    </w:p>
    <w:p>
      <w:pPr>
        <w:spacing w:after="0" w:line="18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62"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3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18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Additionally, 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(extendable up to two years). Discussions between the United Kingdom and the European Union have so far mainly focused on finalizing withdrawal issues and transition agreements but have been extremely difficult to date. To date, only an outline of a trade agreement has been reached. Much remains open but the Prime Minister has indicated that the United Kingdom will not seek to extend the transitional period beyond the end of 2020. If no trade agreement has been reached before the end of the transitional period, there may be significant market and economic disruption.</w:t>
      </w:r>
    </w:p>
    <w:p>
      <w:pPr>
        <w:spacing w:after="0" w:line="19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expect that any regulatory approval to market Haduvio in the United States will be limited by indication. If we fail to comply or are found to be in violation of FDA and other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pruritus associated with prurigo nodularis. If we obtain regulatory approval to market Haduvio with an indication statement for the treatment of pruritus associated with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157"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Haduvio to treat pruritic conditions other than pruritus associated with prurigo nodularis,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firstLine="510"/>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9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6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spacing w:after="0" w:line="263" w:lineRule="auto"/>
        <w:rPr>
          <w:sz w:val="20"/>
          <w:szCs w:val="20"/>
          <w:color w:val="auto"/>
        </w:rPr>
      </w:pPr>
      <w:r>
        <w:rPr>
          <w:rFonts w:ascii="Arial" w:cs="Arial" w:eastAsia="Arial" w:hAnsi="Arial"/>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Haduvio or any future product candidate, impacting our ability to generate revenue.</w:t>
      </w:r>
    </w:p>
    <w:p>
      <w:pPr>
        <w:spacing w:after="0" w:line="7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More recently, on October 9, 2019, the President issued another executive order (“Executive Order on Promoting the Rule of Law Through Improved Agency Guidance Documents”). The order is meant to ensure that agency guidance documents do not establish legally binding requirements and it directs each agency to rescind guidance documents that it determines should no longer be in effect.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76"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Haduvio or any future product candidate are the following:</w:t>
      </w:r>
    </w:p>
    <w:p>
      <w:pPr>
        <w:spacing w:after="0" w:line="76"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The CARES Act suspended the 2% Medicare sequester from May 1, 2020 through December 31, 2020, and extended the sequester by one year, through 2030.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7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w:t>
      </w:r>
    </w:p>
    <w:p>
      <w:pPr>
        <w:spacing w:after="0" w:line="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19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ACA. Since January 2017, the President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 $12 billion in ACA risk corridor payments to third-party payors who argued were owed to them. On April 27, 2020, however, the U.S. Supreme Court reversed the federal circuit decision upholding Congress’ denial of such risk corridor funding. In addition,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60" w:firstLine="510"/>
        <w:spacing w:after="0" w:line="285"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current presidential administration and CMS have both stated that the ruling will have no immediate effect, and on December 30, 2018 the same judge issued an order staying the judgment pending appeal. The current presidential administration recently represented to the Court of Appeals considering 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March 3, 2020, the U.S. Supreme Court agreed to review this decision. On June 25, 2020, the current presidential administration and a coalition of 18 states asked the court to strike down the entirety of the ACA. Litigation and legislation over the ACA are likely to continue, with unpredictable and uncertain results. 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 has pressed for further drug price control measures to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Any proposed measures will require authorization through additional legislation to become effective, and Congress and the current presidential administration have each indicated that it will continue to seek new legislative and/or administrative measures to control drug costs. It is unclear, however, whether the Congress and administration will be able to reach agreement on any such measures in the foreseeable future.</w:t>
      </w:r>
    </w:p>
    <w:p>
      <w:pPr>
        <w:spacing w:after="0" w:line="19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Finally, the current presidential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179"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More recently, on July 24, 2020, the President issued four executive orders intended to lower the costs of prescription drug products. The first order would require all federally qualified health centers, or FQHCs, to pass on to patients the discounts the health centers receive on insulin and epinephrine through Medicare’s 340B Drug Discount Program. The second order would establish an international pricing index that would set the price Medicare Part B pays for the costliest medications covered under the program to the lowest price in other economically advanced countries. The President has indicated that this order will be held until August 24, 2020, because the administration may not implement it.</w:t>
      </w:r>
    </w:p>
    <w:p>
      <w:pPr>
        <w:spacing w:after="0" w:line="176"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third order was intended to reduce the costs of drugs by supporting the safe importation of prescription drugs. Specifically, the order calls upon the Department of Health and Human Services, or HHS, to facilitate grants to individuals of waivers of the prohibition of importation of prescription drugs that would allow patients to import FDA approved drug products from abroad, so long as doing so would result in lower costs. In addition, the order would allow wholesalers and pharmacies to re-import both biological drugs and insulin that were originally manufactured in the United States and then exported for international sale. This action follows the publication of a proposed rulemaking on December 23, 2019, that, if finalized, would allow states or certain other non-federal government entities to submit importation program proposals to the FDA for review and approval. Applicants would be required to demonstrate that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right="60" w:firstLine="510"/>
        <w:spacing w:after="0" w:line="255" w:lineRule="auto"/>
        <w:rPr>
          <w:sz w:val="20"/>
          <w:szCs w:val="20"/>
          <w:color w:val="auto"/>
        </w:rPr>
      </w:pPr>
      <w:r>
        <w:rPr>
          <w:rFonts w:ascii="Arial" w:cs="Arial" w:eastAsia="Arial" w:hAnsi="Arial"/>
          <w:sz w:val="18"/>
          <w:szCs w:val="18"/>
          <w:color w:val="auto"/>
        </w:rPr>
        <w:t>Finally, the fourth order would end drug rebates used by health plan sponsors, pharmacies or pharmacy benefit managers, or PBMs, in operating the Medicare Part D program. Specifically, the order directs HHS to exclude from safe harbor protections under the federal anti-kickback statute retroactive price reductions that are not applied at the point-of-sale. Instead, the order requires HHS to establish new safe harbors that would allow health plan sponsors, pharmacies, and PBMs to pass on those discounts to consumers at point-of-sale in order to lower the patient's out-of-pocket costs and permit the use of certain bona fide PBM service fees. Each of these orders directs the federal government to implement the initiatives outlined in the orders, meaning they will not have immediate effects.</w:t>
      </w:r>
    </w:p>
    <w:p>
      <w:pPr>
        <w:spacing w:after="0" w:line="233"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92"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2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right="60" w:firstLine="510"/>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20" w:firstLine="510"/>
        <w:spacing w:after="0" w:line="287"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both"/>
        <w:ind w:right="1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17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and except with respect to Yann Mazabraud, our Chief Commercial Officer and Head of International, whose employment agreement provides for a three-month termination notice period,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7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firstLine="510"/>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of June 30, 2020 we had 19 employees. We expect to experience significant growth in the number of our employees and the scope of our operations, particularly in the areas of clinical development and regulatory affairs. In addition,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8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17" w:lineRule="exact"/>
        <w:rPr>
          <w:rFonts w:ascii="Arial" w:cs="Arial" w:eastAsia="Arial" w:hAnsi="Arial"/>
          <w:sz w:val="18"/>
          <w:szCs w:val="18"/>
          <w:color w:val="auto"/>
        </w:rPr>
      </w:pPr>
    </w:p>
    <w:p>
      <w:pPr>
        <w:ind w:left="880" w:right="98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25"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In addition, the novel coronavirus has been spreading rapidly around the world since December 2019 and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1" w:name="page72"/>
    <w:bookmarkEnd w:id="71"/>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4"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16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 the market” offerings. As of August 13, we had sold 385,823 shares of common stock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17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by us under the Shelf Registration Statement, whether pursuant to the ATM Sales Agreement or otherwise, or through any other means could also lower the market price of our common stock and impair our ability to raise capital through the sale of equity or equity-related securities.</w:t>
      </w:r>
    </w:p>
    <w:p>
      <w:pPr>
        <w:spacing w:after="0" w:line="2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Our executive officers and directors and their affiliates and our significant stockholders in the aggregate, beneficially own shares representing approximately 71.7% of our common stock as of August 13, 2020.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9"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72" w:name="page73"/>
    <w:bookmarkEnd w:id="72"/>
    <w:p>
      <w:pPr>
        <w:ind w:firstLine="510"/>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of December 31, 2019, we had federal and state net operating loss carryforwards of $106.8 million, and federal research and development tax credit carryforwards of $3.2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Code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8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Act, which significantly reformed the Code.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spacing w:after="0" w:line="3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5" w:name="page76"/>
    <w:bookmarkEnd w:id="75"/>
    <w:p>
      <w:pPr>
        <w:ind w:right="20" w:firstLine="510"/>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0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4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jc w:val="both"/>
        <w:ind w:right="100" w:firstLine="8"/>
        <w:spacing w:after="0" w:line="270"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7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did not sell or issue any equity securities during the three months ended June 30, 2020 that were not registered under the Securities Act of 1933, as amended, or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On May 9, 2019, we closed our initial public offering, or IPO, in which we issued and sold 5,500,000 shares of common stock at a public offering price of $10.00 per share. The aggregate gross proceeds to us from our IPO were $55.0 million.</w:t>
      </w:r>
    </w:p>
    <w:p>
      <w:pPr>
        <w:spacing w:after="0" w:line="170"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14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June 30, 2020, we used $4.0 million of the net proceeds from the IPO to fund the development of Haduvio for the treatment of pruritus associated with prurigo nodularis, the treatment of chronic cough in patients with IPF and general corporate purposes.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SVB Term Loan</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On August 13, 2020, which we refer to as the Effective Date, we entered into the SVB Loan Agreement with Silicon Valley Bank, as lender, or SVB, pursuant to which SVB has agreed to provide a term loan to us in the original principal amount of $14.0 million, which we refer to as the SVB Term Loan. The proceeds from the SVB Term Loan may be used by us for working capital and general corporate purposes. The SVB Term Loan bears interest at a floating rate per annum equal to the greater of (A) the prime rate plus 1.00% and (B) 4.25%. If SVB receives evidence satisfactory to it that we have (i) received positive data for the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240" w:type="dxa"/>
            <w:vAlign w:val="bottom"/>
            <w:gridSpan w:val="6"/>
            <w:vMerge w:val="restart"/>
          </w:tcPr>
          <w:p>
            <w:pPr>
              <w:ind w:left="3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9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tcBorders>
              <w:top w:val="single" w:sz="8" w:color="auto"/>
            </w:tcBorders>
            <w:gridSpan w:val="7"/>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Certification of Principal Executive Officer Pursuant to Rules 13a-14(a) or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Adopted Pursuant to Section 302 of the Sarbanes-Oxley Act of 2002</w:t>
              </w:r>
            </w:hyperlink>
          </w:p>
        </w:tc>
        <w:tc>
          <w:tcPr>
            <w:tcW w:w="4560" w:type="dxa"/>
            <w:vAlign w:val="bottom"/>
            <w:tcBorders>
              <w:top w:val="single" w:sz="8" w:color="0000EE"/>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Financial Officer Pursuant to Rules 13a-14(a) or 15d-14(a) under the Securities Exchange Act of 1934, as</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Adopted Pursuant to Section 302 of the Sarbanes-Oxley Act of 2002</w:t>
              </w:r>
            </w:hyperlink>
          </w:p>
        </w:tc>
        <w:tc>
          <w:tcPr>
            <w:tcW w:w="5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4"/>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140" w:val="left"/>
          <w:tab w:leader="none" w:pos="804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Christopher Seiter</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5715</wp:posOffset>
            </wp:positionV>
            <wp:extent cx="30518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00"/>
          </w:cols>
          <w:pgMar w:left="320" w:top="337" w:right="779" w:bottom="1440" w:gutter="0" w:footer="0" w:header="0"/>
        </w:sectPr>
      </w:pPr>
    </w:p>
    <w:bookmarkStart w:id="79" w:name="page80"/>
    <w:bookmarkEnd w:id="7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18"/>
        <w:spacing w:after="0" w:line="277" w:lineRule="auto"/>
        <w:tabs>
          <w:tab w:leader="none" w:pos="6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340" w:firstLine="483"/>
        <w:spacing w:after="0" w:line="342" w:lineRule="auto"/>
        <w:tabs>
          <w:tab w:leader="none" w:pos="120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19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8"/>
        <w:spacing w:after="0" w:line="308" w:lineRule="auto"/>
        <w:tabs>
          <w:tab w:leader="none" w:pos="69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7"/>
          <w:szCs w:val="17"/>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80" w:name="page81"/>
    <w:bookmarkEnd w:id="8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Seiter, certify that:</w:t>
      </w:r>
    </w:p>
    <w:p>
      <w:pPr>
        <w:spacing w:after="0" w:line="225" w:lineRule="exact"/>
        <w:rPr>
          <w:sz w:val="20"/>
          <w:szCs w:val="20"/>
          <w:color w:val="auto"/>
        </w:rPr>
      </w:pPr>
    </w:p>
    <w:p>
      <w:pPr>
        <w:ind w:left="700" w:hanging="18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18"/>
        <w:spacing w:after="0" w:line="277" w:lineRule="auto"/>
        <w:tabs>
          <w:tab w:leader="none" w:pos="6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340" w:firstLine="483"/>
        <w:spacing w:after="0" w:line="342" w:lineRule="auto"/>
        <w:tabs>
          <w:tab w:leader="none" w:pos="12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1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8"/>
        <w:spacing w:after="0" w:line="308" w:lineRule="auto"/>
        <w:tabs>
          <w:tab w:leader="none" w:pos="69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7"/>
          <w:szCs w:val="17"/>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June 30, 2020,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780" w:hanging="262"/>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June 30, 2020,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7"/>
    </w:lvl>
  </w:abstractNum>
  <w:abstractNum w:abstractNumId="10">
    <w:nsid w:val="7C3DBD3D"/>
    <w:multiLevelType w:val="hybridMultilevel"/>
    <w:lvl w:ilvl="0">
      <w:lvlJc w:val="left"/>
      <w:lvlText w:val="%1."/>
      <w:numFmt w:val="decimal"/>
      <w:start w:val="8"/>
    </w:lvl>
  </w:abstractNum>
  <w:abstractNum w:abstractNumId="11">
    <w:nsid w:val="737B8DDC"/>
    <w:multiLevelType w:val="hybridMultilevel"/>
    <w:lvl w:ilvl="0">
      <w:lvlJc w:val="left"/>
      <w:lvlText w:val="%1."/>
      <w:numFmt w:val="decimal"/>
      <w:start w:val="8"/>
    </w:lvl>
    <w:lvl w:ilvl="1">
      <w:lvlJc w:val="left"/>
      <w:lvlText w:val="•"/>
      <w:numFmt w:val="bullet"/>
      <w:start w:val="1"/>
    </w:lvl>
  </w:abstractNum>
  <w:abstractNum w:abstractNumId="12">
    <w:nsid w:val="6CEAF087"/>
    <w:multiLevelType w:val="hybridMultilevel"/>
    <w:lvl w:ilvl="0">
      <w:lvlJc w:val="left"/>
      <w:lvlText w:val="%1."/>
      <w:numFmt w:val="decimal"/>
      <w:start w:val="10"/>
    </w:lvl>
  </w:abstractNum>
  <w:abstractNum w:abstractNumId="13">
    <w:nsid w:val="22221A70"/>
    <w:multiLevelType w:val="hybridMultilevel"/>
    <w:lvl w:ilvl="0">
      <w:lvlJc w:val="left"/>
      <w:lvlText w:val="%1."/>
      <w:numFmt w:val="decimal"/>
      <w:start w:val="11"/>
    </w:lvl>
  </w:abstractNum>
  <w:abstractNum w:abstractNumId="14">
    <w:nsid w:val="4516DDE9"/>
    <w:multiLevelType w:val="hybridMultilevel"/>
    <w:lvl w:ilvl="0">
      <w:lvlJc w:val="left"/>
      <w:lvlText w:val="%1."/>
      <w:numFmt w:val="decimal"/>
      <w:start w:val="12"/>
    </w:lvl>
  </w:abstractNum>
  <w:abstractNum w:abstractNumId="15">
    <w:nsid w:val="3006C83E"/>
    <w:multiLevelType w:val="hybridMultilevel"/>
    <w:lvl w:ilvl="0">
      <w:lvlJc w:val="left"/>
      <w:lvlText w:val="%1."/>
      <w:numFmt w:val="decimal"/>
      <w:start w:val="13"/>
    </w:lvl>
  </w:abstractNum>
  <w:abstractNum w:abstractNumId="16">
    <w:nsid w:val="614FD4A1"/>
    <w:multiLevelType w:val="hybridMultilevel"/>
    <w:lvl w:ilvl="0">
      <w:lvlJc w:val="left"/>
      <w:lvlText w:val="(%1)"/>
      <w:numFmt w:val="upperLetter"/>
      <w:start w:val="2"/>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2020-08-13T15:37:45Z</dcterms:created>
  <dcterms:modified xsi:type="dcterms:W3CDTF">2020-08-13T15:37:45Z</dcterms:modified>
</cp:coreProperties>
</file>