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4260" w:right="3920" w:hanging="4252"/>
        <w:spacing w:after="0" w:line="302" w:lineRule="auto"/>
        <w:tabs>
          <w:tab w:leader="none" w:pos="29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520" w:right="920" w:hanging="512"/>
        <w:spacing w:after="0" w:line="262" w:lineRule="auto"/>
        <w:tabs>
          <w:tab w:leader="none" w:pos="299"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TREVI THERAPEUTICS,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45-0834299</w:t>
            </w:r>
          </w:p>
        </w:tc>
      </w:tr>
      <w:tr>
        <w:trPr>
          <w:trHeight w:val="135"/>
        </w:trPr>
        <w:tc>
          <w:tcPr>
            <w:tcW w:w="4120" w:type="dxa"/>
            <w:vAlign w:val="bottom"/>
          </w:tcPr>
          <w:p>
            <w:pPr>
              <w:jc w:val="center"/>
              <w:ind w:right="198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28"/>
        </w:trPr>
        <w:tc>
          <w:tcPr>
            <w:tcW w:w="4120" w:type="dxa"/>
            <w:vAlign w:val="bottom"/>
          </w:tcPr>
          <w:p>
            <w:pPr>
              <w:jc w:val="center"/>
              <w:ind w:right="196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4"/>
        </w:trPr>
        <w:tc>
          <w:tcPr>
            <w:tcW w:w="4120" w:type="dxa"/>
            <w:vAlign w:val="bottom"/>
          </w:tcPr>
          <w:p>
            <w:pPr>
              <w:jc w:val="center"/>
              <w:ind w:right="1987"/>
              <w:spacing w:after="0" w:line="214" w:lineRule="exact"/>
              <w:rPr>
                <w:sz w:val="20"/>
                <w:szCs w:val="20"/>
                <w:color w:val="auto"/>
              </w:rPr>
            </w:pPr>
            <w:r>
              <w:rPr>
                <w:rFonts w:ascii="Times New Roman" w:cs="Times New Roman" w:eastAsia="Times New Roman" w:hAnsi="Times New Roman"/>
                <w:sz w:val="16"/>
                <w:szCs w:val="16"/>
                <w:b w:val="1"/>
                <w:bCs w:val="1"/>
                <w:color w:val="auto"/>
                <w:w w:val="99"/>
              </w:rPr>
              <w:t>195 Church Street, 16</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3020" w:type="dxa"/>
            <w:vAlign w:val="bottom"/>
          </w:tcPr>
          <w:p>
            <w:pPr>
              <w:spacing w:after="0"/>
              <w:rPr>
                <w:sz w:val="18"/>
                <w:szCs w:val="18"/>
                <w:color w:val="auto"/>
              </w:rPr>
            </w:pPr>
          </w:p>
        </w:tc>
      </w:tr>
      <w:tr>
        <w:trPr>
          <w:trHeight w:val="198"/>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6"/>
                <w:szCs w:val="16"/>
                <w:b w:val="1"/>
                <w:bCs w:val="1"/>
                <w:color w:val="auto"/>
              </w:rPr>
              <w:t>New Haven, Connecticut</w:t>
            </w:r>
          </w:p>
        </w:tc>
        <w:tc>
          <w:tcPr>
            <w:tcW w:w="30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06510</w:t>
            </w:r>
          </w:p>
        </w:tc>
      </w:tr>
      <w:tr>
        <w:trPr>
          <w:trHeight w:val="166"/>
        </w:trPr>
        <w:tc>
          <w:tcPr>
            <w:tcW w:w="4120" w:type="dxa"/>
            <w:vAlign w:val="bottom"/>
          </w:tcPr>
          <w:p>
            <w:pPr>
              <w:jc w:val="center"/>
              <w:ind w:right="196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304-2499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TRVI</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right="362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w:t>
            </w:r>
            <w:r>
              <w:rPr>
                <w:rFonts w:ascii="Times New Roman" w:cs="Times New Roman" w:eastAsia="Times New Roman" w:hAnsi="Times New Roman"/>
                <w:sz w:val="16"/>
                <w:szCs w:val="16"/>
                <w:color w:val="auto"/>
              </w:rPr>
              <w:t>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2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8"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$179.7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14, 2025 was 96,682,229.</w:t>
      </w:r>
    </w:p>
    <w:p>
      <w:pPr>
        <w:spacing w:after="0" w:line="5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Proxy Statement for the registrant’s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909320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12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ongoing Phase 2b CORAL clinical trial and our planned Phase 3 program of Haduvio for the treatment of chronic cough in patients with idiopathic pulmonary fibrosis, or IPF, our ongoing Phase 1b TIDAL study to evaluate the effect of Haduvio on respiratory physiology in patients with IPF of varying disease severity, our planned Phase 2 clinical trial of Haduvio for the treatment of chronic cough in patients with non-IPF interstitial lung disease or non-IPF ILD, and our next clinical trial of Haduvio for the treatment of patients with refractory chronic cough or RCC;</w:t>
      </w:r>
    </w:p>
    <w:p>
      <w:pPr>
        <w:spacing w:after="0" w:line="75"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chronic cough in patients with IPF, chronic cough in patients with non-IPF ILD and RCC;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including our ongoing and planned clinical trials,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60" w:firstLine="509"/>
        <w:spacing w:after="0" w:line="239"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Haduvio™. Other trademarks, service marks and trade names appearing in this Annual Report on Form 10-K are the property of their respective owners. Solely for convenience, some of the trademarks, service marks and trade names referred to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 w:name="page3"/>
    <w:bookmarkEnd w:id="2"/>
    <w:p>
      <w:pPr>
        <w:spacing w:after="0" w:line="238" w:lineRule="auto"/>
        <w:rPr>
          <w:sz w:val="20"/>
          <w:szCs w:val="20"/>
          <w:color w:val="auto"/>
        </w:rPr>
      </w:pPr>
      <w:r>
        <w:rPr>
          <w:rFonts w:ascii="Times New Roman" w:cs="Times New Roman" w:eastAsia="Times New Roman" w:hAnsi="Times New Roman"/>
          <w:sz w:val="17"/>
          <w:szCs w:val="17"/>
          <w:color w:val="auto"/>
        </w:rPr>
        <w:t xml:space="preserve">Annual Report on Form 10-K are listed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 symbols, but we will assert, to the fullest extent under 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76" w:right="939" w:bottom="1440" w:gutter="0" w:footer="0" w:header="0"/>
        </w:sectPr>
      </w:pPr>
    </w:p>
    <w:bookmarkStart w:id="3" w:name="page4"/>
    <w:bookmarkEnd w:id="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81" w:lineRule="exact"/>
        <w:rPr>
          <w:sz w:val="20"/>
          <w:szCs w:val="20"/>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6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1" w:lineRule="exact"/>
        <w:rPr>
          <w:rFonts w:ascii="Times New Roman" w:cs="Times New Roman" w:eastAsia="Times New Roman" w:hAnsi="Times New Roman"/>
          <w:sz w:val="18"/>
          <w:szCs w:val="18"/>
          <w:color w:val="auto"/>
        </w:rPr>
      </w:pPr>
    </w:p>
    <w:p>
      <w:pPr>
        <w:ind w:left="760" w:right="4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designing future clinical trials of Haduvio for the treatment of chronic cough in patients with IPF, chronic cough in patients with non-IPF ILD and RCC. Before commencing the trials, we plan to submit the protocols to regulatory authorities to obtain any feedback they may have. Changes in the design of the planned trials or regulatory delays may affect the timing and costs of our planned or ongoing trials and may affect our ability to complete the trials with our existing cash resources.</w:t>
      </w:r>
    </w:p>
    <w:p>
      <w:pPr>
        <w:spacing w:after="0" w:line="85"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of a product candidate may not be predictive of the success of later clinical trials of such product candidate or of clinical trials of such product candidate for different indications. For instance, Haduvio may fail to show the desired safety and efficacy in clinical development despite demonstrating positive results in earlier clinical trials.</w:t>
      </w:r>
    </w:p>
    <w:p>
      <w:pPr>
        <w:spacing w:after="0" w:line="81" w:lineRule="exact"/>
        <w:rPr>
          <w:rFonts w:ascii="Times New Roman" w:cs="Times New Roman" w:eastAsia="Times New Roman" w:hAnsi="Times New Roman"/>
          <w:sz w:val="18"/>
          <w:szCs w:val="18"/>
          <w:color w:val="auto"/>
        </w:rPr>
      </w:pPr>
    </w:p>
    <w:p>
      <w:pPr>
        <w:ind w:left="760" w:right="2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patients in our clinical trials in the past.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with IPF, with chronic cough in non-IPF ILD, and RCC, and patients are generally only able to enroll in a single trial at a time. In addition, many patients use various treatments not specifically approved to treat chronic cough in patients with IPF, chronic cough in patients with non-IPF ILD, and RCC, and these patients and their physicians may be reluctant to forgo, discontinue or otherwise alter their use of such treatments to participate in our clinical trials.</w:t>
      </w:r>
    </w:p>
    <w:p>
      <w:pPr>
        <w:spacing w:after="0" w:line="9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uncertain, which may prevent us from obtaining approvals for the commercialization of Haduvio or any future product candidate on a timely basis or at all.</w:t>
      </w:r>
    </w:p>
    <w:p>
      <w:pPr>
        <w:spacing w:after="0" w:line="81" w:lineRule="exact"/>
        <w:rPr>
          <w:rFonts w:ascii="Times New Roman" w:cs="Times New Roman" w:eastAsia="Times New Roman" w:hAnsi="Times New Roman"/>
          <w:sz w:val="18"/>
          <w:szCs w:val="18"/>
          <w:color w:val="auto"/>
        </w:rPr>
      </w:pPr>
    </w:p>
    <w:p>
      <w:pPr>
        <w:ind w:left="760" w:right="30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candidate.</w:t>
      </w:r>
    </w:p>
    <w:p>
      <w:pPr>
        <w:spacing w:after="0" w:line="45" w:lineRule="exact"/>
        <w:rPr>
          <w:rFonts w:ascii="Times New Roman" w:cs="Times New Roman" w:eastAsia="Times New Roman" w:hAnsi="Times New Roman"/>
          <w:sz w:val="17"/>
          <w:szCs w:val="17"/>
          <w:color w:val="auto"/>
        </w:rPr>
      </w:pPr>
    </w:p>
    <w:p>
      <w:pPr>
        <w:ind w:left="760" w:right="6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spacing w:after="0" w:line="6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mu-opioid products are subject to restrictive marketing and distribution regulations which, if applied to Haduvio, could potentially restrict its use and harm our ability to generate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ind w:left="378" w:right="100" w:hanging="378"/>
        <w:spacing w:after="0" w:line="282"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67"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130" w:lineRule="exact"/>
        <w:rPr>
          <w:rFonts w:ascii="Times New Roman" w:cs="Times New Roman" w:eastAsia="Times New Roman" w:hAnsi="Times New Roman"/>
          <w:sz w:val="18"/>
          <w:szCs w:val="18"/>
          <w:color w:val="auto"/>
        </w:rPr>
      </w:pPr>
    </w:p>
    <w:p>
      <w:pPr>
        <w:ind w:left="378" w:right="14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85" w:lineRule="exact"/>
        <w:rPr>
          <w:rFonts w:ascii="Times New Roman" w:cs="Times New Roman" w:eastAsia="Times New Roman" w:hAnsi="Times New Roman"/>
          <w:sz w:val="18"/>
          <w:szCs w:val="18"/>
          <w:color w:val="auto"/>
        </w:rPr>
      </w:pPr>
    </w:p>
    <w:p>
      <w:pPr>
        <w:jc w:val="both"/>
        <w:ind w:left="378" w:right="120"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81" w:lineRule="exact"/>
        <w:rPr>
          <w:rFonts w:ascii="Times New Roman" w:cs="Times New Roman" w:eastAsia="Times New Roman" w:hAnsi="Times New Roman"/>
          <w:sz w:val="18"/>
          <w:szCs w:val="18"/>
          <w:color w:val="auto"/>
        </w:rPr>
      </w:pPr>
    </w:p>
    <w:p>
      <w:pPr>
        <w:ind w:left="378" w:right="22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85" w:lineRule="exact"/>
        <w:rPr>
          <w:rFonts w:ascii="Times New Roman" w:cs="Times New Roman" w:eastAsia="Times New Roman" w:hAnsi="Times New Roman"/>
          <w:sz w:val="18"/>
          <w:szCs w:val="18"/>
          <w:color w:val="auto"/>
        </w:rPr>
      </w:pPr>
    </w:p>
    <w:p>
      <w:pPr>
        <w:ind w:left="378"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727710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16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4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648"/>
        </w:trPr>
        <w:tc>
          <w:tcPr>
            <w:tcW w:w="11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patients with idiopathic pulmonary fibrosis, or IPF, chronic cough in patients with non-IPF interstitial lung disease, or non-IPF ILD, and refractory chronic cough, or RCC.</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Haduvio acts on the cough reflex arc both centrally and peripherally as a kappa agonist and a mu antagonist, or KAMA. Kappa and mu are opioid receptors that play a key role in controlling cough hypersensitivity. The kappa- and mu-opioid receptors are known to be critical mediators of cough. Nalbuphine has been approved and marketed as an injectable for pain indications for more than 30 years in the United States, or the U.S., and Europe. Nalbuphine’s mechanism of action also potentially mitigates the risk of abuse associated with mu-opioid agonists because it antagonizes, or blocks, the mu-opioid receptor. Parenteral nalbuphine is not scheduled as a controlled substance in the U.S. and most of Europe. We believe this makes Haduvio a promising potential therapy for the treatment of chronic cough in patients with IPF, chronic cough in patients with non-IPF ILD, and RCC.</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Chronic Cough in Patients with IPF Program. </w:t>
      </w:r>
      <w:r>
        <w:rPr>
          <w:rFonts w:ascii="Times New Roman" w:cs="Times New Roman" w:eastAsia="Times New Roman" w:hAnsi="Times New Roman"/>
          <w:sz w:val="18"/>
          <w:szCs w:val="18"/>
          <w:color w:val="auto"/>
        </w:rPr>
        <w:t>IPF is a rare, chronic, progressive lung disease, characterized by scarring and thickening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tissue leading to a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may be an independent predictor of disease progression in IPF, and therefore we believe cough may contribute to the progression of the underlying disease.</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There are no approved therapies for the treatment of chronic cough in patients with IPF.</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previously announced positive data from our Phase 2 clinical trial of Haduvio for the treatment of chronic cough in patients with IPF, which we refer to as the Phase 2 CANAL trial. The Phase 2 CANAL trial was a randomized, double-blind, placebo controlled, two-treatment, two-period, crossover study that was designed to evaluate the efficacy, safety, tolerability and dosing of Haduvio for chronic cough in patients with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conducting our Phase 2b CORAL clinical trial, which is a dose-ranging study evaluating the efficacy, safety and tolerability of Haduvio for chronic cough in patients with IPF. This trial is being conducted at multiple sites in ten countries and uses a randomized, double-blind, placebo-controlled, parallel-arm design, which evaluates three doses of Haduvio as compared to placebo. The primary efficacy endpoint for the trial is the relative change in 24-hour cough frequency at the end of week six versus baseline for Haduvio compared to placebo, as measured by an objective cough monitor. The protocol for the Phase 2b CORAL clinical trial provided for a sample size re-estimation, or SSRE, analysis once approximately 50% of the patients in the trial were evaluable for the primary endpoint. In December 2024, we announced that this analysis resulted in no change to the targeted 160 patient sample size for the trial. We completed enrollment of the trial in February 2025 and expect to announce topline results in the second quarter of 2025.</w:t>
      </w:r>
    </w:p>
    <w:p>
      <w:pPr>
        <w:spacing w:after="0" w:line="8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also conducting a Phase 1b study that we refer to as TIDAL, which will evaluate the effect of Haduvio on respiratory physiology in patients with IPF. TIDAL is a two-part in-clinic study which is expected to enroll up to approximately 25 patients in the U.K. and U.S. The goal of this study is to evaluate the effect of Haduvio on respiratory physiology in patients with IPF of varying disease severity. We expect to use the data from the study to help define the patient population for any Phase 3 clinical trials that we may conduct in chronic cough in patients with IPF.</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expect to request an end of Phase 2 meeting with the FDA in 2025 and to initiate a Phase 3 program, which we expect will include two clinical trials, in the first half of 2026, subject to the results of the Phase 2b CORAL clinical trial.</w:t>
      </w:r>
    </w:p>
    <w:p>
      <w:pPr>
        <w:spacing w:after="0" w:line="5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Chronic Cough in Patients with non-IPF ILD Program. </w:t>
      </w:r>
      <w:r>
        <w:rPr>
          <w:rFonts w:ascii="Times New Roman" w:cs="Times New Roman" w:eastAsia="Times New Roman" w:hAnsi="Times New Roman"/>
          <w:sz w:val="18"/>
          <w:szCs w:val="18"/>
          <w:color w:val="auto"/>
        </w:rPr>
        <w:t>Similar to IPF, non-IPF ILDs are characterized by scarring and thickening of lung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to a loss of lung function and reduced life expectancy. Many patients diagnosed with non-IPF ILD suffer from a dry, non-productive chronic cough that is as disruptive as the cough associated with IPF. Cough</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7" w:name="page8"/>
    <w:bookmarkEnd w:id="7"/>
    <w:p>
      <w:pPr>
        <w:ind w:right="720"/>
        <w:spacing w:after="0" w:line="282" w:lineRule="auto"/>
        <w:rPr>
          <w:sz w:val="20"/>
          <w:szCs w:val="20"/>
          <w:color w:val="auto"/>
        </w:rPr>
      </w:pPr>
      <w:r>
        <w:rPr>
          <w:rFonts w:ascii="Times New Roman" w:cs="Times New Roman" w:eastAsia="Times New Roman" w:hAnsi="Times New Roman"/>
          <w:sz w:val="18"/>
          <w:szCs w:val="18"/>
          <w:color w:val="auto"/>
        </w:rPr>
        <w:t>may be an independent predictor of disease progression in non-IPF ILDs, and therefore we believe cough may contribute to the progression of the underlying disease and worsening health outcomes.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ILDs other than IPF. In addition, up to 60%-70% of non-IPF ILD patients are reported to suffer from chronic cough. There are no approved therapies for the treatment of chronic cough in patients with non-IPF ILD. We are currently planning this trial, including determining the population of non-IPF ILD patients who have cough hypersensitivity and may be appropriate for this trial. Assuming positive data from the Phase 2b CORAL clinical trial, we plan to conduct a Phase 2 clinical trial for such patients with non-IPF ILD, subject to discussions with Health Authorities.</w:t>
      </w:r>
    </w:p>
    <w:p>
      <w:pPr>
        <w:spacing w:after="0" w:line="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RCC Program. </w:t>
      </w:r>
      <w:r>
        <w:rPr>
          <w:rFonts w:ascii="Times New Roman" w:cs="Times New Roman" w:eastAsia="Times New Roman" w:hAnsi="Times New Roman"/>
          <w:sz w:val="18"/>
          <w:szCs w:val="18"/>
          <w:color w:val="auto"/>
        </w:rPr>
        <w:t>Chronic cough affects up to 10% of the adult population and is defined as a persistent cough lasting more than eight weeks, despite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for an underlying condition. RCC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When a cause for RCC is identifiable, it is most commonly asthma, gastroesophageal reflux disease, or GERD, non-asthmatic eosinophilic bronchitis, and upper airway cough syndrome or post-nasal drip. The RCC population is generally considered to also include those with unexplained chronic cough where no cough-associated conditions can be identified.</w:t>
      </w:r>
    </w:p>
    <w:p>
      <w:pPr>
        <w:spacing w:after="0" w:line="7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We conducted this trial at multiple sites in the United Kingdom and Canada. In total, 66 patients in the trial received Haduvio. The primary endpoint of the trial was the mean change in 24-hour cough frequency, as determined by an objective cough monitor, for the full analysis set population at Day 21. The full analysis set population included all patients who received at least one dose of study drug and have objective cough count data on both Baseline and Day 21 in at least one treatment period (N=59). In the trial, Haduvio met the primary endpoint with a statistically significant reduction in the objective 24-hour cough frequency of 67% from baseline and 57% on a placebo-adjusted basis (p&lt;0.0001). Patient reported and other secondary outcomes reported in the top-line data were statistically significant and consistent with the primary endpoint. Haduvio demonstrated a statistically significant reduction for the secondary endpoint of reduction in 24-hour cough frequency in two pre-specified subgroups: patients who coughed 10-19 times/hour (moderate 24-hour cough frequency) (p&lt;0.0001), and patients who coughed 20 or greater times/hour (severe 24-hour cough frequency) (p&lt;0.0001). The safety results of the trial were generally consistent with the known safety profile of Haduvio from previous trials in other patient populations and there were no serious adverse events reported in the trial.</w:t>
      </w:r>
    </w:p>
    <w:p>
      <w:pPr>
        <w:spacing w:after="0" w:line="8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in the process of designing our next planned trial of Haduvio in patients with RCC. We expect the objectives for the trial will be to determine the dose response and to select doses to be evaluated in a pivotal clinical trial of Haduvio in patients with RCC as well as to further characterize the safety in this specific patient population. Based on these results, we plan to discuss next steps with the FDA and anticipate initiating the next trial after we receive their input.</w:t>
      </w:r>
    </w:p>
    <w:p>
      <w:pPr>
        <w:spacing w:after="0" w:line="7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In December 2024, we announced positive topline results from our human abuse potential, or HAP, study, which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abuse potential of an oral solution of nalbuphine to intravenous, or IV, butorphanol. The injectable version of nalbuphine is currently unscheduled in the U.S. by the Drug Enforcement Agency. The study was a randomized, double-blind, active and placebo-controlled five-way crossover design. The study was conducted in two parts. The first part of the study characterized various IV butorphanol doses in order to select a dose to be studied. The second part of the study was designed to compare oral nalbuphine relative to the selected dose of IV butorphanol using various likeability endpoints. The study demonstrated a statistically significant lower "Drug Liking" for the clinical doses of oral nalbuphine (81mg and 162mg) compared to 6mg IV butorphanol. The supratherapeutic dose of oral nalbuphine (486mg) was numerically lower than the 6mg IV butorphanol for “Drug Liking” but the results were not statistically significant. Secondary endpoints included pharmacodynamic markers and patient reported outcomes, which were generally consistent with the primary endpoint. No serious adverse events, or SAEs, were reported in the study.</w:t>
      </w:r>
    </w:p>
    <w:p>
      <w:pPr>
        <w:spacing w:after="0" w:line="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Commercialization of Haduvio. </w:t>
      </w:r>
      <w:r>
        <w:rPr>
          <w:rFonts w:ascii="Times New Roman" w:cs="Times New Roman" w:eastAsia="Times New Roman" w:hAnsi="Times New Roman"/>
          <w:sz w:val="18"/>
          <w:szCs w:val="18"/>
          <w:color w:val="auto"/>
        </w:rPr>
        <w:t>We have retained worldwide commercial rights for Haduvio. If Haduvio were to receive marketing approval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for the treatment of chronic cough in patients with IPF or chronic cough in patients with non-IPF ILD, we would plan to market and commercialize Haduvio in the U.S. with our own focused, specialty sales force, which would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targeting pulmonologists and other specialists, such as allergists, who treat RCC patients who have failed standard of care or other chronic cough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 w:name="page9"/>
    <w:bookmarkEnd w:id="8"/>
    <w:p>
      <w:pPr>
        <w:ind w:right="1020"/>
        <w:spacing w:after="0" w:line="282" w:lineRule="auto"/>
        <w:rPr>
          <w:sz w:val="20"/>
          <w:szCs w:val="20"/>
          <w:color w:val="auto"/>
        </w:rPr>
      </w:pPr>
      <w:r>
        <w:rPr>
          <w:rFonts w:ascii="Times New Roman" w:cs="Times New Roman" w:eastAsia="Times New Roman" w:hAnsi="Times New Roman"/>
          <w:sz w:val="18"/>
          <w:szCs w:val="18"/>
          <w:color w:val="auto"/>
        </w:rPr>
        <w:t>therapies. We also expect to utilize a variety of collaboration, distribution and other marketing arrangements with one or more third parties to commercialize Haduvio outside the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Haduvio for the treatment of chronic cough in patients with IPF, chronic cough in patients with non-IPF ILD, and RCC. The key elements of our strategy are:</w:t>
      </w:r>
    </w:p>
    <w:p>
      <w:pPr>
        <w:spacing w:after="0" w:line="50"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Complete the clinical development of Haduvio for the treatment of chronic cough in patients with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Haduvio for the treatment of chronic cough in patients with non-IPF ILD.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Complete the clinical development of Haduvio for the treatment of patients with RCC.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Maximize the commercial potential of Haduvio.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Nalbuphine Mechanistic Rationale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Nalbuphine is a mixed kappa-opioid receptor agonist and mu-opioid receptor antagonist. Drugs targeting opioid receptors have been studied for decades and the biology and pharmacology of these receptors are well-understood. There are three types of opioid receptors, mu, kappa and delta, which are expressed in varying concentrations in many different tissues, including the central and peripheral nervous systems, airway and lung tissue, circulating immune and inflammatory cells and the skin.</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Modulation of opioid receptors,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kappa-receptor activation on specific cells can antagonize mu-opioid receptor activation on other cells. As a result of these apparent network interaction dynamics between the kappa- and mu-opioid receptors, we believe that simultaneously modulating both kappa- and mu-opioid receptors with a single drug offers significant therapeutic potential in diseases that are mediated through these receptors.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Published research suggests that in certain diseases the concentration and expression of opioid receptors is different for people with the disease as compared to healthy individuals.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shown in the diagram below, kappa- and mu-opioid receptors are naturally concentrated in several areas of the body, including in the brain, brain stem, spinal cord, peripheral nerves, and lungs, which are the areas of the body involved in the physiology of chronic cough.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817245</wp:posOffset>
            </wp:positionV>
            <wp:extent cx="5674995" cy="271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7499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With respect to cough, kappa- and mu-opioid receptors in the brain stem, lungs and the peripheral lung nerves are believed to be involved in mediating respiration and the cough reflex. While there are no approved opioid therapeutics for suppression of cough in humans, mu-agonist opioids have been used clinically to suppress cough.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Haduvio</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a small molecule and a member of the opioid mixed agonist-antagonist class of drugs. Nalbuphine acts as an agonist at the opioid kappa-receptor while competitively antagonizing the mu-opioid receptor. Nalbuphine is a marketed drug currently available only as nalbuphine hydrochloride for injection, a generic equivalent to Nubain, which has been approved in the U.S. and Europe for use in the relief of moderate to severe pain for more than 30 years. Nalbuphine is not currently classified as a controlled substance in the U.S. or most of Europe and is not commercially available in an oral dosage form.</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leveraged the known mechanism and proven biological activity of nalbuphine in pain to expedite the clinical development of Haduvio. We have also drawn on the safety and tolerability data from eight prior clinical trials of Haduvio conducted by Penwest Pharmaceuticals Co., or Penwest, for which we have licensed rights from Endo Pharmaceuticals Inc. (which acquired Penwest), including two Phase 2 clinical trials of Haduvio for the treatment of pain, to support our clinical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Haduvio Development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Cough in Patients with IPF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IPF is a rare, chronic, progressive lung disease, characterized by scarring and thickening of lung tissue leading to a loss of lung function and reduced life expectancy. Most patients diagnosed with IPF suffer from a dry, non-productive chronic cough that interrupts their daily living and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IPF. In addition, up to 85% of IPF patients are reported to suffer from chronic cough. These patients can cough up to 1,500 times per day and the urge to cough cannot be relieved by coughing. This severe coughing can lead to other morbidities. There are no approved therapies for the treatment of chronic cough in patients suffering with IPF.</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opioid class of drugs has demonstrated the ability to suppress cough and is used in the clinical management of cough. There is also preclinical and clinical evidence that mixed agonist-antagonist drugs can also be effective in treating cough.</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the results of our Phase 2 CANAL trial and after discussions with regulatory authorities, we initiated and have since completed enrollment in our Phase 2b CORAL trial of Haduvio for chronic cough in patients with IPF. We expect to announce topline results in the second quarter of 2025. We are also conducting our Phase 1b TIDAL respiratory physiology study to evaluate the effect of Haduvio on respiratory physiology in patients with IPF of varying disease severity. We expect to use the data from the study to help define the patient population for any Phase 3 clinical trials that we may conduct in chronic cough in patients with IPF.</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Ongoing Phase 2b CORAL Clinical Trial</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Phase 2b CORAL clinical trial is a double-blind, randomized, placebo-controlled, parallel-arm trial evaluating three doses of Haduvio (27mg, 54mg and 108mg twice daily) against placebo in IPF patients with chronic cough. This trial is being conducted at multiple sites in ten countries. Patients with chronic cough are randomized 1:1:1:1 to one of the three Haduvio doses or placebo for a period of six weeks, which includes an initial two-week titration to the target dose followed by four weeks of fixed dose administration. The primary efficacy endpoint for the trial is the relative change in 24-hour cough frequency at the end of week six versus baseline for Haduvio compared to placebo, as measured via an objective cough monitor. The trial will also explore secondary endpoints, including patient reported outcome measures for cough, dyspnea, and quality of life. The protocol for the Phase 2b CORAL clinical trial provided for a sample size re-estimation, or SSRE, analysis once approximately 50% of the patients in the trial were evaluable for the primary endpoint. In this analysis, an unblinded statistician outside of our company evaluated the conditional power for the high dose of the trial and determined that no change to the targeted sample size for the trial be made. We completed enrollment of the trial in February 2025 and expect to announce topline results in the second quarter of 2025.</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Ongoing Phase 1 Respiratory Physiology Clinical Study</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Phase 1b TIDAL study is a randomized, single-blind, placebo-controlled study evaluating the effect of Haduvio on respiratory physiology in patients with IPF. TIDAL is a two-part in-clinic study which is expected to enroll up to approximately 25 patients who will be in-patient for ten days in the U.K. and U.S. The primary endpoint of the study is the effect of escalating doses of Haduvio on respiratory function. Secondary endpoints of additional respiratory functions will also be measured. The goal of this study is to evaluate the effect of Haduvio on respiratory physiology in patients with IPF of varying disease severity. We expect to use the data from the study to help define the patient population for any Phase 3 clinical trials that we may conduct in chronic cough in patients with IPF.</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Next Steps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need to conduct a Phase 3 program, which we expect will include two clinical trials, to support the submission of an NDA to the FDA and other regulatory authorities for Haduvio for the treatment of chronic cough in patients with IPF. We expect to request an end of Phase 2 meeting with the FDA in 2025 and initiate our Phase 3 program in the first half of 2026, subject to the results of the Phase 2b CORAL clinical trial.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Phase 2a CANAL Clinical Trial</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previously announced positive data from our Phase 2a CANAL trial. The Phase 2a CANAL trial was a randomized, double-blind, placebo-controlled, two-treatment, two-period, crossover study that was designed to evaluate the efficacy, safety, and tolerability of Haduvio for chronic cough in patients with IPF that we conducted at multiple sites in the United Kingdom. Patients were randomized into one of two treatment arms. The patients in the first treatment arm received escalating doses of Haduvio for three weeks, which was followed by a two-week washout period and then a three-week treatment period during which they received placebo. The patients in the second treatment arm received placebo during the first three-week treatment period, followed by a two-week washout period, then received escalating doses of Haduvio during the second three-week treatment period. During the active treatment periods, Haduvio was studied over a dosing range starting at 27 mg once daily and titrated in steps to 162 mg twice daily. The primary efficacy endpoint of the trial was mean percent change in daytime cough frequency for Haduvio treatment compared to placebo treatment. Secondary endpoints in the trial included assessments of fatigue, dyspnea or shortness of breath and cough frequency and severity.</w:t>
      </w:r>
    </w:p>
    <w:p>
      <w:pPr>
        <w:spacing w:after="0" w:line="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total, 42 patients in the trial received Haduvio. In the full analysis data set, Haduvio demonstrated statistically significant results for the primary efficacy endpoint of daytime cough frequency reduction (p&lt;0.0001) and for key secondary endpoints on patient and clinician reported outcomes. The trial results comparing patients randomized to Haduvio or placebo showed that:</w:t>
      </w:r>
    </w:p>
    <w:p>
      <w:pPr>
        <w:spacing w:after="0" w:line="68" w:lineRule="exact"/>
        <w:rPr>
          <w:sz w:val="20"/>
          <w:szCs w:val="20"/>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primary efficacy endpoint, Haduvio patients had a 75.1% reduction in daytime cough frequency at end of treatment period vs. study baseline compared to placebo patients who had a 22.6% reduction, a 52.5% placebo-adjusted change (p&lt;0.0001);</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11" w:name="page12"/>
    <w:bookmarkEnd w:id="11"/>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had a 76.1% reduction in 24-hour cough frequency at end of treatment period vs. study baseline compared to placebo patients who had a 25.3% reduction, a 50.8% placebo-adjusted change (p&lt;0.0001);</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post-hoc analysis, 97% of Haduvio patients had at least a 30% reduction in 24-hour cough frequency compared to 35% of placebo patients, signifying a clinically meaningful reduction in cough (p&lt;0.0001);</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on Haduvio experienced a statistically significant improvement as measured by their patient reported outcomes compared to placebo over the three-week treatment period in the EXACT2: Cough Frequency Score (p=0.001) and Cough Severity Numerical Rating Scale (p=0.0001);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Clinical Global Impression of Change rating measuring clinicians’ view of change since the start of the trial, 62% of Haduvio patients improved vs. baseline compared to 19% of placebo patients (p=0.01).</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safety results of the trial were generally consistent with the known safety profile of Haduvio from previous trials in other patient populations. There were two SAEs reported during the trial, neither of which was considered by the investigator to be treatment related. Adverse events most commonly observed during the trial were nausea, fatigue, constipation, dizziness, somnolence, vomiting, headache, anxiety and depression.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Chronic Cough in Patients with Non-IPF ILD Program</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Similar to IPF, non-IPF ILDs are characterized by scarring and thickening of lung tissue leading to a loss of lung function and reduced life expectancy. Many patients diagnosed with non-IPF ILD suffer from a dry, non-productive chronic cough that is as disruptive as the cough associated with IPF. Cough may be an independent predictor of disease progression in non-IPF ILDs, and therefore we believe cough may contribute to the progression of the underlying disease and worsening health outcomes.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Approximately 140,000 adults in the U.S. and greater than 1 million adults worldwide are believed to have ILDs other than IPF. In addition, up to 60%-70% of non-IPF ILD patients are reported to suffer from chronic cough. There are no approved therapies for the treatment of chronic cough in patients with non-IPF ILD. We are currently planning this trial, including determining the population of non-IPF ILD patients who have cough hypersensitivity and may be appropriate for this trial. Assuming positive data from the Phase 2b CORAL clinical trial, we plan to conduct a Phase 2 clinical trial for such patients with non-IPF ILD, subject to discussions with Health Authorities.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RCC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Chronic cough affects up to 10% of the adult population and is defined as a persistent cough lasting more than eight weeks, despite treatment for an underlying condition. RCC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When a cause for RCC is identifiable, it is most commonly asthma, gastroesophageal reflux disease, or GERD, non-asthmatic eosinophilic bronchitis, and upper airway cough syndrome or post-nasal drip. The RCC population is generally considered to also include those with unexplained chronic cough where no cough-associated conditions can be identified.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and safety, tolerability and dosing of Haduvio for the treatment of patients with RCC. Each treatment period lasted 21 days, separated by a 21-day washout period, and patients on Haduvio had their dose titrated from 27 mg once a day (QD) up to 108 mg twice a day (BID) across the 21-day dosing period. We conducted this trial at multiple sites in the United Kingdom and Canada. The primary endpoint of the study was a mean change in 24-hour cough frequency using an objective cough monitor in the overall population.</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total, 66 patients received Haduvio. In the full analysis data set, Haduvio demonstrated statistically significant results for the primary endpoint of 24-hour cough frequency reduction (p&lt;0.0001) and for secondary endpoints on patient and clinician reported outcomes. The trial results comparing patients randomized to Haduvio or placebo showed that:</w:t>
      </w:r>
    </w:p>
    <w:p>
      <w:pPr>
        <w:spacing w:after="0" w:line="68" w:lineRule="exact"/>
        <w:rPr>
          <w:sz w:val="20"/>
          <w:szCs w:val="20"/>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primary endpoint, Haduvio patients had a 67% reduction in 24-hour cough frequency at end of treatment period compared to placebo patients who had a 10% reduction, with a 57% placebo-adjusted change from baseline (p&lt;0.0001);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 w:name="page13"/>
    <w:bookmarkEnd w:id="12"/>
    <w:p>
      <w:pPr>
        <w:ind w:left="1020" w:right="5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demonstrated a statistically significant reduction in 24-hour cough frequency of 66% in the severe cough (20+ coughs/hour) subgroup (N=40) (p&lt;0.0001) and 68% in the moderate cough (10-19 coughs/hour) subgroup (N=13) (p&lt;0.0001);</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of Haduvio patients had at least a 30% reduction in 24-hour cough frequency vs. baseline, as compared to 29% of placebo patients, a difference of 55% (p&lt;0.0001);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reduction in 24-hour cough frequency, as measured by an objective cough monitor, was seen as early as Day 7 (27 mg BID) for patients on Haduvio (p&lt;0.0001).</w:t>
      </w:r>
    </w:p>
    <w:p>
      <w:pPr>
        <w:spacing w:after="0" w:line="2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Patients on Haduvio experienced a statistically significant improvement in patient reported outcomes compared to placebo as early as Day 7 (27 mg BID) in the Cough Severity Visual Analog Scale and the Patient-Reported Cough Frequency. The safety results of the trial were generally consistent with the known safety profile of Haduvio from previous trials in other patient populations. Adverse events most commonly observed during the trial were constipation, nausea, somnolence, headache, dizziness and fatigue and there were no treatment emergent SAEs.</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Next Steps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in the process of designing our next planned trial of Haduvio in patients with RCC. We expect the objectives for the next trial will be to determine the dose response and to select doses to be evaluated in a pivotal clinical trial of Haduvio in patients with RCC as well as to further characterize the safety in this specific patient population. Based on these results, we plan to discuss next steps with the FDA and anticipate initiating the next trial after we receive their input.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Prurigo Nodularis Program</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Prurigo nodularis can arise from itch caused by a number of pre-existing conditions, with the initial scratching beginning a vicious itch-scratch cycle that results in the nodules that are characteristic of the distinct and separate disease of prurigo nodularis.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there are approximately 300,000 prurigo nodularis patients in the U.S. and approximately 430,000 additional prurigo nodularis patients outside the U.S. Treatment of patients with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 approved for the treatment of seizures and neuropathic pain, and Dupixent (dupilumab), an injectable prescription medicine, which was approved by the FDA for the treatment of prurigo nodularis in September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conducted a Phase 2 clinical trial and an open-label extension study of Haduvio in pruritus in patients with prurigo nodularis and a Phase 2b/3 clinical trial and an open-label extension study of Haduvio in patients with prurigo nodularis.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Phase 2b/3 PRISM Clinical Trial</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previously reported positive results in our Phase 2b/3 PRISM trial evaluating the safety and efficacy of Haduvio as compared to placebo in patients with pruritus associated with prurigo nodularis. The trial was a multicenter, randomized, double-blind trial conducted at approximately 70 sites in the U.S. and Europe. The trial enrolled a total of 353 adult patients who had prurigo nodularis. The patients were randomized across two treatment arms: either 162 mg of Haduvio or placebo, each administered twice daily. There were two dosing periods in the trial, both of which were blinded: an initial two-week titration period during which patients received gradually increasing doses of Haduvio or placebo, reaching the final assigned dose on day 15; followed by a 12-week fixed-dosing period. Following the initial 14-week treatment period, patients continued into another two-week blinded titration period during which patients from the placebo arm crossed over to active drug with a standard escalating titration schedule, while patients from the Haduvio arm remained at a stable dose of 162 mg twice daily. This blinded two-week period was followed by an open label extension providing for 36 weeks of stable dosing at 162 mg twice daily of Haduvio for all participants. The open label extension concluded with a final two-week off-treatment washout and safety observation period for all patients.</w:t>
      </w:r>
    </w:p>
    <w:p>
      <w:pPr>
        <w:spacing w:after="0" w:line="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primary endpoint of the trial was the proportion of patients reporting at least a four point improvement from baseline to with respect to their worst itch at week 14 as measured by WI-NRS scores. Key secondary endpoints include the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13" w:name="page14"/>
    <w:bookmarkEnd w:id="13"/>
    <w:p>
      <w:pPr>
        <w:ind w:right="140"/>
        <w:spacing w:after="0" w:line="261" w:lineRule="auto"/>
        <w:rPr>
          <w:sz w:val="20"/>
          <w:szCs w:val="20"/>
          <w:color w:val="auto"/>
        </w:rPr>
      </w:pPr>
      <w:r>
        <w:rPr>
          <w:rFonts w:ascii="Times New Roman" w:cs="Times New Roman" w:eastAsia="Times New Roman" w:hAnsi="Times New Roman"/>
          <w:sz w:val="18"/>
          <w:szCs w:val="18"/>
          <w:color w:val="auto"/>
        </w:rPr>
        <w:t>mean changes from baseline to week 14 in WI-NRS scores and ItchyQoL scores and the differences in percentage of patients have a one category improvement in the percentage of pruriginous lesions with excoriations or crusts on the PAS at week 14. WI-NRS scores are patient-reported assessments on an 11-point scale from zero to 10 of the severity of the worst itch experienced in the last 24 hours. ItchyQoL scores are used to measure how pruritus impacts a patient’s quality of life.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Efficacy Results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Phase 2b/3 PRISM trial, Haduvio demonstrated statistically significant results on the primary and all three key secondary endpoints. The trial results comparing patients randomized to Haduvio (n=168) or placebo (n=176) showed that:</w:t>
      </w:r>
    </w:p>
    <w:p>
      <w:pPr>
        <w:spacing w:after="0" w:line="54" w:lineRule="exact"/>
        <w:rPr>
          <w:sz w:val="20"/>
          <w:szCs w:val="20"/>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Haduvio patients evaluated at week 14 met the primary endpoint of a four point reduction in WI-NRS from baseline compared to 14% of placebo patients (p=0.0157);</w:t>
      </w:r>
    </w:p>
    <w:p>
      <w:pPr>
        <w:spacing w:after="0" w:line="53"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experienced significantly greater improvements in ItchyQoL vs. placebo (p=0.0002) at week 14, which was statistically significant across each of the three domains (symptoms, functional limitations, and emotions). ItchyQoL is used to measure how pruritus impacts a subject’s quality of life;</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Haduvio patients had at least a one category improvement in the five point scale in their Prurigo Activity Scale (PAS) (pruriginous lesions with excoriations), vs. 38% on placebo (p=0.006) as evaluated at week 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patients experienced significantly greater improvements in PROMIS sleep disturbance short form 8a vs. placebo (p=0.0002) at week 14, which was statistically significant as early as week six.</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Safety Results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Phase 2b/3 PRISM trial, the safety results were generally consistent with the known safety profile of Haduvio from previous trials. During the double-blind titration period (weeks one to two), treatment-emergent adverse events, or TEAE, were more common in the Haduvio-treated patients (66.1%) vs. placebo-treated patients (31.3%). During the 12-week fixed-dose period, the occurrence of TEAEs were generally similar between Haduvio and placebo groups (48% Haduvio, 45% placebo). Discontinuations during the 14 weeks of the trial were 36.9% in Haduvio-treated patients vs. 19.3% in placebo-treated patients. During the 14-week double-blind portion of the Phase 2b/3 PRISM trial, eight patients on Haduvio and six patients on placebo experienced at least one treatment emergent SAE. None of the SAEs were considered by the investigator to be treatment-related. Adverse events most commonly observed with Haduvio were nausea, dizziness, headache, and constipation.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Open-Label Extension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completed an open-label extension study of our Phase 2b/3 PRISM clinical trial in the first quarter of 2023. Patients who completed the initial 14-week portion of the Phase 2b/3 PRISM clinical trial were able to enroll in the 38-week open-label extension study during which all participants received Haduvio 162mg twice a day (BID). Haduvio was well-tolerated in the open label extension study. Results from post hoc analyses demonstrated continued reduction in mean WI-NRS for those participants who remained on Haduvio through 52 weeks. Adverse events reported with a frequency greater than five percent in the 38-week open-label period included nausea, dizziness, vomiting, fatigue, and somnolence. Study discontinuation due to adverse events occurred in 13% of patients during the open-label period, and SAEs were reported for 13 patients, although only two of these events were considered potentially treatment related. There were no deaths reported in the study.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Next Steps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expect that we would need to conduct an additional Phase 3 clinical trial to support the submission of an NDA to the FDA and other regulatory authorities for Haduvio for the treatment of patients with prurigo nodularis. We have paused further development in this indication due to our strategy to focus on chronic cough.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Haduvio Development Work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Human Abuse Potential Study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2024, we announced positive topline results from our human abuse potential, or HAP, study which compared the abuse potential of oral nalbuphine to IV butorphanol. The injectable version of nalbuphine is currently unscheduled in the U.S. by the Drug Enforcement Agency. The study was a randomized, double-blind, active and placebo-controlled five-way crossover design. The study was conducted in two parts. The first part of the study characterized various IV butorphanol doses in order to select a dose to be studied. The second part of the study was designed to utilize the selected dose and compare oral nalbuphine relative to IV butorphanol using the study metrics. The study demonstrated a statistically significant lower "Drug Liking" for the clinical doses of oral nalbuphine (81mg and 162mg) compared to 6mg IV butorphanol. The supratherapeutic dose of oral nalbuphine (486mg) was numerically lower than the 6mg IV butorphanol for “Drug Liking” but the results were not statistically significant.</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Primary Endpoint*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IV butorphanol</w:t>
            </w:r>
          </w:p>
        </w:tc>
        <w:tc>
          <w:tcPr>
            <w:tcW w:w="1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Oral nalbuphine</w:t>
            </w:r>
          </w:p>
        </w:tc>
        <w:tc>
          <w:tcPr>
            <w:tcW w:w="100" w:type="dxa"/>
            <w:vAlign w:val="bottom"/>
          </w:tcPr>
          <w:p>
            <w:pPr>
              <w:spacing w:after="0"/>
              <w:rPr>
                <w:sz w:val="17"/>
                <w:szCs w:val="17"/>
                <w:color w:val="auto"/>
              </w:rPr>
            </w:pPr>
          </w:p>
        </w:tc>
        <w:tc>
          <w:tcPr>
            <w:tcW w:w="14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Oral nalbuphine</w:t>
            </w:r>
          </w:p>
        </w:tc>
        <w:tc>
          <w:tcPr>
            <w:tcW w:w="10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Oral nalbuphine</w:t>
            </w:r>
          </w:p>
        </w:tc>
      </w:tr>
      <w:tr>
        <w:trPr>
          <w:trHeight w:val="212"/>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6mg</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81mg</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162mg</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486mg</w:t>
            </w:r>
          </w:p>
        </w:tc>
      </w:tr>
      <w:tr>
        <w:trPr>
          <w:trHeight w:val="216"/>
        </w:trPr>
        <w:tc>
          <w:tcPr>
            <w:tcW w:w="3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(N=52)</w:t>
            </w:r>
          </w:p>
        </w:tc>
      </w:tr>
      <w:tr>
        <w:trPr>
          <w:trHeight w:val="202"/>
        </w:trPr>
        <w:tc>
          <w:tcPr>
            <w:tcW w:w="3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Mean E</w:t>
            </w:r>
            <w:r>
              <w:rPr>
                <w:rFonts w:ascii="Times New Roman" w:cs="Times New Roman" w:eastAsia="Times New Roman" w:hAnsi="Times New Roman"/>
                <w:sz w:val="10"/>
                <w:szCs w:val="10"/>
                <w:color w:val="auto"/>
              </w:rPr>
              <w:t>max</w:t>
            </w:r>
            <w:r>
              <w:rPr>
                <w:rFonts w:ascii="Times New Roman" w:cs="Times New Roman" w:eastAsia="Times New Roman" w:hAnsi="Times New Roman"/>
                <w:sz w:val="16"/>
                <w:szCs w:val="16"/>
                <w:color w:val="auto"/>
              </w:rPr>
              <w:t xml:space="preserve"> for "Drug Liking"</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81.1</w:t>
            </w:r>
          </w:p>
        </w:tc>
      </w:tr>
      <w:tr>
        <w:trPr>
          <w:trHeight w:val="202"/>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P-value difference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vs IV butorphanol 6mg</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p=0.0008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p=0.3221</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analyses performed were on the Modified Completer Population</w:t>
      </w:r>
      <w:r>
        <w:rPr>
          <w:rFonts w:ascii="Calibri" w:cs="Calibri" w:eastAsia="Calibri" w:hAnsi="Calibri"/>
          <w:sz w:val="14"/>
          <w:szCs w:val="14"/>
          <w:color w:val="auto"/>
        </w:rPr>
        <w:t>,</w:t>
      </w:r>
      <w:r>
        <w:rPr>
          <w:rFonts w:ascii="Times New Roman" w:cs="Times New Roman" w:eastAsia="Times New Roman" w:hAnsi="Times New Roman"/>
          <w:sz w:val="16"/>
          <w:szCs w:val="16"/>
          <w:color w:val="auto"/>
        </w:rPr>
        <w:t xml:space="preserve"> which was prespecified in the statistical analysis plan for the primary endpoint.</w:t>
      </w:r>
    </w:p>
    <w:p>
      <w:pPr>
        <w:spacing w:after="0" w:line="11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Secondary endpoints included pharmacodynamic markers and patient reported outcomes, which were generally consistent with the primary endpoint. No SAEs were reported in the study.</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Secondary Endpoints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IV butorphanol</w:t>
            </w:r>
          </w:p>
        </w:tc>
        <w:tc>
          <w:tcPr>
            <w:tcW w:w="100" w:type="dxa"/>
            <w:vAlign w:val="bottom"/>
          </w:tcPr>
          <w:p>
            <w:pPr>
              <w:spacing w:after="0"/>
              <w:rPr>
                <w:sz w:val="18"/>
                <w:szCs w:val="18"/>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Oral nalbuphine</w:t>
            </w:r>
          </w:p>
        </w:tc>
        <w:tc>
          <w:tcPr>
            <w:tcW w:w="100" w:type="dxa"/>
            <w:vAlign w:val="bottom"/>
          </w:tcPr>
          <w:p>
            <w:pPr>
              <w:spacing w:after="0"/>
              <w:rPr>
                <w:sz w:val="18"/>
                <w:szCs w:val="18"/>
                <w:color w:val="auto"/>
              </w:rPr>
            </w:pPr>
          </w:p>
        </w:tc>
        <w:tc>
          <w:tcPr>
            <w:tcW w:w="14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Oral nalbuphine</w:t>
            </w:r>
          </w:p>
        </w:tc>
        <w:tc>
          <w:tcPr>
            <w:tcW w:w="100" w:type="dxa"/>
            <w:vAlign w:val="bottom"/>
          </w:tcPr>
          <w:p>
            <w:pPr>
              <w:spacing w:after="0"/>
              <w:rPr>
                <w:sz w:val="18"/>
                <w:szCs w:val="18"/>
                <w:color w:val="auto"/>
              </w:rPr>
            </w:pPr>
          </w:p>
        </w:tc>
        <w:tc>
          <w:tcPr>
            <w:tcW w:w="15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Oral nalbuphine</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6mg</w:t>
            </w:r>
          </w:p>
        </w:tc>
        <w:tc>
          <w:tcPr>
            <w:tcW w:w="100" w:type="dxa"/>
            <w:vAlign w:val="bottom"/>
          </w:tcPr>
          <w:p>
            <w:pPr>
              <w:spacing w:after="0"/>
              <w:rPr>
                <w:sz w:val="18"/>
                <w:szCs w:val="18"/>
                <w:color w:val="auto"/>
              </w:rPr>
            </w:pPr>
          </w:p>
        </w:tc>
        <w:tc>
          <w:tcPr>
            <w:tcW w:w="14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81mg</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162mg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486mg</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(N=52)</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00" w:type="dxa"/>
            <w:vAlign w:val="bottom"/>
          </w:tcPr>
          <w:p>
            <w:pPr>
              <w:spacing w:after="0"/>
              <w:rPr>
                <w:sz w:val="18"/>
                <w:szCs w:val="18"/>
                <w:color w:val="auto"/>
              </w:rPr>
            </w:pP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(N=52)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(N=52)</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Mean E</w:t>
            </w:r>
            <w:r>
              <w:rPr>
                <w:rFonts w:ascii="Times New Roman" w:cs="Times New Roman" w:eastAsia="Times New Roman" w:hAnsi="Times New Roman"/>
                <w:sz w:val="10"/>
                <w:szCs w:val="10"/>
                <w:color w:val="auto"/>
              </w:rPr>
              <w:t>max</w:t>
            </w:r>
            <w:r>
              <w:rPr>
                <w:rFonts w:ascii="Times New Roman" w:cs="Times New Roman" w:eastAsia="Times New Roman" w:hAnsi="Times New Roman"/>
                <w:sz w:val="16"/>
                <w:szCs w:val="16"/>
                <w:color w:val="auto"/>
              </w:rPr>
              <w:t xml:space="preserve"> for "Take Drug Again"</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53.4</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62.8</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Mean E</w:t>
            </w:r>
            <w:r>
              <w:rPr>
                <w:rFonts w:ascii="Times New Roman" w:cs="Times New Roman" w:eastAsia="Times New Roman" w:hAnsi="Times New Roman"/>
                <w:sz w:val="10"/>
                <w:szCs w:val="10"/>
                <w:color w:val="auto"/>
              </w:rPr>
              <w:t>max</w:t>
            </w:r>
            <w:r>
              <w:rPr>
                <w:rFonts w:ascii="Times New Roman" w:cs="Times New Roman" w:eastAsia="Times New Roman" w:hAnsi="Times New Roman"/>
                <w:sz w:val="16"/>
                <w:szCs w:val="16"/>
                <w:color w:val="auto"/>
              </w:rPr>
              <w:t xml:space="preserve"> for "I Feel High"</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77.6</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35.6</w:t>
            </w:r>
          </w:p>
        </w:tc>
        <w:tc>
          <w:tcPr>
            <w:tcW w:w="154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39.3</w:t>
            </w:r>
          </w:p>
        </w:tc>
        <w:tc>
          <w:tcPr>
            <w:tcW w:w="162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Mean E</w:t>
            </w:r>
            <w:r>
              <w:rPr>
                <w:rFonts w:ascii="Times New Roman" w:cs="Times New Roman" w:eastAsia="Times New Roman" w:hAnsi="Times New Roman"/>
                <w:sz w:val="10"/>
                <w:szCs w:val="10"/>
                <w:color w:val="auto"/>
              </w:rPr>
              <w:t>max</w:t>
            </w:r>
            <w:r>
              <w:rPr>
                <w:rFonts w:ascii="Times New Roman" w:cs="Times New Roman" w:eastAsia="Times New Roman" w:hAnsi="Times New Roman"/>
                <w:sz w:val="16"/>
                <w:szCs w:val="16"/>
                <w:color w:val="auto"/>
              </w:rPr>
              <w:t xml:space="preserve"> for "I Feel Good"</w:t>
            </w:r>
          </w:p>
        </w:tc>
        <w:tc>
          <w:tcPr>
            <w:tcW w:w="12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1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71.9</w:t>
            </w:r>
          </w:p>
        </w:tc>
        <w:tc>
          <w:tcPr>
            <w:tcW w:w="15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40.3</w:t>
            </w:r>
          </w:p>
        </w:tc>
        <w:tc>
          <w:tcPr>
            <w:tcW w:w="154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40.8</w:t>
            </w:r>
          </w:p>
        </w:tc>
        <w:tc>
          <w:tcPr>
            <w:tcW w:w="162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results of the HAP study will be included in the 8-factor analysis of the abuse potential of nalbuphine for nalbuphine ER that would be submitted as part of any NDA submission to inform scheduling considerations.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Hepatic Impairment Study</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conducted a Phase 1b clinical trial in patients with chronic liver disease to evaluate the safety and pharmacokinetics, or PK, of Haduvio in this population. This trial was designed as an open-label, non-randomized, parallel-group, single and multiple ascending dose PK trial in patients with mild, moderate and severe hepatic impairment. We completed the single ascending dosing portion of this trial in patients with mild, moderate and severe hepatic impairment and there were no SAEs reported in the trial. We intend to use the data from the hepatic impairment study to support an NDA submission for Haduvio.</w:t>
      </w:r>
    </w:p>
    <w:p>
      <w:pPr>
        <w:spacing w:after="0" w:line="75"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We also anticipate conducting additional standard pharmacokinetic, pharmacodynamic and other studies as needed to support marketing applications for regulatory approval in the U.S. and Europe.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Cough in Patients with Idiopathic Pulmonary Fibrosis and Interstitial Lung Diseases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patients with IPF, we expect that it may compete with product candidates currently in clinical development for the treatment of chronic cough in patients with IPF, such as orvepitant, a NK1 receptor antagonist, which is being developed by Nerre Therapeutics, ME-015, a reactive oxygen species scavenger, which is being developed by Melius Pharma, BI 1839100, which is being developed by Boehringer Ingelheim, and ifenprodil, a NMDA receptor antagonist, which is being developed by Seyltx, Inc. Currently there are no product candidates in clinical development for the treatment of chronic cough in patients with non-IPF ILD. In addition, it is possible that product candidates currently in development for the treatment of the fibrosis in patients with IPF and ILD could, if approved, reduce the need for therapies to treat chronic cough in patients with IPF and ILD. We expect that Haduvio might also compete with other product candidates currently in development, or submitted for approval to the FDA, for the treatment of patients with RCC that might be used off-label to treat chronic cough in patients with IPF and ILD.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RCC</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Haduvio is approved for the treatment of patients with RCC, we expect that it may compete with product candidates currently in clinical development for the treatment of patients with RCC, such as camlipixant, a P2X3 antagonist, which is being developed by GSK plc. Gefapixant, a P2X3 antagonist, which was being developed by Merck &amp; Co., Inc., or Merck, is approved for refractory or unexplained chronic cough in Japan and the E.U. The application filed with the FDA was withdrawn and Merek indicated it does not plan to refile. Other product candidates that are currently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5" w:name="page16"/>
    <w:bookmarkEnd w:id="15"/>
    <w:p>
      <w:pPr>
        <w:ind w:right="260"/>
        <w:spacing w:after="0" w:line="266" w:lineRule="auto"/>
        <w:rPr>
          <w:sz w:val="20"/>
          <w:szCs w:val="20"/>
          <w:color w:val="auto"/>
        </w:rPr>
      </w:pPr>
      <w:r>
        <w:rPr>
          <w:rFonts w:ascii="Times New Roman" w:cs="Times New Roman" w:eastAsia="Times New Roman" w:hAnsi="Times New Roman"/>
          <w:sz w:val="18"/>
          <w:szCs w:val="18"/>
          <w:color w:val="auto"/>
        </w:rPr>
        <w:t>development for the treatment of patients with RCC include taplucainium (formerly NTX-1175), a charged sodium channel blocker, which is being developed by Nocion Therapeutics Inc., AX-8, a TRPM8 antagonist, which is being developed by Axalbion Therapeutics Ltd., GABAB PAM, a GABA agonist, which is being developed by Addex Therapeutics Ltd., and ifenprodil, a NMDA receptor antagonist, which is being developed by Seyltx, Inc.</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not specifically approved to treat chronic cough including benzonatate, opioids, corticosteroids, proton-pump inhibitors, and neuromodulators.</w:t>
      </w:r>
    </w:p>
    <w:p>
      <w:pPr>
        <w:spacing w:after="0" w:line="5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Endo Pharmaceuticals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May 2011, we entered into an agreement with Penwest Pharmaceuticals Co., which subsequently merged into its parent, Endo Pharmaceuticals Inc., or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license agreement, we paid Endo a non-creditable, non-refundable upfront license fee. We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we have granted Endo a non-exclusive, royalty-free (except for pass-through payments to third parties), sublicensable license under our relevant patent rights, to use any improvement we make to Endo’s controlled release technology, for any product other than the products under which we are licensed by Endo.</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We have the right to terminate the agreement at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5"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6" w:name="page17"/>
    <w:bookmarkEnd w:id="16"/>
    <w:p>
      <w:pPr>
        <w:ind w:right="20"/>
        <w:spacing w:after="0" w:line="266" w:lineRule="auto"/>
        <w:rPr>
          <w:sz w:val="20"/>
          <w:szCs w:val="20"/>
          <w:color w:val="auto"/>
        </w:rPr>
      </w:pPr>
      <w:r>
        <w:rPr>
          <w:rFonts w:ascii="Times New Roman" w:cs="Times New Roman" w:eastAsia="Times New Roman" w:hAnsi="Times New Roman"/>
          <w:sz w:val="18"/>
          <w:szCs w:val="18"/>
          <w:color w:val="auto"/>
        </w:rPr>
        <w:t>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At present, we have no plans to initiate our own clinical or commercial scale manufacturing capabilities. Although we rely on contract manufacturers, we have personnel with experience to oversee our relationships with contract manufacturers.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adequate to support clinical trials and initial commercial supply. Further scale-up assessment is also being planned.</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at the present time could result in additional cost or delay.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Operations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retained worldwide commercial rights for Haduvio. If Haduvio were to receive marketing approval from the FDA for chronic cough in patients with IPF or chronic cough in patients with non-IPF ILD, we would plan to market and commercialize Haduvio in the U.S. with our own focused, specialty sales force, which would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targeting pulmonologists and other specialists, such as allergists, who treat RCC patients who have failed other chronic cough therapies. We also expect to utilize a variety of collaboration, distribution and other marketing arrangements with one or more third parties to commercialize Haduvio outside the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owned five U.S. patents, 19 foreign patents and multiple pending U.S. and foreign patent applications that include claims relating to methods of use of Haduvio, including a U.S. patent covering the use of Haduvio for the treatment of chronic cough in patients with IPF. The issued patents expire between 2032 and 2039 and the patent applications, if issued as patents, would expire between 2032 and 2045. In February 2025, we received a notice of allowance for a U.S. patent application with claims covering the use of Haduvio for the treatment of chronic cough in IPF in patients with hepatic impairment. The patent issuing from this application will expire in 2042.</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party to an exclusive license agreement with Endo under which we have licensed patent rights and know-how to develop and commercialize products incorporating nalbuphine hydrochloride in any formulation, including Haduvio. As of December 31, 2024, the intellectual property in-licensed under this agreement included six U.S. patents and four foreign patents, which include granted European patent rights that have been validated in various European Union, or E.U., member states. The licensed patents from Endo include claims relating to the formulation of Haduvio. These patents expire between 2026 and 2029.</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in-licensed three issued U.S. patents, one issued European patent, one issued Japanese patent, and one issued Canadian patent. These patents relate to the use of nalbuphine in various movement disorders. The U.S. patents expire in 2032. The Japanese, European and Canadian patents expire in 2032.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own or exclusively license any composition of matter patents for Haduvio.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7" w:name="page18"/>
    <w:bookmarkEnd w:id="1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 and may have a significant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sponsor seeking approval to market and distribute a new drug in the U.S. generally must satisfactorily complete each of the following steps before the FDA will consider approving the product candidate:</w:t>
      </w:r>
    </w:p>
    <w:p>
      <w:pPr>
        <w:spacing w:after="0" w:line="54" w:lineRule="exact"/>
        <w:rPr>
          <w:sz w:val="20"/>
          <w:szCs w:val="20"/>
          <w:color w:val="auto"/>
        </w:rPr>
      </w:pPr>
    </w:p>
    <w:p>
      <w:pPr>
        <w:ind w:left="900" w:right="1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IND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efficacy of the product candidate for each proposed indication, in accordance with current good clinical practices, or cGCP;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8" w:name="page19"/>
    <w:bookmarkEnd w:id="18"/>
    <w:p>
      <w:pPr>
        <w:jc w:val="both"/>
        <w:ind w:left="900" w:right="2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for a drug product which includes not only the results of the clinical trials, but also, detailed information on the chemistry, manufacturing and controls, or CMC,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cGCPs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application and program fees pursuant to the Prescription Drug User Fee Act, or PDUFA;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FDA approval of the NDA to allow marketing of the new drug product for a particular indication in the U.S.;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patients will be exposed to unreasonable health risks. At any time during this 30-day period, or thereafter, the FDA may raise concerns or questions about the conduct of the trials as outlined in the IND and impose a clinical hold or partial clinical hold. The FDA may also place a hold or partial hold on a clinical study based on CMC issues involving the investigational product. In either case, the IND sponsor and the FDA must resolve any outstanding concerns before clinical trials can begin.</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 In addition to the foregoing IND requirements, an IRB representing each institution participating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patients.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monitoring committee, or DMC. This group provides authorization as to whether or not a trial may move forward at designated checkpoints based on review of available data from the study, to which only the DMC maintains access. Suspension or termination of development during any phase of a clinical trial can occur if the DMC determines that the participants or patients are being exposed to an unacceptable health risk. Other reasons for suspension or termination may be made by us based on evolving business objectives and/or competitive climate.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receives designation as a breakthrough therapy, fast-track product, or regenerative medicine advanced therapy.</w:t>
      </w:r>
    </w:p>
    <w:p>
      <w:pPr>
        <w:spacing w:after="0" w:line="6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patients under the supervision of a qualified investigator in accordance with cGCP requirements which include, among other things, the requirement that all research patients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product candidate’s PK and pharmacological effects may be obtained to permit the design of well-controlled and scientifically valid Phase 2 clinical trials.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0" w:name="page21"/>
    <w:bookmarkEnd w:id="20"/>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December 2022, with passage of the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 DAP must include the sponsor’s goals for enrollment, the underlying rationale for those goals, and an explanation of how the sponsor intends to meet them. In addition to these requirements, the legislation directs the FDA to issue new guidance on DAPs. In June 2024, the FDA issued draft guidance setting out its policies for the collection of race and ethnicity data in clinical trials. Unlike most guidance documents issued by the FDA, the DAP guidance when finalized will have the force of law because FDORA specifically dictates that the form and manner for submission of DAPs are specified in FDA guidance.</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cGCPs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trials are typically referred to as post-approval or post-marketing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 development and safety update report, or DSUR, detailing the results of clinical trials must be submitted at least annually to the FDA.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cGCP and the integrity of the clinical data submitted.</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FDA has historically not enforced these reporting requirements due to the long delay of the Department of Health and Human Services, or HHS, in issuing final implementing regulations. With those regulations now in place, the FDA has issued, as of December 19, 2024, six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Clinical Studies Outside the United States in Support of FDA Approval</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cGCP, including undergoing review and receiving approval by an independent ethics committee and seeking and receiving informed consent from subjects. cGCP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cGCP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Interactions with the FDA During the Clinical Development Program</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an end of Phase 2 meeting, or EOP2 meeting.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At the conclusion of these meetings, the FDA will typically provide its responses to questions posed by the sponsor regarding the clinical development program. The FDA will not indicate whether an NDA will be approved, but it will provide guidance to the sponsor on various questions, including whether an application should be submitted in the first place on the basis of the studies and data proposed by the sponsor. The FDA may also generally express support for the sponsor’s approach in the clinical development program but indicate that questions concerning whether the data support approval will be subject to review by the agency following its acceptance for filing of the NDA.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7" w:right="359" w:bottom="1440" w:gutter="0" w:footer="0" w:header="0"/>
        </w:sectPr>
      </w:pPr>
    </w:p>
    <w:bookmarkStart w:id="22" w:name="page23"/>
    <w:bookmarkEnd w:id="22"/>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FDA is required to send a PREA Non-Compliance letter to sponsors who have failed to submit their pediatric assessments required under PREA, and have failed to seek or obtain a deferral or deferral extension. Unless otherwise required by regulation, the pediatric data requirements generally do not apply to products with orphan designation, although FDA has taken steps to limit what it considers abuse of this statutory exemption in PREA.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and Review of an NDA</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U.S., a marketing application must be submitted to the FDA that provides sufficient data establishing the safety and efficacy of the drug product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2025 is $4,310,002 for an application requiring clinical data. The sponsor of an approved NDA is also subject to an annual program fee, which for federal fiscal year 2025 is $403,889. Certain exceptions and waivers are available for some of these fees, such as a waiver for certain small businesses.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spacing w:after="0" w:line="7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FDA seeks to meet these timelines for review of an application but its ability to do so may be affected by a variety of factors, including government budget and funding levels, the ability to hire and retain key personnel and statutory, regulatory and policy changes.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including the review of NDAs.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3" w:name="page24"/>
    <w:bookmarkEnd w:id="23"/>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before approving an NDA, the FDA will typically inspect one or more clinical sites to assure compliance with cGCP and the integrity of the data submitted in support of the application.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72"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NDAs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10 months for standard review.</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products studied for their safety and effectiveness in treating serious or life-threatening illnesses and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4" w:name="page25"/>
    <w:bookmarkEnd w:id="24"/>
    <w:p>
      <w:pPr>
        <w:ind w:right="20"/>
        <w:spacing w:after="0" w:line="266" w:lineRule="auto"/>
        <w:rPr>
          <w:sz w:val="20"/>
          <w:szCs w:val="20"/>
          <w:color w:val="auto"/>
        </w:rPr>
      </w:pPr>
      <w:r>
        <w:rPr>
          <w:rFonts w:ascii="Times New Roman" w:cs="Times New Roman" w:eastAsia="Times New Roman" w:hAnsi="Times New Roman"/>
          <w:sz w:val="18"/>
          <w:szCs w:val="18"/>
          <w:color w:val="auto"/>
        </w:rPr>
        <w:t>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With the passage of FDORA in December 2022, Congress modified certain provisions governing accelerated approval of drug products and the FDA issued draft guidance.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an NDA and accompanying information, including the results of the inspection of the manufacturing facilities, the FDA may issue an approval letter or a complete response letter, or CRL. To reach this determination, the FDA reviews an application to determine, among other things, whether the product is safe and effective for its intended use. The FDA must determine that the investigational product is effective and that its expected benefits outweigh its potential risks to patients. This assessment is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 For those seeking to challenge FDA’s CRL decision, the agency has indicated that sponsors may request a formal hearing on the CRL or they may file a request for reconsideration or a request for a formal dispute resolution.</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 sponsor wishes to make a change to a product that has been approved under an NDA, the sponsor must submit a supplemental application to the FDA. Such changes may include a revision of the labeling for the approved product, the addition of a new indication, a change in the dosage, strength or formulation of the product, or a modification of the manner in which the drug is manufactured. Under the timelines established pursuant to PDUFA, the standard review time for a non-NME original NDA is generally 10 months from receipt of the application by the FDA.</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release,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5" w:name="page26"/>
    <w:bookmarkEnd w:id="25"/>
    <w:p>
      <w:pPr>
        <w:ind w:right="140"/>
        <w:spacing w:after="0" w:line="261" w:lineRule="auto"/>
        <w:rPr>
          <w:sz w:val="20"/>
          <w:szCs w:val="20"/>
          <w:color w:val="auto"/>
        </w:rPr>
      </w:pPr>
      <w:r>
        <w:rPr>
          <w:rFonts w:ascii="Times New Roman" w:cs="Times New Roman" w:eastAsia="Times New Roman" w:hAnsi="Times New Roman"/>
          <w:sz w:val="18"/>
          <w:szCs w:val="18"/>
          <w:color w:val="auto"/>
        </w:rPr>
        <w:t>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75"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PIE Act explicitly provides protection to sponsors who convey certain information about products in development to payors, including unapproved uses of approved products.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Prescription Drug Marketing Act, or the PDMA, was the first federal law to set minimum standards for the registration and regulation of drug distributors by the states and to regulate the distribution of drug samples. Both the PDMA and state laws limit the distribution of prescription pharmaceutical product samples and impose requirements to ensure accountability in distribution. In November 2013, the federal Drug Supply Chain Security Act became effective in the U.S., mandating an industry-wide, electronic, interoperable system to trace prescription drugs through the pharmaceutical distribution supply chain with a ten-year phase-in process. Manufacturers were required by November 2023 to have such systems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processes. So as not to disrupt supply chains, the FDA has granted certain exemptions from enhanced drug distribution security requirements for eligible trading partners for particular periods of time.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spacing w:after="0" w:line="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for an abbreviated new drug application, or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Under the Hatch-Waxman Act, the FDA may not approve an ANDA until any applicable period of regulatory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8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Act Patent Certification and the 30-Month Stay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certify to the FDA concerning any patents listed for the approved product in the Orange Book to the same extent that an ANDA sponsor would.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sponsor must certify with respect to each patent that:</w:t>
      </w:r>
    </w:p>
    <w:p>
      <w:pPr>
        <w:spacing w:after="0" w:line="117"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is unenforceable or will not be infringed by the new product.</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sponsor.</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sponsor.</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in the U.S. and, if granted, provides for the attachment of an additional six months of regulatory exclusivity to the term of any existing patent or regulatory exclusivity for drug products. This six 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8" w:name="page29"/>
    <w:bookmarkEnd w:id="28"/>
    <w:p>
      <w:pPr>
        <w:ind w:right="380"/>
        <w:spacing w:after="0" w:line="282" w:lineRule="auto"/>
        <w:rPr>
          <w:sz w:val="20"/>
          <w:szCs w:val="20"/>
          <w:color w:val="auto"/>
        </w:rPr>
      </w:pPr>
      <w:r>
        <w:rPr>
          <w:rFonts w:ascii="Times New Roman" w:cs="Times New Roman" w:eastAsia="Times New Roman" w:hAnsi="Times New Roman"/>
          <w:sz w:val="18"/>
          <w:szCs w:val="18"/>
          <w:color w:val="auto"/>
        </w:rPr>
        <w:t>are subject to broadly applicable fraud and abuse, anti-kickback, false claims laws, patient privacy laws and regulations and other health care laws and regulations that may constrain business and/or financial arrangements.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HHS, information related to payments and other transfers of value made by that entity to physicians, other healthcare providers and teaching hospitals, as well as ownership and investment interests held by physicians, and their immediate family members.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or HIPAA, thus complicating compliance efforts.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9" w:name="page30"/>
    <w:bookmarkEnd w:id="29"/>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four percent.</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June 17, 2021, the U.S. Supreme Court dismissed an action challenging the constitutionality of the ACA after finding that the plaintiffs do not have standing to bring the action. Litigation and legislation over the ACA are likely to continue, with unpredictable and uncertain results.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During the first Trump Administration, the Congress and administration sought to overturn the ACA and related measures. Shortly after taking office in January 2025, President Trump revoked numerous executive orders issued by President Biden, including at least two executive orders (e.g., EO 14009, Strengthening Medicaid and the Affordable Care Act, and EO 14070, Continuing to Strengthen Americans’ Access to Affordable, Quality Health Coverage) that were designed to further implement the ACA. We anticipate similar efforts to undermine the ACA, and the accompanying uncertainty, for the foreseeable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 Reforms</w:t>
      </w:r>
    </w:p>
    <w:p>
      <w:pPr>
        <w:spacing w:after="0" w:line="121" w:lineRule="exact"/>
        <w:rPr>
          <w:sz w:val="20"/>
          <w:szCs w:val="20"/>
          <w:color w:val="auto"/>
        </w:rPr>
      </w:pPr>
    </w:p>
    <w:p>
      <w:pPr>
        <w:jc w:val="both"/>
        <w:ind w:right="680" w:firstLine="50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the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the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May 2024, five states (Colorado, Florida, Maine, New Hampshire and New Mexico) had submitted Section 804 Importation Program proposals to the FDA and,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spacing w:after="0" w:line="86"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Further, the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the IRA, has been delayed by Congress to January 1, 2032.</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0" w:name="page31"/>
    <w:bookmarkEnd w:id="30"/>
    <w:p>
      <w:pPr>
        <w:ind w:right="140"/>
        <w:spacing w:after="0" w:line="256" w:lineRule="auto"/>
        <w:rPr>
          <w:sz w:val="20"/>
          <w:szCs w:val="20"/>
          <w:color w:val="auto"/>
        </w:rPr>
      </w:pPr>
      <w:r>
        <w:rPr>
          <w:rFonts w:ascii="Times New Roman" w:cs="Times New Roman" w:eastAsia="Times New Roman" w:hAnsi="Times New Roman"/>
          <w:sz w:val="18"/>
          <w:szCs w:val="18"/>
          <w:color w:val="auto"/>
        </w:rPr>
        <w:t>by 15 Part D drugs in 2027, 15 Part B or Part D drugs in 2028, and 20 Part B or Part D drugs in 2029 and beyond. This provision applies to drug products that have been approved for at least nine years, but it does not apply to drugs that have been approved for a single rare disease or condition. Further, the legislation patients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shortly before the new administration took office, CMS announced its selection of 15 additional drugs covered by Part D for the second cycle of negotiations. There has been uncertainty about the extent to which the new administration would support the price negotiation program. Following the change in administrations,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Litigation involving these and other provisions of the IRA will continue with unpredictable and uncertain results..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and Security laws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healthcare industry generally, 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clinical trials will be regulated by HIPAA’s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enforce state privacy and security laws. New laws and regulations governing privacy and security may be adopted in the future as well.</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or MA, by these authorities before the product can be marketed and sold in the E.U.</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which we refer to as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in the U.S., clinical trial information must be posted in the E.U. at the EudraCT website: https://eudract.ema.europa.eu.</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 obtain an MA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An MA may be granted only to a sponsor established in the E.U. Regulation (EC) No 1901/2006 provides that prior to obtaining an MA in the E.U., sponsors have to demonstrate compliance with all measures included in an EMA-approved Pediatric Investigation Plan, or PIP, covering all subsets of the pediatric population, unless the EMA has granted (i) a product-specific waiver, (ii) a class waiver or (iii) a deferral for one or more of the measures included in the PIP.</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across the European Economic Area, or the EEA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sponsor. We anticipate that the centralized procedure will be mandatory for the product candidates we are developing.</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Under the centralized procedure, the CHMP is also responsible for several post-authorization and maintenance activities, such as the assessment of modifications or extensions to an existing MA. Under the centralized procedure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an MA should be granted in relation to a medicinal product. Within 15 calendar days of receipt of a final opinion from the CHMP, the European Commission must prepare a draft decision concerning an application for an MA.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an MA.</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an MA under exceptional circumstances may be granted subject to certain specific obligations, which may include the following:</w:t>
      </w:r>
    </w:p>
    <w:p>
      <w:pPr>
        <w:spacing w:after="0" w:line="79" w:lineRule="exact"/>
        <w:rPr>
          <w:sz w:val="20"/>
          <w:szCs w:val="20"/>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 MA under exceptional circumstances is subject to annual review to reassess the risk-benefit balance in an annual reassessment procedure. Continuation of the authorization is linked to the annual reassessment and a negative assessment could potentially result in the MA being suspended or revoked. The renewal of an MA of a medicinal product under exceptional circumstances, however, follows the same rules as a “normal” MA. Thus, an MA under exceptional circumstances is granted for an initial five years, after which the authorization will become valid indefinitely, unless the EMA decides that safety grounds merit one additional five-year renewal.</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Conditional Marketing Authorization</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4" w:name="page35"/>
    <w:bookmarkEnd w:id="34"/>
    <w:p>
      <w:pPr>
        <w:ind w:right="340" w:firstLine="509"/>
        <w:spacing w:after="0" w:line="289" w:lineRule="auto"/>
        <w:rPr>
          <w:sz w:val="20"/>
          <w:szCs w:val="20"/>
          <w:color w:val="auto"/>
        </w:rPr>
      </w:pPr>
      <w:r>
        <w:rPr>
          <w:rFonts w:ascii="Times New Roman" w:cs="Times New Roman" w:eastAsia="Times New Roman" w:hAnsi="Times New Roman"/>
          <w:sz w:val="17"/>
          <w:szCs w:val="17"/>
          <w:color w:val="auto"/>
        </w:rPr>
        <w:t>The mutual recognition procedure similarly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At this time,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in the long term, if and when adopted.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 MA has an initial validity for five years in principle. The MA may be renewed after five years on the basis of a re-evaluation of the risk-benefit balance by the EMA or by the competent authority of the E.U. Member State. To this end, the MA holder must provide the EMA or the competent authority with a consolidated version of the file in respect of quality, safety and efficacy, including all variations introduced since the MA was granted, at least six months before the MA ceases to be valid. The European Commission or the competent authorities of the E.U. Member States may decide, on justified grounds relating to pharmacovigilance, to proceed with one further five-year period of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obtaining an MA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 can be amended, the EMA must determine that a company actually complied with the agreed studies and measures listed in each relevant PIP. If a sponsor obtains an MA in all E.U. Member States, or an MA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1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right="4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9"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Approval of Medical Products in the U.K.</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UK’s withdrawal from the E.U., commonly referred to as Brexit, took place on January 31, 2020. The E.U. and the UK reached an agreement on their new partnership in the Trade and Cooperation Agreement, which entered into force on May 1, 2021.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as amended by the so called Windsor Framework agreed in February 2023. As of January 1, 2025, the changes introduced by the Windsor Framework resulted in the MHRA being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UK’s withdrawal from the E.U.</w:t>
      </w:r>
    </w:p>
    <w:p>
      <w:pPr>
        <w:spacing w:after="0" w:line="80"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As of January 1, 2024 on,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four percent of annual global revenues, whichever is greater. The GDPR also confers a private right of action on data patients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CJEU decision,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has now adopted an adequacy decision to permit data transfers from the E.U. to the U.S. going forward. This development permits data transfers under the E.U.-U.S. Data Privacy Framework and more broadly has made international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6" w:name="page37"/>
    <w:bookmarkEnd w:id="36"/>
    <w:p>
      <w:pPr>
        <w:ind w:right="40"/>
        <w:spacing w:after="0" w:line="266" w:lineRule="auto"/>
        <w:rPr>
          <w:sz w:val="20"/>
          <w:szCs w:val="20"/>
          <w:color w:val="auto"/>
        </w:rPr>
      </w:pPr>
      <w:r>
        <w:rPr>
          <w:rFonts w:ascii="Times New Roman" w:cs="Times New Roman" w:eastAsia="Times New Roman" w:hAnsi="Times New Roman"/>
          <w:sz w:val="18"/>
          <w:szCs w:val="18"/>
          <w:color w:val="auto"/>
        </w:rPr>
        <w:t>data transfers more straightforward, but these provisions are being challenged in court. The continuing uncertainty around this issue may further impact our business operations in the E.U. We may, however, incur liabilities, expenses, costs, and other operational losses under the GDPR and the laws of applicable E.U. Member States and the U.K. privacy laws in connection with any measures we take to comply with them.</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may impact our ability to conduct our business activities, including both our clinical trials and any eventual sale and distribution of commercial products.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26 employees, with 16 employees engaged in research and development and the remaining 10 engaged in general management and administration, including finance and commercial. None of our employees are represented by labor unions or covered by collective bargaining agreements. We believe that we maintain good relations with our employees.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future employees. The principal purposes of our equity incentive plans are to attract, retain and motivate employees, selected consultants and directors through the granting of stock-based compensation awards in ways that are aligned with the interests of our stockholders.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right="120" w:firstLine="509"/>
        <w:spacing w:after="0" w:line="239"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March 17, 2011 under the name Trevi Therapeutics, Inc. Our principal executive offices are located at 195 Church Street,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7" w:name="page38"/>
    <w:bookmarkEnd w:id="37"/>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$47.9 million and $29.1 million for the years ended December 31, 2024 and 2023, respectively. As of December 31, 2024, we had an accumulated deficit of $287.0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520" w:right="20" w:hanging="512"/>
        <w:spacing w:after="0" w:line="258"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our ongoing Phase 2b CORAL clinical trial and our planned Phase 3 program of Haduvio for the treatment of chronic cough in patients with idiopathic pulmonary fibrosis, or IPF, our ongoing Phase 1b TIDAL study to evaluate the effect of Haduvio on respiratory physiology in patients with IPF of varying disease severity, and our planned clinical trials of Haduvio for the treatment of chronic cough in patients with non-IPF interstitial lung disease, or non-IPF ILD, and for patients with refractory chronic cough, or RCC;</w:t>
      </w:r>
    </w:p>
    <w:p>
      <w:pPr>
        <w:spacing w:after="0" w:line="75"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 for the treatment of chronic cough in patients with IPF, chronic cough in patients with non-IPF ILD or RCC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520" w:right="14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Haduvio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patients with IPF, we may be required to successfully complete a Phase 3 program that includes two clinical trials prior to submitting an NDA and MAA to regulatory authorities to obtain marketing approval. Because of the uncertainties and risks associated with these activities, we are unable to accurately predict the timing and amount of revenues and if or when we might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8" w:name="page39"/>
    <w:bookmarkEnd w:id="38"/>
    <w:p>
      <w:pPr>
        <w:ind w:right="120"/>
        <w:spacing w:after="0" w:line="261" w:lineRule="auto"/>
        <w:rPr>
          <w:sz w:val="20"/>
          <w:szCs w:val="20"/>
          <w:color w:val="auto"/>
        </w:rPr>
      </w:pPr>
      <w:r>
        <w:rPr>
          <w:rFonts w:ascii="Times New Roman" w:cs="Times New Roman" w:eastAsia="Times New Roman" w:hAnsi="Times New Roman"/>
          <w:sz w:val="18"/>
          <w:szCs w:val="18"/>
          <w:color w:val="auto"/>
        </w:rPr>
        <w:t>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which may make it difficult to evaluate the prospects for our future success and viability.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history of successfully developing and commercializing pharmaceutical products.</w:t>
      </w:r>
    </w:p>
    <w:p>
      <w:pPr>
        <w:spacing w:after="0" w:line="8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2024 and 2023, we used net cash of $38.3 million and $31.7 million, respectively, in our operating activities, substantially all of which related to development activities for Haduvio. As of December 31, 2024, our cash, cash equivalents and marketable securities were $107.6 million. We expect our expenses to increase substantially in connection with our ongoing activities, particularly as we continue to develop Haduvio, including as and if we:</w:t>
      </w:r>
    </w:p>
    <w:p>
      <w:pPr>
        <w:spacing w:after="0" w:line="79"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2b CORAL clinical trial and any additional trials of Haduvio for the treatment of chronic cough in patients with IPF;</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1b TIDAL study to evaluate the effect of Haduvio on respiratory physiology in patients with IPF of varying disease severity;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2 clinical trial and any additional trials of Haduvio for the treatment of chronic cough in patients with non-IPF ILD; and</w:t>
      </w:r>
    </w:p>
    <w:p>
      <w:pPr>
        <w:spacing w:after="0" w:line="117" w:lineRule="exact"/>
        <w:rPr>
          <w:rFonts w:ascii="Times New Roman" w:cs="Times New Roman" w:eastAsia="Times New Roman" w:hAnsi="Times New Roman"/>
          <w:sz w:val="18"/>
          <w:szCs w:val="18"/>
          <w:color w:val="auto"/>
        </w:rPr>
      </w:pPr>
    </w:p>
    <w:p>
      <w:pPr>
        <w:ind w:left="520" w:right="3100" w:hanging="512"/>
        <w:spacing w:after="0" w:line="375"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next clinical trial and any additional trials of Haduvio for the treatment of patients with RCC; In addition, we may incur additional expenses: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additional clinical trials of Haduvio for other indications; and</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or develop other potential product candidates or technologies and seek regulatory and marketing approvals for Haduvio or any future product candidate that successfully completes clinical trials.</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or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9" w:name="page40"/>
    <w:bookmarkEnd w:id="39"/>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patients with IPF, chronic cough in patients with non-IPF ILD, in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2026.</w:t>
      </w:r>
    </w:p>
    <w:p>
      <w:pPr>
        <w:spacing w:after="0" w:line="5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68" w:lineRule="exact"/>
        <w:rPr>
          <w:sz w:val="20"/>
          <w:szCs w:val="20"/>
          <w:color w:val="auto"/>
        </w:rPr>
      </w:pPr>
    </w:p>
    <w:p>
      <w:pPr>
        <w:ind w:left="520" w:right="40" w:hanging="512"/>
        <w:spacing w:after="0" w:line="258"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ongoing Phase 2b CORAL clinical trial and our planned Phase 3 program of Haduvio for the treatment of chronic cough in patients with IPF, our ongoing Phase 1b TIDAL study to evaluate the effect of Haduvio on respiratory physiology in patients with IPF of varying disease severity, and our planned Phase 2 trial of Haduvio for the treatment of chronic cough in patients with non-IPF ILD and our next planned clinical trial for the treatment of patients with RCC, as well as trials for any future product candidates;</w:t>
      </w:r>
    </w:p>
    <w:p>
      <w:pPr>
        <w:spacing w:after="0" w:line="75" w:lineRule="exact"/>
        <w:rPr>
          <w:rFonts w:ascii="Times New Roman" w:cs="Times New Roman" w:eastAsia="Times New Roman" w:hAnsi="Times New Roman"/>
          <w:sz w:val="18"/>
          <w:szCs w:val="18"/>
          <w:color w:val="auto"/>
        </w:rPr>
      </w:pPr>
    </w:p>
    <w:p>
      <w:pPr>
        <w:ind w:left="520" w:right="8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manufacture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patients with IPF, chronic cough in patients with non-IPF ILD,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patients with IPF, chronic cough in patients with non-IPF ILD, or RCC, or from any future product candidates;</w:t>
      </w:r>
    </w:p>
    <w:p>
      <w:pPr>
        <w:spacing w:after="0" w:line="53"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chronic cough in patients with IPF, chronic cough in patients with non-IPF ILD,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0" w:name="page41"/>
    <w:bookmarkEnd w:id="40"/>
    <w:p>
      <w:pPr>
        <w:ind w:left="520" w:right="6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if and as we:</w:t>
      </w:r>
    </w:p>
    <w:p>
      <w:pPr>
        <w:spacing w:after="0" w:line="117" w:lineRule="exact"/>
        <w:rPr>
          <w:sz w:val="20"/>
          <w:szCs w:val="20"/>
          <w:color w:val="auto"/>
        </w:rPr>
      </w:pPr>
    </w:p>
    <w:p>
      <w:pPr>
        <w:ind w:left="520" w:right="3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2b CORAL clinical trial and our planned Phase 3 program of Haduvio for the treatment of chronic cough in patients with IPF;</w:t>
      </w:r>
    </w:p>
    <w:p>
      <w:pPr>
        <w:spacing w:after="0" w:line="53"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1b TIDAL study to evaluate the effect of Haduvio on respiratory physiology in patients with IPF of varying disease severity;</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2 clinical trial of Haduvio for the treatment of chronic cough in patients with non-IPF ILD and any additional trials of Haduvio for the treatment of chronic cough in patients with non-IPF ILD;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next clinical trial and any additional trials of Haduvio for the treatment of patients with RCC;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 and commercialization of Haduvio for the treatment of chronic cough in patients with IPF, chronic cough in patients with non-IPF ILD,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7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most advanced programs are for the development of Haduvio for the treatment of chronic cough in patients with IPF and RCC. As a result, if our efforts to develop and commercialize Haduvio for the treatment of chronic cough in patients with IPF or RCC are unsuccessful or we experience significant delays in doing so, our business could also be substantially harmed.</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success of Haduvio for the treatment of chronic cough in patients with IPF, chronic cough in patients with non-IPF ILD, and RCC will depend on several factors, including the following: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1" w:name="page42"/>
    <w:bookmarkEnd w:id="41"/>
    <w:p>
      <w:pPr>
        <w:ind w:left="520" w:right="10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patients in and completing additional clinical and non-clinical trials of Haduvio, including the additional clinical trials we are conducting and plan to conduct for the treatment of chronic cough in patients with IPF, chronic cough in patients with non-IPF ILD and RCC;</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other supportive Phase 1 clinical studies, including assessment of abuse liability and potential for drug-drug interactions;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17"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chronic cough is unproven.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for the treatment of chronic cough in patients with IPF, chronic cough in patients with non-IPF ILD, and RCC. Haduvio is an oral extended-release formulation of nalbuphine, the active drug ingredient in Haduvio. Haduvio acts on the cough reflex arc both centrally and peripherally as kappa agonist and mu antagonist (KAMA). Kappa and mu are opioid receptors that play a key role in controlling cough hypersensitivity. Nalbuphine has been approved and marketed as an injectable for pain indications for more than 30 years in the U.S. and Europe and is currently not commercially available in an oral dosage form.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Additionally, Haduvio has not been approved in any indication. No therapies have been approved for the treatment of chronic cough in patients with IPF or non-IPF ILD, and no therapies have been approved in the U.S. for the treatment of patients with RCC. Gefapixant has been approved in Europe, Switzerland, and Japan for the treatment of patients with RCC. We can provide no assurance that Haduvio or any other future product candidate that we may seek to develop for chronic cough indications will be effective or safe, obtain regulatory approval or be commercially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-988695</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2" w:name="page43"/>
    <w:bookmarkEnd w:id="42"/>
    <w:p>
      <w:pPr>
        <w:ind w:right="180"/>
        <w:spacing w:after="0" w:line="282" w:lineRule="auto"/>
        <w:rPr>
          <w:sz w:val="20"/>
          <w:szCs w:val="20"/>
          <w:color w:val="auto"/>
        </w:rPr>
      </w:pPr>
      <w:r>
        <w:rPr>
          <w:rFonts w:ascii="Times New Roman" w:cs="Times New Roman" w:eastAsia="Times New Roman" w:hAnsi="Times New Roman"/>
          <w:sz w:val="18"/>
          <w:szCs w:val="18"/>
          <w:color w:val="auto"/>
        </w:rPr>
        <w:t>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5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authorization to commence a clinical trial from regulators, clinical sites and institutional review boards;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in clinical trials may be slower than we anticipate or participants may discontinue their participation in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if we are required to add additional sites, increase the target number of enrolled patients or use additional incentive strategies to address site activation and enrollment;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sites may not have adequate staff and resources to support our trials on a timely basis;</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jc w:val="both"/>
        <w:ind w:left="520" w:right="8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53" w:lineRule="exact"/>
        <w:rPr>
          <w:rFonts w:ascii="Times New Roman" w:cs="Times New Roman" w:eastAsia="Times New Roman" w:hAnsi="Times New Roman"/>
          <w:sz w:val="18"/>
          <w:szCs w:val="18"/>
          <w:color w:val="auto"/>
        </w:rPr>
      </w:pPr>
    </w:p>
    <w:p>
      <w:pPr>
        <w:ind w:left="520" w:right="360" w:hanging="512"/>
        <w:spacing w:after="0" w:line="26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520" w:right="44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spacing w:after="0" w:line="67"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3" w:name="page44"/>
    <w:bookmarkEnd w:id="43"/>
    <w:p>
      <w:pPr>
        <w:ind w:left="520" w:right="20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spacing w:after="0" w:line="68"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312"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that the FDA update or issue guidance relating to the format and content of Diversity Action Plans, or DAPs, required by sections of the Federal Food, Drug, and Cosmetic Act, or FDCA. Sponsors are required to develop and submit these plans for each Phase 3 clinical trial or any other “pivotal study” of a new drug product. These plans are meant to encourage the enrollment of more diverse patient populations in late-stage clinical trials of FDA-regulated products. Specifically, DAPs must include, among other things,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spacing w:after="0" w:line="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chronic cough in patients with IPF, chronic cough in patients with non-IPF ILD, or RCC or of any future product candidate and to demonstrate the efficacy and safety necessary to obtain regulatory approval to market any such product candidates would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significantly harm our business and could result in the loss or impairment of our ability to generate revenues and effectuate our business strategy.</w:t>
      </w:r>
    </w:p>
    <w:p>
      <w:pPr>
        <w:spacing w:after="0" w:line="11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8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the primary endpoint in our current and planned clinical trials of Haduvio for the treatment of chronic cough in patients with IPF, chronic cough in patients with non-IPF ILD, and RCC will be measured using an objective cough monitor, we have or expect to have PRO instruments as secondary endpoints. There is currently no validated PRO instrument that has been accepted for chronic cough indications.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spacing w:after="0" w:line="72"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8"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5" w:name="page46"/>
    <w:bookmarkEnd w:id="45"/>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chronic cough in patients with IPF, chronic cough in patients with non-IPF ILD, and RCC is dependent upon our ability to enroll a sufficient number of patients with these severe conditions. We have experienced delays and difficulties in the enrollment of patients in certain of our clinical trials, including our Phase 2 CANAL trial, which delayed the completion of these trials.</w:t>
      </w:r>
    </w:p>
    <w:p>
      <w:pPr>
        <w:spacing w:after="0" w:line="7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IPF, non-IPF ILD and RCC, and patients are often only able to enroll in a single trial at a time. No therapies have been approved for the treatment of chronic cough in patients with IPF or non-IPF ILD and no therapies have been approved in the U.S. for the treatment of patients with RCC. However, patients with these conditions, as well as their physicians, may be reluctant to forgo, discontinue or otherwise alter their use of the therapeutic approaches they currently use in order to participate in our clinical trials.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Haduvio, as a KAMA,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dual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our Phase 2 CANAL trial of Haduvio for the treatment of chronic cough in patients with IPF, the most frequently reported treatment emergent adverse events associated with Haduvio were nausea, fatigue, dizziness, vomiting, headache, constipation and somnolence. In our Phase 2a RIVER trial of Haduvio for the treatment of RCC, the most frequently reported treatment emergent adverse events associated with Haduvio were constipation, nausea, somnolence, headache, dizziness, and fatigue.</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6" w:name="page47"/>
    <w:bookmarkEnd w:id="46"/>
    <w:p>
      <w:pPr>
        <w:ind w:right="300"/>
        <w:spacing w:after="0" w:line="312" w:lineRule="auto"/>
        <w:rPr>
          <w:sz w:val="20"/>
          <w:szCs w:val="20"/>
          <w:color w:val="auto"/>
        </w:rPr>
      </w:pPr>
      <w:r>
        <w:rPr>
          <w:rFonts w:ascii="Times New Roman" w:cs="Times New Roman" w:eastAsia="Times New Roman" w:hAnsi="Times New Roman"/>
          <w:sz w:val="17"/>
          <w:szCs w:val="17"/>
          <w:color w:val="auto"/>
        </w:rPr>
        <w:t>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Opioids as a class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are conducting our Phase 1b TIDAL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7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mu-opioid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In our HAP trial, we compared Haduvio with butorphanol, which is currently classified as a Schedule IV substance. Because Haduvio was less likable than butorphanol and because the DEA will evaluate the HAP results together with other elements of the 8-factor plan required to determine scheduling, our current expectation is that Haduvio will remain unscheduled. However, it is possible that the DEA could determine that Haduvio, which is an oral, extended-release formulation, should be classified as a Schedule V or Schedule IV substance.</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patients with chronic chough with IPF, with chronic chough with non-IPR ILD, and RCC in future clinical trials despite demonstrating positive results in preclinical studies or earlier clinical trials. The results of our Phase 2 CANAL trial for the treatment of chronic cough in patients with IPF and the results of our Phase 2a RIVER trial for the treatment of patients with RCC may not be predictive of the results of future trials of Haduvio for the treatment of chronic cough in patients with IPF, chronic cough in patients with non-IPF ILD, or RCC.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company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7"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patients with cough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the Phase 2 CANAL trial. While we believe these data subsets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2"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chronic cough in patients with IPF, chronic cough in patients with non-IPF ILD, and for the treatment of patients with RCC. However, the development of Haduvio for these indications may ultimately prove to be unsuccessful or less successful than another product candidate or other indications that we might have chosen to pursue with our limited resources.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9" w:name="page50"/>
    <w:bookmarkEnd w:id="49"/>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were to receive marketing approval from the FDA for chronic cough in patients with IPF or chronic cough in patients with non-IPF ILD, we would plan to market and commercialize Haduvio in the U.S. with our own focused, specialty sales force, which would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targeting pulmonologists and other specialists, such as allergists, who treat RCC patients who have failed other chronic cough therapies.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8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patients with IPF, we expect that it may compete with product candidates currently in clinical development for the treatment of chronic cough in patients with IPF, such as orvepitant, a NK1 receptor antagonist, which is being developed by Nerre Therapeutics, ME-015, a reactive oxygen species scavenger, which is being developed by Melius Pharma, BI 1839100, which is being developed by Boehringer Ingelheim,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t>and ifenprodil, a NMDA receptor antagonist, which is being developed by Seyltx, Inc. Currently there are no product candidates in clinical development for the treatment of chronic cough in patients with non-IPF ILD. In addition, it is possible that product candidates currently in development for the treatment of the fibrosis in patients with IPF and ILD could, if approved, reduce the need for therapies to treat chronic cough in patients with IPF and ILD. We expect that Haduvio might also compete with other product candidates currently in development, or submitted for approval to the FDA, for the treatment of patients with RCC and unexplained chronic cough that might be used off-label to treat chronic cough in patients with IPF.</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patients with RCC, we expect that it may compete with product candidates currently in clinical development for the treatment of patients with RCC, such as camlipixant, a P2X3 antagonist, which is being developed by GSK plc. Gefapixant, a P2X3 antagonist, which was being developed by Merck &amp; Co., Inc., or Merck, is approved for refractory or unexplained chronic cough in Japan and the E.U. The application filed with the FDA was withdrawn and Merek indicated it does not plan to refile. Other product candidates that are currently in development for the treatment of patients with RCC include taplucainium (formerly NTX-1175), a charged sodium channel blocker, which is being developed by Nocion Therapeutics Inc., AX-8, a TRPM8 antagonist, which is being developed by Axalbion Therapeutics Ltd., GABAB PAM, a GABA agonist, which is being developed by Addex Therapeutics Ltd., and ifenprodil, a NMDA receptor antagonist, which is being developed by Seyltx, Inc.</w:t>
      </w:r>
    </w:p>
    <w:p>
      <w:pPr>
        <w:spacing w:after="0" w:line="8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not specifically approved to treat chronic cough including benzonatate, opioids, corticosteroids, proton-pump inhibitors, and neuromodulators.</w:t>
      </w:r>
    </w:p>
    <w:p>
      <w:pPr>
        <w:spacing w:after="0" w:line="5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1" w:name="page52"/>
    <w:bookmarkEnd w:id="51"/>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2" w:name="page53"/>
    <w:bookmarkEnd w:id="5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8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 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 party contractors, reliance on third party contractors entails additional risks, including:</w:t>
      </w:r>
    </w:p>
    <w:p>
      <w:pPr>
        <w:spacing w:after="0" w:line="79" w:lineRule="exact"/>
        <w:rPr>
          <w:sz w:val="20"/>
          <w:szCs w:val="20"/>
          <w:color w:val="auto"/>
        </w:rPr>
      </w:pPr>
    </w:p>
    <w:p>
      <w:pPr>
        <w:ind w:left="520" w:right="20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 party contractors experience supply chain-related delays, prioritize the supply of other companies’ products over Haduvio or any other drug product needed for our clinical trials or any future product candidates, or otherwise fail to satisfactorily perform according to the terms of the agreements between us and them or if unforeseen events in the manufacturing process arise;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 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 party contractors of our agreements with them;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party contractors to comply with applicable regulatory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3" w:name="page54"/>
    <w:bookmarkEnd w:id="53"/>
    <w:p>
      <w:pPr>
        <w:ind w:left="520" w:right="4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 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 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spacing w:after="0" w:line="6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We also expect to utilize a variety of collaboration, distribution and other marketing arrangements with one or more third parties to commercialize Haduvio outside the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4" w:name="page55"/>
    <w:bookmarkEnd w:id="54"/>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Annual Report on Form 10-K would also apply to the activities of any such future collaborators.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5" w:name="page56"/>
    <w:bookmarkEnd w:id="55"/>
    <w:p>
      <w:pPr>
        <w:ind w:left="520" w:right="560"/>
        <w:spacing w:after="0" w:line="282" w:lineRule="auto"/>
        <w:rPr>
          <w:sz w:val="20"/>
          <w:szCs w:val="20"/>
          <w:color w:val="auto"/>
        </w:rPr>
      </w:pPr>
      <w:r>
        <w:rPr>
          <w:rFonts w:ascii="Times New Roman" w:cs="Times New Roman" w:eastAsia="Times New Roman" w:hAnsi="Times New Roman"/>
          <w:sz w:val="18"/>
          <w:szCs w:val="18"/>
          <w:color w:val="auto"/>
        </w:rPr>
        <w:t>commercialization of product candidates, might lead to additional responsibilities for us with respect to product candidates or might result in litigation or arbitration, any of which would be time-consuming and expensive;</w:t>
      </w:r>
    </w:p>
    <w:p>
      <w:pPr>
        <w:spacing w:after="0" w:line="54" w:lineRule="exact"/>
        <w:rPr>
          <w:sz w:val="20"/>
          <w:szCs w:val="20"/>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56" w:name="page57"/>
    <w:bookmarkEnd w:id="56"/>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1"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7" w:name="page58"/>
    <w:bookmarkEnd w:id="5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 with each party who, in fact, conceives or develops intellectual property that we regard as our own. As a result, the inventorship or ownership of our intellectual property may be challenged in the future.</w:t>
      </w:r>
    </w:p>
    <w:p>
      <w:pPr>
        <w:spacing w:after="0" w:line="5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8" w:name="page59"/>
    <w:bookmarkEnd w:id="58"/>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 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9" w:name="page60"/>
    <w:bookmarkEnd w:id="59"/>
    <w:p>
      <w:pPr>
        <w:ind w:right="120"/>
        <w:spacing w:after="0" w:line="266" w:lineRule="auto"/>
        <w:rPr>
          <w:sz w:val="20"/>
          <w:szCs w:val="20"/>
          <w:color w:val="auto"/>
        </w:rPr>
      </w:pPr>
      <w:r>
        <w:rPr>
          <w:rFonts w:ascii="Times New Roman" w:cs="Times New Roman" w:eastAsia="Times New Roman" w:hAnsi="Times New Roman"/>
          <w:sz w:val="18"/>
          <w:szCs w:val="18"/>
          <w:color w:val="auto"/>
        </w:rPr>
        <w:t>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0" w:name="page61"/>
    <w:bookmarkEnd w:id="60"/>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addition, geopolitical actions in the U.S. and in foreign countries could increase the uncertainties and costs surrounding the prosecution or maintenance of our patent applications and the maintenance, enforcement or defense of our issued patents.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1" w:name="page62"/>
    <w:bookmarkEnd w:id="61"/>
    <w:p>
      <w:pPr>
        <w:ind w:right="380"/>
        <w:spacing w:after="0" w:line="282" w:lineRule="auto"/>
        <w:rPr>
          <w:sz w:val="20"/>
          <w:szCs w:val="20"/>
          <w:color w:val="auto"/>
        </w:rPr>
      </w:pPr>
      <w:r>
        <w:rPr>
          <w:rFonts w:ascii="Times New Roman" w:cs="Times New Roman" w:eastAsia="Times New Roman" w:hAnsi="Times New Roman"/>
          <w:sz w:val="18"/>
          <w:szCs w:val="18"/>
          <w:color w:val="auto"/>
        </w:rPr>
        <w:t>forms of compensation in connection with any sales we make. Even if we are able to obtain a license, it may be non-exclusive, which could enable our competitors to obtain access to the same technologies licensed to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chronic cough in patients with IPF, chronic cough in patients with non-IPF ILD, or RCC,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pursue FDA approval of Haduvio for the treatment of chronic cough in patients with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patients with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on a timely basis or at all. As a result, we cannot predict when or if and in which territories, we will obtain marketing approval to commercialize a product candidate.</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2" w:name="page63"/>
    <w:bookmarkEnd w:id="62"/>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under certain circumstances, we may be required to report some of our financial relationships with clinical investigators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9"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The FDA may also require that NDA submissions for our product candidates include pediatric data. Under the Pediatric Research Equity Act, an NDA or supplement to an NDA for certain drugs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3" w:name="page64"/>
    <w:bookmarkEnd w:id="63"/>
    <w:p>
      <w:pPr>
        <w:ind w:right="100"/>
        <w:spacing w:after="0" w:line="282" w:lineRule="auto"/>
        <w:rPr>
          <w:sz w:val="20"/>
          <w:szCs w:val="20"/>
          <w:color w:val="auto"/>
        </w:rPr>
      </w:pPr>
      <w:r>
        <w:rPr>
          <w:rFonts w:ascii="Times New Roman" w:cs="Times New Roman" w:eastAsia="Times New Roman" w:hAnsi="Times New Roman"/>
          <w:sz w:val="18"/>
          <w:szCs w:val="18"/>
          <w:color w:val="auto"/>
        </w:rPr>
        <w:t>likely result in the need for additional trials, which would be costly and time-consuming and delay or permanently halt our development of Haduvio or the applicable future product candidate.</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MHRA is responsible for approving all medicinal products destined for the United Kingdom market (i.e., Great Britain and Northern Ireland). At the same time,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4" w:name="page65"/>
    <w:bookmarkEnd w:id="64"/>
    <w:p>
      <w:pPr>
        <w:ind w:right="580"/>
        <w:spacing w:after="0" w:line="282" w:lineRule="auto"/>
        <w:rPr>
          <w:sz w:val="20"/>
          <w:szCs w:val="20"/>
          <w:color w:val="auto"/>
        </w:rPr>
      </w:pPr>
      <w:r>
        <w:rPr>
          <w:rFonts w:ascii="Times New Roman" w:cs="Times New Roman" w:eastAsia="Times New Roman" w:hAnsi="Times New Roman"/>
          <w:sz w:val="18"/>
          <w:szCs w:val="18"/>
          <w:color w:val="auto"/>
        </w:rPr>
        <w:t>increased operating expenses and reduced revenue and other obligations incident to doing business in another country; and workforce uncertainty in countries where labor unrest is more common than in the U.S.</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chronic cough in patients with IPF, chronic cough in patients with non-IPF ILD and RCC. If we obtain regulatory approval to market Haduvio with an indication statement for the treatment of chronic cough in patients with IPF, chronic cough in patients with non-IPF ILD or RCC,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5" w:name="page66"/>
    <w:bookmarkEnd w:id="65"/>
    <w:p>
      <w:pPr>
        <w:ind w:right="60"/>
        <w:spacing w:after="0" w:line="258" w:lineRule="auto"/>
        <w:rPr>
          <w:sz w:val="20"/>
          <w:szCs w:val="20"/>
          <w:color w:val="auto"/>
        </w:rPr>
      </w:pPr>
      <w:r>
        <w:rPr>
          <w:rFonts w:ascii="Times New Roman" w:cs="Times New Roman" w:eastAsia="Times New Roman" w:hAnsi="Times New Roman"/>
          <w:sz w:val="18"/>
          <w:szCs w:val="18"/>
          <w:color w:val="auto"/>
        </w:rPr>
        <w:t>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6" w:name="page67"/>
    <w:bookmarkEnd w:id="66"/>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7" w:name="page68"/>
    <w:bookmarkEnd w:id="67"/>
    <w:p>
      <w:pPr>
        <w:ind w:right="160"/>
        <w:spacing w:after="0" w:line="266" w:lineRule="auto"/>
        <w:rPr>
          <w:sz w:val="20"/>
          <w:szCs w:val="20"/>
          <w:color w:val="auto"/>
        </w:rPr>
      </w:pPr>
      <w:r>
        <w:rPr>
          <w:rFonts w:ascii="Times New Roman" w:cs="Times New Roman" w:eastAsia="Times New Roman" w:hAnsi="Times New Roman"/>
          <w:sz w:val="18"/>
          <w:szCs w:val="18"/>
          <w:color w:val="auto"/>
        </w:rPr>
        <w:t>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6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and/or staffing for the FDA, the SEC and other national government agencies, including from government shutdowns, major policy shifts, or other disruptions to these agencies’ usual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changes to staffing levels, ability to hire and retain key personnel and accept the payment of user fees, and statutory, regulatory and policy changes. Average review times at the agency have fluctuated in recent years as a result. Disruptions at the FDA and other agencies would slow the time necessary for new product candidates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In addition, government funding of the SEC, and other government agencies on which our operations may rely, including those that fund research and development activities, is subject to the political process, which is inherently fluid and unpredictable. Further, while the FDA’s review of NDAs and other applications is funded by the user fee program established under PDUFA, the Trump Administration has indicated that it will be reviewing that program and its implementation.</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that are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is substantial uncertainty as to how measures being implemented by the new Trump Administration across the government will impact the FDA, CMS and other federal agencies with jurisdiction over our activities. For example, since taking office, President Trump has issued a number of executive orders, which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FDA’s ability to engage in oversight and implementation activities in the normal course, our business may be negatively impacted. In addition, the loss of FDA personnel could lead to further disruptions and delays in FDA review and oversight of our product candidates. Similarly, efforts by the new administration to substantially reduce or delay research funding by the National Institutes of Health of medical research could have substantial direct or indirect impacts on our research activities.</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8" w:name="page69"/>
    <w:bookmarkEnd w:id="68"/>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Litigation and legislation over the ACA and other healthcare measures are likely to continue, with unpredictable and uncertain results. During the first Trump Administration, Congress and the administration sought to overturn the ACA and related measures. Shortly after taking office in January 2025, President Trump revoked numerous executive orders issued by President Biden, including at least two executive orders (e.g., Executive Order 14009, Strengthening Medicaid and the Affordable Care Act, and Executive Order 14070, Continuing to Strengthen Americans’ Access to Affordable, Quality Health Coverage) which were designed to further implement the ACA. We anticipate similar efforts to undermine the ACA, and the accompanying uncertainty, for the foreseeable future.</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European Union level for joint clinical assessments in these areas. It will permit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and ethical) aspects of health technology, and making decisions on pricing and reimbursement.</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U.S. There have been U.S. congressional inquiries, as well as proposed and enacted state and federal legislation designed to, among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69" w:name="page70"/>
    <w:bookmarkEnd w:id="69"/>
    <w:p>
      <w:pPr>
        <w:ind w:right="40"/>
        <w:spacing w:after="0" w:line="282" w:lineRule="auto"/>
        <w:rPr>
          <w:sz w:val="20"/>
          <w:szCs w:val="20"/>
          <w:color w:val="auto"/>
        </w:rPr>
      </w:pPr>
      <w:r>
        <w:rPr>
          <w:rFonts w:ascii="Times New Roman" w:cs="Times New Roman" w:eastAsia="Times New Roman" w:hAnsi="Times New Roman"/>
          <w:sz w:val="18"/>
          <w:szCs w:val="18"/>
          <w:color w:val="auto"/>
        </w:rPr>
        <w:t>other things, bring more transparency to pharmaceutical pricing, review the relationship between pricing and manufacturer patient programs and reduce the costs of pharmaceuticals under Medicare and Medicaid.</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but it does not apply to drugs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shortly before the new administration took office, CMS announced its selection of 15 additional drugs covered by Part D for the second cycle of negotiations. There has been uncertainty about the extent to which the new administration would support the price negotiation program. Following the change in administrations,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0" w:name="page71"/>
    <w:bookmarkEnd w:id="70"/>
    <w:p>
      <w:pPr>
        <w:ind w:right="120"/>
        <w:spacing w:after="0" w:line="254" w:lineRule="auto"/>
        <w:rPr>
          <w:sz w:val="20"/>
          <w:szCs w:val="20"/>
          <w:color w:val="auto"/>
        </w:rPr>
      </w:pPr>
      <w:r>
        <w:rPr>
          <w:rFonts w:ascii="Times New Roman" w:cs="Times New Roman" w:eastAsia="Times New Roman" w:hAnsi="Times New Roman"/>
          <w:sz w:val="18"/>
          <w:szCs w:val="18"/>
          <w:color w:val="auto"/>
        </w:rPr>
        <w:t>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The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We expect that litigation involving these and other provisions of the IRA will continue, with unpredictable and uncertain results.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1" w:name="page72"/>
    <w:bookmarkEnd w:id="71"/>
    <w:p>
      <w:pPr>
        <w:ind w:right="40"/>
        <w:spacing w:after="0" w:line="282" w:lineRule="auto"/>
        <w:rPr>
          <w:sz w:val="20"/>
          <w:szCs w:val="20"/>
          <w:color w:val="auto"/>
        </w:rPr>
      </w:pPr>
      <w:r>
        <w:rPr>
          <w:rFonts w:ascii="Times New Roman" w:cs="Times New Roman" w:eastAsia="Times New Roman" w:hAnsi="Times New Roman"/>
          <w:sz w:val="18"/>
          <w:szCs w:val="18"/>
          <w:color w:val="auto"/>
        </w:rPr>
        <w:t>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7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7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2" w:name="page73"/>
    <w:bookmarkEnd w:id="72"/>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82"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spacing w:after="0" w:line="6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82"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6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3" w:name="page74"/>
    <w:bookmarkEnd w:id="73"/>
    <w:p>
      <w:pPr>
        <w:ind w:right="120"/>
        <w:spacing w:after="0" w:line="282" w:lineRule="auto"/>
        <w:rPr>
          <w:sz w:val="20"/>
          <w:szCs w:val="20"/>
          <w:color w:val="auto"/>
        </w:rPr>
      </w:pPr>
      <w:r>
        <w:rPr>
          <w:rFonts w:ascii="Times New Roman" w:cs="Times New Roman" w:eastAsia="Times New Roman" w:hAnsi="Times New Roman"/>
          <w:sz w:val="18"/>
          <w:szCs w:val="18"/>
          <w:color w:val="auto"/>
        </w:rPr>
        <w:t>liabilities, our ongoing efforts to comply with evolving laws and regulations at the federal and state level may be costly and require ongoing modifications to our policies, procedures and systems.</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California, at least 18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considering or have already passed comprehensive privacy laws during the 2023 legislative sessions that will go into effect in 2024 and beyond. There are also states that are specifically regulating health information that may affect our business. For example, Washington state recently passed a health privacy law that will regulate the collection and sharing of health information, and the law also has a private right of action, which further increases the relevant compliance risk. These laws may impact our business activities, including our identification of research subjects, relationships with business partners and ultimately the marketing and distribution of our products.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February 10, 2025, President Trump issued an Executive Order directing the Attorney General to review the guidelines and policies governing FCPA investigations and enforcement actions. Per the Executive Order, this review will result in new DOJ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assess whether “remedial measures” related to past FCPA actions are warranted. We will need to carefully navigate these developments.</w:t>
      </w:r>
    </w:p>
    <w:p>
      <w:pPr>
        <w:spacing w:after="0" w:line="11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spacing w:after="0" w:line="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t>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6"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commonly known as the Orange Book. Manufacturers may seek approval of generic versions of reference-listed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these outcomes could damage our reputation, result in the loss of valuable property and information, and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our executive leadership and scientific teams. Although we have employment agreements with these individuals,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expand our organization, we may encounter difficulties in managing our growth, which could disrupt our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we had 26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7" w:name="page78"/>
    <w:bookmarkEnd w:id="77"/>
    <w:p>
      <w:pPr>
        <w:ind w:right="20"/>
        <w:spacing w:after="0" w:line="256" w:lineRule="auto"/>
        <w:rPr>
          <w:sz w:val="20"/>
          <w:szCs w:val="20"/>
          <w:color w:val="auto"/>
        </w:rPr>
      </w:pPr>
      <w:r>
        <w:rPr>
          <w:rFonts w:ascii="Times New Roman" w:cs="Times New Roman" w:eastAsia="Times New Roman" w:hAnsi="Times New Roman"/>
          <w:sz w:val="18"/>
          <w:szCs w:val="18"/>
          <w:color w:val="auto"/>
        </w:rPr>
        <w:t>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8" w:name="page79"/>
    <w:bookmarkEnd w:id="78"/>
    <w:p>
      <w:pPr>
        <w:ind w:left="520" w:right="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the impacts of inflation and the implementation of trade barriers and tariffs and government action in response thereto;</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11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ATM sales agreement terminated upon effectiveness of the Shelf Registration Statement, at which point we were no longer able to issue and sell shares of our common stock under our prior ATM sales agreement. From time to time, we may offer and sell under the 2023 ATM Sales Agreement common stock registered under the Shelf Registration Statement pursuant to one or more “at-the-market” offerings. The extent to which we utilize the 2023 ATM</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9" w:name="page80"/>
    <w:bookmarkEnd w:id="79"/>
    <w:p>
      <w:pPr>
        <w:ind w:right="300"/>
        <w:spacing w:after="0" w:line="282" w:lineRule="auto"/>
        <w:rPr>
          <w:sz w:val="20"/>
          <w:szCs w:val="20"/>
          <w:color w:val="auto"/>
        </w:rPr>
      </w:pPr>
      <w:r>
        <w:rPr>
          <w:rFonts w:ascii="Times New Roman" w:cs="Times New Roman" w:eastAsia="Times New Roman" w:hAnsi="Times New Roman"/>
          <w:sz w:val="18"/>
          <w:szCs w:val="18"/>
          <w:color w:val="auto"/>
        </w:rPr>
        <w:t>Sales Agreement as a source of funding will depend on a number of factors, including the prevailing market price of our common stock, general market conditions and the extent to which we are able to secure funds from other sources.</w:t>
      </w:r>
    </w:p>
    <w:p>
      <w:pPr>
        <w:spacing w:after="0" w:line="5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March 14, 2025, warrants issued to the Initial Private Placement Investor to purchase 3,200,000 shares of common stock remained outstanding.</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March 14, 2025, all of the warrants issued to NEA remained outstanding.</w:t>
      </w:r>
    </w:p>
    <w:p>
      <w:pPr>
        <w:spacing w:after="0" w:line="7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w:t>
      </w:r>
    </w:p>
    <w:p>
      <w:pPr>
        <w:spacing w:after="0" w:line="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March 14, 2025, pre-funded warrants that we issued and sold in the April 2022 Private Placement to purchase 12,531,332 shares of common stock remained outstanding.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0" w:name="page81"/>
    <w:bookmarkEnd w:id="8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Similarly,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March 14, 2025, pre-funded warrants that we issued and sold in the September 2022 Offering to purchase 10,680,310 shares of common stock remained outstanding.</w:t>
      </w:r>
    </w:p>
    <w:p>
      <w:pPr>
        <w:spacing w:after="0" w:line="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of which pre-funded warrants to purchase 12,531,332 shares of common stock remained outstanding as of March 14, 2025. Finally, we issued pre-funded warrants to purchase up to an aggregate of 14,247,330 shares of our common stock at an exercise price of $0.001 per share to certain purchasers in the September 2022 Offering, of which pre-funded warrants to purchase 10,680,310 shares of common stock remained outstanding as of March 14, 2025.</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1" w:name="page82"/>
    <w:bookmarkEnd w:id="81"/>
    <w:p>
      <w:pPr>
        <w:ind w:right="40"/>
        <w:spacing w:after="0" w:line="255" w:lineRule="auto"/>
        <w:rPr>
          <w:sz w:val="20"/>
          <w:szCs w:val="20"/>
          <w:color w:val="auto"/>
        </w:rPr>
      </w:pPr>
      <w:r>
        <w:rPr>
          <w:rFonts w:ascii="Times New Roman" w:cs="Times New Roman" w:eastAsia="Times New Roman" w:hAnsi="Times New Roman"/>
          <w:sz w:val="18"/>
          <w:szCs w:val="18"/>
          <w:color w:val="auto"/>
        </w:rPr>
        <w:t>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51" w:lineRule="exact"/>
        <w:rPr>
          <w:sz w:val="20"/>
          <w:szCs w:val="20"/>
          <w:color w:val="auto"/>
        </w:rPr>
      </w:pPr>
    </w:p>
    <w:p>
      <w:pPr>
        <w:jc w:val="both"/>
        <w:ind w:right="200" w:firstLine="509"/>
        <w:spacing w:after="0" w:line="289" w:lineRule="auto"/>
        <w:rPr>
          <w:sz w:val="20"/>
          <w:szCs w:val="20"/>
          <w:color w:val="auto"/>
        </w:rPr>
      </w:pPr>
      <w:r>
        <w:rPr>
          <w:rFonts w:ascii="Times New Roman" w:cs="Times New Roman" w:eastAsia="Times New Roman" w:hAnsi="Times New Roman"/>
          <w:sz w:val="17"/>
          <w:szCs w:val="17"/>
          <w:color w:val="auto"/>
        </w:rPr>
        <w:t>Our executive officers and directors and their respective affiliates, beneficially own, in the aggregate, shares representing approximately 29.0% of our common stock as of March 14, 2025.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50"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us may make our common stock less attractive to investors.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82" w:name="page83"/>
    <w:bookmarkEnd w:id="82"/>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We will continue to be a “smaller reporting company” so long as (i) the market value of our stock held by non-affiliates is less than $250.0 million as of the most recently completed second fiscal quarter or (ii) our annual revenue is less than $100.0 million during the most recently completed fiscal year and the market value of our stock held by non-affiliates is less than $700.0 million as of the most recently completed second fiscal quarter. Smaller reporting companies are permitted to provide simplified executive compensation disclosure in their filings; and they have certain other decreased disclosure obligations in their SEC filings, including, among other things, only being required to provide two years of audited financial statements in annual reports. For as long as we continue to be a smaller reporting company, we expect that we will take advantage of the reduced disclosure obligations available to us as a result of such classification. Decreased disclosure in our SEC filings as a result of our having availed ourselves of scaled disclosure may make it harder for investors to analyze our results of operations and financial prospects.</w:t>
      </w:r>
    </w:p>
    <w:p>
      <w:pPr>
        <w:spacing w:after="0" w:line="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since we ceased being an “emerging growth company”, we have incurred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 smaller reporting company with less than $100 million in annual revenue and less than $700 million in public float,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i w:val="1"/>
          <w:iCs w:val="1"/>
          <w:color w:val="auto"/>
        </w:rPr>
        <w:t>We might not be able to utilize a significant portion of our net operating loss carryforwards and research and development tax credit carryforwards.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3" w:name="page84"/>
    <w:bookmarkEnd w:id="83"/>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$199.8 million and federal research and development tax credit carryforwards of $7.3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8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CARES Act, as part of Congress’s response to the COVID-19 pandemic, economic relief legislation was enacted in 2020 and 2021 containing tax provisions. The IRA was also signed into law in August 2022. The IRA introduced new tax 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w:t>
      </w:r>
    </w:p>
    <w:p>
      <w:pPr>
        <w:spacing w:after="0" w:line="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540" w:right="3400" w:hanging="5532"/>
        <w:spacing w:after="0" w:line="532" w:lineRule="auto"/>
        <w:tabs>
          <w:tab w:leader="none" w:pos="5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4" w:name="page85"/>
    <w:bookmarkEnd w:id="84"/>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520" w:right="7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3" w:lineRule="exact"/>
        <w:rPr>
          <w:sz w:val="20"/>
          <w:szCs w:val="20"/>
          <w:color w:val="auto"/>
        </w:rPr>
      </w:pPr>
    </w:p>
    <w:p>
      <w:pPr>
        <w:ind w:right="140" w:firstLine="8"/>
        <w:spacing w:after="0" w:line="25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or the Bid Price Requirement, or risk delisting, which would have a material adverse effect on our business. A delisting of our common stock from Nasdaq could materially reduce the liquidity of our common stock and result in a corresponding material reduction in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5" w:name="page86"/>
    <w:bookmarkEnd w:id="85"/>
    <w:p>
      <w:pPr>
        <w:ind w:right="120"/>
        <w:spacing w:after="0" w:line="282" w:lineRule="auto"/>
        <w:rPr>
          <w:sz w:val="20"/>
          <w:szCs w:val="20"/>
          <w:color w:val="auto"/>
        </w:rPr>
      </w:pPr>
      <w:r>
        <w:rPr>
          <w:rFonts w:ascii="Times New Roman" w:cs="Times New Roman" w:eastAsia="Times New Roman" w:hAnsi="Times New Roman"/>
          <w:sz w:val="18"/>
          <w:szCs w:val="18"/>
          <w:color w:val="auto"/>
        </w:rPr>
        <w:t>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overall risk management program and information technology function and are designed to help protect our information assets and operations from cyber threats, protect employee and patient information from unauthorized access or attack, as well as secure our networks and systems. Such processes include physical, procedural and technical safeguards, and routine review of our operations to identify risks and enhance our practices. We engage certain external parties, including consultants and computer security firms, to enhance our cybersecurity oversight. We consider the internal risk oversight programs of third-party service providers when engaging them in order to help protect us from any related vulnerabilities.</w:t>
      </w:r>
    </w:p>
    <w:p>
      <w:pPr>
        <w:spacing w:after="0" w:line="7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does not believe that there are currently any known risks from cybersecurity threats that are reasonably likely to materially affect us or our business strategy, results of operations or financial condition.</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direct oversight over cybersecurity risk and provides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also established a Cybersecurity Committee that meets on a quarterly basis to review and agree on actions to address cybersecurity risks. The Cybersecurity Committee is led by our chief information officer, or CIO, who is a part-time consultant, and includes our chief executive officer and chief financial officer. Our CIO, who reports to our chief financial officer, is responsible for the strategic leadership of our cybersecurity programs, identification of cybersecurity risks and the mitigation plans that address these risks. With over 25 years of experience in information technology, the CIO works alongside individuals across other functions, such as clinical operations, legal and quality compliance, to establish and implement our cybersecurity strategy. Our CIO has a bachelor’s degree in Technology and an M.B.A. along with over 10 years of experience in information technology in the life sciences industry.</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including part-time and temporary employees, with a data protection, cybersecurity training and compliance program, which covers timely and relevant topics, including social engineering, phishing, password protection, confidential data protection, use of artificial information and machine learning applications, and asset use, and educates employees on the importance of reporting all incidents immediately. We conduct frequent phishing simulations requiring employees to identify and report simulated phishing emails. We also use technology-based tools to mitigate cybersecurity risks and to bolster our employee-based cybersecurity programs.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headquarters is currently located in New Haven, Connecticut, and consists of approximately 12,500 square feet of leased office space under a lease that expires in February 2028 and under which we have an option to extend the lease by a five-year term. We believe that our existing facilities are adequate for our current needs; however, we may require additional space and facilities as our business expands.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9" w:right="1440" w:bottom="1440" w:gutter="0" w:footer="0" w:header="0"/>
        </w:sectPr>
      </w:pPr>
    </w:p>
    <w:bookmarkStart w:id="87" w:name="page88"/>
    <w:bookmarkEnd w:id="87"/>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“TRVI.”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As of March 14, 2025, there were approximately 20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concerning our equity compensation plan is incorporated by reference from the information in our Proxy Statement for our 2025 Annual Meeting of Stockholders, which we will file with the SEC within 120 days of the end of the fiscal year to which this Annual Report on Form 10-K relates.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patients with idiopathic pulmonary fibrosis, or IPF, chronic cough in patients with non-IPF interstitial lung disease or non-IPF ILD, and refractory chronic cough, or RCC. Haduvio is an oral extended-release formulation of nalbuphine. Haduvio acts on the cough reflex arc both centrally and peripherally as a kappa agonist and a mu antagonist, or KAMA. Kappa and mu are opioid receptors that play a key role in controlling cough hypersensitivity. The kappa- and mu-opioid receptors are known to be critical mediators of cough. Nalbuphine is a mixed kappa-opioid receptor agonist and mu-opioid receptor antagonist that has been approved and marketed as an injectable for pain indications for more than 30 years in the United States, or the U.S., and Europe. Nalbuphine’s mechanism of action also potentially mitigates the risk of abuse associated with mu-opioid agonists because it antagonizes, or blocks, the mu-opioid receptor. Parenteral nalbuphine is not scheduled as a controlled substance in the U.S. and most of Europe.</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Chronic Cough in Patients with IPF Program. </w:t>
      </w:r>
      <w:r>
        <w:rPr>
          <w:rFonts w:ascii="Times New Roman" w:cs="Times New Roman" w:eastAsia="Times New Roman" w:hAnsi="Times New Roman"/>
          <w:sz w:val="18"/>
          <w:szCs w:val="18"/>
          <w:color w:val="auto"/>
        </w:rPr>
        <w:t>We previously announced positive data from the full set of patients in our Phase 2 clinical trial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Haduvio for the treatment of chronic cough in patients with IPF, which we refer to as the Phase 2 CANAL trial. The Phase 2 CANAL trial was a randomized, double-blind, placebo controlled, two-treatment, two-period, crossover study that was designed to evaluate the efficacy, safety, tolerability and dosing of Haduvio for chronic cough in patients with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spacing w:after="0" w:line="7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conducting our Phase 2b CORAL clinical trial, which is a dose-ranging study evaluating the efficacy, safety and tolerability of Haduvio for chronic cough in patients with IPF. This trial is being conducted at multiple sites in ten countries and uses a randomized, double-blind, placebo-controlled, parallel-arm design, which evaluates three doses of Haduvio as compared to placebo. The primary efficacy endpoint for the trial is the relative change in 24-hour cough frequency at the end of week six versus baseline for Haduvio compared to placebo, as measured via an objective cough monitor. The protocol for the Phase 2b CORAL clinical trial provided for a sample size re-estimation, or SSRE, analysis once approximately 50% of the patients in the trial were evaluable for the primary endpoint. In October 2024, we reached 50% of the targeted study enrollment. As a result, the SSRE analysis was performed once the last of these patients completed the six weeks of treatment and was evaluable for the primary endpoint. In December 2024, we announced that this analysis resulted in no change to the targeted 160 patient sample size for the trial. We completed enrollment of the trial in February 2025 and expect to announce topline results in the second quarter of 2025.</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also conducting a Phase 1b respiratory physiology study, which we refer to as TIDAL, in the U.K. and U.S. and we have initiated screening. TIDAL is a randomized, single-blind, placebo-controlled study. We expect to enroll up to approximately 25 patients who will be in-patient for ten days. The primary endpoint of the study is the effect of escalating doses of Haduvio on respiratory function. Secondary endpoints of additional respiratory functions will also be measured. The goal of this study is to evaluate the effect of Haduvio on respiratory physiology in patients with IPF of varying disease severity. We plan to use this information to define the patient population for any Phase 3 clinical trials that we may conduct in chronic cough in patients with IPF.</w:t>
      </w:r>
    </w:p>
    <w:p>
      <w:pPr>
        <w:spacing w:after="0" w:line="7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expect to request an end of Phase 2 meeting with the FDA in 2025 and initiate our Phase 3 program in the first half of 2026, subject to the results of the Phase 2b CORAL clinical trial.</w:t>
      </w:r>
    </w:p>
    <w:p>
      <w:pPr>
        <w:spacing w:after="0" w:line="5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Chronic Cough in Patients with non-IPF ILD Program. </w:t>
      </w:r>
      <w:r>
        <w:rPr>
          <w:rFonts w:ascii="Times New Roman" w:cs="Times New Roman" w:eastAsia="Times New Roman" w:hAnsi="Times New Roman"/>
          <w:sz w:val="18"/>
          <w:szCs w:val="18"/>
          <w:color w:val="auto"/>
        </w:rPr>
        <w:t>We also plan to develop Haduvio for the treatment of chronic cough in patients with non-IPF ILD. We plan to determine the population of non-IPF ILD patients who may benefit from Haduvio’s cough reduction capabilities and, assuming positive data from the Phase 2b CORAL clinical trial, we plan to conduct a Phase 2 clinical trial for such patients with non-IPF ILD, subject to discussions with Health Authorities.</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RCC Program. </w:t>
      </w:r>
      <w:r>
        <w:rPr>
          <w:rFonts w:ascii="Times New Roman" w:cs="Times New Roman" w:eastAsia="Times New Roman" w:hAnsi="Times New Roman"/>
          <w:sz w:val="18"/>
          <w:szCs w:val="18"/>
          <w:color w:val="auto"/>
        </w:rPr>
        <w:t>We are also developing Haduvio for the treatment of patients with RCC. In March 2025, we announced positive topline data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We conducted this trial at multiple sites in the United Kingdom and Canada. In total, 66 patients in the trial received Haduvio. The primary endpoint of the trial was the mean change in 24-hour cough frequency, as determined by an objective cough monitor, for the full analysis set population at Day 21. The full analysis set population included all patients who received at least one dose of study drug and have objective cough count data on both Baseline and Day 21 in at least one treatment period (N=59). In the trial, Haduvio met the primary endpoint with a statistically significant reduction in the objective 24-hour cough frequency of 67% from baseline and 57% on a placebo-adjusted basis (p&lt;0.0001). Patient reported and other secondary outcomes reported in the top-line data were statistically significant and consistent with the primary endpoint. Haduvio demonstrated a statistically significant reduction for the secondary endpoint of reduction in 24-hour cough frequency in two pre-specified subgroups: patients who coughed 10-19 times/hour (moderate 24-hour cough frequency) (p&lt;0.0001), and patients who coughed 20 or greater times/hour (severe 24-hour cough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9" w:name="page90"/>
    <w:bookmarkEnd w:id="89"/>
    <w:p>
      <w:pPr>
        <w:ind w:right="460"/>
        <w:spacing w:after="0" w:line="282" w:lineRule="auto"/>
        <w:rPr>
          <w:sz w:val="20"/>
          <w:szCs w:val="20"/>
          <w:color w:val="auto"/>
        </w:rPr>
      </w:pPr>
      <w:r>
        <w:rPr>
          <w:rFonts w:ascii="Times New Roman" w:cs="Times New Roman" w:eastAsia="Times New Roman" w:hAnsi="Times New Roman"/>
          <w:sz w:val="18"/>
          <w:szCs w:val="18"/>
          <w:color w:val="auto"/>
        </w:rPr>
        <w:t>frequency) (p&lt;0.0001). The safety results of the trial were generally consistent with the known safety profile of Haduvio from previous trials in other patient populations and there were no serious adverse events reported in the trial.</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in the process of designing our next planned trial of Haduvio in patients with RCC. We expect the objectives for the trial will be to determine the dose response and to select doses to be evaluated in a pivotal clinical trial of Haduvio in patients with RCC as well as to further characterize the safety in this specific patient population. Based on these results, we plan to discuss next steps with the FDA and anticipate initiating the next trial after we receive their input.</w:t>
      </w:r>
    </w:p>
    <w:p>
      <w:pPr>
        <w:spacing w:after="0" w:line="7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In December 2024, we announced positive topline results from the human abuse potential, or HAP, study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a statistically significant lower "Drug Liking" for the clinical doses of oral nalbuphine (81mg and 162mg) compared to 6mg intravenous, or IV, butorphanol. The supratherapeutic dose of oral nalbuphine (486mg) was numerically lower than the 6mg IV butorphanol for “Drug Liking” but the results were not statistically significant. Secondary endpoints included pharmacodynamic markers and patient reported outcomes, which were generally consistent with the primary endpoint. No serious adverse events were reported in the study.</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2024, we had an accumulated deficit of $287.0 million, primarily as a result of research and development and general and administrative expenses. We do not expect to generate product revenue unless and until we obtain marketing approval for and commercialize Haduvio for the treatment of chronic cough in patients with IPF, chronic cough in patients with non-IPF ILD, or RCC and we can provide no assurance that we will ever generate significant revenue or profits.</w:t>
      </w:r>
    </w:p>
    <w:p>
      <w:pPr>
        <w:spacing w:after="0" w:line="10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$107.6 million. We believe that our existing cash, cash equivalents and marketable securities will enable us to fund our operating expenses and capital expenditure requirements for at least 12 months from the date of issuance of the Consolidated Financial Statements included in this Annual Report on Form 10-K.</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ongoing Phase 2b CORAL clinical trial and our planned Phase 3 program for the treatment of chronic cough in patients with IPF, our ongoing Phase 1b TIDAL respiratory physiology study in patients with IPF of varying disease severity, our planned Phase 2 clinical trial of Haduvio for the treatment of chronic cough in patients with non-IPF ILD, and our next clinical trial of Haduvio for the treatment of patients with RCC.</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development and commercialization of Haduvio.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foreign currency transaction gains and losses. In 2023, other income, net also included employee retention tax credits under the Coronavirus Aid, Relief, and Economic Security Act, or the CARES Act as well as an immaterial effect from the early extinguishment of debt in connection with us paying the remaining amounts due under the SVB Loan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expense consists of the interest expense associated with our finance lease. In 2023, interest expense also included interest under the loan and security agreement, or the SVB Loan Agreement, that we originally entered into with Silicon Valley Bank, or SVB, in August 2020,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(51,524 )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(33,923 )</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(17,601 )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(47,941 )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(29,097 )</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(18,844 )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(47,911 )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(18,846 )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-1293495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-1293495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-454025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-454025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31,675</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49"/>
        </w:trPr>
        <w:tc>
          <w:tcPr>
            <w:tcW w:w="5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increased $15.7 million, or 66.3%, to $39.4 million from $23.7 million for the year ended December 31, 2023, primarily due to increased clinical development expenses for our Phase 2b CORAL trial, our Phase 2a RIVER trial, our HAP study, and our Phase 1b TIDAL study along with an increase in personnel-related expenses and stock-based compensation expense. These increases were partially offset by decreased clinical development expenses for our Phase 2b/3 PRISM trial. For the years ended December 31, 2024 and 2023, all of our research and development expenses related to our development activity for Haduvio.</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increased $1.9 million, or 18.6%, to $12.1 million from $10.2 million for the year ended December 31, 2023, primarily due to increases in personnel-related expenses, stock-based compensation expense, information technology service costs and market research costs.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2024 decreased by $1.2 million, or 25.8% to $3.6 million from $4.8 million for the year ended December 31, 2023. The decrease was primarily due to a decrease in interest income of $1.1 million due to lower cash equivalent and marketable securities balances.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the ATM Sales Agreement, under which we were able to issue and sell shares of common stock, from time to time, having an aggregate offering price of up to $12.0 million. In May 2022, we and SVB Securities LLC (formerly SVB Leerink LLC), or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We were not obligated to make any sales of our common stock under the ATM Sales Agreement. Through August 15, 2023, the date of termination of the ATM Sales Agreement, we had issued and sold an aggregate of 4,333,394 shares of common stock for gross proceeds of $12.7 million, before deducting estimated commissions and allocated fees of $1.0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92" w:name="page93"/>
    <w:bookmarkEnd w:id="92"/>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2023 ATM Sales Agreement with Leerink Partners,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December 31, 2024, we had issued and sold 4,498,065 shares of common stock for gross proceeds of $14.6 million, before deducting estimated commissions and allocated fees of $0.5 million under the 2023 ATM Sales Agreement.</w:t>
      </w:r>
    </w:p>
    <w:p>
      <w:pPr>
        <w:spacing w:after="0" w:line="8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For further discussion of the SVB Term Loan, see “—Liquidity and Capital Resources.”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2024, we issued and sold 12,500,000 shares of our common stock to certain investors in an underwritten registered direct offering, or the December 2024 Offering, at an offering price of $4.00 per share of common stock pursuant to an underwriting agreement, or the Underwriting Agreement, with Leerink Partners LLC, Stifel, Nicolaus &amp; Company, Incorporated and Oppenheimer &amp; Co. Inc, as representatives of the several underwriters. The December 2024 Offering resulted in aggregate gross proceeds to us of approximately $50.0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5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(38,256 )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(31,710 )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(6,546 )</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(21,528 )</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(80,956 )</w:t>
            </w: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(7,910 )</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69,394</w:t>
            </w:r>
          </w:p>
        </w:tc>
        <w:tc>
          <w:tcPr>
            <w:tcW w:w="120" w:type="dxa"/>
            <w:vAlign w:val="bottom"/>
            <w:shd w:val="clear" w:color="auto" w:fill="CFF0FC"/>
          </w:tcPr>
          <w:p>
            <w:pPr>
              <w:spacing w:after="0"/>
              <w:rPr>
                <w:sz w:val="18"/>
                <w:szCs w:val="18"/>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(18,108 )</w:t>
            </w:r>
          </w:p>
        </w:tc>
      </w:tr>
      <w:tr>
        <w:trPr>
          <w:trHeight w:val="20"/>
        </w:trPr>
        <w:tc>
          <w:tcPr>
            <w:tcW w:w="5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$38.3 million of net cash, resulting from our net loss of $47.9 million partially offset by changes in our operating assets and liabilities of $6.8 million and net non-cash charges of $2.8 million. Changes in our operating assets and liabilities for the year ended December 31, 2024 consisted primarily of a $2.7 million decrease in prepaid expenses and other current assets, a $2.6 million increase in accrued expenses and other liabilities and a $1.6 million increase in accounts payable. The decrease in prepaid expenses and other current assets was primarily due to a decrease in prepayments related to our clinical trial work performed by our CROs. The increase in accrued expenses and other liabilities was primarily due to an increase in accruals for clinical development and clinical trial work performed by our CROs. The increase in accounts payable was primarily due to the timing of vendor invoices. The non-cash charges consisted primarily of stock-based compensation expense of $3.6 million, a $0.5 million change in value of our operating lease right-of-use assets and $0.1 million of depreciation and amortization expense, which were partially offset by $1.4 million of accretion of our available-for-sale marketable securities.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$31.7 million of net cash, resulting from our net loss of $29.1 million and changes in our operating assets and liabilities of $3.8 million, partially offset by net non-cash charges of $1.2 million. Changes in our operating assets and liabilities for the year ended December 31, 2023 consisted primarily of a $2.9 million increase in prepaid expenses and other current assets and a $1.0 million decrease in accounts payable. The increase in prepaid expenses and other current assets was primarily due to an increase in prepayments related to our clinical trial work performed by our CROs. The decrease in accounts payable was primarily due to the timing of vendor invoices. The non-cash charges consisted primarily of stock-based compensation expense of $2.2 million, $0.4 million for the write off of deferred offering costs, a $0.4 million change in value of our operating lease right-of-use assets and liabilities and $0.2 million of accretion/accrual of term loan discounts and debt issuance costs, which were partially offset by $2.1 million of accretion of our available-for-sale marketable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$21.5 million, consisting of $98.5 million of purchases of available-for-sale marketable securities and less than $0.1 million of purchases of property, equipment and leasehold improvements, partially offset by $77.0 million of proceeds from maturities of available-for-sale marketable securities.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investing activities was $59.4 million, consisting of $69.5 million of proceeds from maturities of available-for-sale marketable securities, partially offset by $9.9 million of purchases of available-for-sale marketable securities and $0.1 million of purchases of property, equipment and leasehold improvements.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$61.5 million, consisting of cash proceeds of $47.0 million, net of commissions from sales of our common stock in our December 2024 Offering, cash proceeds of $14.1 million, net of commissions from sales of our common stock under the ATM Sales Agreement, $0.4 million of cash proceeds from the exercise of stock options and $0.1 million of cash proceeds from sales under our 2019 Employee Stock Purchase Plan. These cash inflows were partially offset by payments of $0.1 million on our finance lease.</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net cash used in financing activities was $7.9 million, consisting of repayments of $9.4 million on the SVB Term Loan including payment of the final payment fee and prepayment premium, both associated with the payoff of the SVB Term Loan, payments of offering costs of $0.3 million and payments of $0.1 million on our finance lease. These cash outflows were partially offset by cash proceeds of $1.7 million, net of commissions from sales of our common stock under the ATM Sales Agreement, $0.1 million of cash proceeds from the exercise of stock options and $0.1 million of cash proceeds from sales under our 2019 Employee Stock Purchase Plan.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2b CORAL clinical trial and any additional trials of Haduvio for the treatment of chronic cough in patients with IPF;</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1b TIDAL study to evaluate the effect of Haduvio on respiratory physiology in patients with IPF of varying disease severity;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Phase 2 clinical trial and any additional trials of Haduvio for the treatment of chronic cough in patients with non-IPF ILD;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clinical trial and any additional trials of Haduvio for the treatment of patients with RCC.</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costs associated with operating as a public company, including significant legal, accounting, information technology, investor relations and other expenses.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520" w:hanging="512"/>
        <w:spacing w:after="0" w:line="261"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ongoing Phase 2b CORAL clinical trial and our planned Phase 3 program of Haduvio, each for the treatment of chronic cough in patients with IPF, our ongoing Phase 1b TIDAL study to evaluate the effect of Haduvio on respiratory physiology in patients with IPF of varying disease severity, our planned Phase 2 clinical trial of Haduvio for the treatment of chronic cough in patients with non-IPF ILD, and our next clinical trial in patients with RCC, as well as trials for any future product candidates;</w:t>
      </w:r>
    </w:p>
    <w:p>
      <w:pPr>
        <w:spacing w:after="0" w:line="71" w:lineRule="exact"/>
        <w:rPr>
          <w:rFonts w:ascii="Times New Roman" w:cs="Times New Roman" w:eastAsia="Times New Roman" w:hAnsi="Times New Roman"/>
          <w:sz w:val="18"/>
          <w:szCs w:val="18"/>
          <w:color w:val="auto"/>
        </w:rPr>
      </w:pPr>
    </w:p>
    <w:p>
      <w:pPr>
        <w:ind w:left="520" w:right="8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7" w:right="359" w:bottom="1440" w:gutter="0" w:footer="0" w:header="0"/>
        </w:sectPr>
      </w:pPr>
    </w:p>
    <w:bookmarkStart w:id="94" w:name="page95"/>
    <w:bookmarkEnd w:id="94"/>
    <w:p>
      <w:pPr>
        <w:ind w:left="520" w:right="3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manufacture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patients with IPF, chronic cough in patients with non-IPF ILD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patients with IPF, chronic cough in patients with non-IPF ILD or RCC or from any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patients with prurigo nodularis or for the treatment of chronic cough in patients with IPF, chronic cough in patients with non-IPF ILD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2026.</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chronic cough in patients with non-IPF ILD or RCC or any other indication, including to conduct our planned clinical trials to completion.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information related to our future commitments relating to our lease and licensing agreements, see Note 5, “Leases” and Note 13, “Collaborative and Licensing Agreements” of our Consolidated Financial Statements.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estimates and assumptions involved in the accounting policy described below may have the greatest potential impact on our Consolidated Financial Statements and, therefore, consider this to be our critical accounting policy.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entered into agreements with CROs, contract manufacturing organizations and other companies that provide services in connection with our research and development activities. Our research and development expenses as well as prepaid and accrued expenses related to these agreements, are estimated based on the level of services performed, progress of the studies, including the phase or completion of events, timing of payments made,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2024.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96" w:name="page97"/>
    <w:bookmarkEnd w:id="96"/>
    <w:p>
      <w:pPr>
        <w:ind w:right="120"/>
        <w:spacing w:after="0" w:line="261" w:lineRule="auto"/>
        <w:rPr>
          <w:sz w:val="20"/>
          <w:szCs w:val="20"/>
          <w:color w:val="auto"/>
        </w:rPr>
      </w:pPr>
      <w:r>
        <w:rPr>
          <w:rFonts w:ascii="Times New Roman" w:cs="Times New Roman" w:eastAsia="Times New Roman" w:hAnsi="Times New Roman"/>
          <w:sz w:val="18"/>
          <w:szCs w:val="18"/>
          <w:color w:val="auto"/>
        </w:rPr>
        <w:t>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2024.</w:t>
      </w:r>
    </w:p>
    <w:p>
      <w:pPr>
        <w:spacing w:after="0" w:line="72" w:lineRule="exact"/>
        <w:rPr>
          <w:sz w:val="20"/>
          <w:szCs w:val="20"/>
          <w:color w:val="auto"/>
        </w:rPr>
      </w:pPr>
    </w:p>
    <w:p>
      <w:pPr>
        <w:jc w:val="both"/>
        <w:ind w:right="34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as we are a non-accelerated filer and a “smaller reporting company”, as defined in Rule 12b-2 under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December 31, 2024 that has materially affected, or is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Director and Officer Trading Arrangements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 Rule 10b5-1 trading arrangement or a non-Rule 10b5-1 trading arrangement (as defined in Item 408(c)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7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40" w:type="dxa"/>
            <w:vAlign w:val="bottom"/>
            <w:gridSpan w:val="27"/>
          </w:tcPr>
          <w:p>
            <w:pPr>
              <w:ind w:left="780"/>
              <w:spacing w:after="0"/>
              <w:rPr>
                <w:sz w:val="20"/>
                <w:szCs w:val="20"/>
                <w:color w:val="auto"/>
              </w:rPr>
            </w:pPr>
            <w:r>
              <w:rPr>
                <w:rFonts w:ascii="Times New Roman" w:cs="Times New Roman" w:eastAsia="Times New Roman" w:hAnsi="Times New Roman"/>
                <w:sz w:val="18"/>
                <w:szCs w:val="18"/>
                <w:color w:val="auto"/>
              </w:rPr>
              <w:t>The following Consolidated Financial Statements are filed as part of this Annual Report on Form 10-K.</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74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00042)</w:t>
            </w:r>
          </w:p>
        </w:tc>
        <w:tc>
          <w:tcPr>
            <w:tcW w:w="50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434"/>
        </w:trPr>
        <w:tc>
          <w:tcPr>
            <w:tcW w:w="42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650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74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00" w:type="dxa"/>
            <w:vAlign w:val="bottom"/>
            <w:gridSpan w:val="11"/>
          </w:tcPr>
          <w:p>
            <w:pPr>
              <w:ind w:left="100"/>
              <w:spacing w:after="0" w:line="194"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EE"/>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7"/>
                <w:szCs w:val="17"/>
                <w:color w:val="auto"/>
              </w:rPr>
            </w:pPr>
          </w:p>
        </w:tc>
        <w:tc>
          <w:tcPr>
            <w:tcW w:w="7160" w:type="dxa"/>
            <w:vAlign w:val="bottom"/>
            <w:gridSpan w:val="19"/>
          </w:tcPr>
          <w:p>
            <w:pPr>
              <w:spacing w:after="0"/>
              <w:rPr>
                <w:sz w:val="17"/>
                <w:szCs w:val="17"/>
                <w:color w:val="auto"/>
              </w:rPr>
            </w:pPr>
          </w:p>
        </w:tc>
        <w:tc>
          <w:tcPr>
            <w:tcW w:w="50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160" w:type="dxa"/>
            <w:vAlign w:val="bottom"/>
            <w:gridSpan w:val="19"/>
          </w:tcPr>
          <w:p>
            <w:pPr>
              <w:spacing w:after="0"/>
              <w:rPr>
                <w:sz w:val="17"/>
                <w:szCs w:val="17"/>
                <w:color w:val="auto"/>
              </w:rPr>
            </w:pPr>
          </w:p>
        </w:tc>
        <w:tc>
          <w:tcPr>
            <w:tcW w:w="50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840" w:type="dxa"/>
            <w:vAlign w:val="bottom"/>
            <w:gridSpan w:val="22"/>
          </w:tcPr>
          <w:p>
            <w:pPr>
              <w:spacing w:after="0"/>
              <w:rPr>
                <w:sz w:val="17"/>
                <w:szCs w:val="17"/>
                <w:color w:val="auto"/>
              </w:rPr>
            </w:pPr>
          </w:p>
        </w:tc>
        <w:tc>
          <w:tcPr>
            <w:tcW w:w="50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74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EE"/>
            </w:tcBorders>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7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740" w:type="dxa"/>
            <w:vAlign w:val="bottom"/>
            <w:gridSpan w:val="27"/>
          </w:tcPr>
          <w:p>
            <w:pPr>
              <w:ind w:left="520"/>
              <w:spacing w:after="0"/>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financial statements or the notes thereto.</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40" w:type="dxa"/>
            <w:vAlign w:val="bottom"/>
            <w:gridSpan w:val="27"/>
          </w:tcPr>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8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11"/>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Restated Certificate of Incorporation of Trevi Therapeutics, Inc., as amended (incorporated by reference to Exhibit 3.1 to the Registrant’s</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Quarterly Report on Form 10-Q (File No. 001-38886) filed with the SEC on August 10,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2600" w:type="dxa"/>
            <w:vAlign w:val="bottom"/>
            <w:tcBorders>
              <w:top w:val="single" w:sz="8" w:color="0000FF"/>
            </w:tcBorders>
            <w:gridSpan w:val="5"/>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Bylaws of Trevi Therapeutics, Inc. (incorporated by reference to Exhibit 3.1 to the Registrant’s Current Report</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on Form 8-K (File No. 001-38886) filed with the SEC on April 14,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4100" w:type="dxa"/>
            <w:vAlign w:val="bottom"/>
            <w:tcBorders>
              <w:top w:val="single" w:sz="8" w:color="0000FF"/>
            </w:tcBorders>
            <w:gridSpan w:val="9"/>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Specimen Stock Certificate evidencing the shares of common stock (incorporated by reference to Exhibit 4.1 to the Registrant’s</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Registration Statement on Form S-1 (File No. 333-230745) filed with the SEC on April 5, 2019)</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Description of Registrant’s Securities (incorporated by reference to Exhibit 4.2 to the Registrant’s Annual Report on Form 10-K (File</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No. 001-38886) filed with the SEC on March 20, 2024)</w:t>
              </w:r>
            </w:hyperlink>
          </w:p>
        </w:tc>
        <w:tc>
          <w:tcPr>
            <w:tcW w:w="5400" w:type="dxa"/>
            <w:vAlign w:val="bottom"/>
            <w:tcBorders>
              <w:top w:val="single" w:sz="8" w:color="0000FF"/>
            </w:tcBorders>
            <w:gridSpan w:val="13"/>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7-Year Common Stock Warrant dated October 5, 2021 (incorporated by reference to Exhibit 4.2 to the Registrant’s Current</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Report on Form 8-K (File No. 001-38886) filed with the SEC on October 1, 2021)</w:t>
              </w:r>
            </w:hyperlink>
          </w:p>
        </w:tc>
        <w:tc>
          <w:tcPr>
            <w:tcW w:w="3480" w:type="dxa"/>
            <w:vAlign w:val="bottom"/>
            <w:tcBorders>
              <w:top w:val="single" w:sz="8" w:color="0000FF"/>
            </w:tcBorders>
            <w:gridSpan w:val="8"/>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7-Year Common Stock Warrant dated October 18, 2021 (incorporated by reference to Exhibit 4.1 to the Registrant’s Current</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Report on Form 8-K (File No. 001-38886) filed with the SEC on October 19, 2021)</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3.5-Year Common Stock Warrant dated October 18, 2021 (incorporated by reference to Exhibit 4.2 to the Registrant’s Current</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Report on Form 8-K (File No. 001-38886) filed with the SEC on October 19, 2021)</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38886) filed with the SEC on April 7, 2022)</w:t>
              </w:r>
            </w:hyperlink>
          </w:p>
        </w:tc>
        <w:tc>
          <w:tcPr>
            <w:tcW w:w="6220" w:type="dxa"/>
            <w:vAlign w:val="bottom"/>
            <w:tcBorders>
              <w:top w:val="single" w:sz="8" w:color="0000FF"/>
            </w:tcBorders>
            <w:gridSpan w:val="17"/>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38886) filed with the SEC on September 23,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5720" w:type="dxa"/>
            <w:vAlign w:val="bottom"/>
            <w:tcBorders>
              <w:top w:val="single" w:sz="8" w:color="0000FF"/>
            </w:tcBorders>
            <w:gridSpan w:val="14"/>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Amended and Restated Investors’ Rights Agreement dated as of July 14, 2017 (incorporated by reference to Exhibit 10.1 to the</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Registrant’s Registration Statement on Form S-1 (File No. 333-230745) filed with the SEC on April 5, 2019)</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40" w:type="dxa"/>
            <w:vAlign w:val="bottom"/>
            <w:tcBorders>
              <w:right w:val="single" w:sz="8" w:color="0000EE"/>
            </w:tcBorders>
            <w:gridSpan w:val="9"/>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2012 Stock Incentive Plan, as amended (incorporated by reference to Exhibit 10.2 to the Registrant’s Registration Statement on Form S-</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 (File No. 333-230745) filed with the SEC on April 5, 2019)</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Nonstatutory Stock Option Agreement under the 2012 Stock Incentive Plan (incorporated by reference to Exhibit 10.3 to the</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Registrant’s Registration Statement on Form S-1 (File No. 333-230745) filed with the SEC on April 5, 2019)</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3560" w:type="dxa"/>
            <w:vAlign w:val="bottom"/>
            <w:tcBorders>
              <w:right w:val="single" w:sz="8" w:color="0000EE"/>
            </w:tcBorders>
            <w:gridSpan w:val="10"/>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2019 Stock Incentive Plan (incorporated by reference to Exhibit 10.4 to the Registrant’s Registration Statement on Form S-1 (File No.</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333-230745) filed with the SEC on April 5, 2019)</w:t>
              </w:r>
            </w:hyperlink>
          </w:p>
        </w:tc>
        <w:tc>
          <w:tcPr>
            <w:tcW w:w="5800" w:type="dxa"/>
            <w:vAlign w:val="bottom"/>
            <w:tcBorders>
              <w:top w:val="single" w:sz="8" w:color="0000FF"/>
            </w:tcBorders>
            <w:gridSpan w:val="16"/>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Stock Option Agreement under the 2019 Stock Incentive Plan (incorporated by reference to Exhibit 10.5 to the Registrant’s</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Registration Statement on Form S-1 (File No. 333-230745) filed with the SEC on April 5, 2019)</w:t>
              </w:r>
            </w:hyperlink>
          </w:p>
        </w:tc>
        <w:tc>
          <w:tcPr>
            <w:tcW w:w="20" w:type="dxa"/>
            <w:vAlign w:val="bottom"/>
            <w:tcBorders>
              <w:top w:val="single" w:sz="8" w:color="0000FF"/>
              <w:bottom w:val="single" w:sz="8" w:color="0000EE"/>
            </w:tcBorders>
          </w:tcPr>
          <w:p>
            <w:pPr>
              <w:spacing w:after="0"/>
              <w:rPr>
                <w:sz w:val="17"/>
                <w:szCs w:val="17"/>
                <w:color w:val="auto"/>
              </w:rPr>
            </w:pPr>
          </w:p>
        </w:tc>
        <w:tc>
          <w:tcPr>
            <w:tcW w:w="2440" w:type="dxa"/>
            <w:vAlign w:val="bottom"/>
            <w:tcBorders>
              <w:top w:val="single" w:sz="8" w:color="0000FF"/>
            </w:tcBorders>
            <w:gridSpan w:val="3"/>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2019 Employee Stock Purchase Plan (incorporated by reference to Exhibit 10.6 to the Registrant’s Registration Statement on Form S-1</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(File No. 333-230745) filed with the SEC on April 5, 2019)</w:t>
              </w:r>
            </w:hyperlink>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00" w:type="dxa"/>
            <w:vAlign w:val="bottom"/>
            <w:tcBorders>
              <w:right w:val="single" w:sz="8" w:color="0000EE"/>
            </w:tcBorders>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20" w:type="dxa"/>
            <w:vAlign w:val="bottom"/>
            <w:gridSpan w:val="13"/>
          </w:tcPr>
          <w:p>
            <w:pPr>
              <w:ind w:left="4200"/>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6540" w:type="dxa"/>
            <w:vAlign w:val="bottom"/>
            <w:gridSpan w:val="30"/>
          </w:tcPr>
          <w:p>
            <w:pPr>
              <w:spacing w:after="0"/>
              <w:rPr>
                <w:sz w:val="17"/>
                <w:szCs w:val="17"/>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Trevi Therapeutics, Inc. Executive Separation Benefits and Retention Plan (incorporated by reference to Exhibit 10.1 to the Registrant’s</w:t>
              </w:r>
            </w:hyperlink>
          </w:p>
        </w:tc>
        <w:tc>
          <w:tcPr>
            <w:tcW w:w="60" w:type="dxa"/>
            <w:vAlign w:val="bottom"/>
            <w:gridSpan w:val="3"/>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6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Current Report on Form 8-K (File No. 001-38886) filed with the SEC on September 24, 2019)</w:t>
              </w:r>
            </w:hyperlink>
          </w:p>
        </w:tc>
        <w:tc>
          <w:tcPr>
            <w:tcW w:w="3100" w:type="dxa"/>
            <w:vAlign w:val="bottom"/>
            <w:gridSpan w:val="23"/>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6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Employment Agreement, dated December 4, 2012, by and between the Registrant and Jennifer L. Good (incorporated by reference to</w:t>
              </w:r>
            </w:hyperlink>
          </w:p>
        </w:tc>
        <w:tc>
          <w:tcPr>
            <w:tcW w:w="24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10.8 to the Registrant’s Registration Statement on Form S-1 (File No. 333-230745) filed with the SEC on April 5, 2019)</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4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Consulting Services Agreement, dated as of September 28, 2024, by and between the Registrant and David Clark, MBChB, MRCP</w:t>
              </w:r>
            </w:hyperlink>
          </w:p>
        </w:tc>
        <w:tc>
          <w:tcPr>
            <w:tcW w:w="420" w:type="dxa"/>
            <w:vAlign w:val="bottom"/>
            <w:gridSpan w:val="1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74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10.2 to the Registrant’s Quarterly Report on Form 10-Q (File No. 001-38886) filed with the SEC</w:t>
              </w:r>
            </w:hyperlink>
          </w:p>
        </w:tc>
        <w:tc>
          <w:tcPr>
            <w:tcW w:w="16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on November 6, 2024)</w:t>
              </w:r>
            </w:hyperlink>
          </w:p>
        </w:tc>
        <w:tc>
          <w:tcPr>
            <w:tcW w:w="20" w:type="dxa"/>
            <w:vAlign w:val="bottom"/>
            <w:tcBorders>
              <w:bottom w:val="single" w:sz="8" w:color="0000EE"/>
            </w:tcBorders>
          </w:tcPr>
          <w:p>
            <w:pPr>
              <w:spacing w:after="0"/>
              <w:rPr>
                <w:sz w:val="17"/>
                <w:szCs w:val="17"/>
                <w:color w:val="auto"/>
              </w:rPr>
            </w:pPr>
          </w:p>
        </w:tc>
        <w:tc>
          <w:tcPr>
            <w:tcW w:w="8240" w:type="dxa"/>
            <w:vAlign w:val="bottom"/>
            <w:gridSpan w:val="35"/>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860" w:type="dxa"/>
            <w:vAlign w:val="bottom"/>
            <w:tcBorders>
              <w:bottom w:val="single" w:sz="8" w:color="0000FF"/>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Offer Letter, dated December 4, 2012, by and between the Registrant and Thomas R. Sciascia (incorporated by referred to Exhibit 10.10</w:t>
            </w:r>
          </w:p>
        </w:tc>
        <w:tc>
          <w:tcPr>
            <w:tcW w:w="4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to the Registrant’s Annual Report on Form 10-K (File No. 001-38886) filed with the SEC on March 16, 2020)</w:t>
            </w: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Offer Letter, dated June 17, 2021, by and between the Registrant and Lisa Delfini (incorporated by reference to Exhibit 10.5 to the</w:t>
              </w:r>
            </w:hyperlink>
          </w:p>
        </w:tc>
        <w:tc>
          <w:tcPr>
            <w:tcW w:w="460" w:type="dxa"/>
            <w:vAlign w:val="bottom"/>
            <w:gridSpan w:val="16"/>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Registrant’s Quarterly Report on Form 10-Q (File No. 001-38886) filed with the SEC on August 12, 2021)</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6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Offer Letter, dated as of September 27, 2024, by and between the Registrant and James Cassella, Ph.D. (incorporated by reference to</w:t>
              </w:r>
            </w:hyperlink>
          </w:p>
        </w:tc>
        <w:tc>
          <w:tcPr>
            <w:tcW w:w="300" w:type="dxa"/>
            <w:vAlign w:val="bottom"/>
            <w:gridSpan w:val="11"/>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10.3 to the Registrant’s Quarterly Report on Form 10-Q (File No. 001 38886) filed with the SEC on November 6, 2024)</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90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Exhibit 10.12 to the Registrant’s Registration Statement on Form S-1 (File No. 333-230745) filed with the SEC on April 5, 2019)</w:t>
              </w:r>
            </w:hyperlink>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72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Indenture of Lease, dated February 6, 2013, by and between First Niagara Bank, N.A. and the Registrant (incorporated by reference to</w:t>
              </w:r>
            </w:hyperlink>
          </w:p>
        </w:tc>
        <w:tc>
          <w:tcPr>
            <w:tcW w:w="180" w:type="dxa"/>
            <w:vAlign w:val="bottom"/>
            <w:gridSpan w:val="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10.13 to the Registrant’s Registration Statement on Form S-1 (File No. 333-230745) filed with the SEC on April 5, 2019)</w:t>
              </w:r>
            </w:hyperlink>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8960" w:type="dxa"/>
            <w:vAlign w:val="bottom"/>
            <w:tcBorders>
              <w:top w:val="single" w:sz="8" w:color="0000FF"/>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Lease, dated December 5, 2017, by and between the Registrant and 195 Church Street Associates, LLC</w:t>
              </w:r>
            </w:hyperlink>
          </w:p>
        </w:tc>
        <w:tc>
          <w:tcPr>
            <w:tcW w:w="380" w:type="dxa"/>
            <w:vAlign w:val="bottom"/>
            <w:tcBorders>
              <w:top w:val="single" w:sz="8" w:color="0000FF"/>
            </w:tcBorders>
            <w:gridSpan w:val="3"/>
          </w:tcPr>
          <w:p>
            <w:pPr>
              <w:spacing w:after="0"/>
              <w:rPr>
                <w:sz w:val="17"/>
                <w:szCs w:val="17"/>
                <w:color w:val="auto"/>
              </w:rPr>
            </w:pPr>
          </w:p>
        </w:tc>
        <w:tc>
          <w:tcPr>
            <w:tcW w:w="560" w:type="dxa"/>
            <w:vAlign w:val="bottom"/>
            <w:gridSpan w:val="17"/>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10.14 to the Registrant’s Registration Statement on Form S-1 (File No. 333-230745) filed with the</w:t>
              </w:r>
            </w:hyperlink>
          </w:p>
        </w:tc>
        <w:tc>
          <w:tcPr>
            <w:tcW w:w="60" w:type="dxa"/>
            <w:vAlign w:val="bottom"/>
            <w:gridSpan w:val="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SEC on April 5, 2019)</w:t>
              </w:r>
            </w:hyperlink>
          </w:p>
        </w:tc>
        <w:tc>
          <w:tcPr>
            <w:tcW w:w="20" w:type="dxa"/>
            <w:vAlign w:val="bottom"/>
            <w:tcBorders>
              <w:bottom w:val="single" w:sz="8" w:color="0000EE"/>
            </w:tcBorders>
          </w:tcPr>
          <w:p>
            <w:pPr>
              <w:spacing w:after="0"/>
              <w:rPr>
                <w:sz w:val="17"/>
                <w:szCs w:val="17"/>
                <w:color w:val="auto"/>
              </w:rPr>
            </w:pPr>
          </w:p>
        </w:tc>
        <w:tc>
          <w:tcPr>
            <w:tcW w:w="8260" w:type="dxa"/>
            <w:vAlign w:val="bottom"/>
            <w:gridSpan w:val="36"/>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3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Amendment to Lease, dated November 21, 2022, by and between the Registrant and 195 Church Street Associates, LLC</w:t>
              </w:r>
            </w:hyperlink>
          </w:p>
        </w:tc>
        <w:tc>
          <w:tcPr>
            <w:tcW w:w="560" w:type="dxa"/>
            <w:vAlign w:val="bottom"/>
            <w:gridSpan w:val="17"/>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10.16 to the Registrant’s Annual Report on Form 10-K (File No. 001-38886) filed with the SEC on</w:t>
              </w:r>
            </w:hyperlink>
          </w:p>
        </w:tc>
      </w:tr>
      <w:tr>
        <w:trPr>
          <w:trHeight w:val="196"/>
        </w:trPr>
        <w:tc>
          <w:tcPr>
            <w:tcW w:w="1340" w:type="dxa"/>
            <w:vAlign w:val="bottom"/>
          </w:tcPr>
          <w:p>
            <w:pPr>
              <w:spacing w:after="0"/>
              <w:rPr>
                <w:sz w:val="17"/>
                <w:szCs w:val="17"/>
                <w:color w:val="auto"/>
              </w:rPr>
            </w:pPr>
          </w:p>
        </w:tc>
        <w:tc>
          <w:tcPr>
            <w:tcW w:w="12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March 16, 2023)</w:t>
              </w:r>
            </w:hyperlink>
          </w:p>
        </w:tc>
        <w:tc>
          <w:tcPr>
            <w:tcW w:w="8700" w:type="dxa"/>
            <w:vAlign w:val="bottom"/>
            <w:gridSpan w:val="40"/>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8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Exclusive License Agreement, dated as of May 13, 2011, by and between the Registrant and Penwest Pharmaceuticals Co. (incorporated</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by reference to Exhibit 10.15 to the Registrant’s Registration Statement on Form S-1 (File No. 333-230745) filed with the SEC on April</w:t>
              </w:r>
            </w:hyperlink>
          </w:p>
        </w:tc>
      </w:tr>
      <w:tr>
        <w:trPr>
          <w:trHeight w:val="196"/>
        </w:trPr>
        <w:tc>
          <w:tcPr>
            <w:tcW w:w="134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58">
              <w:r>
                <w:rPr>
                  <w:rFonts w:ascii="Times New Roman" w:cs="Times New Roman" w:eastAsia="Times New Roman" w:hAnsi="Times New Roman"/>
                  <w:sz w:val="18"/>
                  <w:szCs w:val="18"/>
                  <w:color w:val="0000FF"/>
                  <w:w w:val="96"/>
                </w:rPr>
                <w:t>5, 2019)</w:t>
              </w:r>
            </w:hyperlink>
          </w:p>
        </w:tc>
        <w:tc>
          <w:tcPr>
            <w:tcW w:w="20" w:type="dxa"/>
            <w:vAlign w:val="bottom"/>
            <w:tcBorders>
              <w:top w:val="single" w:sz="8" w:color="0000FF"/>
              <w:bottom w:val="single" w:sz="8" w:color="0000EE"/>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8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Share Purchase Agreement, dated as of May 6, 2019, by and between the Registrant and New Enterprise Associates 16, L.P.</w:t>
              </w:r>
            </w:hyperlink>
          </w:p>
        </w:tc>
        <w:tc>
          <w:tcPr>
            <w:tcW w:w="920" w:type="dxa"/>
            <w:vAlign w:val="bottom"/>
            <w:gridSpan w:val="19"/>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10.17 to Amendment No. 3 to Registrant’s Registration Statement on Form S-1 (File No. 333-</w:t>
              </w:r>
            </w:hyperlink>
          </w:p>
        </w:tc>
      </w:tr>
      <w:tr>
        <w:trPr>
          <w:trHeight w:val="196"/>
        </w:trPr>
        <w:tc>
          <w:tcPr>
            <w:tcW w:w="13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230745) filed with the SEC on May 7, 2019)</w:t>
              </w:r>
            </w:hyperlink>
          </w:p>
        </w:tc>
        <w:tc>
          <w:tcPr>
            <w:tcW w:w="20" w:type="dxa"/>
            <w:vAlign w:val="bottom"/>
            <w:tcBorders>
              <w:top w:val="single" w:sz="8" w:color="0000FF"/>
              <w:bottom w:val="single" w:sz="8" w:color="0000EE"/>
            </w:tcBorders>
          </w:tcPr>
          <w:p>
            <w:pPr>
              <w:spacing w:after="0"/>
              <w:rPr>
                <w:sz w:val="17"/>
                <w:szCs w:val="17"/>
                <w:color w:val="auto"/>
              </w:rPr>
            </w:pPr>
          </w:p>
        </w:tc>
        <w:tc>
          <w:tcPr>
            <w:tcW w:w="6240" w:type="dxa"/>
            <w:vAlign w:val="bottom"/>
            <w:tcBorders>
              <w:top w:val="single" w:sz="8" w:color="0000FF"/>
            </w:tcBorders>
            <w:gridSpan w:val="18"/>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8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Securities Purchase Agreement dated September 30, 2021 (incorporated by reference to Exhibit 99.1 to the Registrant’s Current</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25"/>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6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Registration Rights Agreement dated September 30, 2021 (incorporated by reference to Exhibit 99.2 to the Registrant’s Current</w:t>
              </w:r>
            </w:hyperlink>
          </w:p>
        </w:tc>
        <w:tc>
          <w:tcPr>
            <w:tcW w:w="4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Report on Form 8-K (File No. 001-38886) filed with the SEC on October 1, 2021)</w:t>
              </w:r>
            </w:hyperlink>
          </w:p>
        </w:tc>
        <w:tc>
          <w:tcPr>
            <w:tcW w:w="20" w:type="dxa"/>
            <w:vAlign w:val="bottom"/>
            <w:tcBorders>
              <w:bottom w:val="single" w:sz="8" w:color="0000EE"/>
            </w:tcBorders>
          </w:tcPr>
          <w:p>
            <w:pPr>
              <w:spacing w:after="0"/>
              <w:rPr>
                <w:sz w:val="17"/>
                <w:szCs w:val="17"/>
                <w:color w:val="auto"/>
              </w:rPr>
            </w:pPr>
          </w:p>
        </w:tc>
        <w:tc>
          <w:tcPr>
            <w:tcW w:w="3960" w:type="dxa"/>
            <w:vAlign w:val="bottom"/>
            <w:gridSpan w:val="25"/>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7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Securities Purchase Agreement dated October 15, 2021 (incorporated by reference to Exhibit 99.1 to the Registrant’s Current</w:t>
              </w:r>
            </w:hyperlink>
          </w:p>
        </w:tc>
        <w:tc>
          <w:tcPr>
            <w:tcW w:w="200" w:type="dxa"/>
            <w:vAlign w:val="bottom"/>
            <w:gridSpan w:val="6"/>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6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Registration Rights Agreement dated October 15, 2021 (incorporated by reference to Exhibit 99.2 to the Registrant’s Current</w:t>
              </w:r>
            </w:hyperlink>
          </w:p>
        </w:tc>
        <w:tc>
          <w:tcPr>
            <w:tcW w:w="220" w:type="dxa"/>
            <w:vAlign w:val="bottom"/>
            <w:gridSpan w:val="7"/>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Report on Form 8-K (File No. 001-38886) filed with the SEC on October 19, 2021)</w:t>
              </w:r>
            </w:hyperlink>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6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Securities Purchase Agreement, dated April 6, 2022, by and among the Registrant and the Purchasers named therein (incorporated by</w:t>
              </w:r>
            </w:hyperlink>
          </w:p>
        </w:tc>
        <w:tc>
          <w:tcPr>
            <w:tcW w:w="24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5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reference to Exhibit 99.1 to the Registrant’s Current Report on Form 8-K (File No. 001-38886) filed with the SEC on April 7, 2022)</w:t>
              </w:r>
            </w:hyperlink>
          </w:p>
        </w:tc>
        <w:tc>
          <w:tcPr>
            <w:tcW w:w="380" w:type="dxa"/>
            <w:vAlign w:val="bottom"/>
            <w:gridSpan w:val="14"/>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6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Registration Rights Agreement, dated April 6, 2022, by and among the Registrant and the Purchasers named therein (incorporated by</w:t>
              </w:r>
            </w:hyperlink>
          </w:p>
        </w:tc>
        <w:tc>
          <w:tcPr>
            <w:tcW w:w="260" w:type="dxa"/>
            <w:vAlign w:val="bottom"/>
            <w:gridSpan w:val="9"/>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5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reference to Exhibit 99.2 to the Registrant’s Current Report on Form 8-K (File No. 001-38886) filed with the SEC on April 7, 2022)</w:t>
              </w:r>
            </w:hyperlink>
          </w:p>
        </w:tc>
        <w:tc>
          <w:tcPr>
            <w:tcW w:w="380" w:type="dxa"/>
            <w:vAlign w:val="bottom"/>
            <w:gridSpan w:val="14"/>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9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Insider Trading Policy</w:t>
            </w: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43"/>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List of Subsidiaries (incorporated by reference to Exhibit 21.1 to the Registrant’s Registration Statement on Form S-1 (File No. 333-</w:t>
              </w:r>
            </w:hyperlink>
          </w:p>
        </w:tc>
      </w:tr>
      <w:tr>
        <w:trPr>
          <w:trHeight w:val="196"/>
        </w:trPr>
        <w:tc>
          <w:tcPr>
            <w:tcW w:w="1340" w:type="dxa"/>
            <w:vAlign w:val="bottom"/>
          </w:tcPr>
          <w:p>
            <w:pPr>
              <w:spacing w:after="0"/>
              <w:rPr>
                <w:sz w:val="17"/>
                <w:szCs w:val="17"/>
                <w:color w:val="auto"/>
              </w:rPr>
            </w:pPr>
          </w:p>
        </w:tc>
        <w:tc>
          <w:tcPr>
            <w:tcW w:w="954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230745) filed with the SEC on April 5, 2019)</w:t>
              </w:r>
            </w:hyperlink>
          </w:p>
        </w:tc>
        <w:tc>
          <w:tcPr>
            <w:tcW w:w="360" w:type="dxa"/>
            <w:vAlign w:val="bottom"/>
            <w:gridSpan w:val="13"/>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20" w:type="dxa"/>
            <w:vAlign w:val="bottom"/>
            <w:tcBorders>
              <w:bottom w:val="single" w:sz="8" w:color="0000EE"/>
            </w:tcBorders>
          </w:tcPr>
          <w:p>
            <w:pPr>
              <w:spacing w:after="0"/>
              <w:rPr>
                <w:sz w:val="18"/>
                <w:szCs w:val="18"/>
                <w:color w:val="auto"/>
              </w:rPr>
            </w:pPr>
          </w:p>
        </w:tc>
        <w:tc>
          <w:tcPr>
            <w:tcW w:w="4180" w:type="dxa"/>
            <w:vAlign w:val="bottom"/>
            <w:gridSpan w:val="27"/>
          </w:tcPr>
          <w:p>
            <w:pPr>
              <w:spacing w:after="0"/>
              <w:rPr>
                <w:sz w:val="18"/>
                <w:szCs w:val="18"/>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4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tcBorders>
              <w:right w:val="single" w:sz="8" w:color="0000EE"/>
            </w:tcBorders>
            <w:gridSpan w:val="9"/>
            <w:shd w:val="clear" w:color="auto" w:fill="0000FF"/>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80" w:type="dxa"/>
            <w:vAlign w:val="bottom"/>
            <w:gridSpan w:val="10"/>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tcBorders>
              <w:right w:val="single" w:sz="8" w:color="0000EE"/>
            </w:tcBorders>
            <w:gridSpan w:val="9"/>
            <w:shd w:val="clear" w:color="auto" w:fill="0000FF"/>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34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40" w:type="dxa"/>
            <w:vAlign w:val="bottom"/>
            <w:tcBorders>
              <w:top w:val="single" w:sz="8" w:color="0000FF"/>
            </w:tcBorders>
            <w:gridSpan w:val="27"/>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196"/>
        </w:trPr>
        <w:tc>
          <w:tcPr>
            <w:tcW w:w="1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40" w:type="dxa"/>
            <w:vAlign w:val="bottom"/>
            <w:gridSpan w:val="1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3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560" w:type="dxa"/>
            <w:vAlign w:val="bottom"/>
            <w:gridSpan w:val="39"/>
          </w:tcPr>
          <w:p>
            <w:pPr>
              <w:spacing w:after="0"/>
              <w:rPr>
                <w:sz w:val="17"/>
                <w:szCs w:val="17"/>
                <w:color w:val="auto"/>
              </w:rPr>
            </w:pPr>
          </w:p>
        </w:tc>
      </w:tr>
      <w:tr>
        <w:trPr>
          <w:trHeight w:val="452"/>
        </w:trPr>
        <w:tc>
          <w:tcPr>
            <w:tcW w:w="1340" w:type="dxa"/>
            <w:vAlign w:val="bottom"/>
          </w:tcPr>
          <w:p>
            <w:pPr>
              <w:spacing w:after="0"/>
              <w:rPr>
                <w:sz w:val="24"/>
                <w:szCs w:val="24"/>
                <w:color w:val="auto"/>
              </w:rPr>
            </w:pPr>
          </w:p>
        </w:tc>
        <w:tc>
          <w:tcPr>
            <w:tcW w:w="4940" w:type="dxa"/>
            <w:vAlign w:val="bottom"/>
            <w:gridSpan w:val="14"/>
          </w:tcPr>
          <w:p>
            <w:pPr>
              <w:ind w:left="4200"/>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99" w:name="page100"/>
    <w:bookmarkEnd w:id="99"/>
    <w:p>
      <w:pPr>
        <w:ind w:left="1340" w:hanging="1319"/>
        <w:spacing w:after="0" w:line="261" w:lineRule="auto"/>
        <w:tabs>
          <w:tab w:leader="none" w:pos="1340" w:val="left"/>
        </w:tabs>
        <w:numPr>
          <w:ilvl w:val="0"/>
          <w:numId w:val="48"/>
        </w:numPr>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Dodd-Frank Compensation Recovery Policy (incorporated by reference to Exhibit 97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(File No. 001-38886) filed with the SEC on March 20,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845185</wp:posOffset>
            </wp:positionH>
            <wp:positionV relativeFrom="paragraph">
              <wp:posOffset>-161925</wp:posOffset>
            </wp:positionV>
            <wp:extent cx="61810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-24765</wp:posOffset>
            </wp:positionV>
            <wp:extent cx="27863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ectPr>
          <w:pgSz w:w="11900" w:h="16838" w:orient="portrait"/>
          <w:cols w:equalWidth="0" w:num="1">
            <w:col w:w="11020"/>
          </w:cols>
          <w:pgMar w:left="320" w:top="1161" w:right="5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20" w:lineRule="exact"/>
        <w:rPr>
          <w:rFonts w:ascii="Times New Roman" w:cs="Times New Roman" w:eastAsia="Times New Roman" w:hAnsi="Times New Roman"/>
          <w:sz w:val="18"/>
          <w:szCs w:val="18"/>
          <w:color w:val="auto"/>
        </w:rPr>
      </w:pPr>
    </w:p>
    <w:p>
      <w:pPr>
        <w:sectPr>
          <w:pgSz w:w="11900" w:h="16838" w:orient="portrait"/>
          <w:cols w:equalWidth="0" w:num="2">
            <w:col w:w="780" w:space="560"/>
            <w:col w:w="9680"/>
          </w:cols>
          <w:pgMar w:left="320" w:top="1161" w:right="559" w:bottom="1440" w:gutter="0" w:footer="0" w:header="0"/>
          <w:type w:val="continuous"/>
        </w:sectPr>
      </w:pPr>
    </w:p>
    <w:p>
      <w:pPr>
        <w:ind w:left="1340" w:hanging="1319"/>
        <w:spacing w:after="0"/>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50"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1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which portions have been omitted and filed separately with the Securities and Exchange Commission.</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61" w:right="559" w:bottom="1440" w:gutter="0" w:footer="0" w:header="0"/>
          <w:type w:val="continuous"/>
        </w:sectPr>
      </w:pPr>
    </w:p>
    <w:bookmarkStart w:id="100" w:name="page101"/>
    <w:bookmarkEnd w:id="10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TREVI THERAPEUTICS, INC.</w:t>
      </w:r>
    </w:p>
    <w:p>
      <w:pPr>
        <w:spacing w:after="0" w:line="225"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Jennifer Good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sectPr>
      </w:pPr>
    </w:p>
    <w:p>
      <w:pPr>
        <w:spacing w:after="0" w:line="1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Jennifer Good</w:t>
      </w:r>
    </w:p>
    <w:p>
      <w:pPr>
        <w:spacing w:after="0" w:line="2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Lisa Delfini</w:t>
      </w:r>
    </w:p>
    <w:p>
      <w:pPr>
        <w:spacing w:after="0" w:line="2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Christopher Galletta</w:t>
      </w:r>
    </w:p>
    <w:p>
      <w:pPr>
        <w:spacing w:after="0" w:line="2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David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David Meeker, M.D.</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Dominick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Dominick Colangelo</w:t>
      </w: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Michael Heffernan</w:t>
      </w: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Edward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Edward Mathers</w:t>
      </w: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Anne VanLent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Anne VanLent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234"/>
        </w:trPr>
        <w:tc>
          <w:tcPr>
            <w:tcW w:w="41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20"/>
                <w:szCs w:val="20"/>
                <w:color w:val="auto"/>
              </w:rPr>
            </w:pPr>
          </w:p>
        </w:tc>
      </w:tr>
      <w:tr>
        <w:trPr>
          <w:trHeight w:val="454"/>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234"/>
        </w:trPr>
        <w:tc>
          <w:tcPr>
            <w:tcW w:w="41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80" w:type="dxa"/>
            <w:vAlign w:val="bottom"/>
          </w:tcPr>
          <w:p>
            <w:pPr>
              <w:spacing w:after="0"/>
              <w:rPr>
                <w:sz w:val="20"/>
                <w:szCs w:val="20"/>
                <w:color w:val="auto"/>
              </w:rPr>
            </w:pPr>
          </w:p>
        </w:tc>
      </w:tr>
      <w:tr>
        <w:trPr>
          <w:trHeight w:val="454"/>
        </w:trPr>
        <w:tc>
          <w:tcPr>
            <w:tcW w:w="41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Controller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234"/>
        </w:trPr>
        <w:tc>
          <w:tcPr>
            <w:tcW w:w="41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80" w:type="dxa"/>
            <w:vAlign w:val="bottom"/>
          </w:tcPr>
          <w:p>
            <w:pPr>
              <w:spacing w:after="0"/>
              <w:rPr>
                <w:sz w:val="20"/>
                <w:szCs w:val="20"/>
                <w:color w:val="auto"/>
              </w:rPr>
            </w:pPr>
          </w:p>
        </w:tc>
      </w:tr>
      <w:tr>
        <w:trPr>
          <w:trHeight w:val="472"/>
        </w:trPr>
        <w:tc>
          <w:tcPr>
            <w:tcW w:w="41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Chairman of the Board</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864"/>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796"/>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783"/>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r>
        <w:trPr>
          <w:trHeight w:val="783"/>
        </w:trPr>
        <w:tc>
          <w:tcPr>
            <w:tcW w:w="41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March 18, 2025</w:t>
            </w:r>
          </w:p>
        </w:tc>
      </w:tr>
    </w:tbl>
    <w:p>
      <w:pPr>
        <w:spacing w:after="0" w:line="393" w:lineRule="exact"/>
        <w:rPr>
          <w:sz w:val="20"/>
          <w:szCs w:val="20"/>
          <w:color w:val="auto"/>
        </w:rPr>
      </w:pPr>
    </w:p>
    <w:p>
      <w:pPr>
        <w:sectPr>
          <w:pgSz w:w="11900" w:h="16838" w:orient="portrait"/>
          <w:cols w:equalWidth="0" w:num="2">
            <w:col w:w="3840" w:space="720"/>
            <w:col w:w="6580"/>
          </w:cols>
          <w:pgMar w:left="320" w:top="1157" w:right="439" w:bottom="1440" w:gutter="0" w:footer="0" w:header="0"/>
          <w:type w:val="continuous"/>
        </w:sect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type w:val="continuous"/>
        </w:sectPr>
      </w:pPr>
    </w:p>
    <w:bookmarkStart w:id="101" w:name="page102"/>
    <w:bookmarkEnd w:id="101"/>
    <w:p>
      <w:pPr>
        <w:ind w:left="468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62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F-2</w:t>
            </w:r>
          </w:p>
        </w:tc>
      </w:tr>
      <w:tr>
        <w:trPr>
          <w:trHeight w:val="434"/>
        </w:trPr>
        <w:tc>
          <w:tcPr>
            <w:tcW w:w="36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6620" w:type="dxa"/>
            <w:vAlign w:val="bottom"/>
          </w:tcPr>
          <w:p>
            <w:pPr>
              <w:spacing w:after="0"/>
              <w:rPr>
                <w:sz w:val="24"/>
                <w:szCs w:val="24"/>
                <w:color w:val="auto"/>
              </w:rPr>
            </w:pPr>
          </w:p>
        </w:tc>
      </w:tr>
      <w:tr>
        <w:trPr>
          <w:trHeight w:val="194"/>
        </w:trPr>
        <w:tc>
          <w:tcPr>
            <w:tcW w:w="360" w:type="dxa"/>
            <w:vAlign w:val="bottom"/>
          </w:tcPr>
          <w:p>
            <w:pPr>
              <w:spacing w:after="0"/>
              <w:rPr>
                <w:sz w:val="16"/>
                <w:szCs w:val="16"/>
                <w:color w:val="auto"/>
              </w:rPr>
            </w:pPr>
          </w:p>
        </w:tc>
        <w:tc>
          <w:tcPr>
            <w:tcW w:w="42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620" w:type="dxa"/>
            <w:vAlign w:val="bottom"/>
          </w:tcPr>
          <w:p>
            <w:pPr>
              <w:ind w:left="6020"/>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36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6620" w:type="dxa"/>
            <w:vAlign w:val="bottom"/>
          </w:tcPr>
          <w:p>
            <w:pPr>
              <w:ind w:left="602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360" w:type="dxa"/>
            <w:vAlign w:val="bottom"/>
          </w:tcPr>
          <w:p>
            <w:pPr>
              <w:spacing w:after="0"/>
              <w:rPr>
                <w:sz w:val="17"/>
                <w:szCs w:val="17"/>
                <w:color w:val="auto"/>
              </w:rPr>
            </w:pPr>
          </w:p>
        </w:tc>
        <w:tc>
          <w:tcPr>
            <w:tcW w:w="3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00" w:type="dxa"/>
            <w:vAlign w:val="bottom"/>
          </w:tcPr>
          <w:p>
            <w:pPr>
              <w:spacing w:after="0"/>
              <w:rPr>
                <w:sz w:val="17"/>
                <w:szCs w:val="17"/>
                <w:color w:val="auto"/>
              </w:rPr>
            </w:pPr>
          </w:p>
        </w:tc>
        <w:tc>
          <w:tcPr>
            <w:tcW w:w="6620" w:type="dxa"/>
            <w:vAlign w:val="bottom"/>
          </w:tcPr>
          <w:p>
            <w:pPr>
              <w:ind w:left="602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360" w:type="dxa"/>
            <w:vAlign w:val="bottom"/>
          </w:tcPr>
          <w:p>
            <w:pPr>
              <w:spacing w:after="0"/>
              <w:rPr>
                <w:sz w:val="17"/>
                <w:szCs w:val="17"/>
                <w:color w:val="auto"/>
              </w:rPr>
            </w:pPr>
          </w:p>
        </w:tc>
        <w:tc>
          <w:tcPr>
            <w:tcW w:w="4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620" w:type="dxa"/>
            <w:vAlign w:val="bottom"/>
          </w:tcPr>
          <w:p>
            <w:pPr>
              <w:ind w:left="602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36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20" w:type="dxa"/>
            <w:vAlign w:val="bottom"/>
          </w:tcPr>
          <w:p>
            <w:pPr>
              <w:ind w:left="602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682"/>
        </w:trPr>
        <w:tc>
          <w:tcPr>
            <w:tcW w:w="3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F-1</w:t>
            </w:r>
          </w:p>
        </w:tc>
      </w:tr>
      <w:tr>
        <w:trPr>
          <w:trHeight w:val="763"/>
        </w:trPr>
        <w:tc>
          <w:tcPr>
            <w:tcW w:w="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2" w:name="page103"/>
    <w:bookmarkEnd w:id="102"/>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Trevi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Trevi Therapeutics, Inc. (the Company) as of December 31, 2024 and 2023, the related consolidated statements of comprehensive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 Clinical research organizations costs</w:t>
            </w:r>
          </w:p>
        </w:tc>
      </w:tr>
      <w:tr>
        <w:trPr>
          <w:trHeight w:val="31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research and development costs are expensed as</w:t>
            </w:r>
          </w:p>
        </w:tc>
      </w:tr>
      <w:tr>
        <w:trPr>
          <w:trHeight w:val="216"/>
        </w:trPr>
        <w:tc>
          <w:tcPr>
            <w:tcW w:w="2300" w:type="dxa"/>
            <w:vAlign w:val="bottom"/>
          </w:tcPr>
          <w:p>
            <w:pPr>
              <w:spacing w:after="0"/>
              <w:rPr>
                <w:sz w:val="18"/>
                <w:szCs w:val="18"/>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incurred. Research and development expenses include work performed by third party clinical research organizations</w:t>
            </w:r>
          </w:p>
        </w:tc>
      </w:tr>
      <w:tr>
        <w:trPr>
          <w:trHeight w:val="216"/>
        </w:trPr>
        <w:tc>
          <w:tcPr>
            <w:tcW w:w="2300" w:type="dxa"/>
            <w:vAlign w:val="bottom"/>
          </w:tcPr>
          <w:p>
            <w:pPr>
              <w:spacing w:after="0"/>
              <w:rPr>
                <w:sz w:val="18"/>
                <w:szCs w:val="18"/>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(“CROs”). These expenses are estimated based on the level of services performed, progress of the studies, including</w:t>
            </w:r>
          </w:p>
        </w:tc>
      </w:tr>
      <w:tr>
        <w:trPr>
          <w:trHeight w:val="234"/>
        </w:trPr>
        <w:tc>
          <w:tcPr>
            <w:tcW w:w="2300" w:type="dxa"/>
            <w:vAlign w:val="bottom"/>
          </w:tcPr>
          <w:p>
            <w:pPr>
              <w:spacing w:after="0"/>
              <w:rPr>
                <w:sz w:val="20"/>
                <w:szCs w:val="20"/>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phase or completion of events and contracted costs.</w:t>
            </w:r>
          </w:p>
        </w:tc>
      </w:tr>
      <w:tr>
        <w:trPr>
          <w:trHeight w:val="346"/>
        </w:trPr>
        <w:tc>
          <w:tcPr>
            <w:tcW w:w="2300" w:type="dxa"/>
            <w:vAlign w:val="bottom"/>
          </w:tcPr>
          <w:p>
            <w:pPr>
              <w:spacing w:after="0"/>
              <w:rPr>
                <w:sz w:val="24"/>
                <w:szCs w:val="24"/>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Auditing the Company’s CRO costs was especially complex because the underlying data is accumulated from</w:t>
            </w:r>
          </w:p>
        </w:tc>
      </w:tr>
      <w:tr>
        <w:trPr>
          <w:trHeight w:val="216"/>
        </w:trPr>
        <w:tc>
          <w:tcPr>
            <w:tcW w:w="2300" w:type="dxa"/>
            <w:vAlign w:val="bottom"/>
          </w:tcPr>
          <w:p>
            <w:pPr>
              <w:spacing w:after="0"/>
              <w:rPr>
                <w:sz w:val="18"/>
                <w:szCs w:val="18"/>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multiple sources and utilized various assumptions. Such assumptions, including the determination of the work that</w:t>
            </w:r>
          </w:p>
        </w:tc>
      </w:tr>
      <w:tr>
        <w:trPr>
          <w:trHeight w:val="216"/>
        </w:trPr>
        <w:tc>
          <w:tcPr>
            <w:tcW w:w="2300" w:type="dxa"/>
            <w:vAlign w:val="bottom"/>
          </w:tcPr>
          <w:p>
            <w:pPr>
              <w:spacing w:after="0"/>
              <w:rPr>
                <w:sz w:val="18"/>
                <w:szCs w:val="18"/>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has been completed and measurement of progress during the reporting period, require judgment because the timing</w:t>
            </w:r>
          </w:p>
        </w:tc>
      </w:tr>
      <w:tr>
        <w:trPr>
          <w:trHeight w:val="234"/>
        </w:trPr>
        <w:tc>
          <w:tcPr>
            <w:tcW w:w="2300" w:type="dxa"/>
            <w:vAlign w:val="bottom"/>
          </w:tcPr>
          <w:p>
            <w:pPr>
              <w:spacing w:after="0"/>
              <w:rPr>
                <w:sz w:val="20"/>
                <w:szCs w:val="20"/>
                <w:color w:val="auto"/>
              </w:rPr>
            </w:pPr>
          </w:p>
        </w:tc>
        <w:tc>
          <w:tcPr>
            <w:tcW w:w="8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pattern of vendor invoicing may not correspond to the level of services provided.</w:t>
            </w:r>
          </w:p>
        </w:tc>
      </w:tr>
      <w:tr>
        <w:trPr>
          <w:trHeight w:val="580"/>
        </w:trPr>
        <w:tc>
          <w:tcPr>
            <w:tcW w:w="2300" w:type="dxa"/>
            <w:vAlign w:val="bottom"/>
          </w:tcPr>
          <w:p>
            <w:pPr>
              <w:spacing w:after="0"/>
              <w:rPr>
                <w:sz w:val="24"/>
                <w:szCs w:val="24"/>
                <w:color w:val="auto"/>
              </w:rPr>
            </w:pPr>
          </w:p>
        </w:tc>
        <w:tc>
          <w:tcPr>
            <w:tcW w:w="89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F-2</w:t>
            </w:r>
          </w:p>
        </w:tc>
      </w:tr>
      <w:tr>
        <w:trPr>
          <w:trHeight w:val="763"/>
        </w:trPr>
        <w:tc>
          <w:tcPr>
            <w:tcW w:w="23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3" w:name="page104"/>
    <w:bookmarkEnd w:id="103"/>
    <w:p>
      <w:pPr>
        <w:ind w:left="20"/>
        <w:spacing w:after="0"/>
        <w:tabs>
          <w:tab w:leader="none" w:pos="27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7"/>
          <w:szCs w:val="17"/>
          <w:color w:val="auto"/>
        </w:rPr>
        <w:t>To test the CRO costs, our audit procedures included, among others, testing the accuracy and completeness of the</w:t>
      </w:r>
    </w:p>
    <w:p>
      <w:pPr>
        <w:spacing w:after="0" w:line="29" w:lineRule="exact"/>
        <w:rPr>
          <w:sz w:val="20"/>
          <w:szCs w:val="20"/>
          <w:color w:val="auto"/>
        </w:rPr>
      </w:pPr>
    </w:p>
    <w:p>
      <w:pPr>
        <w:ind w:left="2740" w:hanging="2713"/>
        <w:spacing w:after="0" w:line="252" w:lineRule="auto"/>
        <w:tabs>
          <w:tab w:leader="none" w:pos="2720" w:val="left"/>
        </w:tabs>
        <w:rPr>
          <w:sz w:val="20"/>
          <w:szCs w:val="20"/>
          <w:color w:val="auto"/>
        </w:rPr>
      </w:pPr>
      <w:r>
        <w:rPr>
          <w:rFonts w:ascii="Times New Roman" w:cs="Times New Roman" w:eastAsia="Times New Roman" w:hAnsi="Times New Roman"/>
          <w:sz w:val="18"/>
          <w:szCs w:val="18"/>
          <w:i w:val="1"/>
          <w:iCs w:val="1"/>
          <w:color w:val="auto"/>
        </w:rPr>
        <w:t>Our Audit</w:t>
      </w:r>
      <w:r>
        <w:rPr>
          <w:sz w:val="20"/>
          <w:szCs w:val="20"/>
          <w:color w:val="auto"/>
        </w:rPr>
        <w:tab/>
      </w:r>
      <w:r>
        <w:rPr>
          <w:rFonts w:ascii="Times New Roman" w:cs="Times New Roman" w:eastAsia="Times New Roman" w:hAnsi="Times New Roman"/>
          <w:sz w:val="18"/>
          <w:szCs w:val="18"/>
          <w:color w:val="auto"/>
        </w:rPr>
        <w:t>underlying data used in the estimates and evaluating the significant assumptions made by management. To test management inputs, we inspected a sample of the Company's contracts with third-party CRO to evaluate financial and other contractual terms, corroborated the progress and timelines of a sample of clinical trials with the Company’s internal personnel that oversee these activities, and obtained confirmation directly from CRO which included estimates of clinical trial costs incurred to date. We also examined, on a sample basis, invoices received from CRO through December 31, 2024 and invoices received from and cash disbursements made to CRO subsequent to December 31, 2024.</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2" w:right="39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34,097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109,428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110,900</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11,256</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5,000,000 shares authorized at December 31, 2024 and December 31,</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2023; no shares issued or outstanding at December 31, 2024 and December 31, 2023.</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$0.001 par value; 200,000,000 shares authorized at December 31, 2024 and December</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31, 2023; and 93,602,631 and 68,283,699 shares issued and outstanding at December 31, 2024 and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386,534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321,642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(287,045 )</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(239,134 )</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99,644</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82,547</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110,900</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-3059430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-3059430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-1731010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-299720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(51,524 )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(33,923 )</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(47,941 )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(29,097 )</w:t>
            </w: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(47,911 )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(29,065 )</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30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(0.47 )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8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30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101,971,873</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99,033,373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8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0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(47,911 )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(29,065 )</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Net unrealized gains on available-for-sale marketable securities</w:t>
            </w:r>
          </w:p>
        </w:tc>
        <w:tc>
          <w:tcPr>
            <w:tcW w:w="3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(47,821 )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(28,972 )</w:t>
            </w:r>
          </w:p>
        </w:tc>
        <w:tc>
          <w:tcPr>
            <w:tcW w:w="0" w:type="dxa"/>
            <w:vAlign w:val="bottom"/>
          </w:tcPr>
          <w:p>
            <w:pPr>
              <w:spacing w:after="0"/>
              <w:rPr>
                <w:sz w:val="1"/>
                <w:szCs w:val="1"/>
                <w:color w:val="auto"/>
              </w:rPr>
            </w:pPr>
          </w:p>
        </w:tc>
      </w:tr>
      <w:tr>
        <w:trPr>
          <w:trHeight w:val="215"/>
        </w:trPr>
        <w:tc>
          <w:tcPr>
            <w:tcW w:w="4680" w:type="dxa"/>
            <w:vAlign w:val="bottom"/>
            <w:tcBorders>
              <w:top w:val="single" w:sz="8" w:color="CFF0FC"/>
            </w:tcBorders>
          </w:tcPr>
          <w:p>
            <w:pPr>
              <w:spacing w:after="0"/>
              <w:rPr>
                <w:sz w:val="18"/>
                <w:szCs w:val="18"/>
                <w:color w:val="auto"/>
              </w:rPr>
            </w:pPr>
          </w:p>
        </w:tc>
        <w:tc>
          <w:tcPr>
            <w:tcW w:w="3040" w:type="dxa"/>
            <w:vAlign w:val="bottom"/>
            <w:tcBorders>
              <w:top w:val="single" w:sz="8" w:color="CFF0FC"/>
            </w:tcBorders>
          </w:tcPr>
          <w:p>
            <w:pPr>
              <w:jc w:val="right"/>
              <w:ind w:right="111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680" w:type="dxa"/>
            <w:vAlign w:val="bottom"/>
          </w:tcPr>
          <w:p>
            <w:pPr>
              <w:spacing w:after="0"/>
              <w:rPr>
                <w:sz w:val="24"/>
                <w:szCs w:val="24"/>
                <w:color w:val="auto"/>
              </w:rPr>
            </w:pPr>
          </w:p>
        </w:tc>
        <w:tc>
          <w:tcPr>
            <w:tcW w:w="340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F-5</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-3505200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-2665095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-2091055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-1653540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-1653540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8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5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w:t>
            </w:r>
          </w:p>
        </w:tc>
        <w:tc>
          <w:tcPr>
            <w:tcW w:w="12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9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06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9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59,943,430</w:t>
            </w:r>
          </w:p>
        </w:tc>
        <w:tc>
          <w:tcPr>
            <w:tcW w:w="56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317,590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(122 )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(210,069 )</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146,081</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Stock Purchase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at-the-market sales agreement, net of</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commissions and allocated fees</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pre-funded warrant exercise</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7,394,097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gains on available-for-sale marketable securities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(29,065 )</w:t>
            </w: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(29,065 )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68,283,699</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321,642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(29 )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(239,134 )</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262,009</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Stock Purchase Plan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at-the-market sales agreement, net of</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4,498,065</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commissions and allocated fees</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pre-funded warrant exercise</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8,013,375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offering, less issuance costs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12,500,000</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gains on available-for-sale marketable securities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(47,911 )</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(47,911 )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93,602,631</w:t>
            </w:r>
          </w:p>
        </w:tc>
        <w:tc>
          <w:tcPr>
            <w:tcW w:w="220" w:type="dxa"/>
            <w:vAlign w:val="bottom"/>
          </w:tcPr>
          <w:p>
            <w:pPr>
              <w:spacing w:after="0"/>
              <w:rPr>
                <w:sz w:val="12"/>
                <w:szCs w:val="12"/>
                <w:color w:val="auto"/>
              </w:rPr>
            </w:pPr>
          </w:p>
        </w:tc>
        <w:tc>
          <w:tcPr>
            <w:tcW w:w="3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386,534</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(287,045 )</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-128270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-128270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-128270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0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(47,911 )</w:t>
            </w: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(29,065 )</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0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(1,367 )</w:t>
            </w: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(2,125 )</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Write off of deferred offering costs</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0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equipment and leasehold improvements</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(2,850 )</w:t>
            </w:r>
          </w:p>
        </w:tc>
        <w:tc>
          <w:tcPr>
            <w:tcW w:w="0" w:type="dxa"/>
            <w:vAlign w:val="bottom"/>
          </w:tcPr>
          <w:p>
            <w:pPr>
              <w:spacing w:after="0"/>
              <w:rPr>
                <w:sz w:val="1"/>
                <w:szCs w:val="1"/>
                <w:color w:val="auto"/>
              </w:rPr>
            </w:pPr>
          </w:p>
        </w:tc>
      </w:tr>
      <w:tr>
        <w:trPr>
          <w:trHeight w:val="203"/>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(1,049 )</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(38,256 )</w:t>
            </w: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(31,710 )</w:t>
            </w:r>
          </w:p>
        </w:tc>
        <w:tc>
          <w:tcPr>
            <w:tcW w:w="0" w:type="dxa"/>
            <w:vAlign w:val="bottom"/>
          </w:tcPr>
          <w:p>
            <w:pPr>
              <w:spacing w:after="0"/>
              <w:rPr>
                <w:sz w:val="1"/>
                <w:szCs w:val="1"/>
                <w:color w:val="auto"/>
              </w:rPr>
            </w:pPr>
          </w:p>
        </w:tc>
      </w:tr>
      <w:tr>
        <w:trPr>
          <w:trHeight w:val="19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76,970</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(98,463 )</w:t>
            </w: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(9,932 )</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10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(35 )</w:t>
            </w: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(21,528 )</w:t>
            </w: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0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offering, net of commissions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47,000</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14,146</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0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finance lease</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(126 )</w:t>
            </w: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of term loan, term loan final fee and prepayment premium</w:t>
            </w:r>
          </w:p>
        </w:tc>
        <w:tc>
          <w:tcPr>
            <w:tcW w:w="10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(9,409 )</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0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0" w:type="dxa"/>
            <w:vAlign w:val="bottom"/>
          </w:tcPr>
          <w:p>
            <w:pPr>
              <w:spacing w:after="0"/>
              <w:rPr>
                <w:sz w:val="1"/>
                <w:szCs w:val="1"/>
                <w:color w:val="auto"/>
              </w:rPr>
            </w:pPr>
          </w:p>
        </w:tc>
      </w:tr>
      <w:tr>
        <w:trPr>
          <w:trHeight w:val="196"/>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61,484</w:t>
            </w:r>
          </w:p>
        </w:tc>
        <w:tc>
          <w:tcPr>
            <w:tcW w:w="28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040" w:type="dxa"/>
            <w:vAlign w:val="bottom"/>
            <w:tcBorders>
              <w:bottom w:val="single" w:sz="8" w:color="auto"/>
            </w:tcBorders>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34,097</w:t>
            </w: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(4 )</w:t>
            </w: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research tax credits exchanged for cash</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80" w:type="dxa"/>
            <w:vAlign w:val="bottom"/>
          </w:tcPr>
          <w:p>
            <w:pPr>
              <w:spacing w:after="0"/>
              <w:rPr>
                <w:sz w:val="17"/>
                <w:szCs w:val="17"/>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Offering costs included in accrued expenses</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280" w:type="dxa"/>
            <w:vAlign w:val="bottom"/>
          </w:tcPr>
          <w:p>
            <w:pPr>
              <w:spacing w:after="0"/>
              <w:rPr>
                <w:sz w:val="17"/>
                <w:szCs w:val="17"/>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-3043555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-3043555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-2246630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-2246630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-1221740</wp:posOffset>
            </wp:positionV>
            <wp:extent cx="939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-1221740</wp:posOffset>
            </wp:positionV>
            <wp:extent cx="939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-669290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-652145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-669290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-652145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17"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chronic cough in patients with non-IPF interstitial lung disease (“ILD”), and refractory chronic cough (“RCC”).</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Haduvio acts on the cough reflex arc both centrally and peripherally as a kappa agonist and a mu antagonist (“KAMA”). Kappa and mu are opioid receptors that play a key role in controlling cough hypersensitivity. Nalbuphine has been approved and marketed as an injectable for pain indications for more than 30 years in the United States (“U.S.”) and Europe. Nalbuphine’s mechanism of action also potentially mitigates the risk of abuse associated with mu-opioid agonists because it antagonizes or blocks, the mu-opioid receptor. Parenteral nalbuphine is not scheduled as a controlled substance in the U.S. and most of Europe.</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and commitments in the ordinary course of business. The Company has financed its operations to date primarily through private placements of its redeemable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Agreements (Note 9) with SVB Securities LLC (formerly SVB Leerink LLC) (“SVB Securities”) and Leerink Partners, LLC that the Company entered into in June 2020 and June 2023, respectively, the term loan facility with Silicon Valley Bank (“SVB”) that the Company entered into in August 2020 (Note 8), proceeds from the private placements completed in October 2021 and April 2022 (Note 9), proceeds from the exercise of common stock warrants that were issued in the October 2021 private placements, proceeds from the public offering completed in October 2022 (Note 9) and proceeds from the offering completed in December 2024 (Note 9). The Company has incurred recurring losses since inception, including net losses of $47.9 million and $29.1 million for the years ended December 31, 2024 and 2023, respectively. As of December 31, 2024, the Company had cash, cash equivalents and marketable securities of $107.6 million compared to $83.0 million of cash, cash equivalents and marketable securities as of December 31, 2023. The Company had incurred losses and negative cash flows from operations and had an accumulated deficit of $287.0 million as of December 31, 2024. The Company expects to continue to incur losses for the foreseeable future. As of March 18, 2025, the date of issuance of these Consolidated Financial Statements, the Company believes that its cash, cash equivalents and marketable securities as of December 31, 2024, will be sufficient to fund its operating expenses and capital expenditure requirements for 12 months from the date of issuance of these Consolidated Financial Statements.</w:t>
      </w:r>
    </w:p>
    <w:p>
      <w:pPr>
        <w:spacing w:after="0" w:line="84" w:lineRule="exact"/>
        <w:rPr>
          <w:sz w:val="20"/>
          <w:szCs w:val="20"/>
          <w:color w:val="auto"/>
        </w:rPr>
      </w:pPr>
    </w:p>
    <w:p>
      <w:pPr>
        <w:ind w:left="520" w:right="7320" w:hanging="512"/>
        <w:spacing w:after="0" w:line="378" w:lineRule="auto"/>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December 31, 2024 for potential recognition or disclosure in the Consolidated Financial Statements and concluded there were no subsequent events that required recognition or disclosure other than those provided in Note 16.</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prepaid expenses, accrued expenses and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or marketable securities on the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Consolidated Statements of Comprehensive Loss. The amortized cost of debt securities is adjusted for amortization of premiums and accretion of discounts to maturity, which is included in interest income, net on the Consolidated Statements of Comprehensive Loss. Realized gains and losses, if any, on marketable securities are included in interest income, net on the Consolidated Statements of Comprehensive Loss. The cost of securities sold is determined using specific identification.</w:t>
      </w:r>
    </w:p>
    <w:p>
      <w:pPr>
        <w:spacing w:after="0" w:line="8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Techniques - Level 2 Inputs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0" w:name="page111"/>
    <w:bookmarkEnd w:id="110"/>
    <w:p>
      <w:pPr>
        <w:ind w:right="400"/>
        <w:spacing w:after="0" w:line="282" w:lineRule="auto"/>
        <w:rPr>
          <w:sz w:val="20"/>
          <w:szCs w:val="20"/>
          <w:color w:val="auto"/>
        </w:rPr>
      </w:pPr>
      <w:r>
        <w:rPr>
          <w:rFonts w:ascii="Times New Roman" w:cs="Times New Roman" w:eastAsia="Times New Roman" w:hAnsi="Times New Roman"/>
          <w:sz w:val="18"/>
          <w:szCs w:val="18"/>
          <w:color w:val="auto"/>
        </w:rPr>
        <w:t>and other observable inputs. The Company obtains a single price for each financial instrument and does not adjust the prices obtained from the pricing service.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Consolidated Statements of Comprehensive Loss.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non-current assets on the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Expenses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spacing w:after="0" w:line="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Consolidated Balance Sheets, as applicable, and are recognized as expenses as the goods are delivered or the related services are performed.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w:t>
      </w:r>
      <w:r>
        <w:rPr>
          <w:rFonts w:ascii="Times New Roman" w:cs="Times New Roman" w:eastAsia="Times New Roman" w:hAnsi="Times New Roman"/>
          <w:sz w:val="18"/>
          <w:szCs w:val="18"/>
          <w:color w:val="auto"/>
        </w:rPr>
        <w:t>s(“ASC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2024 and December 31, 2023. The Company does not have any interest or penalties accrued related to tax positions as it does not have any unrecognized tax benefits.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w:t>
      </w:r>
    </w:p>
    <w:p>
      <w:pPr>
        <w:spacing w:after="0" w:line="7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If the Company’s leases do not provide an implicit rate within the lease, the Company uses its incremental borrowing rate, based on information available at the commencement date of the lease to determine the present value of the lease payments.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2" w:name="page113"/>
    <w:bookmarkEnd w:id="112"/>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which is also the Company’s only operating segment. Management uses one measurement of profitability and does not segregate its business for internal reporting.</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accounting standard for the fiscal year beginning on January 1, 2024 and it has resulted in incremental disclosures within the footnotes to the Company’s consolidated financial statements.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spacing w:after="0" w:line="70"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are presented in the following tables as of the periods presented: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Pr>
          <w:p>
            <w:pPr>
              <w:spacing w:after="0"/>
              <w:rPr>
                <w:sz w:val="20"/>
                <w:szCs w:val="20"/>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r>
      <w:tr>
        <w:trPr>
          <w:trHeight w:val="210"/>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00" w:type="dxa"/>
            <w:vAlign w:val="bottom"/>
          </w:tcPr>
          <w:p>
            <w:pPr>
              <w:spacing w:after="0"/>
              <w:rPr>
                <w:sz w:val="18"/>
                <w:szCs w:val="18"/>
                <w:color w:val="auto"/>
              </w:rPr>
            </w:pPr>
          </w:p>
        </w:tc>
      </w:tr>
      <w:tr>
        <w:trPr>
          <w:trHeight w:val="216"/>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73,525</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F-11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-1079500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Pr>
          <w:p>
            <w:pPr>
              <w:spacing w:after="0"/>
              <w:rPr>
                <w:sz w:val="20"/>
                <w:szCs w:val="20"/>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r>
      <w:tr>
        <w:trPr>
          <w:trHeight w:val="209"/>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(53 )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18"/>
                <w:szCs w:val="18"/>
                <w:color w:val="auto"/>
              </w:rPr>
            </w:pPr>
          </w:p>
        </w:tc>
      </w:tr>
      <w:tr>
        <w:trPr>
          <w:trHeight w:val="250"/>
        </w:trPr>
        <w:tc>
          <w:tcPr>
            <w:tcW w:w="45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FF0FC"/>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-170815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00" w:type="dxa"/>
            <w:vAlign w:val="bottom"/>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4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73,464</w:t>
            </w:r>
          </w:p>
        </w:tc>
        <w:tc>
          <w:tcPr>
            <w:tcW w:w="4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00" w:type="dxa"/>
            <w:vAlign w:val="bottom"/>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4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2024 and 2023, there were no realized gains or losses on available-for-sale marketable securities.</w:t>
      </w:r>
    </w:p>
    <w:p>
      <w:pPr>
        <w:spacing w:after="0" w:line="11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the years ended December 31, 2024 and 2023, no marketable securities had been in a continuous unrealized loss position for more than 12 months and the Company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accrued interest receivables on the Company’s available-for-sale marketable securities were $532 and $485, respectively, and were included within Other current assets as presented on its Consolidated Balance Sheets.</w:t>
      </w:r>
    </w:p>
    <w:p>
      <w:pPr>
        <w:spacing w:after="0" w:line="266"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financial liabilities measured at fair value on a recurring basis and the basis for that measurement, by level within the fair value hierarchy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16"/>
                <w:szCs w:val="16"/>
                <w:color w:val="auto"/>
              </w:rPr>
            </w:pPr>
          </w:p>
        </w:tc>
        <w:tc>
          <w:tcPr>
            <w:tcW w:w="3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18"/>
                <w:szCs w:val="18"/>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FF0FC"/>
            </w:tcBorders>
            <w:shd w:val="clear" w:color="auto" w:fill="CFF0FC"/>
          </w:tcPr>
          <w:p>
            <w:pPr>
              <w:spacing w:after="0"/>
              <w:rPr>
                <w:sz w:val="18"/>
                <w:szCs w:val="18"/>
                <w:color w:val="auto"/>
              </w:rPr>
            </w:pPr>
          </w:p>
        </w:tc>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color w:val="auto"/>
              </w:rPr>
              <w:t>F-12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-1079500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-1079500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-1079500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2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Measurement Using:</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6"/>
                <w:szCs w:val="16"/>
                <w:color w:val="auto"/>
              </w:rPr>
            </w:pPr>
          </w:p>
        </w:tc>
        <w:tc>
          <w:tcPr>
            <w:tcW w:w="3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18"/>
                <w:szCs w:val="18"/>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spacing w:after="0" w:line="8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December 2022, the Company entered into a 24-month lease for the financing of the furniture installed in the Company’s new office space. The furniture lease requires monthly payments of approximately $11 starting in March 2023. The Company also entered into an immaterial office equipment lease during 2022 that has a term of 36 months.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lease-related assets and liabilities as presented on its 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vMerge w:val="continue"/>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assets</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5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5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 portion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55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-1156970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-1139190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the Company’s lease expense for the periods shown:</w:t>
      </w:r>
    </w:p>
    <w:p>
      <w:pPr>
        <w:spacing w:after="0" w:line="21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49"/>
        </w:trPr>
        <w:tc>
          <w:tcPr>
            <w:tcW w:w="7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December 31, 2024 until the expiration of the leases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70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1,189</w:t>
            </w:r>
          </w:p>
        </w:tc>
        <w:tc>
          <w:tcPr>
            <w:tcW w:w="3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(188 )</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9"/>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0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1,001</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52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lease terms and discount rates for the Company’s leases: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00" w:type="dxa"/>
            <w:vAlign w:val="bottom"/>
            <w:tcBorders>
              <w:bottom w:val="single" w:sz="8" w:color="auto"/>
            </w:tcBorders>
            <w:gridSpan w:val="2"/>
          </w:tcPr>
          <w:p>
            <w:pPr>
              <w:jc w:val="center"/>
              <w:ind w:left="4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3.3 years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years</w:t>
            </w: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0.3 years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gridSpan w:val="2"/>
            <w:shd w:val="clear" w:color="auto" w:fill="CFF0FC"/>
          </w:tcPr>
          <w:p>
            <w:pPr>
              <w:jc w:val="center"/>
              <w:ind w:left="493"/>
              <w:spacing w:after="0"/>
              <w:rPr>
                <w:sz w:val="20"/>
                <w:szCs w:val="20"/>
                <w:color w:val="auto"/>
              </w:rPr>
            </w:pPr>
            <w:r>
              <w:rPr>
                <w:rFonts w:ascii="Times New Roman" w:cs="Times New Roman" w:eastAsia="Times New Roman" w:hAnsi="Times New Roman"/>
                <w:sz w:val="18"/>
                <w:szCs w:val="18"/>
                <w:color w:val="auto"/>
              </w:rPr>
              <w:t>11.00%</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w w:val="98"/>
              </w:rPr>
              <w:t>4.37%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4.37%</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52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leases for the periods shown:</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6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outflows relating to operating leases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payments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-3325495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-2896870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-2879725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Leasehold Improvements,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leasehold improvements, net consist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website development and office equipment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0"/>
        </w:trPr>
        <w:tc>
          <w:tcPr>
            <w:tcW w:w="6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(228 )</w:t>
            </w:r>
          </w:p>
        </w:tc>
        <w:tc>
          <w:tcPr>
            <w:tcW w:w="5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r>
      <w:tr>
        <w:trPr>
          <w:trHeight w:val="250"/>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leasehold improvements, net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was $94 and $81 for the years ended December 31, 2024 and 2023, respectively.</w:t>
      </w:r>
    </w:p>
    <w:p>
      <w:pPr>
        <w:spacing w:after="0" w:line="113"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R&amp;D projects</w:t>
            </w:r>
          </w:p>
        </w:tc>
        <w:tc>
          <w:tcPr>
            <w:tcW w:w="4120" w:type="dxa"/>
            <w:vAlign w:val="bottom"/>
            <w:gridSpan w:val="2"/>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28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8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49"/>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28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3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220" w:type="dxa"/>
            <w:vAlign w:val="bottom"/>
          </w:tcPr>
          <w:p>
            <w:pPr>
              <w:spacing w:after="0"/>
              <w:rPr>
                <w:sz w:val="24"/>
                <w:szCs w:val="24"/>
                <w:color w:val="auto"/>
              </w:rPr>
            </w:pPr>
          </w:p>
        </w:tc>
        <w:tc>
          <w:tcPr>
            <w:tcW w:w="4120" w:type="dxa"/>
            <w:vAlign w:val="bottom"/>
            <w:gridSpan w:val="2"/>
          </w:tcPr>
          <w:p>
            <w:pPr>
              <w:jc w:val="right"/>
              <w:ind w:right="2459"/>
              <w:spacing w:after="0"/>
              <w:rPr>
                <w:sz w:val="20"/>
                <w:szCs w:val="20"/>
                <w:color w:val="auto"/>
              </w:rPr>
            </w:pPr>
            <w:r>
              <w:rPr>
                <w:rFonts w:ascii="Times New Roman" w:cs="Times New Roman" w:eastAsia="Times New Roman" w:hAnsi="Times New Roman"/>
                <w:sz w:val="18"/>
                <w:szCs w:val="18"/>
                <w:color w:val="auto"/>
              </w:rPr>
              <w:t>F-14</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-933450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-916305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16" w:name="page117"/>
    <w:bookmarkEnd w:id="116"/>
    <w:p>
      <w:pPr>
        <w:spacing w:after="0" w:line="68"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May 9, 2023, the Company paid the remaining amount due under the SVB Loan Agreement (as defined below), resulting in the full extinguishment of the SVB Term Loan (as defined below). As a result, after May 9, 2023, the Company had no outstanding debt. The total payoff amount was $6.5 million, consisting of the remaining principal amount due of $5.2 million, the final payment fee of $1.2 million, and $0.1 million of accrued interest and prepayment premium. During the year ended December 31, 2023, an immaterial effect from early extinguishment of debt was recorded in connection with the Company paying the remaining amounts due under the SVB Loan Agreement, which was included in other income, net on the Company’s Consolidated Statement of Comprehensive Loss.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13, 2020 (the “Effective Date”), the Company entered into a loan and security agreement (the “SVB Loan Agreement”) with Silicon Valley Bank (“SVB”), as lender, pursuant to which SVB provided a term loan to the Company in the original principal amount of $14.0 million (the “SVB Term Loan”). The SVB Term Loan bore interest at a floating rate per annum equal to the greater of (A) the prime rate plus 1.00% and (B) 4.25%.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Upon repayment in full of the SVB Term Loan, the Company was required to pay a final payment fee equal to $1.2 million. The SVB Term Loan and related obligations under the SVB Loan Agreement were secured by substantially all of the Company’s properties, rights and assets, except for its intellectual property (which was subject to a negative pledge under the SVB Loan Agreement).</w:t>
      </w:r>
    </w:p>
    <w:p>
      <w:pPr>
        <w:spacing w:after="0" w:line="86" w:lineRule="exact"/>
        <w:rPr>
          <w:sz w:val="20"/>
          <w:szCs w:val="20"/>
          <w:color w:val="auto"/>
        </w:rPr>
      </w:pPr>
    </w:p>
    <w:p>
      <w:pPr>
        <w:ind w:right="300" w:firstLine="578"/>
        <w:spacing w:after="0" w:line="266"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w:t>
      </w:r>
    </w:p>
    <w:p>
      <w:pPr>
        <w:spacing w:after="0" w:line="68" w:lineRule="exact"/>
        <w:rPr>
          <w:sz w:val="20"/>
          <w:szCs w:val="20"/>
          <w:color w:val="auto"/>
        </w:rPr>
      </w:pPr>
    </w:p>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w:t>
      </w:r>
    </w:p>
    <w:p>
      <w:pPr>
        <w:spacing w:after="0" w:line="68"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The SVB Loan Agreement contained customary representations, warranties, events of default and covenants. The SVB Loan Agreement also restricted the payment of dividends on the Company’s common stock.</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on the SVB Term Loan, which was comprised of interest payments, accretion and amortization of term loan discounts and the accrual of the final payment fee, is shown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116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116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116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1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right="9100" w:hanging="512"/>
        <w:spacing w:after="0" w:line="400" w:lineRule="auto"/>
        <w:tabs>
          <w:tab w:leader="none" w:pos="5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Preferred Stock</w:t>
      </w: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restated certificate of incorporation authorized the Company to issue 5,000,000 shares of preferred stock, with a par value of $0.001 per share.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restated certificate of incorporation authorized the Company to issue 200,000,000 shares of common stock, with a par value of $0.001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shown in the table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1"/>
        </w:trPr>
        <w:tc>
          <w:tcPr>
            <w:tcW w:w="832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 of common stock reserved for future issuance upon exercise of outstanding warrants and pre-funded</w:t>
            </w:r>
          </w:p>
        </w:tc>
        <w:tc>
          <w:tcPr>
            <w:tcW w:w="1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32,915,346</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100" w:type="dxa"/>
            <w:vAlign w:val="bottom"/>
            <w:shd w:val="clear" w:color="auto" w:fill="CFF0FC"/>
          </w:tcPr>
          <w:p>
            <w:pPr>
              <w:spacing w:after="0"/>
              <w:rPr>
                <w:sz w:val="20"/>
                <w:szCs w:val="20"/>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7,555,310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6,549,183</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1,131,973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1,177,456</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288,944</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565,792</w:t>
            </w:r>
          </w:p>
        </w:tc>
        <w:tc>
          <w:tcPr>
            <w:tcW w:w="100" w:type="dxa"/>
            <w:vAlign w:val="bottom"/>
          </w:tcPr>
          <w:p>
            <w:pPr>
              <w:spacing w:after="0"/>
              <w:rPr>
                <w:sz w:val="18"/>
                <w:szCs w:val="18"/>
                <w:color w:val="auto"/>
              </w:rPr>
            </w:pPr>
          </w:p>
        </w:tc>
      </w:tr>
      <w:tr>
        <w:trPr>
          <w:trHeight w:val="249"/>
        </w:trPr>
        <w:tc>
          <w:tcPr>
            <w:tcW w:w="4980" w:type="dxa"/>
            <w:vAlign w:val="bottom"/>
            <w:tcBorders>
              <w:bottom w:val="single" w:sz="8" w:color="CFF0FC"/>
            </w:tcBorders>
            <w:shd w:val="clear" w:color="auto" w:fill="CFF0FC"/>
          </w:tcPr>
          <w:p>
            <w:pPr>
              <w:spacing w:after="0"/>
              <w:rPr>
                <w:sz w:val="21"/>
                <w:szCs w:val="21"/>
                <w:color w:val="auto"/>
              </w:rPr>
            </w:pPr>
          </w:p>
        </w:tc>
        <w:tc>
          <w:tcPr>
            <w:tcW w:w="33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41,891,573</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49,223,937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Sales of common stock under the ATM Sales Agreement were able to be made by any method that was deemed an “at-the-market” offering as defined in Rule 415(a)(4) under the Securities Act of 1933, as amended (the “Securities Act”).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ATM Sales Agreement terminated upon effectiveness of the Shelf Registration Statement, at which point the Company was no longer able to issue and sell shares of its common stock under the ATM Sales Agreement. As of December 31, 2024, the Company had issued and sold 4,498,065 shares of common stock under the 2023 ATM Sales Agreement for gross proceeds of $14.6 million, before deducting estimated commissions and allocated fees of $0.5 million.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accompanying common stock warrants expiring on April 5, 2025 have been exercised and accompanying common stock warrants to purchase 1,299,270 shares expiring on October 5, 2028 have been exercised. See Note 16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18" w:name="page119"/>
    <w:bookmarkEnd w:id="118"/>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will expire on April 18, 2025, and warrants to purchase an aggregate of 1,851,852 shares of the Company’s common stock will expire on October 18, 2028. None of the accompanying common stock warrants issued to NEA in the private placement have been exercised.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2021 private placements were $13.7 million, after deducting issuance costs of $1.1 million.</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Registered Offerings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issued and sold 12,500,000 shares of the Company’s common stock to certain investors in an underwritten registered direct offering (the “December 2024 Offering”), at an offering price of $4.00 per share of common stock pursuant to an underwriting agreement (the “Underwriting Agreement”) with Leerink Partners LLC, Stifel, Nicolaus &amp; Company, Incorporated and Oppenheimer &amp; Co. Inc, as representatives of the several underwriters. The December 2024 Offering resulted in aggregate gross proceeds to the Company of $50.0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pre-funded warrants, is shown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Pre-funded Warrant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2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31,227,802</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(8,016,160 )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(8,016,160 )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23,211,642</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32,915,346</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9" w:name="page120"/>
    <w:bookmarkEnd w:id="119"/>
    <w:p>
      <w:pPr>
        <w:ind w:firstLine="509"/>
        <w:spacing w:after="0" w:line="261" w:lineRule="auto"/>
        <w:rPr>
          <w:sz w:val="20"/>
          <w:szCs w:val="20"/>
          <w:color w:val="auto"/>
        </w:rPr>
      </w:pPr>
      <w:r>
        <w:rPr>
          <w:rFonts w:ascii="Times New Roman" w:cs="Times New Roman" w:eastAsia="Times New Roman" w:hAnsi="Times New Roman"/>
          <w:sz w:val="18"/>
          <w:szCs w:val="18"/>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Plan was 8,958,589 and 7,114,975 as of December 31, 2024 and 2023, respectively, of which 1,114,335 and 1,802,675 shares remained available for grant under the 2019 Plan, respectively.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2024 and January 1, 2023, respectively, the number of shares reserved for issuance under the 2019 Plan increased, pursuant to the terms of the 2019 Plan, by an additional 2,105,623 shares in each case, equal to the 2019 Plan determined maximum for each year.</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common shares. As of December 31, 2024 and 2023, respectively, options to purchase 7,555,310 and 4,746,508 shares of common stock were granted and outstanding, net of cancellations, under the 2019 Plan. As of December 31, 2024 and 2023, respectively, options to purchase 288,944 and 565,792 shares of common stock were granted and outstanding, net of cancellations, under the 2012 Plan.</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options to purchase 832,250 shares of common stock subject to performance-based vesting (“PSOs”) to employees of the Company. The PSOs granted in February 2024 vest based on the timing and results of the Company’s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5"/>
                <w:szCs w:val="15"/>
                <w:color w:val="auto"/>
              </w:rPr>
            </w:pPr>
          </w:p>
        </w:tc>
        <w:tc>
          <w:tcPr>
            <w:tcW w:w="8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3,404,750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(542,959 )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(262,009 )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(67,828 )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7,844,254</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3,733,105</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3.74</w:t>
            </w:r>
          </w:p>
        </w:tc>
        <w:tc>
          <w:tcPr>
            <w:tcW w:w="14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4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unvested as of December 31,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4,111,149</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-456565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was $2.17 and $2.24 for the years ended December 31, 2024 and 2023, respectively.</w:t>
      </w:r>
    </w:p>
    <w:p>
      <w:pPr>
        <w:spacing w:after="0" w:line="5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aggregate fair value of stock options that vested during the years ended December 31, 2024 and 2023 was $2.4 million and $1.7 million, respectively.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2024 and 2023 was $305 and $173,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range of assumptions that the Company used to determine the fair value of the stock options granted were as follows:</w:t>
      </w:r>
    </w:p>
    <w:p>
      <w:pPr>
        <w:spacing w:after="0" w:line="1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780" w:type="dxa"/>
            <w:vAlign w:val="bottom"/>
            <w:tcBorders>
              <w:top w:val="single" w:sz="8" w:color="auto"/>
              <w:bottom w:val="single" w:sz="8" w:color="auto"/>
            </w:tcBorders>
          </w:tcPr>
          <w:p>
            <w:pPr>
              <w:jc w:val="right"/>
              <w:ind w:right="1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- 4.3%</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- 4.8%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 - 114.6%</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 - 147.1%</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5.5 - 7.0</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5.5 - 7.0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1,131,973 as of December 31, 2024.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2023, the aggregate number of shares of the Company’s common stock that may be issued under the 2019 ESPP increased, pursuant to the terms of the 2019 ESPP, by an additional 526,315 shares, equal to the 2019 ESPP determined maximum for the year. No increase was made on January 1, 2024.</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Consolidated Statements of Comprehensive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5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58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3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r>
      <w:tr>
        <w:trPr>
          <w:trHeight w:val="250"/>
        </w:trPr>
        <w:tc>
          <w:tcPr>
            <w:tcW w:w="5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580" w:type="dxa"/>
            <w:vAlign w:val="bottom"/>
            <w:tcBorders>
              <w:bottom w:val="single" w:sz="8" w:color="auto"/>
            </w:tcBorders>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unvested share-based awards was $6.8 million, which is expected to be recognized over a weighted average period of 2.7 years. As of December 31, 2023,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1" w:name="page122"/>
    <w:bookmarkEnd w:id="121"/>
    <w:p>
      <w:pPr>
        <w:ind w:right="540"/>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the unvested share-based awards was $3.8 million, which was expected to be recognized over a weighted average period of 2.7 years.</w:t>
      </w:r>
    </w:p>
    <w:p>
      <w:pPr>
        <w:spacing w:after="0" w:line="50"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benefit related to state research and development tax credits. The components of the income tax benefit for the periods shown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6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2"/>
          </w:tcPr>
          <w:p>
            <w:pPr>
              <w:jc w:val="right"/>
              <w:ind w:right="1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tcPr>
          <w:p>
            <w:pPr>
              <w:spacing w:after="0"/>
              <w:rPr>
                <w:sz w:val="18"/>
                <w:szCs w:val="18"/>
                <w:color w:val="auto"/>
              </w:rPr>
            </w:pPr>
          </w:p>
        </w:tc>
        <w:tc>
          <w:tcPr>
            <w:tcW w:w="2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0"/>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(30 )</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46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between income tax benefit and the expected tax benefit at the statutory rate:</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320" w:type="dxa"/>
            <w:vAlign w:val="bottom"/>
            <w:gridSpan w:val="7"/>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21.0 %</w:t>
            </w: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 benefit—net of federal tax</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R&amp;D tax credits</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Refundable tax credit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Permanent adjustments</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(1.9 )</w:t>
            </w:r>
          </w:p>
        </w:tc>
        <w:tc>
          <w:tcPr>
            <w:tcW w:w="4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(27.0 )</w:t>
            </w:r>
          </w:p>
        </w:tc>
        <w:tc>
          <w:tcPr>
            <w:tcW w:w="4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4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-2279650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-1567815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-1550670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-1550670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1200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8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10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340" w:type="dxa"/>
            <w:vAlign w:val="bottom"/>
            <w:gridSpan w:val="2"/>
            <w:shd w:val="clear" w:color="auto" w:fill="CFF0FC"/>
          </w:tcPr>
          <w:p>
            <w:pPr>
              <w:jc w:val="right"/>
              <w:ind w:right="15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1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15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3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18"/>
                <w:szCs w:val="18"/>
                <w:color w:val="auto"/>
              </w:rPr>
            </w:pPr>
          </w:p>
        </w:tc>
      </w:tr>
      <w:tr>
        <w:trPr>
          <w:trHeight w:val="210"/>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82,800</w:t>
            </w:r>
          </w:p>
        </w:tc>
        <w:tc>
          <w:tcPr>
            <w:tcW w:w="3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(351 )</w:t>
            </w:r>
          </w:p>
        </w:tc>
        <w:tc>
          <w:tcPr>
            <w:tcW w:w="700" w:type="dxa"/>
            <w:vAlign w:val="bottom"/>
          </w:tcPr>
          <w:p>
            <w:pPr>
              <w:spacing w:after="0"/>
              <w:rPr>
                <w:sz w:val="24"/>
                <w:szCs w:val="24"/>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(552 )</w:t>
            </w:r>
          </w:p>
        </w:tc>
      </w:tr>
      <w:tr>
        <w:trPr>
          <w:trHeight w:val="20"/>
        </w:trPr>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(351 )</w:t>
            </w:r>
          </w:p>
        </w:tc>
        <w:tc>
          <w:tcPr>
            <w:tcW w:w="7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(552 )</w:t>
            </w:r>
          </w:p>
        </w:tc>
      </w:tr>
      <w:tr>
        <w:trPr>
          <w:trHeight w:val="20"/>
        </w:trPr>
        <w:tc>
          <w:tcPr>
            <w:tcW w:w="39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(82,449 )</w:t>
            </w:r>
          </w:p>
        </w:tc>
        <w:tc>
          <w:tcPr>
            <w:tcW w:w="700" w:type="dxa"/>
            <w:vAlign w:val="bottom"/>
          </w:tcPr>
          <w:p>
            <w:pPr>
              <w:spacing w:after="0"/>
              <w:rPr>
                <w:sz w:val="24"/>
                <w:szCs w:val="24"/>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(69,502 )</w:t>
            </w:r>
          </w:p>
        </w:tc>
      </w:tr>
      <w:tr>
        <w:trPr>
          <w:trHeight w:val="250"/>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deferred tax asset</w:t>
            </w:r>
          </w:p>
        </w:tc>
        <w:tc>
          <w:tcPr>
            <w:tcW w:w="156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top w:val="single" w:sz="8" w:color="auto"/>
              <w:bottom w:val="single" w:sz="8" w:color="auto"/>
            </w:tcBorders>
            <w:shd w:val="clear" w:color="auto" w:fill="CFF0FC"/>
          </w:tcPr>
          <w:p>
            <w:pPr>
              <w:jc w:val="right"/>
              <w:ind w:right="15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3920" w:type="dxa"/>
            <w:vAlign w:val="bottom"/>
          </w:tcPr>
          <w:p>
            <w:pPr>
              <w:spacing w:after="0"/>
              <w:rPr>
                <w:sz w:val="24"/>
                <w:szCs w:val="24"/>
                <w:color w:val="auto"/>
              </w:rPr>
            </w:pPr>
          </w:p>
        </w:tc>
        <w:tc>
          <w:tcPr>
            <w:tcW w:w="3340" w:type="dxa"/>
            <w:vAlign w:val="bottom"/>
            <w:gridSpan w:val="2"/>
          </w:tcPr>
          <w:p>
            <w:pPr>
              <w:jc w:val="right"/>
              <w:ind w:right="1379"/>
              <w:spacing w:after="0"/>
              <w:rPr>
                <w:sz w:val="20"/>
                <w:szCs w:val="20"/>
                <w:color w:val="auto"/>
              </w:rPr>
            </w:pPr>
            <w:r>
              <w:rPr>
                <w:rFonts w:ascii="Times New Roman" w:cs="Times New Roman" w:eastAsia="Times New Roman" w:hAnsi="Times New Roman"/>
                <w:sz w:val="18"/>
                <w:szCs w:val="18"/>
                <w:color w:val="auto"/>
              </w:rPr>
              <w:t>F-20</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-1790700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-1362075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-916940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2" w:name="page123"/>
    <w:bookmarkEnd w:id="12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2024 and 2023, the Company generated federal and state net operating losses (“NOLs”) of approximately $13.1 million and $8.1 million, respectively. At December 31, 2024 and 2023, the federal and state net operating loss balances were approximately $199.8 million and $186.9 million, respectively. The federal operating losses generated prior to 2018 will expire in years 2031 through 2037, unless previously utilized. The federal operating losses generated in 2018 or later can be carried forward indefinitely, however will only offset 80% of taxable income in a carryforward year. The state operating losses generated will expire in years 2031 through 2044, unless previously utilized. The Company also generated federal R&amp;D tax credits for the years ended December 31, 2024 and 2023 of approximately $1.1 million and $848, respectively. At December 31, 2024 and 2023, the federal R&amp;D tax credit carryforwards were approximately $7.3 million and $6.2 million, respectively. These credits will expire in years 2032 through 2044, unless previously utilized. The Company completed a detailed Section 382 analysis, and due to multiple historical ownership changes, the Company’s NOLs as of December 31, 2022, in the amount of $178.4 million and R&amp;D tax credits in the amount of $5.4 million are subject to limitation. If a further ownership change occurs, the Company’s ability to use its tax attributes might be further limited.</w:t>
      </w:r>
    </w:p>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also generated state research tax credits for the years ended December 31, 2024 and 2023 of approximately $296 and $265, respectively. At December 31, 2024 and 2023, the state R&amp;D tax credit carryforwards were approximately $244 and $275, respectively. The Company applied to exchange a portion of these credits for cash under a state-run program. These amounts, $30 and $32 for the years ended December 31, 2024 and 2023, respectively, were recognized as current income tax benefits in the Company’s Consolidated Statements of Comprehensive Loss. At each of December 31, 2024 and 2023, the Company’s Consolidated Balance Sheets reflect income tax receivables of $130 and $32 respectively, related to these credits. Because of the net operating loss and research credit carryforwards, tax years 2011 through 2023 remain open to U.S. federal and state tax examinations.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U.S. expenses over five years and non-U.S. expenses over fifteen years pursuant to Internal Revenue Code Section 174. In the future, Congress may consider legislation that would defer the amortization requirement to later years, possibly with retroactive effect. In the meantime, we expect to continue to capitalize research and development expenses under the current tax law. The impact of Section 174 on the Company's deferred tax assets depends on the amount of research and development expenditures incurred by the Company and whether the IRS issues guidance on the provision, which differs from the Company's current interpretation, among other things. For the for the years ended December 31, 2024 and 2023, this provision resulted in additional deferred tax assets of $7.6 million and $4.8 million, respectively.</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operating losses it incurred since its inception on March 17, 2011, represented negative evidence sufficient to conclude a valuation allowance was necessary. As such, the Company has recorded a valuation allowance of $82.4 million and $69.5 million at December 31, 2024 and 2023, respectively, as a reserve against its net deferred tax assets. These balances reflect increases in the valuation allowance of $12.9 million and $8.4 million in 2024 and 2023, respectively, both representing an increase in net deferred tax assets.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2024 and 2023, the Company had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3" w:name="page124"/>
    <w:bookmarkEnd w:id="123"/>
    <w:p>
      <w:pPr>
        <w:ind w:right="680"/>
        <w:spacing w:after="0" w:line="282" w:lineRule="auto"/>
        <w:rPr>
          <w:sz w:val="20"/>
          <w:szCs w:val="20"/>
          <w:color w:val="auto"/>
        </w:rPr>
      </w:pPr>
      <w:r>
        <w:rPr>
          <w:rFonts w:ascii="Times New Roman" w:cs="Times New Roman" w:eastAsia="Times New Roman" w:hAnsi="Times New Roman"/>
          <w:sz w:val="18"/>
          <w:szCs w:val="18"/>
          <w:color w:val="auto"/>
        </w:rPr>
        <w:t>no unrecognized tax benefits or related interest and penalties accrued. In the event the Company determines that accrual of interest or penalties are necessary in the future, the amount will be presented as a component of interest expense.</w:t>
      </w:r>
    </w:p>
    <w:p>
      <w:pPr>
        <w:spacing w:after="0" w:line="50"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(47,911 )</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(29,065 )</w:t>
            </w:r>
          </w:p>
        </w:tc>
        <w:tc>
          <w:tcPr>
            <w:tcW w:w="0" w:type="dxa"/>
            <w:vAlign w:val="bottom"/>
          </w:tcPr>
          <w:p>
            <w:pPr>
              <w:spacing w:after="0"/>
              <w:rPr>
                <w:sz w:val="1"/>
                <w:szCs w:val="1"/>
                <w:color w:val="auto"/>
              </w:rPr>
            </w:pPr>
          </w:p>
        </w:tc>
      </w:tr>
      <w:tr>
        <w:trPr>
          <w:trHeight w:val="198"/>
        </w:trPr>
        <w:tc>
          <w:tcPr>
            <w:tcW w:w="6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w:t>
            </w:r>
          </w:p>
        </w:tc>
        <w:tc>
          <w:tcPr>
            <w:tcW w:w="46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101,971,873</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99,033,373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(0.47 )</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December 31, 2024 and 2023, the Company had pre-funded warrants to purchase 23,211,642 and 31,227,802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years ended December 31, 2024 and 2023.</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2024 and 2023, respectively, were excluded from the calculation of diluted net loss per share attributable to common stockholders for the periods indicated because including them would have had an anti-dilutive effect:</w:t>
      </w:r>
    </w:p>
    <w:p>
      <w:pPr>
        <w:spacing w:after="0" w:line="7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Shares 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20" w:type="dxa"/>
            <w:vAlign w:val="bottom"/>
            <w:tcBorders>
              <w:top w:val="single" w:sz="8" w:color="auto"/>
              <w:bottom w:val="single" w:sz="8" w:color="auto"/>
            </w:tcBorders>
          </w:tcPr>
          <w:p>
            <w:pPr>
              <w:jc w:val="right"/>
              <w:ind w:right="9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7,844,254</w:t>
            </w:r>
          </w:p>
        </w:tc>
        <w:tc>
          <w:tcPr>
            <w:tcW w:w="340" w:type="dxa"/>
            <w:vAlign w:val="bottom"/>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100" w:type="dxa"/>
            <w:vAlign w:val="bottom"/>
          </w:tcPr>
          <w:p>
            <w:pPr>
              <w:spacing w:after="0"/>
              <w:rPr>
                <w:sz w:val="18"/>
                <w:szCs w:val="18"/>
                <w:color w:val="auto"/>
              </w:rPr>
            </w:pPr>
          </w:p>
        </w:tc>
      </w:tr>
      <w:tr>
        <w:trPr>
          <w:trHeight w:val="250"/>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potential common shares</w:t>
            </w:r>
          </w:p>
        </w:tc>
        <w:tc>
          <w:tcPr>
            <w:tcW w:w="1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17,547,958</w:t>
            </w:r>
          </w:p>
        </w:tc>
        <w:tc>
          <w:tcPr>
            <w:tcW w:w="340" w:type="dxa"/>
            <w:vAlign w:val="bottom"/>
            <w:tcBorders>
              <w:bottom w:val="single" w:sz="8" w:color="CFF0FC"/>
            </w:tcBorders>
            <w:shd w:val="clear" w:color="auto" w:fill="CFF0FC"/>
          </w:tcPr>
          <w:p>
            <w:pPr>
              <w:spacing w:after="0"/>
              <w:rPr>
                <w:sz w:val="21"/>
                <w:szCs w:val="21"/>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15,016,004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which is also the Company’s only operating segment. Such segment is the business of developing and commercializing the investigational therapy Haduvio (oral Nalbuphine ER) for the treatment of chronic cough in patients with IPF, chronic cough in patients with non-IPF ILD, and RCC. The Company’s chief operating decision maker, or CODM, is the President and Chief Executive Officer. The CODM assesses performance for the segment and decides how to allocate resources based on consolidated net loss that is also reported on the Company’s consolidated statements of comprehensive loss.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w:t>
      </w:r>
    </w:p>
    <w:p>
      <w:pPr>
        <w:spacing w:after="0" w:line="11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2 of the notes to the consolidated financial statements included in this Annual Report on Form 10-K.</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loss, including significant expense categories, attributable to the Company’s reportable segment for the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Chronic cough in IPF clinical trial expense</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Refractory chronic cough clinical trial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clinical trials and studies </w:t>
            </w:r>
            <w:r>
              <w:rPr>
                <w:rFonts w:ascii="Times New Roman" w:cs="Times New Roman" w:eastAsia="Times New Roman" w:hAnsi="Times New Roman"/>
                <w:sz w:val="24"/>
                <w:szCs w:val="24"/>
                <w:color w:val="auto"/>
                <w:vertAlign w:val="superscript"/>
              </w:rPr>
              <w:t>1</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Clinical trial material</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clinical development expenses </w:t>
            </w:r>
            <w:r>
              <w:rPr>
                <w:rFonts w:ascii="Times New Roman" w:cs="Times New Roman" w:eastAsia="Times New Roman" w:hAnsi="Times New Roman"/>
                <w:sz w:val="24"/>
                <w:szCs w:val="24"/>
                <w:color w:val="auto"/>
                <w:vertAlign w:val="superscript"/>
              </w:rPr>
              <w:t>2</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(excluding stock compensation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3</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(3,602 )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(4,748 )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12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5" w:lineRule="exact"/>
        <w:rPr>
          <w:sz w:val="20"/>
          <w:szCs w:val="20"/>
          <w:color w:val="auto"/>
        </w:rPr>
      </w:pPr>
    </w:p>
    <w:p>
      <w:pPr>
        <w:ind w:right="240" w:firstLine="8"/>
        <w:spacing w:after="0" w:line="236" w:lineRule="auto"/>
        <w:tabs>
          <w:tab w:leader="none" w:pos="21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expense related to the Company’s Human Abuse Potential study, the Company’s Phase 2a CANAL trial of Haduvio for the treatment of chronic cough in patients with IPF, and the Company’s Phase 2b/3 PRISM trial of Haduvio for the treatment of prurigo nodularis.</w:t>
      </w:r>
    </w:p>
    <w:p>
      <w:pPr>
        <w:ind w:left="220" w:hanging="212"/>
        <w:spacing w:after="0" w:line="225" w:lineRule="auto"/>
        <w:tabs>
          <w:tab w:leader="none" w:pos="2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expense related to general research and development activities, regulatory, medical affairs, and quality assurance.</w:t>
      </w:r>
    </w:p>
    <w:p>
      <w:pPr>
        <w:ind w:left="220" w:hanging="212"/>
        <w:spacing w:after="0"/>
        <w:tabs>
          <w:tab w:leader="none" w:pos="2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general administrative expense, interest expense, net, other (expense) income, net and income tax benefit.</w:t>
      </w:r>
    </w:p>
    <w:p>
      <w:pPr>
        <w:spacing w:after="0" w:line="184"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25" w:name="page126"/>
    <w:bookmarkEnd w:id="125"/>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13).</w:t>
      </w:r>
    </w:p>
    <w:p>
      <w:pPr>
        <w:spacing w:after="0" w:line="113"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2024, the Company adopted a new 401(k) defined contribution plan for the benefit for all U.S. employees. All eligible employees of the Company are able to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one-year period. Prior to January 2024, the Company was a participating employer of a multiple employer defined contribution retirement plan that complied with Section 401(k) of the Code.</w:t>
      </w:r>
    </w:p>
    <w:p>
      <w:pPr>
        <w:spacing w:after="0" w:line="7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Company’s expense under both of the 401(k) plans, representing its employer matching contributions and additional contributions in accordance with regulatory compliance requirements, totaled $152 and $126 for the years ended December 31, 2024 and 2023, respectively.</w:t>
      </w:r>
    </w:p>
    <w:p>
      <w:pPr>
        <w:spacing w:after="0" w:line="50"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2025, common stock warrants from the October 2021 private placements that were set to expire on October 5, 2028 were exercised to purchase 2.8 million shares of common stock, which provided approximately $3.8 million in cash proceeds to the Company. See Note 9 above for further discussion of the October 2021 private placements.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5" w:right="4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Non-Employee Director Compensation Program</w:t>
      </w:r>
    </w:p>
    <w:p>
      <w:pPr>
        <w:spacing w:after="0" w:line="203" w:lineRule="exact"/>
        <w:rPr>
          <w:sz w:val="20"/>
          <w:szCs w:val="20"/>
          <w:color w:val="auto"/>
        </w:rPr>
      </w:pPr>
    </w:p>
    <w:p>
      <w:pPr>
        <w:ind w:right="60" w:firstLine="8"/>
        <w:spacing w:after="0" w:line="235" w:lineRule="auto"/>
        <w:tabs>
          <w:tab w:leader="none" w:pos="29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Initial Stock Option 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Each non-employee director will receive an option under the 2019 Stock Incentive Plan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“2019 Plan”) to purchase 60,000 shares of Common Stock upon his or her initial election or appointment to the Board. Subject to the non-employee director’s continued service as a director, employee or consultant, the option will vest with respect to (i) 50% of the underlying shares on the earlier of (A) the first anniversary of the date of grant and (B) the date of the first annual meeting of stockholders of the Company held following the date of grant and (ii) the remaining 50% of the underlying shares on the earlier of (A) the second anniversary of the date of grant and (B) the date of the second annual meeting of stockholders of the Company held following the date of grant, and, in the event of a change in control of the Company, the vesting of the option will accelerate in full. The exercise price of the option will be equal to the fair market value of the Common Stock on the date of grant.</w:t>
      </w:r>
    </w:p>
    <w:p>
      <w:pPr>
        <w:spacing w:after="0" w:line="200" w:lineRule="exact"/>
        <w:rPr>
          <w:rFonts w:ascii="Times New Roman" w:cs="Times New Roman" w:eastAsia="Times New Roman" w:hAnsi="Times New Roman"/>
          <w:sz w:val="22"/>
          <w:szCs w:val="22"/>
          <w:color w:val="auto"/>
        </w:rPr>
      </w:pPr>
    </w:p>
    <w:p>
      <w:pPr>
        <w:ind w:right="60" w:firstLine="8"/>
        <w:spacing w:after="0" w:line="236" w:lineRule="auto"/>
        <w:tabs>
          <w:tab w:leader="none" w:pos="3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Annual Stock Option 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Each non-employee director who has served on the Board for at least six months will receive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grant of an option under the 2019 Plan to purchase 30,000 shares of Common Stock on the date of each of the Company’s annual meetings of stockholders. Unless otherwise provided at the time of grant, subject to the non employee director’s continued service as a director, employee or consultant, the option will vest in full on the earlier of the first anniversary of the date of grant or the date of the next annual meeting of stockholders held following the date of grant, and, in the event of a change in control of the Company, the vesting of the option will accelerate in full. The exercise price of the option will be equal to the fair market value of the Common Stock on the date of grant.</w:t>
      </w:r>
    </w:p>
    <w:p>
      <w:pPr>
        <w:spacing w:after="0" w:line="202"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Annual Fee; Reimbursement of Travel and Other Expenses</w:t>
      </w:r>
      <w:r>
        <w:rPr>
          <w:rFonts w:ascii="Times New Roman" w:cs="Times New Roman" w:eastAsia="Times New Roman" w:hAnsi="Times New Roman"/>
          <w:sz w:val="22"/>
          <w:szCs w:val="22"/>
          <w:color w:val="auto"/>
        </w:rPr>
        <w:t>. Each non-employee director will receive an annual fee of</w:t>
      </w:r>
    </w:p>
    <w:p>
      <w:pPr>
        <w:spacing w:after="0" w:line="20"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22"/>
          <w:szCs w:val="22"/>
          <w:color w:val="auto"/>
        </w:rPr>
        <w:t>$40,000 relating to such director’s service on the Board. Each non-employee director will also receive an annual fee of $10,000 for serving on the Audit Committee, $7,500 for serving on the Compensation Committee and$5,000 for serving on the Nominating and Corporate Governance Committee of the Board. The chair of the Audit Committee will receive an additional annual fee of$10,000, the chair of the Compensation Committee will receive an additional annual fee of $7,500 and the chair of the Nominating and Corporate Governance Committee will receive an additional annual fee of $5,000. The chair of the Board will receive an additional annual fee of $30,000. If there is a lead director, the lead director will receive an additional annual fee of $15,000 if further approved by the Board. Each annual fee shall be payable in arrears in four equal quarterly installments on the last day of each quarter, provided that the amount of such payment shall be prorated for any portion of such quarter that the director was not serving on the Board, on such committee or in such position. Each non-employee director will also be reimbursed for reasonable travel and other expenses in connection with attending meetings of the Board and any committee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Trevi Therapeutics, Inc.</w:t>
      </w:r>
    </w:p>
    <w:p>
      <w:pPr>
        <w:spacing w:after="0" w:line="2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Insider Trading Policy</w:t>
      </w:r>
    </w:p>
    <w:p>
      <w:pPr>
        <w:spacing w:after="0" w:line="250" w:lineRule="exact"/>
        <w:rPr>
          <w:sz w:val="20"/>
          <w:szCs w:val="20"/>
          <w:color w:val="auto"/>
        </w:rPr>
      </w:pPr>
    </w:p>
    <w:p>
      <w:pPr>
        <w:ind w:left="880" w:hanging="503"/>
        <w:spacing w:after="0"/>
        <w:tabs>
          <w:tab w:leader="none" w:pos="8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BACKGROUND AND PURPOSE</w:t>
      </w:r>
    </w:p>
    <w:p>
      <w:pPr>
        <w:spacing w:after="0" w:line="337"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Why Have We Adopted This Policy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The federal securities laws prohibit any member of the Board of Directors (a “Director”), officer (as defined in Rule 16a-1(f) under the Securities Exchange Act of 1934 (the “Exchange Act”), an “executive officer”) or employee of Trevi Therapeutics,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insider trading policy is being adopted in light of these legal requirements, and with the goal of helping:</w:t>
      </w:r>
    </w:p>
    <w:p>
      <w:pPr>
        <w:spacing w:after="0" w:line="233" w:lineRule="exact"/>
        <w:rPr>
          <w:sz w:val="20"/>
          <w:szCs w:val="20"/>
          <w:color w:val="auto"/>
        </w:rPr>
      </w:pPr>
    </w:p>
    <w:p>
      <w:pPr>
        <w:ind w:left="1900" w:hanging="505"/>
        <w:spacing w:after="0"/>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354" w:lineRule="exact"/>
        <w:rPr>
          <w:rFonts w:ascii="Times New Roman" w:cs="Times New Roman" w:eastAsia="Times New Roman" w:hAnsi="Times New Roman"/>
          <w:sz w:val="22"/>
          <w:szCs w:val="22"/>
          <w:color w:val="auto"/>
        </w:rPr>
      </w:pPr>
    </w:p>
    <w:p>
      <w:pPr>
        <w:ind w:left="1900" w:right="640" w:hanging="505"/>
        <w:spacing w:after="0" w:line="258" w:lineRule="auto"/>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embarrassing proxy disclosure of reporting violations by persons subject to Section 16 of the Exchange Act;</w:t>
      </w:r>
    </w:p>
    <w:p>
      <w:pPr>
        <w:spacing w:after="0" w:line="293" w:lineRule="exact"/>
        <w:rPr>
          <w:rFonts w:ascii="Times New Roman" w:cs="Times New Roman" w:eastAsia="Times New Roman" w:hAnsi="Times New Roman"/>
          <w:sz w:val="22"/>
          <w:szCs w:val="22"/>
          <w:color w:val="auto"/>
        </w:rPr>
      </w:pPr>
    </w:p>
    <w:p>
      <w:pPr>
        <w:ind w:left="1900" w:right="120" w:hanging="505"/>
        <w:spacing w:after="0" w:line="258" w:lineRule="auto"/>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promote compliance with the Company’s obligation to publicly disclose information related to its insider trading policies and practices and the use of certain trading arrangements by Company insiders;</w:t>
      </w:r>
    </w:p>
    <w:p>
      <w:pPr>
        <w:spacing w:after="0" w:line="293" w:lineRule="exact"/>
        <w:rPr>
          <w:rFonts w:ascii="Times New Roman" w:cs="Times New Roman" w:eastAsia="Times New Roman" w:hAnsi="Times New Roman"/>
          <w:sz w:val="22"/>
          <w:szCs w:val="22"/>
          <w:color w:val="auto"/>
        </w:rPr>
      </w:pPr>
    </w:p>
    <w:p>
      <w:pPr>
        <w:ind w:left="1900" w:right="660" w:hanging="505"/>
        <w:spacing w:after="0" w:line="258" w:lineRule="auto"/>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even the appearance of impropriety on the part of those employed by, or associated with, the Company;</w:t>
      </w:r>
    </w:p>
    <w:p>
      <w:pPr>
        <w:spacing w:after="0" w:line="306"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341"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4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21"/>
          <w:szCs w:val="21"/>
          <w:color w:val="auto"/>
        </w:rPr>
        <w:t>As detailed below, this policy applies to family members and certain other persons and entities with whom Directors and employees have relationships. However, nothing in this policy is applicable to transactions by the Company itself.</w:t>
      </w:r>
    </w:p>
    <w:p>
      <w:pPr>
        <w:spacing w:after="0" w:line="283"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What Type of Information is “Material”?</w:t>
      </w:r>
    </w:p>
    <w:p>
      <w:pPr>
        <w:spacing w:after="0" w:line="233"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Information concerning the Company is considered material if there is a substantial likelihood that a reasonable stockholder would consider the information important in making an investment decision with respect to the Company’s securities. Stated another way, there must be a substantial likelihood that a reasonable shareholder would view the information as having significantly altered the “total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462280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9" w:right="339" w:bottom="1440" w:gutter="0" w:footer="0" w:header="0"/>
        </w:sectPr>
      </w:pPr>
    </w:p>
    <w:bookmarkStart w:id="128" w:name="page129"/>
    <w:bookmarkEnd w:id="128"/>
    <w:p>
      <w:pPr>
        <w:ind w:right="160"/>
        <w:spacing w:after="0" w:line="244" w:lineRule="auto"/>
        <w:rPr>
          <w:sz w:val="20"/>
          <w:szCs w:val="20"/>
          <w:color w:val="auto"/>
        </w:rPr>
      </w:pPr>
      <w:r>
        <w:rPr>
          <w:rFonts w:ascii="Times New Roman" w:cs="Times New Roman" w:eastAsia="Times New Roman" w:hAnsi="Times New Roman"/>
          <w:sz w:val="22"/>
          <w:szCs w:val="22"/>
          <w:color w:val="auto"/>
        </w:rPr>
        <w:t>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spacing w:after="0" w:line="65" w:lineRule="exact"/>
        <w:rPr>
          <w:sz w:val="20"/>
          <w:szCs w:val="20"/>
          <w:color w:val="auto"/>
        </w:rPr>
      </w:pPr>
    </w:p>
    <w:p>
      <w:pPr>
        <w:ind w:left="1900" w:right="12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liquidity, cash burn rate, revenues, earnings or losses (including the Company’s forecasts of the same);</w:t>
      </w:r>
    </w:p>
    <w:p>
      <w:pPr>
        <w:spacing w:after="0" w:line="306"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 involving the Company;</w:t>
      </w:r>
    </w:p>
    <w:p>
      <w:pPr>
        <w:spacing w:after="0" w:line="341"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the management or the Board of Directors of the Company;</w:t>
      </w:r>
    </w:p>
    <w:p>
      <w:pPr>
        <w:spacing w:after="0" w:line="354" w:lineRule="exact"/>
        <w:rPr>
          <w:rFonts w:ascii="Times New Roman" w:cs="Times New Roman" w:eastAsia="Times New Roman" w:hAnsi="Times New Roman"/>
          <w:sz w:val="22"/>
          <w:szCs w:val="22"/>
          <w:color w:val="auto"/>
        </w:rPr>
      </w:pPr>
    </w:p>
    <w:p>
      <w:pPr>
        <w:ind w:left="1900" w:right="72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upcoming U.S. Food and Drug Administration actions or other significant regulatory developments, including significant new clinical trial results;</w:t>
      </w:r>
    </w:p>
    <w:p>
      <w:pPr>
        <w:spacing w:after="0" w:line="293"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decision to commence or terminate the payment of cash dividends;</w:t>
      </w:r>
    </w:p>
    <w:p>
      <w:pPr>
        <w:spacing w:after="0" w:line="354"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or private sale of a significant amount of securities of the Company;</w:t>
      </w:r>
    </w:p>
    <w:p>
      <w:pPr>
        <w:spacing w:after="0" w:line="341"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program to repurchase securities of the Company;</w:t>
      </w:r>
    </w:p>
    <w:p>
      <w:pPr>
        <w:spacing w:after="0" w:line="354"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split;</w:t>
      </w:r>
    </w:p>
    <w:p>
      <w:pPr>
        <w:spacing w:after="0" w:line="354"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of the Company or a bankruptcy filing;</w:t>
      </w:r>
    </w:p>
    <w:p>
      <w:pPr>
        <w:spacing w:after="0" w:line="341"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354" w:lineRule="exact"/>
        <w:rPr>
          <w:rFonts w:ascii="Times New Roman" w:cs="Times New Roman" w:eastAsia="Times New Roman" w:hAnsi="Times New Roman"/>
          <w:sz w:val="22"/>
          <w:szCs w:val="22"/>
          <w:color w:val="auto"/>
        </w:rPr>
      </w:pPr>
    </w:p>
    <w:p>
      <w:pPr>
        <w:ind w:left="1900" w:right="58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significant clinical trials or non-clinical studies, including the timing of and findings and data from such trials and studies;</w:t>
      </w:r>
    </w:p>
    <w:p>
      <w:pPr>
        <w:spacing w:after="0" w:line="306"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licensing or collaboration agreement, or serious discussions regarding such an agreement;</w:t>
      </w:r>
    </w:p>
    <w:p>
      <w:pPr>
        <w:spacing w:after="0" w:line="341" w:lineRule="exact"/>
        <w:rPr>
          <w:rFonts w:ascii="Times New Roman" w:cs="Times New Roman" w:eastAsia="Times New Roman" w:hAnsi="Times New Roman"/>
          <w:sz w:val="22"/>
          <w:szCs w:val="22"/>
          <w:color w:val="auto"/>
        </w:rPr>
      </w:pPr>
    </w:p>
    <w:p>
      <w:pPr>
        <w:ind w:left="1900" w:right="34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collaborators or suppliers;</w:t>
      </w:r>
    </w:p>
    <w:p>
      <w:pPr>
        <w:spacing w:after="0" w:line="306" w:lineRule="exact"/>
        <w:rPr>
          <w:rFonts w:ascii="Times New Roman" w:cs="Times New Roman" w:eastAsia="Times New Roman" w:hAnsi="Times New Roman"/>
          <w:sz w:val="22"/>
          <w:szCs w:val="22"/>
          <w:color w:val="auto"/>
        </w:rPr>
      </w:pPr>
    </w:p>
    <w:p>
      <w:pPr>
        <w:ind w:left="1900" w:right="12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operational issue or investigation of a potential such issue, including cybersecurity incidents and product defects;</w:t>
      </w:r>
    </w:p>
    <w:p>
      <w:pPr>
        <w:spacing w:after="0" w:line="293" w:lineRule="exact"/>
        <w:rPr>
          <w:rFonts w:ascii="Times New Roman" w:cs="Times New Roman" w:eastAsia="Times New Roman" w:hAnsi="Times New Roman"/>
          <w:sz w:val="22"/>
          <w:szCs w:val="22"/>
          <w:color w:val="auto"/>
        </w:rPr>
      </w:pPr>
    </w:p>
    <w:p>
      <w:pPr>
        <w:ind w:left="1900" w:hanging="505"/>
        <w:spacing w:after="0" w:line="258" w:lineRule="auto"/>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conclusion by the Company or a notification from its independent auditor that any of the Company’s previously issued financial statements should no longer be relied upon; or</w:t>
      </w:r>
    </w:p>
    <w:p>
      <w:pPr>
        <w:spacing w:after="0" w:line="306"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dispute with the Company’s independent auditor.</w:t>
      </w:r>
    </w:p>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7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could give rise to material information.</w:t>
      </w:r>
    </w:p>
    <w:p>
      <w:pPr>
        <w:spacing w:after="0" w:line="355"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When is Information “Nonpublic”</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w:t>
      </w:r>
    </w:p>
    <w:p>
      <w:pPr>
        <w:spacing w:after="0" w:line="23"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Information will generally be considered nonpublic unless (1) the information has been disclosed in a press release, in a public filing made with the SEC (such as a Report on Form 10- K, Form 10-Q or Form 8-K), or through a news wire service or daily newspaper of wide circulation, and (2) a sufficient amount of time has passed so that the information has had an opportunity to be digested by the marketplace.</w:t>
      </w:r>
    </w:p>
    <w:p>
      <w:pPr>
        <w:spacing w:after="0" w:line="225" w:lineRule="exact"/>
        <w:rPr>
          <w:sz w:val="20"/>
          <w:szCs w:val="20"/>
          <w:color w:val="auto"/>
        </w:rPr>
      </w:pPr>
    </w:p>
    <w:p>
      <w:pPr>
        <w:ind w:left="880" w:hanging="503"/>
        <w:spacing w:after="0"/>
        <w:tabs>
          <w:tab w:leader="none" w:pos="8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PROHIBITIONS RELATING TO TRANSACTIONS IN THE COMPANY’S SECURITIES</w:t>
      </w:r>
    </w:p>
    <w:p>
      <w:pPr>
        <w:spacing w:after="0" w:line="324"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2 applies to:</w:t>
      </w:r>
    </w:p>
    <w:p>
      <w:pPr>
        <w:spacing w:after="0" w:line="355" w:lineRule="exact"/>
        <w:rPr>
          <w:sz w:val="20"/>
          <w:szCs w:val="20"/>
          <w:color w:val="auto"/>
        </w:rPr>
      </w:pPr>
    </w:p>
    <w:p>
      <w:pPr>
        <w:ind w:left="1900" w:hanging="505"/>
        <w:spacing w:after="0"/>
        <w:tabs>
          <w:tab w:leader="none" w:pos="1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354" w:lineRule="exact"/>
        <w:rPr>
          <w:rFonts w:ascii="Times New Roman" w:cs="Times New Roman" w:eastAsia="Times New Roman" w:hAnsi="Times New Roman"/>
          <w:sz w:val="22"/>
          <w:szCs w:val="22"/>
          <w:color w:val="auto"/>
        </w:rPr>
      </w:pPr>
    </w:p>
    <w:p>
      <w:pPr>
        <w:ind w:left="1900" w:hanging="505"/>
        <w:spacing w:after="0"/>
        <w:tabs>
          <w:tab w:leader="none" w:pos="1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341" w:lineRule="exact"/>
        <w:rPr>
          <w:rFonts w:ascii="Times New Roman" w:cs="Times New Roman" w:eastAsia="Times New Roman" w:hAnsi="Times New Roman"/>
          <w:sz w:val="22"/>
          <w:szCs w:val="22"/>
          <w:color w:val="auto"/>
        </w:rPr>
      </w:pPr>
    </w:p>
    <w:p>
      <w:pPr>
        <w:ind w:left="1900" w:right="40" w:hanging="505"/>
        <w:spacing w:after="0" w:line="238" w:lineRule="auto"/>
        <w:tabs>
          <w:tab w:leader="none" w:pos="1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and employees who share the same address as, or are financially dependent on, the Director or employee and any other person who shares the same address as the Director or employee (other than</w:t>
      </w:r>
    </w:p>
    <w:p>
      <w:pPr>
        <w:ind w:left="1860" w:right="380" w:firstLine="4"/>
        <w:spacing w:after="0" w:line="258" w:lineRule="auto"/>
        <w:tabs>
          <w:tab w:leader="none" w:pos="216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employee or tenant of the Director or employee or (y) another unrelated person whom the Chief Executive Officer or Chief Financial Officer determines should not be covered by this policy); and</w:t>
      </w:r>
    </w:p>
    <w:p>
      <w:pPr>
        <w:spacing w:after="0" w:line="307" w:lineRule="exact"/>
        <w:rPr>
          <w:rFonts w:ascii="Times New Roman" w:cs="Times New Roman" w:eastAsia="Times New Roman" w:hAnsi="Times New Roman"/>
          <w:sz w:val="21"/>
          <w:szCs w:val="21"/>
          <w:color w:val="auto"/>
        </w:rPr>
      </w:pPr>
    </w:p>
    <w:p>
      <w:pPr>
        <w:ind w:left="1900" w:right="20" w:hanging="505"/>
        <w:spacing w:after="0" w:line="235" w:lineRule="auto"/>
        <w:tabs>
          <w:tab w:leader="none" w:pos="1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 or the entity is a professional investment organization (e.g. venture capital fund, investment fund, registered investment company or registered investment advisor) and has established policies and procedures designed to ensure its compliance with federal securities laws and regulations prohibiting trading in the securities of a company on the basis of material, non-public information.</w:t>
      </w:r>
    </w:p>
    <w:p>
      <w:pPr>
        <w:spacing w:after="0" w:line="332"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Prohibition on Trading While Aware of Material Nonpublic Information</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ind w:left="880" w:hanging="503"/>
        <w:spacing w:after="0"/>
        <w:tabs>
          <w:tab w:leader="none" w:pos="8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Except as provided in Section 2.2(b), no person or entity covered by Section 2 may:</w:t>
      </w:r>
    </w:p>
    <w:p>
      <w:pPr>
        <w:spacing w:after="0" w:line="354" w:lineRule="exact"/>
        <w:rPr>
          <w:rFonts w:ascii="Times New Roman" w:cs="Times New Roman" w:eastAsia="Times New Roman" w:hAnsi="Times New Roman"/>
          <w:sz w:val="22"/>
          <w:szCs w:val="22"/>
          <w:color w:val="auto"/>
        </w:rPr>
      </w:pPr>
    </w:p>
    <w:p>
      <w:pPr>
        <w:ind w:left="1900" w:hanging="505"/>
        <w:spacing w:after="0" w:line="258" w:lineRule="auto"/>
        <w:tabs>
          <w:tab w:leader="none" w:pos="19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or donate any securities of the Company while he or she is aware of any material nonpublic information concerning the Company or recommend to another person that they do so;</w:t>
      </w:r>
    </w:p>
    <w:p>
      <w:pPr>
        <w:spacing w:after="0" w:line="293" w:lineRule="exact"/>
        <w:rPr>
          <w:rFonts w:ascii="Times New Roman" w:cs="Times New Roman" w:eastAsia="Times New Roman" w:hAnsi="Times New Roman"/>
          <w:sz w:val="22"/>
          <w:szCs w:val="22"/>
          <w:color w:val="auto"/>
        </w:rPr>
      </w:pPr>
    </w:p>
    <w:p>
      <w:pPr>
        <w:ind w:left="1900" w:right="900" w:hanging="505"/>
        <w:spacing w:after="0" w:line="258" w:lineRule="auto"/>
        <w:tabs>
          <w:tab w:leader="none" w:pos="19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tip or otherwise disclose to any other person in violation of the insider trading laws any material nonpublic information concerning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448310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76" w:right="339" w:bottom="1440" w:gutter="0" w:footer="0" w:header="0"/>
        </w:sectPr>
      </w:pPr>
    </w:p>
    <w:bookmarkStart w:id="130" w:name="page131"/>
    <w:bookmarkEnd w:id="130"/>
    <w:p>
      <w:pPr>
        <w:ind w:left="1523" w:right="60" w:hanging="505"/>
        <w:spacing w:after="0" w:line="261" w:lineRule="auto"/>
        <w:tabs>
          <w:tab w:leader="none" w:pos="152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292" w:lineRule="exact"/>
        <w:rPr>
          <w:rFonts w:ascii="Times New Roman" w:cs="Times New Roman" w:eastAsia="Times New Roman" w:hAnsi="Times New Roman"/>
          <w:sz w:val="21"/>
          <w:szCs w:val="21"/>
          <w:color w:val="auto"/>
        </w:rPr>
      </w:pPr>
    </w:p>
    <w:p>
      <w:pPr>
        <w:ind w:left="1523" w:right="300" w:hanging="505"/>
        <w:spacing w:after="0" w:line="244" w:lineRule="auto"/>
        <w:tabs>
          <w:tab w:leader="none" w:pos="15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tip or otherwise disclose to any other person in violation of the insider trading laws any material nonpublic information concerning another company which he or she learned in the course of his or her service as a Director or employee of the Company.</w:t>
      </w:r>
    </w:p>
    <w:p>
      <w:pPr>
        <w:spacing w:after="0" w:line="308" w:lineRule="exact"/>
        <w:rPr>
          <w:rFonts w:ascii="Times New Roman" w:cs="Times New Roman" w:eastAsia="Times New Roman" w:hAnsi="Times New Roman"/>
          <w:sz w:val="22"/>
          <w:szCs w:val="22"/>
          <w:color w:val="auto"/>
        </w:rPr>
      </w:pPr>
    </w:p>
    <w:p>
      <w:pPr>
        <w:ind w:left="503" w:right="200" w:hanging="503"/>
        <w:spacing w:after="0" w:line="258" w:lineRule="auto"/>
        <w:tabs>
          <w:tab w:leader="none" w:pos="50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prohibitions in Sections 2.2(a) and 2.3 on purchases, sales and donations of Company securities do not apply to:</w:t>
      </w:r>
    </w:p>
    <w:p>
      <w:pPr>
        <w:spacing w:after="0" w:line="306" w:lineRule="exact"/>
        <w:rPr>
          <w:rFonts w:ascii="Times New Roman" w:cs="Times New Roman" w:eastAsia="Times New Roman" w:hAnsi="Times New Roman"/>
          <w:sz w:val="22"/>
          <w:szCs w:val="22"/>
          <w:color w:val="auto"/>
        </w:rPr>
      </w:pPr>
    </w:p>
    <w:p>
      <w:pPr>
        <w:ind w:left="1523" w:right="20" w:hanging="505"/>
        <w:spacing w:after="0" w:line="236" w:lineRule="auto"/>
        <w:tabs>
          <w:tab w:leader="none" w:pos="15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that would otherwise expire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(either outright or in connection with a “cashless” exercise transaction through a broker) while the employee or Director is aware of material nonpublic information or during an applicable blackout period (as defined in Section 2.3(b));</w:t>
      </w:r>
    </w:p>
    <w:p>
      <w:pPr>
        <w:spacing w:after="0" w:line="329" w:lineRule="exact"/>
        <w:rPr>
          <w:rFonts w:ascii="Times New Roman" w:cs="Times New Roman" w:eastAsia="Times New Roman" w:hAnsi="Times New Roman"/>
          <w:sz w:val="22"/>
          <w:szCs w:val="22"/>
          <w:color w:val="auto"/>
        </w:rPr>
      </w:pPr>
    </w:p>
    <w:p>
      <w:pPr>
        <w:ind w:left="1523" w:hanging="505"/>
        <w:spacing w:after="0" w:line="239" w:lineRule="auto"/>
        <w:tabs>
          <w:tab w:leader="none" w:pos="15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or dispositions of Company common stock under the Company’s 401(k) or other individual account plan that are made pursuant to standing instructions, in a form approved by the Company, that are not entered into or modified while the employee or Director is aware of material nonpublic information or during an applicable blackout period;</w:t>
      </w:r>
    </w:p>
    <w:p>
      <w:pPr>
        <w:spacing w:after="0" w:line="315" w:lineRule="exact"/>
        <w:rPr>
          <w:rFonts w:ascii="Times New Roman" w:cs="Times New Roman" w:eastAsia="Times New Roman" w:hAnsi="Times New Roman"/>
          <w:sz w:val="22"/>
          <w:szCs w:val="22"/>
          <w:color w:val="auto"/>
        </w:rPr>
      </w:pPr>
    </w:p>
    <w:p>
      <w:pPr>
        <w:ind w:left="1523" w:right="360" w:hanging="505"/>
        <w:spacing w:after="0" w:line="255" w:lineRule="auto"/>
        <w:tabs>
          <w:tab w:leader="none" w:pos="152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purchases of securities from the Company (including purchases under the Company’s employee stock purchase plan pursuant to standing instructions, in a form approved by the Company) or sales of securities to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transaction involves the exercise of stock options or other equity awards, the transaction must be permitted by the first bullet above;</w:t>
      </w:r>
    </w:p>
    <w:p>
      <w:pPr>
        <w:spacing w:after="0" w:line="310" w:lineRule="exact"/>
        <w:rPr>
          <w:rFonts w:ascii="Times New Roman" w:cs="Times New Roman" w:eastAsia="Times New Roman" w:hAnsi="Times New Roman"/>
          <w:sz w:val="21"/>
          <w:szCs w:val="21"/>
          <w:color w:val="auto"/>
        </w:rPr>
      </w:pPr>
    </w:p>
    <w:p>
      <w:pPr>
        <w:ind w:left="1523" w:hanging="505"/>
        <w:spacing w:after="0"/>
        <w:tabs>
          <w:tab w:leader="none" w:pos="15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 that are approved in advance by the Company;</w:t>
      </w:r>
    </w:p>
    <w:p>
      <w:pPr>
        <w:spacing w:after="0" w:line="354" w:lineRule="exact"/>
        <w:rPr>
          <w:rFonts w:ascii="Times New Roman" w:cs="Times New Roman" w:eastAsia="Times New Roman" w:hAnsi="Times New Roman"/>
          <w:sz w:val="22"/>
          <w:szCs w:val="22"/>
          <w:color w:val="auto"/>
        </w:rPr>
      </w:pPr>
    </w:p>
    <w:p>
      <w:pPr>
        <w:ind w:left="1523" w:right="120" w:hanging="505"/>
        <w:spacing w:after="0" w:line="249" w:lineRule="auto"/>
        <w:tabs>
          <w:tab w:leader="none" w:pos="152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sales or donations made pursuant to a binding contract, written plan or specific instruction which satisfies the applicable affirmative defense conditions of Rule 10b5-1(c), including as applicable the requirements applicable to an eligible sell-to-cover transaction as defined in Rule 10b5-1(c)(1)(ii)(D)</w:t>
      </w:r>
    </w:p>
    <w:p>
      <w:pPr>
        <w:spacing w:after="0" w:line="1" w:lineRule="exact"/>
        <w:rPr>
          <w:rFonts w:ascii="Times New Roman" w:cs="Times New Roman" w:eastAsia="Times New Roman" w:hAnsi="Times New Roman"/>
          <w:sz w:val="21"/>
          <w:szCs w:val="21"/>
          <w:color w:val="auto"/>
        </w:rPr>
      </w:pPr>
    </w:p>
    <w:p>
      <w:pPr>
        <w:ind w:left="1523" w:right="2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(3), or for which the affirmative defense is available under Rule 10b5-1(c) because such plan was adopted prior to February 27, 2023, met the affirmative defense conditions in effect at the time of adoption, and was not modified or changed on or after February 27, 2023 (a “trading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trading plan:</w:t>
      </w:r>
    </w:p>
    <w:p>
      <w:pPr>
        <w:spacing w:after="0" w:line="1" w:lineRule="exact"/>
        <w:rPr>
          <w:rFonts w:ascii="Times New Roman" w:cs="Times New Roman" w:eastAsia="Times New Roman" w:hAnsi="Times New Roman"/>
          <w:sz w:val="21"/>
          <w:szCs w:val="21"/>
          <w:color w:val="auto"/>
        </w:rPr>
      </w:pPr>
    </w:p>
    <w:p>
      <w:pPr>
        <w:ind w:left="1523"/>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is in writing and (2) was submitted to the Company for review prior to its adoption; and</w:t>
      </w:r>
    </w:p>
    <w:p>
      <w:pPr>
        <w:spacing w:after="0" w:line="317" w:lineRule="exact"/>
        <w:rPr>
          <w:rFonts w:ascii="Times New Roman" w:cs="Times New Roman" w:eastAsia="Times New Roman" w:hAnsi="Times New Roman"/>
          <w:sz w:val="21"/>
          <w:szCs w:val="21"/>
          <w:color w:val="auto"/>
        </w:rPr>
      </w:pPr>
    </w:p>
    <w:p>
      <w:pPr>
        <w:ind w:left="1523" w:right="80" w:hanging="505"/>
        <w:spacing w:after="0" w:line="244" w:lineRule="auto"/>
        <w:tabs>
          <w:tab w:leader="none" w:pos="152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sales or donations made pursuant to a binding contract, written plan or specific instruction which satisfies the definition of a “non-Rule 10b5-1 trading arrangement” as such term is defined in Item 408(c) of Regulation S-K, provided such non-Rule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457835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341" w:right="359" w:bottom="1440" w:gutter="0" w:footer="0" w:header="0"/>
        </w:sectPr>
      </w:pPr>
    </w:p>
    <w:bookmarkStart w:id="131" w:name="page132"/>
    <w:bookmarkEnd w:id="131"/>
    <w:p>
      <w:pPr>
        <w:ind w:left="1523" w:right="640"/>
        <w:spacing w:after="0" w:line="258" w:lineRule="auto"/>
        <w:rPr>
          <w:sz w:val="20"/>
          <w:szCs w:val="20"/>
          <w:color w:val="auto"/>
        </w:rPr>
      </w:pPr>
      <w:r>
        <w:rPr>
          <w:rFonts w:ascii="Times New Roman" w:cs="Times New Roman" w:eastAsia="Times New Roman" w:hAnsi="Times New Roman"/>
          <w:sz w:val="22"/>
          <w:szCs w:val="22"/>
          <w:color w:val="auto"/>
        </w:rPr>
        <w:t>trading arrangement: (1) is in writing and (2) was submitted to the Company for review prior to its adoption.</w:t>
      </w:r>
    </w:p>
    <w:p>
      <w:pPr>
        <w:spacing w:after="0" w:line="293" w:lineRule="exact"/>
        <w:rPr>
          <w:sz w:val="20"/>
          <w:szCs w:val="20"/>
          <w:color w:val="auto"/>
        </w:rPr>
      </w:pPr>
    </w:p>
    <w:p>
      <w:pPr>
        <w:ind w:left="503" w:hanging="503"/>
        <w:spacing w:after="0" w:line="239" w:lineRule="auto"/>
        <w:tabs>
          <w:tab w:leader="none" w:pos="50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spacing w:after="0" w:line="329" w:lineRule="exact"/>
        <w:rPr>
          <w:sz w:val="20"/>
          <w:szCs w:val="20"/>
          <w:color w:val="auto"/>
        </w:rPr>
      </w:pPr>
    </w:p>
    <w:p>
      <w:pPr>
        <w:ind w:left="503"/>
        <w:spacing w:after="0"/>
        <w:tabs>
          <w:tab w:leader="none" w:pos="1003"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ind w:left="503" w:right="40" w:hanging="503"/>
        <w:spacing w:after="0" w:line="230"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Blackout Periods</w:t>
      </w:r>
      <w:r>
        <w:rPr>
          <w:rFonts w:ascii="Times New Roman" w:cs="Times New Roman" w:eastAsia="Times New Roman" w:hAnsi="Times New Roman"/>
          <w:sz w:val="22"/>
          <w:szCs w:val="22"/>
          <w:color w:val="auto"/>
        </w:rPr>
        <w:t>. Except as provided in Section 2.2(b), no person or entity covered by this Section 2 may purchase, sell or donate any securities of the Company (i) in the case of the first fiscal quarter, during the period beginning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of the second month of such fiscal quarter and (ii) in the case of each other fiscal quarter, during the period beginning on the 15th calendar day following the most recently ended fiscal quarter and, in each case, ending upon the completion of the second full trading day after the public announcement of earnings for such quarter (a “regular blackout period”).</w:t>
      </w:r>
    </w:p>
    <w:p>
      <w:pPr>
        <w:spacing w:after="0" w:line="328" w:lineRule="exact"/>
        <w:rPr>
          <w:rFonts w:ascii="Times New Roman" w:cs="Times New Roman" w:eastAsia="Times New Roman" w:hAnsi="Times New Roman"/>
          <w:sz w:val="22"/>
          <w:szCs w:val="22"/>
          <w:color w:val="auto"/>
        </w:rPr>
      </w:pPr>
    </w:p>
    <w:p>
      <w:pPr>
        <w:ind w:left="503" w:right="20" w:hanging="503"/>
        <w:spacing w:after="0" w:line="236"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News Blackout Periods</w:t>
      </w:r>
      <w:r>
        <w:rPr>
          <w:rFonts w:ascii="Times New Roman" w:cs="Times New Roman" w:eastAsia="Times New Roman" w:hAnsi="Times New Roman"/>
          <w:sz w:val="22"/>
          <w:szCs w:val="22"/>
          <w:color w:val="auto"/>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2.2(b),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spacing w:after="0" w:line="329" w:lineRule="exact"/>
        <w:rPr>
          <w:rFonts w:ascii="Times New Roman" w:cs="Times New Roman" w:eastAsia="Times New Roman" w:hAnsi="Times New Roman"/>
          <w:sz w:val="22"/>
          <w:szCs w:val="22"/>
          <w:color w:val="auto"/>
        </w:rPr>
      </w:pPr>
    </w:p>
    <w:p>
      <w:pPr>
        <w:ind w:left="503" w:right="160" w:hanging="503"/>
        <w:spacing w:after="0" w:line="244"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Awareness of Material Non-Public Information when a Blackout Period is Not in Effect</w:t>
      </w:r>
      <w:r>
        <w:rPr>
          <w:rFonts w:ascii="Times New Roman" w:cs="Times New Roman" w:eastAsia="Times New Roman" w:hAnsi="Times New Roman"/>
          <w:sz w:val="22"/>
          <w:szCs w:val="22"/>
          <w:color w:val="auto"/>
        </w:rPr>
        <w:t>. Even if no blackout period is then in effect, if a person is aware of material nonpublic information the prohibitions contained in Section 2.2(a)apply.</w:t>
      </w:r>
    </w:p>
    <w:p>
      <w:pPr>
        <w:spacing w:after="0" w:line="308" w:lineRule="exact"/>
        <w:rPr>
          <w:rFonts w:ascii="Times New Roman" w:cs="Times New Roman" w:eastAsia="Times New Roman" w:hAnsi="Times New Roman"/>
          <w:sz w:val="22"/>
          <w:szCs w:val="22"/>
          <w:color w:val="auto"/>
        </w:rPr>
      </w:pPr>
    </w:p>
    <w:p>
      <w:pPr>
        <w:ind w:left="1023" w:right="20" w:hanging="50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Prohibition on Pledges</w:t>
      </w:r>
      <w:r>
        <w:rPr>
          <w:rFonts w:ascii="Times New Roman" w:cs="Times New Roman" w:eastAsia="Times New Roman" w:hAnsi="Times New Roman"/>
          <w:sz w:val="22"/>
          <w:szCs w:val="22"/>
          <w:color w:val="auto"/>
        </w:rPr>
        <w:t>. No person or entity covered by this Section 2 may purchase Company securities on margin, borrow against Company securities held in a margin account, or pledge Company securities as collateral for a loan. However, an exception may be granted in extraordinary situations where a person wishes to pledge Company securities as collateral for a loan (other than a margin loan) and clearly demonstrates the financial capacity to repay the loan without resort to the pledged securities. Any person who wishes to pledge Company securities as collateral for a loan must submit a request for approval to the Chief Financial Officer. In addition, any such request by a Director or executive officer must also be reviewed and approved by the Audit Committee.</w:t>
      </w:r>
    </w:p>
    <w:p>
      <w:pPr>
        <w:spacing w:after="0" w:line="326" w:lineRule="exact"/>
        <w:rPr>
          <w:rFonts w:ascii="Times New Roman" w:cs="Times New Roman" w:eastAsia="Times New Roman" w:hAnsi="Times New Roman"/>
          <w:sz w:val="22"/>
          <w:szCs w:val="22"/>
          <w:color w:val="auto"/>
        </w:rPr>
      </w:pPr>
    </w:p>
    <w:p>
      <w:pPr>
        <w:ind w:left="1023" w:right="460" w:hanging="50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Prohibition on Short Sales and Derivative Transactions.</w:t>
      </w:r>
      <w:r>
        <w:rPr>
          <w:rFonts w:ascii="Times New Roman" w:cs="Times New Roman" w:eastAsia="Times New Roman" w:hAnsi="Times New Roman"/>
          <w:sz w:val="22"/>
          <w:szCs w:val="22"/>
          <w:color w:val="auto"/>
        </w:rPr>
        <w:t xml:space="preserve"> No person or entity covered by this Section 2 may engage in any of the following types of transactions:</w:t>
      </w:r>
    </w:p>
    <w:p>
      <w:pPr>
        <w:spacing w:after="0" w:line="306" w:lineRule="exact"/>
        <w:rPr>
          <w:rFonts w:ascii="Times New Roman" w:cs="Times New Roman" w:eastAsia="Times New Roman" w:hAnsi="Times New Roman"/>
          <w:sz w:val="22"/>
          <w:szCs w:val="22"/>
          <w:color w:val="auto"/>
        </w:rPr>
      </w:pPr>
    </w:p>
    <w:p>
      <w:pPr>
        <w:ind w:left="1523" w:hanging="505"/>
        <w:spacing w:after="0"/>
        <w:tabs>
          <w:tab w:leader="none" w:pos="1523"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Company securities, including short sales “against the box”;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632460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84" w:right="379" w:bottom="1440" w:gutter="0" w:footer="0" w:header="0"/>
        </w:sectPr>
      </w:pPr>
    </w:p>
    <w:bookmarkStart w:id="132" w:name="page133"/>
    <w:bookmarkEnd w:id="132"/>
    <w:p>
      <w:pPr>
        <w:ind w:left="1523" w:hanging="505"/>
        <w:spacing w:after="0"/>
        <w:tabs>
          <w:tab w:leader="none" w:pos="152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puts, calls or other derivative securities based on the Company’s securities; or</w:t>
      </w:r>
    </w:p>
    <w:p>
      <w:pPr>
        <w:spacing w:after="0" w:line="341" w:lineRule="exact"/>
        <w:rPr>
          <w:rFonts w:ascii="Times New Roman" w:cs="Times New Roman" w:eastAsia="Times New Roman" w:hAnsi="Times New Roman"/>
          <w:sz w:val="22"/>
          <w:szCs w:val="22"/>
          <w:color w:val="auto"/>
        </w:rPr>
      </w:pPr>
    </w:p>
    <w:p>
      <w:pPr>
        <w:ind w:left="1523" w:right="340" w:hanging="505"/>
        <w:spacing w:after="0" w:line="244" w:lineRule="auto"/>
        <w:tabs>
          <w:tab w:leader="none" w:pos="152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financial instruments (including prepaid variable forward contracts, equity swaps, collars and exchange funds) or other transactions that hedge or offset or are designed to hedge or offset any decrease in the market value of Company securities.</w:t>
      </w:r>
    </w:p>
    <w:p>
      <w:pPr>
        <w:spacing w:after="0" w:line="322" w:lineRule="exact"/>
        <w:rPr>
          <w:sz w:val="20"/>
          <w:szCs w:val="20"/>
          <w:color w:val="auto"/>
        </w:rPr>
      </w:pPr>
    </w:p>
    <w:p>
      <w:pPr>
        <w:jc w:val="center"/>
        <w:ind w:right="-322"/>
        <w:spacing w:after="0"/>
        <w:tabs>
          <w:tab w:leader="none" w:pos="16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Partnership Distributions</w:t>
      </w:r>
      <w:r>
        <w:rPr>
          <w:rFonts w:ascii="Times New Roman" w:cs="Times New Roman" w:eastAsia="Times New Roman" w:hAnsi="Times New Roman"/>
          <w:sz w:val="21"/>
          <w:szCs w:val="21"/>
          <w:color w:val="auto"/>
        </w:rPr>
        <w:t>. Nothing in this policy is intended to limit the ability of a venture capital partnership</w:t>
      </w:r>
    </w:p>
    <w:p>
      <w:pPr>
        <w:spacing w:after="0" w:line="14" w:lineRule="exact"/>
        <w:rPr>
          <w:sz w:val="20"/>
          <w:szCs w:val="20"/>
          <w:color w:val="auto"/>
        </w:rPr>
      </w:pPr>
    </w:p>
    <w:p>
      <w:pPr>
        <w:ind w:left="1023" w:right="180"/>
        <w:spacing w:after="0" w:line="234" w:lineRule="auto"/>
        <w:rPr>
          <w:sz w:val="20"/>
          <w:szCs w:val="20"/>
          <w:color w:val="auto"/>
        </w:rPr>
      </w:pPr>
      <w:r>
        <w:rPr>
          <w:rFonts w:ascii="Times New Roman" w:cs="Times New Roman" w:eastAsia="Times New Roman" w:hAnsi="Times New Roman"/>
          <w:sz w:val="22"/>
          <w:szCs w:val="22"/>
          <w:color w:val="auto"/>
        </w:rPr>
        <w:t>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312" w:lineRule="exact"/>
        <w:rPr>
          <w:sz w:val="20"/>
          <w:szCs w:val="20"/>
          <w:color w:val="auto"/>
        </w:rPr>
      </w:pPr>
    </w:p>
    <w:p>
      <w:pPr>
        <w:jc w:val="both"/>
        <w:ind w:left="1023" w:right="720" w:hanging="508"/>
        <w:spacing w:after="0" w:line="244" w:lineRule="auto"/>
        <w:tabs>
          <w:tab w:leader="none" w:pos="1003"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Nothing in this policy is intended to limit the ability of any person to sell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securities as a selling stockholder in an underwritten public offering pursuant to an effective registration statement in accordance with applicable securities law.</w:t>
      </w:r>
    </w:p>
    <w:p>
      <w:pPr>
        <w:spacing w:after="0" w:line="339" w:lineRule="exact"/>
        <w:rPr>
          <w:sz w:val="20"/>
          <w:szCs w:val="20"/>
          <w:color w:val="auto"/>
        </w:rPr>
      </w:pPr>
    </w:p>
    <w:p>
      <w:pPr>
        <w:ind w:left="503" w:hanging="503"/>
        <w:spacing w:after="0"/>
        <w:tabs>
          <w:tab w:leader="none" w:pos="5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PROHIBITIONS APPLICABLE TO DIRECTORS, EXECUTIVE OFFICERS AND DESIGNATED EMPLOYEES</w:t>
      </w:r>
    </w:p>
    <w:p>
      <w:pPr>
        <w:spacing w:after="0" w:line="337" w:lineRule="exact"/>
        <w:rPr>
          <w:sz w:val="20"/>
          <w:szCs w:val="20"/>
          <w:color w:val="auto"/>
        </w:rPr>
      </w:pPr>
    </w:p>
    <w:p>
      <w:pPr>
        <w:ind w:left="503"/>
        <w:spacing w:after="0"/>
        <w:tabs>
          <w:tab w:leader="none" w:pos="1003"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3 applies to:</w:t>
      </w:r>
    </w:p>
    <w:p>
      <w:pPr>
        <w:spacing w:after="0" w:line="341" w:lineRule="exact"/>
        <w:rPr>
          <w:sz w:val="20"/>
          <w:szCs w:val="20"/>
          <w:color w:val="auto"/>
        </w:rPr>
      </w:pPr>
    </w:p>
    <w:p>
      <w:pPr>
        <w:ind w:left="1523" w:hanging="505"/>
        <w:spacing w:after="0"/>
        <w:tabs>
          <w:tab w:leader="none" w:pos="15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354" w:lineRule="exact"/>
        <w:rPr>
          <w:rFonts w:ascii="Times New Roman" w:cs="Times New Roman" w:eastAsia="Times New Roman" w:hAnsi="Times New Roman"/>
          <w:sz w:val="22"/>
          <w:szCs w:val="22"/>
          <w:color w:val="auto"/>
        </w:rPr>
      </w:pPr>
    </w:p>
    <w:p>
      <w:pPr>
        <w:ind w:left="1523" w:hanging="505"/>
        <w:spacing w:after="0"/>
        <w:tabs>
          <w:tab w:leader="none" w:pos="15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w:t>
      </w:r>
    </w:p>
    <w:p>
      <w:pPr>
        <w:spacing w:after="0" w:line="354" w:lineRule="exact"/>
        <w:rPr>
          <w:rFonts w:ascii="Times New Roman" w:cs="Times New Roman" w:eastAsia="Times New Roman" w:hAnsi="Times New Roman"/>
          <w:sz w:val="22"/>
          <w:szCs w:val="22"/>
          <w:color w:val="auto"/>
        </w:rPr>
      </w:pPr>
    </w:p>
    <w:p>
      <w:pPr>
        <w:ind w:left="1523" w:right="120" w:hanging="505"/>
        <w:spacing w:after="0" w:line="282" w:lineRule="auto"/>
        <w:tabs>
          <w:tab w:leader="none" w:pos="152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employees as are designated from time to time by the Board of Directors, the Chief Executive Officer or the Chief Financial Officer as being subject to this Section 3 (the “Designated Employees”);</w:t>
      </w:r>
    </w:p>
    <w:p>
      <w:pPr>
        <w:spacing w:after="0" w:line="269" w:lineRule="exact"/>
        <w:rPr>
          <w:rFonts w:ascii="Times New Roman" w:cs="Times New Roman" w:eastAsia="Times New Roman" w:hAnsi="Times New Roman"/>
          <w:sz w:val="21"/>
          <w:szCs w:val="21"/>
          <w:color w:val="auto"/>
        </w:rPr>
      </w:pPr>
    </w:p>
    <w:p>
      <w:pPr>
        <w:ind w:left="1523" w:right="120" w:hanging="505"/>
        <w:spacing w:after="0" w:line="236" w:lineRule="auto"/>
        <w:tabs>
          <w:tab w:leader="none" w:pos="15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Executive Officer or the Chief Financial Officer determines should not be covered by this policy); and</w:t>
      </w:r>
    </w:p>
    <w:p>
      <w:pPr>
        <w:spacing w:after="0" w:line="329" w:lineRule="exact"/>
        <w:rPr>
          <w:rFonts w:ascii="Times New Roman" w:cs="Times New Roman" w:eastAsia="Times New Roman" w:hAnsi="Times New Roman"/>
          <w:sz w:val="22"/>
          <w:szCs w:val="22"/>
          <w:color w:val="auto"/>
        </w:rPr>
      </w:pPr>
    </w:p>
    <w:p>
      <w:pPr>
        <w:ind w:left="1523" w:hanging="505"/>
        <w:spacing w:after="0" w:line="236" w:lineRule="auto"/>
        <w:tabs>
          <w:tab w:leader="none" w:pos="15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persons, unless (x) the entity has implemented policies or procedures designed to ensure that such person cannot influence transactions by the entity involving Company securities or (y) the entity is a professional investment organization (e.g. venture capital fund, investment fund, registered investment company or registered investment advisor) and has established policies and procedures designed to ensure its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462915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84" w:right="359" w:bottom="1440" w:gutter="0" w:footer="0" w:header="0"/>
        </w:sectPr>
      </w:pPr>
    </w:p>
    <w:bookmarkStart w:id="133" w:name="page134"/>
    <w:bookmarkEnd w:id="133"/>
    <w:p>
      <w:pPr>
        <w:ind w:left="1523" w:right="240"/>
        <w:spacing w:after="0" w:line="258" w:lineRule="auto"/>
        <w:rPr>
          <w:sz w:val="20"/>
          <w:szCs w:val="20"/>
          <w:color w:val="auto"/>
        </w:rPr>
      </w:pPr>
      <w:r>
        <w:rPr>
          <w:rFonts w:ascii="Times New Roman" w:cs="Times New Roman" w:eastAsia="Times New Roman" w:hAnsi="Times New Roman"/>
          <w:sz w:val="22"/>
          <w:szCs w:val="22"/>
          <w:color w:val="auto"/>
        </w:rPr>
        <w:t>federal securities laws and regulations prohibiting trading in the securities of a company on the basis of material, non-public information.</w:t>
      </w:r>
    </w:p>
    <w:p>
      <w:pPr>
        <w:spacing w:after="0" w:line="307" w:lineRule="exact"/>
        <w:rPr>
          <w:sz w:val="20"/>
          <w:szCs w:val="20"/>
          <w:color w:val="auto"/>
        </w:rPr>
      </w:pPr>
    </w:p>
    <w:p>
      <w:pPr>
        <w:ind w:left="503"/>
        <w:spacing w:after="0"/>
        <w:tabs>
          <w:tab w:leader="none" w:pos="1003"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Notice and Pre-Clearance of Transactions</w:t>
      </w:r>
      <w:r>
        <w:rPr>
          <w:rFonts w:ascii="Times New Roman" w:cs="Times New Roman" w:eastAsia="Times New Roman" w:hAnsi="Times New Roman"/>
          <w:sz w:val="21"/>
          <w:szCs w:val="21"/>
          <w:color w:val="auto"/>
        </w:rPr>
        <w:t>.</w:t>
      </w:r>
    </w:p>
    <w:p>
      <w:pPr>
        <w:spacing w:after="0" w:line="341" w:lineRule="exact"/>
        <w:rPr>
          <w:sz w:val="20"/>
          <w:szCs w:val="20"/>
          <w:color w:val="auto"/>
        </w:rPr>
      </w:pPr>
    </w:p>
    <w:p>
      <w:pPr>
        <w:ind w:left="503" w:right="20" w:hanging="503"/>
        <w:spacing w:after="0" w:line="243" w:lineRule="auto"/>
        <w:tabs>
          <w:tab w:leader="none" w:pos="50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Pre-Transaction Clearance</w:t>
      </w:r>
      <w:r>
        <w:rPr>
          <w:rFonts w:ascii="Times New Roman" w:cs="Times New Roman" w:eastAsia="Times New Roman" w:hAnsi="Times New Roman"/>
          <w:sz w:val="21"/>
          <w:szCs w:val="21"/>
          <w:color w:val="auto"/>
        </w:rPr>
        <w:t xml:space="preserve">. No person or entity covered by this Section 3 (a “Pre-Clearance Person”) may purchase, sell, donate, transfer or otherwise acquire or dispose of securities of the Company, either directly or indirectly, other than in a transaction permitted under Section 2.2(b), unless such person pre-clears the transaction with either the Chief Executive Officer or Chief Financial Officer. 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options to be involved. In addition, the Pre-Clearance Person must execute a certification (in the form approved by the Chief Executive Officer and Chief Financial Officer) that he, she or it is not aware of material nonpublic information about the Company. The Chief Executive Officer or Chief Financial Officer shall have sole discretion to decide whether to clear any contemplated transaction. The Chief Executive Officer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Chief Executive Officer or persons or entities subject to this policy as a result of their relationship with the Chief Executive Officer. All trades that are pre-cleared must be effected within three business days of receipt of the pre-clearance unless a longer or shorter period has been specified by the Chief Executive Officer or the Chief Financial Officer. A pre-cleared trade (or any portion of a pre- cleared trade) that has not been effected during the three business day period must be pre-cleared again prior to execution. </w:t>
      </w:r>
      <w:r>
        <w:rPr>
          <w:rFonts w:ascii="Times New Roman" w:cs="Times New Roman" w:eastAsia="Times New Roman" w:hAnsi="Times New Roman"/>
          <w:sz w:val="21"/>
          <w:szCs w:val="21"/>
          <w:b w:val="1"/>
          <w:bCs w:val="1"/>
          <w:color w:val="auto"/>
        </w:rPr>
        <w:t>Notwithstanding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receipt of pre-clearance, if the Pre-Clearance Person becomes aware of material non-public information or becomes subject to a blackout period before the transaction is effected, the transaction may not be completed.</w:t>
      </w:r>
    </w:p>
    <w:p>
      <w:pPr>
        <w:spacing w:after="0" w:line="334" w:lineRule="exact"/>
        <w:rPr>
          <w:rFonts w:ascii="Times New Roman" w:cs="Times New Roman" w:eastAsia="Times New Roman" w:hAnsi="Times New Roman"/>
          <w:sz w:val="21"/>
          <w:szCs w:val="21"/>
          <w:color w:val="auto"/>
        </w:rPr>
      </w:pPr>
    </w:p>
    <w:p>
      <w:pPr>
        <w:ind w:left="503" w:hanging="503"/>
        <w:spacing w:after="0" w:line="234" w:lineRule="auto"/>
        <w:tabs>
          <w:tab w:leader="none" w:pos="50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Each person or entity covered by this Section 3 who is subject to reporting obligations under Section 16 of the Exchange Act shall also notify the Chief Executive Officer or the Chief Financial Officer (or his or her designee) of the occurrence of any purchase, sale, donation,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or to constitute a non-Rule 10b5-1 trading arrangement (as defined in Item 408(c) of Regulation S-K).</w:t>
      </w:r>
    </w:p>
    <w:p>
      <w:pPr>
        <w:spacing w:after="0" w:line="331" w:lineRule="exact"/>
        <w:rPr>
          <w:rFonts w:ascii="Times New Roman" w:cs="Times New Roman" w:eastAsia="Times New Roman" w:hAnsi="Times New Roman"/>
          <w:sz w:val="22"/>
          <w:szCs w:val="22"/>
          <w:color w:val="auto"/>
        </w:rPr>
      </w:pPr>
    </w:p>
    <w:p>
      <w:pPr>
        <w:ind w:left="503" w:right="200" w:hanging="503"/>
        <w:spacing w:after="0" w:line="261" w:lineRule="auto"/>
        <w:tabs>
          <w:tab w:leader="none" w:pos="50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Time of a Transaction</w:t>
      </w:r>
      <w:r>
        <w:rPr>
          <w:rFonts w:ascii="Times New Roman" w:cs="Times New Roman" w:eastAsia="Times New Roman" w:hAnsi="Times New Roman"/>
          <w:sz w:val="21"/>
          <w:szCs w:val="21"/>
          <w:color w:val="auto"/>
        </w:rPr>
        <w:t>. For purposes of this Section 3.2, a purchase, sale, donation,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202" w:lineRule="exact"/>
        <w:rPr>
          <w:sz w:val="20"/>
          <w:szCs w:val="20"/>
          <w:color w:val="auto"/>
        </w:rPr>
      </w:pPr>
    </w:p>
    <w:p>
      <w:pPr>
        <w:ind w:left="503" w:hanging="503"/>
        <w:spacing w:after="0"/>
        <w:tabs>
          <w:tab w:leader="none" w:pos="50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REGULATION BTR</w:t>
      </w:r>
    </w:p>
    <w:p>
      <w:pPr>
        <w:spacing w:after="0" w:line="216"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84" w:right="359" w:bottom="1440" w:gutter="0" w:footer="0" w:header="0"/>
        </w:sectPr>
      </w:pPr>
    </w:p>
    <w:bookmarkStart w:id="134" w:name="page135"/>
    <w:bookmarkEnd w:id="134"/>
    <w:p>
      <w:pPr>
        <w:jc w:val="both"/>
        <w:ind w:left="140" w:right="1020"/>
        <w:spacing w:after="0" w:line="244" w:lineRule="auto"/>
        <w:rPr>
          <w:sz w:val="20"/>
          <w:szCs w:val="20"/>
          <w:color w:val="auto"/>
        </w:rPr>
      </w:pPr>
      <w:r>
        <w:rPr>
          <w:rFonts w:ascii="Times New Roman" w:cs="Times New Roman" w:eastAsia="Times New Roman" w:hAnsi="Times New Roman"/>
          <w:sz w:val="22"/>
          <w:szCs w:val="22"/>
          <w:color w:val="auto"/>
        </w:rPr>
        <w:t>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231"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PENALTIES FOR VIOLATION</w:t>
      </w:r>
    </w:p>
    <w:p>
      <w:pPr>
        <w:spacing w:after="0" w:line="216" w:lineRule="exact"/>
        <w:rPr>
          <w:sz w:val="20"/>
          <w:szCs w:val="20"/>
          <w:color w:val="auto"/>
        </w:rPr>
      </w:pPr>
    </w:p>
    <w:p>
      <w:pPr>
        <w:jc w:val="both"/>
        <w:ind w:left="140" w:right="380" w:firstLine="749"/>
        <w:spacing w:after="0" w:line="239"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spacing w:after="0" w:line="225"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COMPANY ASSISTANCE AND EDUCATION</w:t>
      </w:r>
    </w:p>
    <w:p>
      <w:pPr>
        <w:spacing w:after="0" w:line="337" w:lineRule="exact"/>
        <w:rPr>
          <w:sz w:val="20"/>
          <w:szCs w:val="20"/>
          <w:color w:val="auto"/>
        </w:rPr>
      </w:pPr>
    </w:p>
    <w:p>
      <w:pPr>
        <w:jc w:val="both"/>
        <w:ind w:left="1540" w:hanging="508"/>
        <w:spacing w:after="0" w:line="244" w:lineRule="auto"/>
        <w:tabs>
          <w:tab w:leader="none" w:pos="15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Education</w:t>
      </w:r>
      <w:r>
        <w:rPr>
          <w:rFonts w:ascii="Times New Roman" w:cs="Times New Roman" w:eastAsia="Times New Roman" w:hAnsi="Times New Roman"/>
          <w:sz w:val="22"/>
          <w:szCs w:val="22"/>
          <w:color w:val="auto"/>
        </w:rPr>
        <w:t>. The Company shall take reasonable steps designed to ensure that all Directors and employees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are educated about, and periodically reminded of, the federal securities law restrictions and Company policies regarding insider trading.</w:t>
      </w:r>
    </w:p>
    <w:p>
      <w:pPr>
        <w:spacing w:after="0" w:line="322" w:lineRule="exact"/>
        <w:rPr>
          <w:sz w:val="20"/>
          <w:szCs w:val="20"/>
          <w:color w:val="auto"/>
        </w:rPr>
      </w:pPr>
    </w:p>
    <w:p>
      <w:pPr>
        <w:ind w:left="1540" w:right="320" w:hanging="508"/>
        <w:spacing w:after="0" w:line="239" w:lineRule="auto"/>
        <w:tabs>
          <w:tab w:leader="none" w:pos="15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The Company shall provide reasonable assistance to all Directors and executive officers, 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315" w:lineRule="exact"/>
        <w:rPr>
          <w:sz w:val="20"/>
          <w:szCs w:val="20"/>
          <w:color w:val="auto"/>
        </w:rPr>
      </w:pPr>
    </w:p>
    <w:p>
      <w:pPr>
        <w:ind w:left="1540" w:right="200" w:hanging="508"/>
        <w:spacing w:after="0" w:line="235" w:lineRule="auto"/>
        <w:tabs>
          <w:tab w:leader="none" w:pos="15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Chief Executive Officer, the Chief Financial Officer or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Company’s other employees will have any liability for any delay in reviewing, or refusal of, a trading plan submitted pursuant to Section 2.2(b), a request for pre- clearance submitted pursuant to Section 3.2(a) or a request to allow a pledge submitted pursuant to Section 2.4. Notwithstanding any review of a trading plan pursuant to Section 2.2(b) or pre- clearance of a transaction pursuant to Section 3.2(a), none of the Company, the Chief Executive Officer, Chief Financial Officer or the Company’s other employees assumes any liability for the legality or consequences of such trading plan or transaction to the person engaging in or adopting such trading plan or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as of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333333"/>
        </w:rPr>
        <w:t>Exhibit 23.1</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99" w:lineRule="exact"/>
        <w:rPr>
          <w:sz w:val="20"/>
          <w:szCs w:val="20"/>
          <w:color w:val="auto"/>
        </w:rPr>
      </w:pPr>
    </w:p>
    <w:p>
      <w:pPr>
        <w:ind w:left="1140" w:hanging="758"/>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333-260279, 333-260820, 333-264614 and 333-273030) of Trevi Therapeutics, Inc.,</w:t>
      </w:r>
    </w:p>
    <w:p>
      <w:pPr>
        <w:spacing w:after="0" w:line="117" w:lineRule="exact"/>
        <w:rPr>
          <w:rFonts w:ascii="Times New Roman" w:cs="Times New Roman" w:eastAsia="Times New Roman" w:hAnsi="Times New Roman"/>
          <w:sz w:val="18"/>
          <w:szCs w:val="18"/>
          <w:color w:val="auto"/>
        </w:rPr>
      </w:pPr>
    </w:p>
    <w:p>
      <w:pPr>
        <w:ind w:left="1140" w:right="40" w:hanging="758"/>
        <w:spacing w:after="0" w:line="282"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333-231260) pertaining to the 2012 Stock Incentive Plan, as amended, the 2019 Stock Incentive Plan and the 2019 Employee Stock Purchase Plan of Trevi Therapeutics, Inc.,</w:t>
      </w:r>
    </w:p>
    <w:p>
      <w:pPr>
        <w:spacing w:after="0" w:line="53" w:lineRule="exact"/>
        <w:rPr>
          <w:rFonts w:ascii="Times New Roman" w:cs="Times New Roman" w:eastAsia="Times New Roman" w:hAnsi="Times New Roman"/>
          <w:sz w:val="18"/>
          <w:szCs w:val="18"/>
          <w:color w:val="auto"/>
        </w:rPr>
      </w:pPr>
    </w:p>
    <w:p>
      <w:pPr>
        <w:ind w:left="1140" w:right="260" w:hanging="758"/>
        <w:spacing w:after="0" w:line="282"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333-237193, 333-257729, 333-264615, and 333-271839) pertaining to the 2019 Stock Incentive Plan and the 2019 Employee Stock Purchase Plan of Trevi Therapeutics, Inc., and</w:t>
      </w:r>
    </w:p>
    <w:p>
      <w:pPr>
        <w:spacing w:after="0" w:line="53"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333-278101) pertaining to the 2019 Stock Incentive Plan of Trevi Therapeutics, Inc.;</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report dated March 18, 2025, with respect to the consolidated financial statements of Trevi Therapeutics, Inc. included in this Annual Report (Form 10-K) of Trevi Therapeutics, Inc. for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Trevi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80" w:hanging="3"/>
        <w:spacing w:after="0" w:line="266" w:lineRule="auto"/>
        <w:tabs>
          <w:tab w:leader="none" w:pos="94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480" w:hanging="3"/>
        <w:spacing w:after="0" w:line="266" w:lineRule="auto"/>
        <w:tabs>
          <w:tab w:leader="none" w:pos="95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580" w:hanging="3"/>
        <w:spacing w:after="0" w:line="312" w:lineRule="auto"/>
        <w:tabs>
          <w:tab w:leader="none" w:pos="94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
        <w:spacing w:after="0" w:line="266" w:lineRule="auto"/>
        <w:tabs>
          <w:tab w:leader="none" w:pos="95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820" w:hanging="3"/>
        <w:spacing w:after="0" w:line="282" w:lineRule="auto"/>
        <w:tabs>
          <w:tab w:leader="none" w:pos="94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480" w:hanging="3"/>
        <w:spacing w:after="0" w:line="313" w:lineRule="auto"/>
        <w:tabs>
          <w:tab w:leader="none" w:pos="95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00" w:val="left"/>
          <w:tab w:leader="none" w:pos="624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546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Trevi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80" w:hanging="3"/>
        <w:spacing w:after="0" w:line="266" w:lineRule="auto"/>
        <w:tabs>
          <w:tab w:leader="none" w:pos="94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480" w:hanging="3"/>
        <w:spacing w:after="0" w:line="266" w:lineRule="auto"/>
        <w:tabs>
          <w:tab w:leader="none" w:pos="9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580" w:hanging="3"/>
        <w:spacing w:after="0" w:line="312" w:lineRule="auto"/>
        <w:tabs>
          <w:tab w:leader="none" w:pos="94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
        <w:spacing w:after="0" w:line="266" w:lineRule="auto"/>
        <w:tabs>
          <w:tab w:leader="none" w:pos="9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820" w:hanging="3"/>
        <w:spacing w:after="0" w:line="282" w:lineRule="auto"/>
        <w:tabs>
          <w:tab w:leader="none" w:pos="94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480" w:hanging="3"/>
        <w:spacing w:after="0" w:line="282" w:lineRule="auto"/>
        <w:tabs>
          <w:tab w:leader="none" w:pos="9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780" w:val="left"/>
          <w:tab w:leader="none" w:pos="622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31718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Trevi Therapeutics, Inc. (the “Company”) for the period ended December 31, 2024,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right="620" w:hanging="3"/>
        <w:spacing w:after="0" w:line="282" w:lineRule="auto"/>
        <w:tabs>
          <w:tab w:leader="none" w:pos="10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261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Trevi Therapeutics, Inc. (the “Company”) for the period ended December 31, 2024,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26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right="620" w:hanging="3"/>
        <w:spacing w:after="0" w:line="282" w:lineRule="auto"/>
        <w:tabs>
          <w:tab w:leader="none" w:pos="10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261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4"/>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97"/>
    </w:lvl>
  </w:abstractNum>
  <w:abstractNum w:abstractNumId="48">
    <w:nsid w:val="6590700B"/>
    <w:multiLevelType w:val="hybridMultilevel"/>
    <w:lvl w:ilvl="0">
      <w:lvlJc w:val="left"/>
      <w:lvlText w:val="*"/>
      <w:numFmt w:val="bullet"/>
      <w:start w:val="1"/>
    </w:lvl>
    <w:lvl w:ilvl="1">
      <w:lvlJc w:val="left"/>
      <w:lvlText w:val="%2"/>
      <w:numFmt w:val="decimal"/>
      <w:start w:val="104"/>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2"/>
    </w:lvl>
  </w:abstractNum>
  <w:abstractNum w:abstractNumId="52">
    <w:nsid w:val="799D0247"/>
    <w:multiLevelType w:val="hybridMultilevel"/>
    <w:lvl w:ilvl="0">
      <w:lvlJc w:val="left"/>
      <w:lvlText w:val="%1."/>
      <w:numFmt w:val="decimal"/>
      <w:start w:val="3"/>
    </w:lvl>
  </w:abstractNum>
  <w:abstractNum w:abstractNumId="53">
    <w:nsid w:val="6B94764"/>
    <w:multiLevelType w:val="hybridMultilevel"/>
    <w:lvl w:ilvl="0">
      <w:lvlJc w:val="left"/>
      <w:lvlText w:val="%1."/>
      <w:numFmt w:val="decimal"/>
      <w:start w:val="4"/>
    </w:lvl>
  </w:abstractNum>
  <w:abstractNum w:abstractNumId="54">
    <w:nsid w:val="42C296BD"/>
    <w:multiLevelType w:val="hybridMultilevel"/>
    <w:lvl w:ilvl="0">
      <w:lvlJc w:val="left"/>
      <w:lvlText w:val="%1."/>
      <w:numFmt w:val="decimal"/>
      <w:start w:val="5"/>
    </w:lvl>
  </w:abstractNum>
  <w:abstractNum w:abstractNumId="55">
    <w:nsid w:val="168E121F"/>
    <w:multiLevelType w:val="hybridMultilevel"/>
    <w:lvl w:ilvl="0">
      <w:lvlJc w:val="left"/>
      <w:lvlText w:val="%1."/>
      <w:numFmt w:val="decimal"/>
      <w:start w:val="6"/>
    </w:lvl>
  </w:abstractNum>
  <w:abstractNum w:abstractNumId="56">
    <w:nsid w:val="1EBA5D23"/>
    <w:multiLevelType w:val="hybridMultilevel"/>
    <w:lvl w:ilvl="0">
      <w:lvlJc w:val="left"/>
      <w:lvlText w:val="%1."/>
      <w:numFmt w:val="decimal"/>
      <w:start w:val="7"/>
    </w:lvl>
  </w:abstractNum>
  <w:abstractNum w:abstractNumId="57">
    <w:nsid w:val="661E3F1E"/>
    <w:multiLevelType w:val="hybridMultilevel"/>
    <w:lvl w:ilvl="0">
      <w:lvlJc w:val="left"/>
      <w:lvlText w:val="%1."/>
      <w:numFmt w:val="decimal"/>
      <w:start w:val="8"/>
    </w:lvl>
  </w:abstractNum>
  <w:abstractNum w:abstractNumId="58">
    <w:nsid w:val="5DC79EA8"/>
    <w:multiLevelType w:val="hybridMultilevel"/>
    <w:lvl w:ilvl="0">
      <w:lvlJc w:val="left"/>
      <w:lvlText w:val="%1."/>
      <w:numFmt w:val="decimal"/>
      <w:start w:val="9"/>
    </w:lvl>
  </w:abstractNum>
  <w:abstractNum w:abstractNumId="59">
    <w:nsid w:val="540A471C"/>
    <w:multiLevelType w:val="hybridMultilevel"/>
    <w:lvl w:ilvl="0">
      <w:lvlJc w:val="left"/>
      <w:lvlText w:val="%1."/>
      <w:numFmt w:val="decimal"/>
      <w:start w:val="10"/>
    </w:lvl>
  </w:abstractNum>
  <w:abstractNum w:abstractNumId="60">
    <w:nsid w:val="7BD3EE7B"/>
    <w:multiLevelType w:val="hybridMultilevel"/>
    <w:lvl w:ilvl="0">
      <w:lvlJc w:val="left"/>
      <w:lvlText w:val="%1."/>
      <w:numFmt w:val="decimal"/>
      <w:start w:val="11"/>
    </w:lvl>
  </w:abstractNum>
  <w:abstractNum w:abstractNumId="61">
    <w:nsid w:val="51D9C564"/>
    <w:multiLevelType w:val="hybridMultilevel"/>
    <w:lvl w:ilvl="0">
      <w:lvlJc w:val="left"/>
      <w:lvlText w:val="%1."/>
      <w:numFmt w:val="decimal"/>
      <w:start w:val="12"/>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13"/>
    </w:lvl>
  </w:abstractNum>
  <w:abstractNum w:abstractNumId="64">
    <w:nsid w:val="11447B73"/>
    <w:multiLevelType w:val="hybridMultilevel"/>
    <w:lvl w:ilvl="0">
      <w:lvlJc w:val="left"/>
      <w:lvlText w:val="%1."/>
      <w:numFmt w:val="decimal"/>
      <w:start w:val="14"/>
    </w:lvl>
  </w:abstractNum>
  <w:abstractNum w:abstractNumId="65">
    <w:nsid w:val="42963E5A"/>
    <w:multiLevelType w:val="hybridMultilevel"/>
    <w:lvl w:ilvl="0">
      <w:lvlJc w:val="left"/>
      <w:lvlText w:val="%1."/>
      <w:numFmt w:val="decimal"/>
      <w:start w:val="15"/>
    </w:lvl>
  </w:abstractNum>
  <w:abstractNum w:abstractNumId="66">
    <w:nsid w:val="A0382C5"/>
    <w:multiLevelType w:val="hybridMultilevel"/>
    <w:lvl w:ilvl="0">
      <w:lvlJc w:val="left"/>
      <w:lvlText w:val="%1."/>
      <w:numFmt w:val="decimal"/>
      <w:start w:val="16"/>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
      <w:numFmt w:val="bullet"/>
      <w:start w:val="1"/>
    </w:lvl>
    <w:lvl w:ilvl="1">
      <w:lvlJc w:val="left"/>
      <w:lvlText w:val="(%2)"/>
      <w:numFmt w:val="lowerRoman"/>
      <w:start w:val="10"/>
    </w:lvl>
  </w:abstractNum>
  <w:abstractNum w:abstractNumId="73">
    <w:nsid w:val="6A5EE64"/>
    <w:multiLevelType w:val="hybridMultilevel"/>
    <w:lvl w:ilvl="0">
      <w:lvlJc w:val="left"/>
      <w:lvlText w:val="(%1)"/>
      <w:numFmt w:val="lowerLetter"/>
      <w:start w:val="1"/>
    </w:lvl>
    <w:lvl w:ilvl="1">
      <w:lvlJc w:val="left"/>
      <w:lvlText w:val="▪"/>
      <w:numFmt w:val="bullet"/>
      <w:start w:val="1"/>
    </w:lvl>
  </w:abstractNum>
  <w:abstractNum w:abstractNumId="74">
    <w:nsid w:val="14330624"/>
    <w:multiLevelType w:val="hybridMultilevel"/>
    <w:lvl w:ilvl="0">
      <w:lvlJc w:val="left"/>
      <w:lvlText w:val="(%1)"/>
      <w:numFmt w:val="lowerLetter"/>
      <w:start w:val="1"/>
    </w:lvl>
    <w:lvl w:ilvl="1">
      <w:lvlJc w:val="left"/>
      <w:lvlText w:val="▪"/>
      <w:numFmt w:val="bullet"/>
      <w:start w:val="1"/>
    </w:lvl>
  </w:abstractNum>
  <w:abstractNum w:abstractNumId="75">
    <w:nsid w:val="7FFFCA11"/>
    <w:multiLevelType w:val="hybridMultilevel"/>
    <w:lvl w:ilvl="0">
      <w:lvlJc w:val="left"/>
      <w:lvlText w:val="(%1)"/>
      <w:numFmt w:val="lowerLetter"/>
      <w:start w:val="3"/>
    </w:lvl>
  </w:abstractNum>
  <w:abstractNum w:abstractNumId="76">
    <w:nsid w:val="1A27709E"/>
    <w:multiLevelType w:val="hybridMultilevel"/>
    <w:lvl w:ilvl="0">
      <w:lvlJc w:val="left"/>
      <w:lvlText w:val="(%1)"/>
      <w:numFmt w:val="lowerLetter"/>
      <w:start w:val="1"/>
    </w:lvl>
    <w:lvl w:ilvl="1">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1."/>
      <w:numFmt w:val="decimal"/>
      <w:start w:val="3"/>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4"/>
    </w:lvl>
  </w:abstractNum>
  <w:abstractNum w:abstractNumId="82">
    <w:nsid w:val="94211F2"/>
    <w:multiLevelType w:val="hybridMultilevel"/>
    <w:lvl w:ilvl="0">
      <w:lvlJc w:val="left"/>
      <w:lvlText w:val="%1."/>
      <w:numFmt w:val="decimal"/>
      <w:start w:val="5"/>
    </w:lvl>
  </w:abstractNum>
  <w:abstractNum w:abstractNumId="83">
    <w:nsid w:val="885E1B"/>
    <w:multiLevelType w:val="hybridMultilevel"/>
    <w:lvl w:ilvl="0">
      <w:lvlJc w:val="left"/>
      <w:lvlText w:val="%1."/>
      <w:numFmt w:val="decimal"/>
      <w:start w:val="6"/>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133" Type="http://schemas.openxmlformats.org/officeDocument/2006/relationships/hyperlink" Target="https://www.sec.gov/Archives/edgar/data/1563880/000095017023041318/trvi-ex3_1.htm" TargetMode="External"/><Relationship Id="rId134" Type="http://schemas.openxmlformats.org/officeDocument/2006/relationships/hyperlink" Target="https://www.sec.gov/Archives/edgar/data/1563880/000095017023012870/trvi-ex3_1.htm" TargetMode="External"/><Relationship Id="rId135" Type="http://schemas.openxmlformats.org/officeDocument/2006/relationships/hyperlink" Target="https://www.sec.gov/Archives/edgar/data/1563880/000119312519099340/d643194dex41.htm" TargetMode="External"/><Relationship Id="rId136" Type="http://schemas.openxmlformats.org/officeDocument/2006/relationships/hyperlink" Target="https://www.sec.gov/Archives/edgar/data/1563880/000095017024034167/trvi-ex4_2.htm" TargetMode="External"/><Relationship Id="rId137" Type="http://schemas.openxmlformats.org/officeDocument/2006/relationships/hyperlink" Target="https://www.sec.gov/Archives/edgar/data/1563880/000119312521288912/d208387dex42.htm" TargetMode="External"/><Relationship Id="rId138" Type="http://schemas.openxmlformats.org/officeDocument/2006/relationships/hyperlink" Target="https://www.sec.gov/Archives/edgar/data/1563880/000119312521301603/d540031dex41.htm" TargetMode="External"/><Relationship Id="rId139" Type="http://schemas.openxmlformats.org/officeDocument/2006/relationships/hyperlink" Target="https://www.sec.gov/Archives/edgar/data/1563880/000119312521301603/d540031dex42.htm" TargetMode="External"/><Relationship Id="rId140" Type="http://schemas.openxmlformats.org/officeDocument/2006/relationships/hyperlink" Target="https://www.sec.gov/Archives/edgar/data/1563880/000119312522098229/d324144dex41.htm" TargetMode="External"/><Relationship Id="rId141" Type="http://schemas.openxmlformats.org/officeDocument/2006/relationships/hyperlink" Target="https://www.sec.gov/Archives/edgar/data/1563880/000119312522249748/d378568dex41.htm" TargetMode="External"/><Relationship Id="rId142" Type="http://schemas.openxmlformats.org/officeDocument/2006/relationships/hyperlink" Target="https://www.sec.gov/Archives/edgar/data/1563880/000119312519099340/d643194dex101.htm" TargetMode="External"/><Relationship Id="rId143" Type="http://schemas.openxmlformats.org/officeDocument/2006/relationships/hyperlink" Target="https://www.sec.gov/Archives/edgar/data/1563880/000119312519099340/d643194dex102.htm" TargetMode="External"/><Relationship Id="rId144" Type="http://schemas.openxmlformats.org/officeDocument/2006/relationships/hyperlink" Target="https://www.sec.gov/Archives/edgar/data/1563880/000119312519099340/d643194dex103.htm" TargetMode="External"/><Relationship Id="rId145" Type="http://schemas.openxmlformats.org/officeDocument/2006/relationships/hyperlink" Target="https://www.sec.gov/Archives/edgar/data/1563880/000119312519099340/d643194dex104.htm" TargetMode="External"/><Relationship Id="rId146" Type="http://schemas.openxmlformats.org/officeDocument/2006/relationships/hyperlink" Target="https://www.sec.gov/Archives/edgar/data/1563880/000119312519099340/d643194dex105.htm" TargetMode="External"/><Relationship Id="rId147" Type="http://schemas.openxmlformats.org/officeDocument/2006/relationships/hyperlink" Target="https://www.sec.gov/Archives/edgar/data/1563880/000119312519099340/d643194dex106.htm" TargetMode="External"/><Relationship Id="rId150" Type="http://schemas.openxmlformats.org/officeDocument/2006/relationships/hyperlink" Target="https://www.sec.gov/Archives/edgar/data/1563880/000119312519253605/d808144dex101.htm" TargetMode="External"/><Relationship Id="rId151" Type="http://schemas.openxmlformats.org/officeDocument/2006/relationships/hyperlink" Target="https://www.sec.gov/Archives/edgar/data/1563880/000119312519099340/d643194dex108.htm" TargetMode="External"/><Relationship Id="rId152" Type="http://schemas.openxmlformats.org/officeDocument/2006/relationships/hyperlink" Target="https://www.sec.gov/ix?doc=/Archives/edgar/data/0001563880/000095017024122355/trvi-20240930.htm" TargetMode="External"/><Relationship Id="rId153" Type="http://schemas.openxmlformats.org/officeDocument/2006/relationships/hyperlink" Target="https://www.sec.gov/Archives/edgar/data/1563880/000156459021043968/trvi-ex106_190.htm" TargetMode="External"/><Relationship Id="rId154" Type="http://schemas.openxmlformats.org/officeDocument/2006/relationships/hyperlink" Target="https://www.sec.gov/Archives/edgar/data/1563880/000119312519099340/d643194dex1012.htm" TargetMode="External"/><Relationship Id="rId155" Type="http://schemas.openxmlformats.org/officeDocument/2006/relationships/hyperlink" Target="https://www.sec.gov/Archives/edgar/data/1563880/000119312519099340/d643194dex1013.htm" TargetMode="External"/><Relationship Id="rId156" Type="http://schemas.openxmlformats.org/officeDocument/2006/relationships/hyperlink" Target="https://www.sec.gov/Archives/edgar/data/1563880/000119312519099340/d643194dex1014.htm" TargetMode="External"/><Relationship Id="rId157" Type="http://schemas.openxmlformats.org/officeDocument/2006/relationships/hyperlink" Target="https://www.sec.gov/Archives/edgar/data/1563880/000095017023008472/trvi-ex10_16.htm" TargetMode="External"/><Relationship Id="rId158" Type="http://schemas.openxmlformats.org/officeDocument/2006/relationships/hyperlink" Target="https://www.sec.gov/Archives/edgar/data/1563880/000119312519099340/d643194dex1015.htm" TargetMode="External"/><Relationship Id="rId159" Type="http://schemas.openxmlformats.org/officeDocument/2006/relationships/hyperlink" Target="https://www.sec.gov/Archives/edgar/data/1563880/000119312519138831/d643194dex1017.htm" TargetMode="External"/><Relationship Id="rId160" Type="http://schemas.openxmlformats.org/officeDocument/2006/relationships/hyperlink" Target="https://www.sec.gov/Archives/edgar/data/1563880/000119312521288912/d208387dex991.htm" TargetMode="External"/><Relationship Id="rId161" Type="http://schemas.openxmlformats.org/officeDocument/2006/relationships/hyperlink" Target="https://www.sec.gov/Archives/edgar/data/1563880/000119312521288912/d208387dex992.htm" TargetMode="External"/><Relationship Id="rId162" Type="http://schemas.openxmlformats.org/officeDocument/2006/relationships/hyperlink" Target="https://www.sec.gov/Archives/edgar/data/1563880/000119312521301603/d540031dex991.htm" TargetMode="External"/><Relationship Id="rId163" Type="http://schemas.openxmlformats.org/officeDocument/2006/relationships/hyperlink" Target="https://www.sec.gov/Archives/edgar/data/1563880/000119312521301603/d540031dex992.htm" TargetMode="External"/><Relationship Id="rId164" Type="http://schemas.openxmlformats.org/officeDocument/2006/relationships/hyperlink" Target="https://www.sec.gov/Archives/edgar/data/1563880/000119312522098229/d324144dex991.htm" TargetMode="External"/><Relationship Id="rId165" Type="http://schemas.openxmlformats.org/officeDocument/2006/relationships/hyperlink" Target="https://www.sec.gov/Archives/edgar/data/1563880/000119312522098229/d324144dex992.htm" TargetMode="External"/><Relationship Id="rId166" Type="http://schemas.openxmlformats.org/officeDocument/2006/relationships/hyperlink" Target="https://www.sec.gov/Archives/edgar/data/1563880/000119312519099340/d643194dex211.htm" TargetMode="External"/><Relationship Id="rId169" Type="http://schemas.openxmlformats.org/officeDocument/2006/relationships/hyperlink" Target="https://www.sec.gov/ix?doc=/Archives/edgar/data/0001563880/000095017024034167/trvi-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2025-03-18T15:21:57Z</dcterms:created>
  <dcterms:modified xsi:type="dcterms:W3CDTF">2025-03-18T15:21:57Z</dcterms:modified>
</cp:coreProperties>
</file>